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2.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3.xml" ContentType="application/vnd.openxmlformats-officedocument.wordprocessingml.foot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D98583" w14:textId="3AD6E5D6" w:rsidR="0067378A" w:rsidRDefault="0067378A"/>
    <w:tbl>
      <w:tblPr>
        <w:tblW w:w="8931" w:type="dxa"/>
        <w:tblLayout w:type="fixed"/>
        <w:tblCellMar>
          <w:left w:w="0" w:type="dxa"/>
          <w:right w:w="0" w:type="dxa"/>
        </w:tblCellMar>
        <w:tblLook w:val="0000" w:firstRow="0" w:lastRow="0" w:firstColumn="0" w:lastColumn="0" w:noHBand="0" w:noVBand="0"/>
      </w:tblPr>
      <w:tblGrid>
        <w:gridCol w:w="4395"/>
        <w:gridCol w:w="4536"/>
      </w:tblGrid>
      <w:tr w:rsidR="001B33AE" w:rsidRPr="007D1918" w14:paraId="645F9324" w14:textId="77777777" w:rsidTr="002345C6">
        <w:trPr>
          <w:cantSplit/>
          <w:trHeight w:hRule="exact" w:val="4820"/>
        </w:trPr>
        <w:tc>
          <w:tcPr>
            <w:tcW w:w="4395" w:type="dxa"/>
            <w:shd w:val="clear" w:color="auto" w:fill="auto"/>
            <w:vAlign w:val="bottom"/>
          </w:tcPr>
          <w:p w14:paraId="65E3DFAF" w14:textId="77777777" w:rsidR="001B33AE" w:rsidRPr="00183E4D" w:rsidRDefault="001B33AE" w:rsidP="00DF343F">
            <w:pPr>
              <w:pStyle w:val="TOC9"/>
              <w:jc w:val="both"/>
            </w:pPr>
          </w:p>
        </w:tc>
        <w:tc>
          <w:tcPr>
            <w:tcW w:w="4536" w:type="dxa"/>
            <w:shd w:val="clear" w:color="auto" w:fill="auto"/>
            <w:vAlign w:val="bottom"/>
          </w:tcPr>
          <w:p w14:paraId="72092865" w14:textId="77777777" w:rsidR="001B33AE" w:rsidRPr="007D1918" w:rsidRDefault="006B6197" w:rsidP="007C4C79">
            <w:pPr>
              <w:pStyle w:val="PublicationTitle"/>
              <w:jc w:val="left"/>
              <w:rPr>
                <w:szCs w:val="44"/>
              </w:rPr>
            </w:pPr>
            <w:r w:rsidRPr="007D1918">
              <w:rPr>
                <w:szCs w:val="44"/>
              </w:rPr>
              <w:t xml:space="preserve">Immunoglobulin </w:t>
            </w:r>
            <w:r w:rsidR="007C4C79" w:rsidRPr="007D1918">
              <w:rPr>
                <w:szCs w:val="44"/>
              </w:rPr>
              <w:t xml:space="preserve">therapy </w:t>
            </w:r>
            <w:r w:rsidRPr="007D1918">
              <w:rPr>
                <w:szCs w:val="44"/>
              </w:rPr>
              <w:t>for Myasthenia Gravis</w:t>
            </w:r>
          </w:p>
        </w:tc>
      </w:tr>
      <w:tr w:rsidR="008F59A8" w:rsidRPr="007D1918" w14:paraId="28BEE717" w14:textId="77777777" w:rsidTr="002345C6">
        <w:trPr>
          <w:cantSplit/>
          <w:trHeight w:hRule="exact" w:val="2137"/>
        </w:trPr>
        <w:tc>
          <w:tcPr>
            <w:tcW w:w="4395" w:type="dxa"/>
            <w:shd w:val="clear" w:color="auto" w:fill="auto"/>
            <w:vAlign w:val="bottom"/>
          </w:tcPr>
          <w:p w14:paraId="419CAE02" w14:textId="77777777" w:rsidR="008F59A8" w:rsidRPr="007D1918" w:rsidRDefault="008F59A8" w:rsidP="00DF343F">
            <w:pPr>
              <w:jc w:val="both"/>
            </w:pPr>
          </w:p>
        </w:tc>
        <w:tc>
          <w:tcPr>
            <w:tcW w:w="4536" w:type="dxa"/>
            <w:shd w:val="clear" w:color="auto" w:fill="auto"/>
            <w:vAlign w:val="bottom"/>
          </w:tcPr>
          <w:p w14:paraId="32CC6C14" w14:textId="77777777" w:rsidR="008F59A8" w:rsidRPr="007D1918" w:rsidRDefault="008F59A8" w:rsidP="00DF343F">
            <w:pPr>
              <w:pStyle w:val="Heading1"/>
              <w:jc w:val="both"/>
            </w:pPr>
          </w:p>
          <w:p w14:paraId="675AFD93" w14:textId="77777777" w:rsidR="008F59A8" w:rsidRPr="007D1918" w:rsidRDefault="008F59A8" w:rsidP="00DF343F">
            <w:pPr>
              <w:jc w:val="both"/>
            </w:pPr>
          </w:p>
        </w:tc>
      </w:tr>
      <w:tr w:rsidR="008F59A8" w:rsidRPr="007D1918" w14:paraId="3EC63CE0" w14:textId="77777777" w:rsidTr="002345C6">
        <w:trPr>
          <w:cantSplit/>
          <w:trHeight w:hRule="exact" w:val="1265"/>
        </w:trPr>
        <w:tc>
          <w:tcPr>
            <w:tcW w:w="4395" w:type="dxa"/>
            <w:shd w:val="clear" w:color="auto" w:fill="auto"/>
            <w:vAlign w:val="center"/>
          </w:tcPr>
          <w:p w14:paraId="3EB42C68" w14:textId="2A5CDCA9" w:rsidR="008F59A8" w:rsidRPr="007D1918" w:rsidRDefault="008F59A8" w:rsidP="00DF343F">
            <w:pPr>
              <w:pStyle w:val="Date"/>
              <w:jc w:val="both"/>
            </w:pPr>
          </w:p>
        </w:tc>
        <w:tc>
          <w:tcPr>
            <w:tcW w:w="4536" w:type="dxa"/>
            <w:shd w:val="clear" w:color="auto" w:fill="auto"/>
            <w:vAlign w:val="center"/>
          </w:tcPr>
          <w:p w14:paraId="21185D76" w14:textId="241EF5FD" w:rsidR="008F59A8" w:rsidRPr="007D1918" w:rsidRDefault="00265C77" w:rsidP="006B6197">
            <w:pPr>
              <w:pStyle w:val="Date"/>
              <w:jc w:val="both"/>
            </w:pPr>
            <w:r w:rsidRPr="007D1918">
              <w:t>September</w:t>
            </w:r>
            <w:r w:rsidR="00E91BE1" w:rsidRPr="007D1918">
              <w:t xml:space="preserve"> </w:t>
            </w:r>
            <w:r w:rsidR="006B6197" w:rsidRPr="007D1918">
              <w:t>2019</w:t>
            </w:r>
            <w:r w:rsidR="0032483C" w:rsidRPr="007D1918">
              <w:t xml:space="preserve"> </w:t>
            </w:r>
          </w:p>
        </w:tc>
      </w:tr>
      <w:tr w:rsidR="008F59A8" w:rsidRPr="007D1918" w14:paraId="3F3223C4" w14:textId="77777777" w:rsidTr="002345C6">
        <w:trPr>
          <w:cantSplit/>
          <w:trHeight w:hRule="exact" w:val="998"/>
        </w:trPr>
        <w:tc>
          <w:tcPr>
            <w:tcW w:w="4395" w:type="dxa"/>
            <w:shd w:val="clear" w:color="auto" w:fill="auto"/>
          </w:tcPr>
          <w:p w14:paraId="561A4261" w14:textId="77777777" w:rsidR="008F59A8" w:rsidRPr="007D1918" w:rsidRDefault="008F59A8" w:rsidP="00DF343F">
            <w:pPr>
              <w:jc w:val="both"/>
            </w:pPr>
          </w:p>
        </w:tc>
        <w:tc>
          <w:tcPr>
            <w:tcW w:w="4536" w:type="dxa"/>
            <w:shd w:val="clear" w:color="auto" w:fill="auto"/>
          </w:tcPr>
          <w:p w14:paraId="48715762" w14:textId="77777777" w:rsidR="008F59A8" w:rsidRPr="007D1918" w:rsidRDefault="008F59A8" w:rsidP="00DF343F">
            <w:pPr>
              <w:jc w:val="both"/>
            </w:pPr>
          </w:p>
        </w:tc>
      </w:tr>
      <w:tr w:rsidR="008F59A8" w:rsidRPr="007D1918" w14:paraId="07E5FF40" w14:textId="77777777" w:rsidTr="002345C6">
        <w:trPr>
          <w:cantSplit/>
          <w:trHeight w:hRule="exact" w:val="3094"/>
        </w:trPr>
        <w:tc>
          <w:tcPr>
            <w:tcW w:w="4395" w:type="dxa"/>
            <w:shd w:val="clear" w:color="auto" w:fill="auto"/>
          </w:tcPr>
          <w:p w14:paraId="0192F5E4" w14:textId="77777777" w:rsidR="008F59A8" w:rsidRPr="007D1918" w:rsidRDefault="008F59A8" w:rsidP="00DF343F">
            <w:pPr>
              <w:pStyle w:val="Sub-title"/>
              <w:jc w:val="both"/>
            </w:pPr>
          </w:p>
        </w:tc>
        <w:tc>
          <w:tcPr>
            <w:tcW w:w="4536" w:type="dxa"/>
            <w:shd w:val="clear" w:color="auto" w:fill="auto"/>
          </w:tcPr>
          <w:p w14:paraId="7DEFDD94" w14:textId="77777777" w:rsidR="008F59A8" w:rsidRPr="007D1918" w:rsidRDefault="008F59A8" w:rsidP="00DF343F">
            <w:pPr>
              <w:pStyle w:val="Sub-title"/>
              <w:jc w:val="both"/>
            </w:pPr>
            <w:r w:rsidRPr="007D1918">
              <w:t xml:space="preserve">MSAC application </w:t>
            </w:r>
            <w:r w:rsidR="001C3A68" w:rsidRPr="007D1918">
              <w:t>no</w:t>
            </w:r>
            <w:r w:rsidR="00DB1DDF" w:rsidRPr="007D1918">
              <w:t>.</w:t>
            </w:r>
            <w:r w:rsidR="001C3A68" w:rsidRPr="007D1918">
              <w:t xml:space="preserve"> </w:t>
            </w:r>
            <w:r w:rsidR="006B6197" w:rsidRPr="007D1918">
              <w:t>1566</w:t>
            </w:r>
          </w:p>
          <w:p w14:paraId="761467FB" w14:textId="25475B96" w:rsidR="008F59A8" w:rsidRPr="007D1918" w:rsidRDefault="008F59A8" w:rsidP="00CB4B47">
            <w:pPr>
              <w:pStyle w:val="Sub-title"/>
              <w:jc w:val="both"/>
              <w:rPr>
                <w:sz w:val="72"/>
                <w:szCs w:val="72"/>
              </w:rPr>
            </w:pPr>
            <w:r w:rsidRPr="007D1918">
              <w:t xml:space="preserve"> </w:t>
            </w:r>
            <w:r w:rsidRPr="007D1918">
              <w:br/>
            </w:r>
            <w:r w:rsidR="00E0760E" w:rsidRPr="007D1918">
              <w:t>A</w:t>
            </w:r>
            <w:r w:rsidRPr="007D1918">
              <w:t>ssessment report</w:t>
            </w:r>
          </w:p>
        </w:tc>
      </w:tr>
    </w:tbl>
    <w:p w14:paraId="1D7DDF7E" w14:textId="77777777" w:rsidR="003A7C8F" w:rsidRPr="007D1918" w:rsidRDefault="003A7C8F" w:rsidP="00DF343F">
      <w:pPr>
        <w:autoSpaceDE w:val="0"/>
        <w:autoSpaceDN w:val="0"/>
        <w:adjustRightInd w:val="0"/>
        <w:spacing w:after="0"/>
        <w:jc w:val="both"/>
      </w:pPr>
    </w:p>
    <w:p w14:paraId="00F3A2D1" w14:textId="77777777" w:rsidR="003A7C8F" w:rsidRPr="007D1918" w:rsidRDefault="003A7C8F" w:rsidP="00DF343F">
      <w:pPr>
        <w:autoSpaceDE w:val="0"/>
        <w:autoSpaceDN w:val="0"/>
        <w:adjustRightInd w:val="0"/>
        <w:spacing w:after="0"/>
        <w:jc w:val="both"/>
      </w:pPr>
    </w:p>
    <w:p w14:paraId="1DB9EEB0" w14:textId="77777777" w:rsidR="003A7C8F" w:rsidRPr="007D1918" w:rsidRDefault="003A7C8F" w:rsidP="00DF343F">
      <w:pPr>
        <w:spacing w:after="0" w:line="240" w:lineRule="auto"/>
        <w:jc w:val="both"/>
      </w:pPr>
      <w:r w:rsidRPr="007D1918">
        <w:br w:type="page"/>
      </w:r>
    </w:p>
    <w:p w14:paraId="385E81AA" w14:textId="28A171A9" w:rsidR="00EB4DCD" w:rsidRPr="007D1918" w:rsidRDefault="00EB4DCD" w:rsidP="00EB4DCD">
      <w:pPr>
        <w:autoSpaceDE w:val="0"/>
        <w:autoSpaceDN w:val="0"/>
        <w:adjustRightInd w:val="0"/>
        <w:spacing w:after="0"/>
        <w:rPr>
          <w:b/>
          <w:bCs/>
          <w:color w:val="000000"/>
          <w:sz w:val="20"/>
          <w:szCs w:val="20"/>
          <w:lang w:eastAsia="zh-TW"/>
        </w:rPr>
      </w:pPr>
      <w:bookmarkStart w:id="0" w:name="_Toc192054741"/>
      <w:bookmarkStart w:id="1" w:name="_Toc206489930"/>
      <w:bookmarkStart w:id="2" w:name="_Toc206494639"/>
      <w:bookmarkStart w:id="3" w:name="_Toc214339152"/>
      <w:bookmarkStart w:id="4" w:name="_Toc237759553"/>
      <w:bookmarkStart w:id="5" w:name="_Toc356462688"/>
      <w:bookmarkStart w:id="6" w:name="_Toc356462742"/>
      <w:bookmarkStart w:id="7" w:name="_Toc356462997"/>
      <w:bookmarkStart w:id="8" w:name="_Ref360694627"/>
      <w:bookmarkStart w:id="9" w:name="_Toc379117342"/>
      <w:bookmarkStart w:id="10" w:name="_Toc379118055"/>
      <w:bookmarkStart w:id="11" w:name="_Toc379118243"/>
      <w:bookmarkStart w:id="12" w:name="_Toc381796424"/>
      <w:r w:rsidRPr="007D1918">
        <w:rPr>
          <w:b/>
          <w:bCs/>
          <w:color w:val="000000"/>
          <w:sz w:val="20"/>
          <w:szCs w:val="20"/>
          <w:lang w:eastAsia="zh-TW"/>
        </w:rPr>
        <w:lastRenderedPageBreak/>
        <w:t xml:space="preserve">© Commonwealth of Australia </w:t>
      </w:r>
      <w:r w:rsidR="006B6197" w:rsidRPr="007D1918">
        <w:rPr>
          <w:b/>
          <w:bCs/>
          <w:color w:val="000000"/>
          <w:sz w:val="20"/>
          <w:szCs w:val="20"/>
          <w:lang w:eastAsia="zh-TW"/>
        </w:rPr>
        <w:t>2019</w:t>
      </w:r>
    </w:p>
    <w:p w14:paraId="1CA13A7D" w14:textId="77777777" w:rsidR="00EB4DCD" w:rsidRPr="007D1918" w:rsidRDefault="00EB4DCD" w:rsidP="00EB4DCD">
      <w:pPr>
        <w:autoSpaceDE w:val="0"/>
        <w:autoSpaceDN w:val="0"/>
        <w:adjustRightInd w:val="0"/>
        <w:spacing w:after="0" w:line="240" w:lineRule="auto"/>
        <w:rPr>
          <w:b/>
          <w:bCs/>
          <w:color w:val="000000"/>
          <w:sz w:val="20"/>
          <w:szCs w:val="20"/>
          <w:lang w:eastAsia="zh-TW"/>
        </w:rPr>
      </w:pPr>
    </w:p>
    <w:p w14:paraId="6CBA4391" w14:textId="77777777" w:rsidR="00EB4DCD" w:rsidRPr="007D1918" w:rsidRDefault="00EB4DCD" w:rsidP="00EB4DCD">
      <w:pPr>
        <w:autoSpaceDE w:val="0"/>
        <w:autoSpaceDN w:val="0"/>
        <w:adjustRightInd w:val="0"/>
        <w:spacing w:after="0" w:line="240" w:lineRule="auto"/>
        <w:rPr>
          <w:b/>
          <w:bCs/>
          <w:color w:val="000000"/>
          <w:sz w:val="20"/>
          <w:szCs w:val="20"/>
          <w:lang w:eastAsia="zh-TW"/>
        </w:rPr>
      </w:pPr>
    </w:p>
    <w:p w14:paraId="40BF116E" w14:textId="77777777" w:rsidR="00EB4DCD" w:rsidRPr="007D1918" w:rsidRDefault="00EB4DCD" w:rsidP="00EB4DCD">
      <w:pPr>
        <w:autoSpaceDE w:val="0"/>
        <w:autoSpaceDN w:val="0"/>
        <w:adjustRightInd w:val="0"/>
        <w:spacing w:after="0" w:line="240" w:lineRule="auto"/>
        <w:rPr>
          <w:b/>
          <w:bCs/>
          <w:color w:val="000000"/>
          <w:sz w:val="20"/>
          <w:szCs w:val="20"/>
          <w:lang w:eastAsia="zh-TW"/>
        </w:rPr>
      </w:pPr>
      <w:r w:rsidRPr="007D1918">
        <w:rPr>
          <w:b/>
          <w:bCs/>
          <w:color w:val="000000"/>
          <w:sz w:val="20"/>
          <w:szCs w:val="20"/>
          <w:lang w:eastAsia="zh-TW"/>
        </w:rPr>
        <w:t>ISSN (Online) 1443-7139</w:t>
      </w:r>
    </w:p>
    <w:p w14:paraId="7D0C7742" w14:textId="77777777" w:rsidR="00EB4DCD" w:rsidRPr="007D1918" w:rsidRDefault="00EB4DCD" w:rsidP="00EB4DCD">
      <w:pPr>
        <w:autoSpaceDE w:val="0"/>
        <w:autoSpaceDN w:val="0"/>
        <w:adjustRightInd w:val="0"/>
        <w:spacing w:after="0" w:line="240" w:lineRule="auto"/>
        <w:rPr>
          <w:b/>
          <w:bCs/>
          <w:color w:val="000000"/>
          <w:sz w:val="20"/>
          <w:szCs w:val="20"/>
          <w:lang w:eastAsia="zh-TW"/>
        </w:rPr>
      </w:pPr>
    </w:p>
    <w:p w14:paraId="6248180F" w14:textId="5ADC2C21" w:rsidR="00EB4DCD" w:rsidRPr="007D1918" w:rsidRDefault="00EB4DCD" w:rsidP="00EB4DCD">
      <w:pPr>
        <w:autoSpaceDE w:val="0"/>
        <w:autoSpaceDN w:val="0"/>
        <w:adjustRightInd w:val="0"/>
        <w:spacing w:after="0" w:line="240" w:lineRule="auto"/>
        <w:rPr>
          <w:b/>
          <w:bCs/>
          <w:color w:val="000000"/>
          <w:sz w:val="20"/>
          <w:szCs w:val="20"/>
          <w:lang w:eastAsia="zh-TW"/>
        </w:rPr>
      </w:pPr>
      <w:r w:rsidRPr="007D1918">
        <w:rPr>
          <w:b/>
          <w:bCs/>
          <w:color w:val="000000"/>
          <w:sz w:val="20"/>
          <w:szCs w:val="20"/>
          <w:lang w:eastAsia="zh-TW"/>
        </w:rPr>
        <w:t xml:space="preserve">Internet site </w:t>
      </w:r>
      <w:hyperlink r:id="rId8" w:tooltip="Link to MSAC website" w:history="1">
        <w:r w:rsidRPr="007D1918">
          <w:rPr>
            <w:color w:val="0000FF"/>
            <w:sz w:val="20"/>
            <w:szCs w:val="20"/>
            <w:u w:val="single"/>
            <w:lang w:eastAsia="zh-TW"/>
          </w:rPr>
          <w:t>http://www.msac.gov.au/</w:t>
        </w:r>
      </w:hyperlink>
    </w:p>
    <w:p w14:paraId="02CFE5AC" w14:textId="77777777" w:rsidR="00EB4DCD" w:rsidRPr="007D1918" w:rsidRDefault="00EB4DCD" w:rsidP="00EB4DCD">
      <w:pPr>
        <w:autoSpaceDE w:val="0"/>
        <w:autoSpaceDN w:val="0"/>
        <w:adjustRightInd w:val="0"/>
        <w:spacing w:after="0" w:line="240" w:lineRule="auto"/>
        <w:rPr>
          <w:b/>
          <w:bCs/>
          <w:color w:val="000000"/>
          <w:sz w:val="20"/>
          <w:szCs w:val="20"/>
          <w:lang w:eastAsia="zh-TW"/>
        </w:rPr>
      </w:pPr>
    </w:p>
    <w:p w14:paraId="7CAAB260" w14:textId="00F23E09" w:rsidR="00EB4DCD" w:rsidRPr="007D1918" w:rsidRDefault="00EB4DCD" w:rsidP="00EB4DCD">
      <w:pPr>
        <w:autoSpaceDE w:val="0"/>
        <w:autoSpaceDN w:val="0"/>
        <w:adjustRightInd w:val="0"/>
        <w:spacing w:after="0" w:line="240" w:lineRule="auto"/>
        <w:rPr>
          <w:color w:val="000000"/>
          <w:sz w:val="20"/>
          <w:szCs w:val="20"/>
        </w:rPr>
      </w:pPr>
      <w:r w:rsidRPr="007D1918">
        <w:rPr>
          <w:color w:val="000000"/>
          <w:sz w:val="20"/>
          <w:szCs w:val="20"/>
        </w:rPr>
        <w:t xml:space="preserve">This work is copyright. You may download, display, print and reproduce this material in unaltered form only (retaining this notice) for your personal, non-commercial use or use within your organisation. Apart from any use as permitted under the Copyright Act 1968, all other rights are reserved. Requests and inquiries concerning reproduction and rights should be addressed to Commonwealth Copyright Administration, Attorney-General's Department, Robert Garran Offices, National Circuit, Barton ACT 2600 or posted at </w:t>
      </w:r>
      <w:hyperlink r:id="rId9" w:tooltip="Link to Attorney-General's Department website" w:history="1">
        <w:r w:rsidRPr="007D1918">
          <w:rPr>
            <w:color w:val="0000FF"/>
            <w:sz w:val="20"/>
            <w:szCs w:val="20"/>
            <w:u w:val="single"/>
            <w:lang w:eastAsia="zh-TW"/>
          </w:rPr>
          <w:t>http://www.ag.gov.au/</w:t>
        </w:r>
      </w:hyperlink>
      <w:r w:rsidRPr="007D1918">
        <w:rPr>
          <w:color w:val="0000FF"/>
          <w:sz w:val="20"/>
          <w:szCs w:val="20"/>
          <w:lang w:eastAsia="zh-TW"/>
        </w:rPr>
        <w:t>.</w:t>
      </w:r>
    </w:p>
    <w:p w14:paraId="3B8A043D" w14:textId="77777777" w:rsidR="00EB4DCD" w:rsidRPr="007D1918" w:rsidRDefault="00EB4DCD" w:rsidP="00EB4DCD">
      <w:pPr>
        <w:autoSpaceDE w:val="0"/>
        <w:autoSpaceDN w:val="0"/>
        <w:adjustRightInd w:val="0"/>
        <w:spacing w:after="0" w:line="240" w:lineRule="auto"/>
        <w:rPr>
          <w:color w:val="000000"/>
          <w:sz w:val="20"/>
          <w:szCs w:val="20"/>
        </w:rPr>
      </w:pPr>
    </w:p>
    <w:p w14:paraId="38D17034" w14:textId="77777777" w:rsidR="00EB4DCD" w:rsidRPr="007D1918" w:rsidRDefault="00EB4DCD" w:rsidP="00EB4DCD">
      <w:pPr>
        <w:autoSpaceDE w:val="0"/>
        <w:autoSpaceDN w:val="0"/>
        <w:adjustRightInd w:val="0"/>
        <w:spacing w:after="0" w:line="240" w:lineRule="auto"/>
        <w:rPr>
          <w:color w:val="000000"/>
          <w:sz w:val="20"/>
          <w:szCs w:val="20"/>
          <w:lang w:eastAsia="zh-TW"/>
        </w:rPr>
      </w:pPr>
    </w:p>
    <w:p w14:paraId="55CA3EC6" w14:textId="6FFE01E1" w:rsidR="00EB4DCD" w:rsidRPr="007D1918" w:rsidRDefault="00EB4DCD" w:rsidP="00EB4DCD">
      <w:pPr>
        <w:autoSpaceDE w:val="0"/>
        <w:autoSpaceDN w:val="0"/>
        <w:adjustRightInd w:val="0"/>
        <w:spacing w:after="0" w:line="240" w:lineRule="auto"/>
        <w:rPr>
          <w:color w:val="1B1B1B"/>
          <w:sz w:val="20"/>
          <w:szCs w:val="20"/>
        </w:rPr>
      </w:pPr>
      <w:r w:rsidRPr="007D1918">
        <w:rPr>
          <w:color w:val="000000"/>
          <w:sz w:val="20"/>
          <w:szCs w:val="20"/>
          <w:lang w:eastAsia="zh-TW"/>
        </w:rPr>
        <w:t>Electronic copies of the report can be obtained from the Medical Service Advisory Committee’s Internet site at</w:t>
      </w:r>
      <w:r w:rsidRPr="007D1918">
        <w:rPr>
          <w:sz w:val="20"/>
          <w:szCs w:val="20"/>
          <w:lang w:eastAsia="zh-TW"/>
        </w:rPr>
        <w:t xml:space="preserve"> </w:t>
      </w:r>
      <w:hyperlink r:id="rId10" w:tooltip="Link to MSAC website" w:history="1">
        <w:r w:rsidRPr="007D1918">
          <w:rPr>
            <w:color w:val="0000FF"/>
            <w:sz w:val="20"/>
            <w:szCs w:val="20"/>
            <w:u w:val="single"/>
            <w:lang w:eastAsia="zh-TW"/>
          </w:rPr>
          <w:t>http://www.msac.gov.au/</w:t>
        </w:r>
      </w:hyperlink>
    </w:p>
    <w:p w14:paraId="4AD7217F" w14:textId="77777777" w:rsidR="00EB4DCD" w:rsidRPr="007D1918" w:rsidRDefault="00EB4DCD" w:rsidP="00EB4DCD">
      <w:pPr>
        <w:autoSpaceDE w:val="0"/>
        <w:autoSpaceDN w:val="0"/>
        <w:adjustRightInd w:val="0"/>
        <w:spacing w:after="0" w:line="240" w:lineRule="auto"/>
        <w:rPr>
          <w:color w:val="1B1B1B"/>
          <w:sz w:val="20"/>
          <w:szCs w:val="20"/>
          <w:lang w:eastAsia="zh-TW"/>
        </w:rPr>
      </w:pPr>
    </w:p>
    <w:p w14:paraId="3A2CF0BC" w14:textId="77777777" w:rsidR="00EB4DCD" w:rsidRPr="007D1918" w:rsidRDefault="00EB4DCD" w:rsidP="00EB4DCD">
      <w:pPr>
        <w:autoSpaceDE w:val="0"/>
        <w:autoSpaceDN w:val="0"/>
        <w:adjustRightInd w:val="0"/>
        <w:spacing w:after="0" w:line="240" w:lineRule="auto"/>
        <w:rPr>
          <w:color w:val="000000"/>
          <w:sz w:val="20"/>
          <w:szCs w:val="20"/>
        </w:rPr>
      </w:pPr>
      <w:r w:rsidRPr="007D1918">
        <w:rPr>
          <w:color w:val="000000"/>
          <w:sz w:val="20"/>
          <w:szCs w:val="20"/>
        </w:rPr>
        <w:t xml:space="preserve">Enquiries about the content of the report should be emailed to </w:t>
      </w:r>
      <w:hyperlink r:id="rId11" w:history="1">
        <w:r w:rsidRPr="007D1918">
          <w:rPr>
            <w:color w:val="0000FF"/>
            <w:sz w:val="20"/>
            <w:szCs w:val="20"/>
            <w:u w:val="single"/>
          </w:rPr>
          <w:t>hta@health.gov.au</w:t>
        </w:r>
      </w:hyperlink>
      <w:r w:rsidRPr="007D1918">
        <w:rPr>
          <w:color w:val="000000"/>
          <w:sz w:val="20"/>
          <w:szCs w:val="20"/>
        </w:rPr>
        <w:t>.</w:t>
      </w:r>
    </w:p>
    <w:p w14:paraId="691C2FD7" w14:textId="77777777" w:rsidR="00EB4DCD" w:rsidRPr="007D1918" w:rsidRDefault="00EB4DCD" w:rsidP="00EB4DCD">
      <w:pPr>
        <w:autoSpaceDE w:val="0"/>
        <w:autoSpaceDN w:val="0"/>
        <w:adjustRightInd w:val="0"/>
        <w:spacing w:after="0" w:line="240" w:lineRule="auto"/>
        <w:rPr>
          <w:color w:val="1B1B1B"/>
          <w:sz w:val="20"/>
          <w:szCs w:val="20"/>
          <w:lang w:eastAsia="zh-TW"/>
        </w:rPr>
      </w:pPr>
    </w:p>
    <w:p w14:paraId="7964393F" w14:textId="77777777" w:rsidR="00EB4DCD" w:rsidRPr="007D1918" w:rsidRDefault="00EB4DCD" w:rsidP="00EB4DCD">
      <w:pPr>
        <w:autoSpaceDE w:val="0"/>
        <w:autoSpaceDN w:val="0"/>
        <w:adjustRightInd w:val="0"/>
        <w:spacing w:after="0" w:line="240" w:lineRule="auto"/>
        <w:rPr>
          <w:color w:val="1B1B1B"/>
          <w:sz w:val="20"/>
          <w:szCs w:val="20"/>
          <w:lang w:eastAsia="zh-TW"/>
        </w:rPr>
      </w:pPr>
    </w:p>
    <w:p w14:paraId="14F5268B" w14:textId="77777777" w:rsidR="00EB4DCD" w:rsidRPr="007D1918" w:rsidRDefault="00EB4DCD" w:rsidP="00EB4DCD">
      <w:pPr>
        <w:autoSpaceDE w:val="0"/>
        <w:autoSpaceDN w:val="0"/>
        <w:adjustRightInd w:val="0"/>
        <w:spacing w:after="0" w:line="240" w:lineRule="auto"/>
        <w:rPr>
          <w:color w:val="000000"/>
          <w:sz w:val="20"/>
          <w:szCs w:val="20"/>
          <w:lang w:eastAsia="zh-TW"/>
        </w:rPr>
      </w:pPr>
      <w:r w:rsidRPr="007D1918">
        <w:rPr>
          <w:color w:val="000000"/>
          <w:sz w:val="20"/>
          <w:szCs w:val="20"/>
        </w:rPr>
        <w:t>The technical information in this document is used by the Medical Services Advisory Committee (MSAC) to inform its deliberations. MSAC is an independent committee which has been established to provide advice to the Minister for Health on the strength of evidence available on</w:t>
      </w:r>
      <w:r w:rsidRPr="007D1918">
        <w:rPr>
          <w:color w:val="000000"/>
          <w:sz w:val="20"/>
          <w:szCs w:val="20"/>
          <w:lang w:eastAsia="zh-TW"/>
        </w:rPr>
        <w:t xml:space="preserve"> new and existing medical technologies and procedures in terms of their safety, effectiveness and cost effectiveness. This advice will help to inform government decisions about which medical services should attract funding under Medicare.</w:t>
      </w:r>
    </w:p>
    <w:p w14:paraId="1BD45154" w14:textId="77777777" w:rsidR="00EB4DCD" w:rsidRPr="007D1918" w:rsidRDefault="00EB4DCD" w:rsidP="00EB4DCD">
      <w:pPr>
        <w:autoSpaceDE w:val="0"/>
        <w:autoSpaceDN w:val="0"/>
        <w:adjustRightInd w:val="0"/>
        <w:spacing w:after="0" w:line="240" w:lineRule="auto"/>
        <w:rPr>
          <w:color w:val="000000"/>
          <w:sz w:val="20"/>
          <w:szCs w:val="20"/>
          <w:lang w:eastAsia="zh-TW"/>
        </w:rPr>
      </w:pPr>
    </w:p>
    <w:p w14:paraId="3B40CB26" w14:textId="77777777" w:rsidR="00EB4DCD" w:rsidRPr="007D1918" w:rsidRDefault="00EB4DCD" w:rsidP="00EB4DCD">
      <w:pPr>
        <w:autoSpaceDE w:val="0"/>
        <w:autoSpaceDN w:val="0"/>
        <w:adjustRightInd w:val="0"/>
        <w:spacing w:after="0" w:line="240" w:lineRule="auto"/>
        <w:rPr>
          <w:color w:val="000000"/>
          <w:sz w:val="20"/>
          <w:szCs w:val="20"/>
          <w:lang w:eastAsia="zh-TW"/>
        </w:rPr>
      </w:pPr>
    </w:p>
    <w:p w14:paraId="3FBE3D28" w14:textId="77777777" w:rsidR="00EB4DCD" w:rsidRPr="007D1918" w:rsidRDefault="00EB4DCD" w:rsidP="00EB4DCD">
      <w:pPr>
        <w:autoSpaceDE w:val="0"/>
        <w:autoSpaceDN w:val="0"/>
        <w:adjustRightInd w:val="0"/>
        <w:spacing w:after="0" w:line="240" w:lineRule="auto"/>
        <w:rPr>
          <w:b/>
          <w:bCs/>
          <w:color w:val="000000"/>
          <w:sz w:val="20"/>
          <w:szCs w:val="20"/>
          <w:u w:val="single"/>
          <w:lang w:eastAsia="zh-TW"/>
        </w:rPr>
      </w:pPr>
      <w:r w:rsidRPr="007D1918">
        <w:rPr>
          <w:b/>
          <w:bCs/>
          <w:color w:val="000000"/>
          <w:sz w:val="20"/>
          <w:szCs w:val="20"/>
          <w:u w:val="single"/>
          <w:lang w:eastAsia="zh-TW"/>
        </w:rPr>
        <w:t>MSAC’s advice does not necessarily reflect the views of all individuals who participated in the MSAC evaluation.</w:t>
      </w:r>
    </w:p>
    <w:p w14:paraId="003D04E5" w14:textId="77777777" w:rsidR="00EB4DCD" w:rsidRPr="007D1918" w:rsidRDefault="00EB4DCD" w:rsidP="00EB4DCD">
      <w:pPr>
        <w:autoSpaceDE w:val="0"/>
        <w:autoSpaceDN w:val="0"/>
        <w:adjustRightInd w:val="0"/>
        <w:spacing w:after="0" w:line="240" w:lineRule="auto"/>
        <w:rPr>
          <w:color w:val="000000"/>
          <w:sz w:val="20"/>
          <w:szCs w:val="20"/>
          <w:lang w:eastAsia="zh-TW"/>
        </w:rPr>
      </w:pPr>
    </w:p>
    <w:p w14:paraId="3FF1851B" w14:textId="77777777" w:rsidR="00EB4DCD" w:rsidRPr="007D1918" w:rsidRDefault="00EB4DCD" w:rsidP="00EB4DCD">
      <w:pPr>
        <w:autoSpaceDE w:val="0"/>
        <w:autoSpaceDN w:val="0"/>
        <w:adjustRightInd w:val="0"/>
        <w:spacing w:after="0" w:line="240" w:lineRule="auto"/>
        <w:rPr>
          <w:color w:val="000000"/>
          <w:sz w:val="20"/>
          <w:szCs w:val="20"/>
          <w:lang w:eastAsia="zh-TW"/>
        </w:rPr>
      </w:pPr>
    </w:p>
    <w:p w14:paraId="2F8C3454" w14:textId="065A348D" w:rsidR="00EB4DCD" w:rsidRPr="007D1918" w:rsidRDefault="00EB4DCD" w:rsidP="00EB4DCD">
      <w:pPr>
        <w:autoSpaceDE w:val="0"/>
        <w:autoSpaceDN w:val="0"/>
        <w:adjustRightInd w:val="0"/>
        <w:spacing w:after="0" w:line="240" w:lineRule="auto"/>
        <w:rPr>
          <w:sz w:val="20"/>
          <w:szCs w:val="20"/>
        </w:rPr>
      </w:pPr>
      <w:r w:rsidRPr="007D1918">
        <w:rPr>
          <w:sz w:val="20"/>
          <w:szCs w:val="20"/>
        </w:rPr>
        <w:t xml:space="preserve">This report was prepared by </w:t>
      </w:r>
      <w:r w:rsidR="009C0F0D" w:rsidRPr="007D1918">
        <w:rPr>
          <w:sz w:val="20"/>
          <w:szCs w:val="20"/>
        </w:rPr>
        <w:t>Joanne Milverton, Camille Schubert</w:t>
      </w:r>
      <w:r w:rsidR="00AD125B" w:rsidRPr="007D1918">
        <w:rPr>
          <w:sz w:val="20"/>
          <w:szCs w:val="20"/>
        </w:rPr>
        <w:t>, Ben Ellery</w:t>
      </w:r>
      <w:r w:rsidR="00E6595E" w:rsidRPr="007D1918">
        <w:rPr>
          <w:sz w:val="20"/>
          <w:szCs w:val="20"/>
        </w:rPr>
        <w:t>, Judy Morona</w:t>
      </w:r>
      <w:r w:rsidR="00EC46AE" w:rsidRPr="007D1918">
        <w:rPr>
          <w:sz w:val="20"/>
          <w:szCs w:val="20"/>
        </w:rPr>
        <w:t xml:space="preserve"> </w:t>
      </w:r>
      <w:r w:rsidR="00AD125B" w:rsidRPr="007D1918">
        <w:rPr>
          <w:sz w:val="20"/>
          <w:szCs w:val="20"/>
        </w:rPr>
        <w:t xml:space="preserve">and Jacqueline Parsons </w:t>
      </w:r>
      <w:r w:rsidRPr="007D1918">
        <w:rPr>
          <w:sz w:val="20"/>
          <w:szCs w:val="20"/>
        </w:rPr>
        <w:t xml:space="preserve">from </w:t>
      </w:r>
      <w:r w:rsidR="009C0F0D" w:rsidRPr="007D1918">
        <w:rPr>
          <w:sz w:val="20"/>
          <w:szCs w:val="20"/>
        </w:rPr>
        <w:t>Adelaide Health Technology Assessment,</w:t>
      </w:r>
      <w:r w:rsidR="006B6197" w:rsidRPr="007D1918">
        <w:rPr>
          <w:sz w:val="20"/>
          <w:szCs w:val="20"/>
        </w:rPr>
        <w:t xml:space="preserve"> University of Adelaide</w:t>
      </w:r>
      <w:r w:rsidRPr="007D1918">
        <w:rPr>
          <w:sz w:val="20"/>
          <w:szCs w:val="20"/>
        </w:rPr>
        <w:t xml:space="preserve">. Clinical advice was provided by the </w:t>
      </w:r>
      <w:r w:rsidR="008760B9" w:rsidRPr="007D1918">
        <w:rPr>
          <w:sz w:val="20"/>
          <w:szCs w:val="20"/>
        </w:rPr>
        <w:t xml:space="preserve">Ig Review </w:t>
      </w:r>
      <w:r w:rsidR="00464A4D" w:rsidRPr="007D1918">
        <w:rPr>
          <w:sz w:val="20"/>
          <w:szCs w:val="20"/>
        </w:rPr>
        <w:t>Reference Group</w:t>
      </w:r>
      <w:r w:rsidRPr="007D1918">
        <w:rPr>
          <w:sz w:val="20"/>
          <w:szCs w:val="20"/>
        </w:rPr>
        <w:t>. The report was commissioned by the Australian Government Department of Health.</w:t>
      </w:r>
    </w:p>
    <w:p w14:paraId="30C04260" w14:textId="77777777" w:rsidR="00EB4DCD" w:rsidRPr="007D1918" w:rsidRDefault="00EB4DCD" w:rsidP="00EB4DCD">
      <w:pPr>
        <w:autoSpaceDE w:val="0"/>
        <w:autoSpaceDN w:val="0"/>
        <w:adjustRightInd w:val="0"/>
        <w:spacing w:after="0" w:line="240" w:lineRule="auto"/>
        <w:rPr>
          <w:sz w:val="20"/>
          <w:szCs w:val="20"/>
        </w:rPr>
      </w:pPr>
    </w:p>
    <w:p w14:paraId="5ABF17C4" w14:textId="77777777" w:rsidR="00EB4DCD" w:rsidRPr="007D1918" w:rsidRDefault="00EB4DCD" w:rsidP="00EB4DCD">
      <w:pPr>
        <w:autoSpaceDE w:val="0"/>
        <w:autoSpaceDN w:val="0"/>
        <w:adjustRightInd w:val="0"/>
        <w:spacing w:after="0" w:line="240" w:lineRule="auto"/>
        <w:rPr>
          <w:rFonts w:cs="Humanist521BT-Roman"/>
          <w:color w:val="231F20"/>
          <w:sz w:val="20"/>
          <w:szCs w:val="20"/>
        </w:rPr>
      </w:pPr>
      <w:r w:rsidRPr="007D1918">
        <w:rPr>
          <w:rFonts w:cs="Humanist521BT-Roman"/>
          <w:color w:val="231F20"/>
          <w:sz w:val="20"/>
          <w:szCs w:val="20"/>
        </w:rPr>
        <w:t>The suggested citation for this document is:</w:t>
      </w:r>
    </w:p>
    <w:p w14:paraId="6FFFB190" w14:textId="77777777" w:rsidR="00EB4DCD" w:rsidRPr="007D1918" w:rsidRDefault="00EB4DCD" w:rsidP="00EB4DCD">
      <w:pPr>
        <w:autoSpaceDE w:val="0"/>
        <w:autoSpaceDN w:val="0"/>
        <w:adjustRightInd w:val="0"/>
        <w:spacing w:after="0" w:line="240" w:lineRule="auto"/>
        <w:rPr>
          <w:rFonts w:cs="Humanist521BT-Roman"/>
          <w:color w:val="231F20"/>
          <w:sz w:val="20"/>
          <w:szCs w:val="20"/>
        </w:rPr>
      </w:pPr>
    </w:p>
    <w:p w14:paraId="3F4BC8B7" w14:textId="1546E12E" w:rsidR="00EB4DCD" w:rsidRPr="007D1918" w:rsidRDefault="001C20EF" w:rsidP="00EB4DCD">
      <w:pPr>
        <w:autoSpaceDE w:val="0"/>
        <w:autoSpaceDN w:val="0"/>
        <w:adjustRightInd w:val="0"/>
        <w:spacing w:after="0" w:line="240" w:lineRule="auto"/>
        <w:rPr>
          <w:sz w:val="20"/>
          <w:szCs w:val="20"/>
        </w:rPr>
      </w:pPr>
      <w:r w:rsidRPr="007D1918">
        <w:rPr>
          <w:sz w:val="20"/>
          <w:szCs w:val="20"/>
        </w:rPr>
        <w:t xml:space="preserve">Milverton J, Schubert C, Ellery B, </w:t>
      </w:r>
      <w:r w:rsidR="00EC46AE" w:rsidRPr="007D1918">
        <w:rPr>
          <w:sz w:val="20"/>
          <w:szCs w:val="20"/>
        </w:rPr>
        <w:t xml:space="preserve">Morona J, </w:t>
      </w:r>
      <w:r w:rsidRPr="007D1918">
        <w:rPr>
          <w:sz w:val="20"/>
          <w:szCs w:val="20"/>
        </w:rPr>
        <w:t>Parsons J</w:t>
      </w:r>
      <w:r w:rsidR="00EB4DCD" w:rsidRPr="007D1918">
        <w:rPr>
          <w:sz w:val="20"/>
          <w:szCs w:val="20"/>
        </w:rPr>
        <w:t xml:space="preserve"> (20</w:t>
      </w:r>
      <w:r w:rsidRPr="007D1918">
        <w:rPr>
          <w:sz w:val="20"/>
          <w:szCs w:val="20"/>
        </w:rPr>
        <w:t>19</w:t>
      </w:r>
      <w:r w:rsidR="00EB4DCD" w:rsidRPr="007D1918">
        <w:rPr>
          <w:sz w:val="20"/>
          <w:szCs w:val="20"/>
        </w:rPr>
        <w:t xml:space="preserve">). </w:t>
      </w:r>
      <w:r w:rsidRPr="007D1918">
        <w:rPr>
          <w:i/>
          <w:sz w:val="20"/>
          <w:szCs w:val="20"/>
        </w:rPr>
        <w:t>Immunoglobulin for myasthenia gravis.</w:t>
      </w:r>
      <w:r w:rsidR="00EB4DCD" w:rsidRPr="007D1918">
        <w:rPr>
          <w:sz w:val="20"/>
          <w:szCs w:val="20"/>
        </w:rPr>
        <w:t xml:space="preserve"> MSAC Application </w:t>
      </w:r>
      <w:r w:rsidRPr="007D1918">
        <w:rPr>
          <w:sz w:val="20"/>
          <w:szCs w:val="20"/>
        </w:rPr>
        <w:t>1566</w:t>
      </w:r>
      <w:r w:rsidR="00EB4DCD" w:rsidRPr="007D1918">
        <w:rPr>
          <w:sz w:val="20"/>
          <w:szCs w:val="20"/>
        </w:rPr>
        <w:t>, Assessment Report. Commonwealth of Australia, Canberra, ACT.</w:t>
      </w:r>
    </w:p>
    <w:p w14:paraId="595FE16E" w14:textId="77777777" w:rsidR="00EB4DCD" w:rsidRPr="007D1918" w:rsidRDefault="00EB4DCD" w:rsidP="00EB4DCD">
      <w:pPr>
        <w:autoSpaceDE w:val="0"/>
        <w:autoSpaceDN w:val="0"/>
        <w:adjustRightInd w:val="0"/>
        <w:spacing w:after="0" w:line="240" w:lineRule="auto"/>
        <w:rPr>
          <w:rFonts w:cs="Humanist521BT-Roman"/>
          <w:color w:val="231F20"/>
          <w:sz w:val="20"/>
          <w:szCs w:val="20"/>
        </w:rPr>
      </w:pPr>
    </w:p>
    <w:p w14:paraId="4700B366" w14:textId="5FA89650" w:rsidR="00C3445F" w:rsidRPr="007D1918" w:rsidRDefault="00C3445F" w:rsidP="00EB4DCD">
      <w:pPr>
        <w:autoSpaceDE w:val="0"/>
        <w:autoSpaceDN w:val="0"/>
        <w:adjustRightInd w:val="0"/>
        <w:spacing w:after="0" w:line="240" w:lineRule="auto"/>
        <w:rPr>
          <w:rFonts w:cs="Humanist521BT-Roman"/>
          <w:color w:val="231F20"/>
          <w:sz w:val="20"/>
          <w:szCs w:val="20"/>
        </w:rPr>
      </w:pPr>
      <w:r w:rsidRPr="007D1918">
        <w:rPr>
          <w:rFonts w:cs="Humanist521BT-Roman"/>
          <w:noProof/>
          <w:color w:val="231F20"/>
          <w:sz w:val="20"/>
          <w:szCs w:val="20"/>
        </w:rPr>
        <w:drawing>
          <wp:inline distT="0" distB="0" distL="0" distR="0" wp14:anchorId="0AFF7B81" wp14:editId="2D9E5D8D">
            <wp:extent cx="2200910" cy="1402080"/>
            <wp:effectExtent l="0" t="0" r="8890" b="7620"/>
            <wp:docPr id="14" name="Picture 14" descr="HTA Report" title="INAHTA IPT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910" cy="1402080"/>
                    </a:xfrm>
                    <a:prstGeom prst="rect">
                      <a:avLst/>
                    </a:prstGeom>
                    <a:noFill/>
                  </pic:spPr>
                </pic:pic>
              </a:graphicData>
            </a:graphic>
          </wp:inline>
        </w:drawing>
      </w:r>
    </w:p>
    <w:p w14:paraId="158D1054" w14:textId="1970E30A" w:rsidR="004C6CA6" w:rsidRPr="007D1918" w:rsidRDefault="004C6CA6" w:rsidP="00DF343F">
      <w:pPr>
        <w:jc w:val="both"/>
      </w:pPr>
    </w:p>
    <w:p w14:paraId="1AC2B6ED" w14:textId="77777777" w:rsidR="001C20EF" w:rsidRPr="007D1918" w:rsidRDefault="001C20EF" w:rsidP="00DF343F">
      <w:pPr>
        <w:jc w:val="both"/>
        <w:sectPr w:rsidR="001C20EF" w:rsidRPr="007D1918" w:rsidSect="00945DB8">
          <w:headerReference w:type="even" r:id="rId13"/>
          <w:headerReference w:type="default" r:id="rId14"/>
          <w:footerReference w:type="even" r:id="rId15"/>
          <w:footerReference w:type="default" r:id="rId16"/>
          <w:headerReference w:type="first" r:id="rId17"/>
          <w:footerReference w:type="first" r:id="rId18"/>
          <w:type w:val="oddPage"/>
          <w:pgSz w:w="11907" w:h="16840" w:code="9"/>
          <w:pgMar w:top="1440" w:right="1440" w:bottom="1440" w:left="1440" w:header="578" w:footer="578" w:gutter="0"/>
          <w:pgNumType w:fmt="lowerRoman" w:start="1"/>
          <w:cols w:space="720"/>
          <w:noEndnote/>
          <w:titlePg/>
        </w:sectPr>
      </w:pPr>
    </w:p>
    <w:p w14:paraId="5FB82A2D" w14:textId="77777777" w:rsidR="008F59A8" w:rsidRPr="007D1918" w:rsidRDefault="008F59A8" w:rsidP="00DF343F">
      <w:pPr>
        <w:pStyle w:val="Heading1"/>
        <w:jc w:val="both"/>
      </w:pPr>
      <w:bookmarkStart w:id="13" w:name="_Toc395200735"/>
      <w:bookmarkStart w:id="14" w:name="_Toc399247190"/>
      <w:bookmarkStart w:id="15" w:name="_Toc402884709"/>
      <w:bookmarkStart w:id="16" w:name="_Ref421189612"/>
      <w:bookmarkStart w:id="17" w:name="_Toc23766913"/>
      <w:r w:rsidRPr="007D1918">
        <w:lastRenderedPageBreak/>
        <w:t>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C71381" w:rsidRPr="007D1918">
        <w:tab/>
      </w:r>
    </w:p>
    <w:sdt>
      <w:sdtPr>
        <w:rPr>
          <w:b w:val="0"/>
          <w:noProof w:val="0"/>
        </w:rPr>
        <w:id w:val="-1664701443"/>
        <w:docPartObj>
          <w:docPartGallery w:val="Table of Contents"/>
          <w:docPartUnique/>
        </w:docPartObj>
      </w:sdtPr>
      <w:sdtEndPr>
        <w:rPr>
          <w:bCs/>
        </w:rPr>
      </w:sdtEndPr>
      <w:sdtContent>
        <w:p w14:paraId="52E3061D" w14:textId="54B119AB" w:rsidR="004A4963" w:rsidRPr="007D1918" w:rsidRDefault="00F81651">
          <w:pPr>
            <w:pStyle w:val="TOC1"/>
            <w:rPr>
              <w:rFonts w:asciiTheme="minorHAnsi" w:eastAsiaTheme="minorEastAsia" w:hAnsiTheme="minorHAnsi" w:cstheme="minorBidi"/>
              <w:b w:val="0"/>
            </w:rPr>
          </w:pPr>
          <w:r w:rsidRPr="007D1918">
            <w:fldChar w:fldCharType="begin"/>
          </w:r>
          <w:r w:rsidRPr="007D1918">
            <w:instrText xml:space="preserve"> TOC \o "1-3" \h \z \u </w:instrText>
          </w:r>
          <w:r w:rsidRPr="007D1918">
            <w:fldChar w:fldCharType="separate"/>
          </w:r>
          <w:hyperlink w:anchor="_Toc23766913" w:history="1">
            <w:r w:rsidR="004A4963" w:rsidRPr="007D1918">
              <w:rPr>
                <w:rStyle w:val="Hyperlink"/>
              </w:rPr>
              <w:t>Contents</w:t>
            </w:r>
            <w:r w:rsidR="004A4963" w:rsidRPr="007D1918">
              <w:rPr>
                <w:webHidden/>
              </w:rPr>
              <w:tab/>
            </w:r>
            <w:r w:rsidR="004A4963" w:rsidRPr="007D1918">
              <w:rPr>
                <w:webHidden/>
              </w:rPr>
              <w:tab/>
            </w:r>
            <w:r w:rsidR="004A4963" w:rsidRPr="007D1918">
              <w:rPr>
                <w:webHidden/>
              </w:rPr>
              <w:fldChar w:fldCharType="begin"/>
            </w:r>
            <w:r w:rsidR="004A4963" w:rsidRPr="007D1918">
              <w:rPr>
                <w:webHidden/>
              </w:rPr>
              <w:instrText xml:space="preserve"> PAGEREF _Toc23766913 \h </w:instrText>
            </w:r>
            <w:r w:rsidR="004A4963" w:rsidRPr="007D1918">
              <w:rPr>
                <w:webHidden/>
              </w:rPr>
            </w:r>
            <w:r w:rsidR="004A4963" w:rsidRPr="007D1918">
              <w:rPr>
                <w:webHidden/>
              </w:rPr>
              <w:fldChar w:fldCharType="separate"/>
            </w:r>
            <w:r w:rsidR="004A4963" w:rsidRPr="007D1918">
              <w:rPr>
                <w:webHidden/>
              </w:rPr>
              <w:t>iii</w:t>
            </w:r>
            <w:r w:rsidR="004A4963" w:rsidRPr="007D1918">
              <w:rPr>
                <w:webHidden/>
              </w:rPr>
              <w:fldChar w:fldCharType="end"/>
            </w:r>
          </w:hyperlink>
        </w:p>
        <w:p w14:paraId="6A6E6E75" w14:textId="31B13726" w:rsidR="004A4963" w:rsidRPr="007D1918" w:rsidRDefault="002814BF">
          <w:pPr>
            <w:pStyle w:val="TOC2"/>
            <w:rPr>
              <w:rFonts w:asciiTheme="minorHAnsi" w:eastAsiaTheme="minorEastAsia" w:hAnsiTheme="minorHAnsi" w:cstheme="minorBidi"/>
            </w:rPr>
          </w:pPr>
          <w:hyperlink w:anchor="_Toc23766914" w:history="1">
            <w:r w:rsidR="004A4963" w:rsidRPr="007D1918">
              <w:rPr>
                <w:rStyle w:val="Hyperlink"/>
              </w:rPr>
              <w:t>Tables</w:t>
            </w:r>
            <w:r w:rsidR="004A4963" w:rsidRPr="007D1918">
              <w:rPr>
                <w:webHidden/>
              </w:rPr>
              <w:tab/>
            </w:r>
            <w:r w:rsidR="004A4963" w:rsidRPr="007D1918">
              <w:rPr>
                <w:webHidden/>
              </w:rPr>
              <w:fldChar w:fldCharType="begin"/>
            </w:r>
            <w:r w:rsidR="004A4963" w:rsidRPr="007D1918">
              <w:rPr>
                <w:webHidden/>
              </w:rPr>
              <w:instrText xml:space="preserve"> PAGEREF _Toc23766914 \h </w:instrText>
            </w:r>
            <w:r w:rsidR="004A4963" w:rsidRPr="007D1918">
              <w:rPr>
                <w:webHidden/>
              </w:rPr>
            </w:r>
            <w:r w:rsidR="004A4963" w:rsidRPr="007D1918">
              <w:rPr>
                <w:webHidden/>
              </w:rPr>
              <w:fldChar w:fldCharType="separate"/>
            </w:r>
            <w:r w:rsidR="004A4963" w:rsidRPr="007D1918">
              <w:rPr>
                <w:webHidden/>
              </w:rPr>
              <w:t>vii</w:t>
            </w:r>
            <w:r w:rsidR="004A4963" w:rsidRPr="007D1918">
              <w:rPr>
                <w:webHidden/>
              </w:rPr>
              <w:fldChar w:fldCharType="end"/>
            </w:r>
          </w:hyperlink>
        </w:p>
        <w:p w14:paraId="29907C3C" w14:textId="2549A299" w:rsidR="004A4963" w:rsidRPr="007D1918" w:rsidRDefault="002814BF">
          <w:pPr>
            <w:pStyle w:val="TOC2"/>
            <w:rPr>
              <w:rFonts w:asciiTheme="minorHAnsi" w:eastAsiaTheme="minorEastAsia" w:hAnsiTheme="minorHAnsi" w:cstheme="minorBidi"/>
            </w:rPr>
          </w:pPr>
          <w:hyperlink w:anchor="_Toc23766915" w:history="1">
            <w:r w:rsidR="004A4963" w:rsidRPr="007D1918">
              <w:rPr>
                <w:rStyle w:val="Hyperlink"/>
              </w:rPr>
              <w:t>Boxes</w:t>
            </w:r>
            <w:r w:rsidR="004A4963" w:rsidRPr="007D1918">
              <w:rPr>
                <w:webHidden/>
              </w:rPr>
              <w:tab/>
            </w:r>
            <w:r w:rsidR="004A4963" w:rsidRPr="007D1918">
              <w:rPr>
                <w:webHidden/>
              </w:rPr>
              <w:fldChar w:fldCharType="begin"/>
            </w:r>
            <w:r w:rsidR="004A4963" w:rsidRPr="007D1918">
              <w:rPr>
                <w:webHidden/>
              </w:rPr>
              <w:instrText xml:space="preserve"> PAGEREF _Toc23766915 \h </w:instrText>
            </w:r>
            <w:r w:rsidR="004A4963" w:rsidRPr="007D1918">
              <w:rPr>
                <w:webHidden/>
              </w:rPr>
            </w:r>
            <w:r w:rsidR="004A4963" w:rsidRPr="007D1918">
              <w:rPr>
                <w:webHidden/>
              </w:rPr>
              <w:fldChar w:fldCharType="separate"/>
            </w:r>
            <w:r w:rsidR="004A4963" w:rsidRPr="007D1918">
              <w:rPr>
                <w:webHidden/>
              </w:rPr>
              <w:t>xiii</w:t>
            </w:r>
            <w:r w:rsidR="004A4963" w:rsidRPr="007D1918">
              <w:rPr>
                <w:webHidden/>
              </w:rPr>
              <w:fldChar w:fldCharType="end"/>
            </w:r>
          </w:hyperlink>
        </w:p>
        <w:p w14:paraId="26FADBB2" w14:textId="5DFB8E60" w:rsidR="004A4963" w:rsidRPr="007D1918" w:rsidRDefault="002814BF">
          <w:pPr>
            <w:pStyle w:val="TOC2"/>
            <w:rPr>
              <w:rFonts w:asciiTheme="minorHAnsi" w:eastAsiaTheme="minorEastAsia" w:hAnsiTheme="minorHAnsi" w:cstheme="minorBidi"/>
            </w:rPr>
          </w:pPr>
          <w:hyperlink w:anchor="_Toc23766916" w:history="1">
            <w:r w:rsidR="004A4963" w:rsidRPr="007D1918">
              <w:rPr>
                <w:rStyle w:val="Hyperlink"/>
              </w:rPr>
              <w:t>Figures</w:t>
            </w:r>
            <w:r w:rsidR="004A4963" w:rsidRPr="007D1918">
              <w:rPr>
                <w:webHidden/>
              </w:rPr>
              <w:tab/>
            </w:r>
            <w:r w:rsidR="004A4963" w:rsidRPr="007D1918">
              <w:rPr>
                <w:webHidden/>
              </w:rPr>
              <w:fldChar w:fldCharType="begin"/>
            </w:r>
            <w:r w:rsidR="004A4963" w:rsidRPr="007D1918">
              <w:rPr>
                <w:webHidden/>
              </w:rPr>
              <w:instrText xml:space="preserve"> PAGEREF _Toc23766916 \h </w:instrText>
            </w:r>
            <w:r w:rsidR="004A4963" w:rsidRPr="007D1918">
              <w:rPr>
                <w:webHidden/>
              </w:rPr>
            </w:r>
            <w:r w:rsidR="004A4963" w:rsidRPr="007D1918">
              <w:rPr>
                <w:webHidden/>
              </w:rPr>
              <w:fldChar w:fldCharType="separate"/>
            </w:r>
            <w:r w:rsidR="004A4963" w:rsidRPr="007D1918">
              <w:rPr>
                <w:webHidden/>
              </w:rPr>
              <w:t>xiii</w:t>
            </w:r>
            <w:r w:rsidR="004A4963" w:rsidRPr="007D1918">
              <w:rPr>
                <w:webHidden/>
              </w:rPr>
              <w:fldChar w:fldCharType="end"/>
            </w:r>
          </w:hyperlink>
        </w:p>
        <w:p w14:paraId="00CB0399" w14:textId="2D04BC5B" w:rsidR="004A4963" w:rsidRPr="007D1918" w:rsidRDefault="002814BF">
          <w:pPr>
            <w:pStyle w:val="TOC1"/>
            <w:rPr>
              <w:rFonts w:asciiTheme="minorHAnsi" w:eastAsiaTheme="minorEastAsia" w:hAnsiTheme="minorHAnsi" w:cstheme="minorBidi"/>
              <w:b w:val="0"/>
            </w:rPr>
          </w:pPr>
          <w:hyperlink w:anchor="_Toc23766917" w:history="1">
            <w:r w:rsidR="004A4963" w:rsidRPr="007D1918">
              <w:rPr>
                <w:rStyle w:val="Hyperlink"/>
              </w:rPr>
              <w:t>Executive Summary</w:t>
            </w:r>
            <w:r w:rsidR="004A4963" w:rsidRPr="007D1918">
              <w:rPr>
                <w:webHidden/>
              </w:rPr>
              <w:tab/>
            </w:r>
            <w:r w:rsidR="004A4963" w:rsidRPr="007D1918">
              <w:rPr>
                <w:webHidden/>
              </w:rPr>
              <w:fldChar w:fldCharType="begin"/>
            </w:r>
            <w:r w:rsidR="004A4963" w:rsidRPr="007D1918">
              <w:rPr>
                <w:webHidden/>
              </w:rPr>
              <w:instrText xml:space="preserve"> PAGEREF _Toc23766917 \h </w:instrText>
            </w:r>
            <w:r w:rsidR="004A4963" w:rsidRPr="007D1918">
              <w:rPr>
                <w:webHidden/>
              </w:rPr>
            </w:r>
            <w:r w:rsidR="004A4963" w:rsidRPr="007D1918">
              <w:rPr>
                <w:webHidden/>
              </w:rPr>
              <w:fldChar w:fldCharType="separate"/>
            </w:r>
            <w:r w:rsidR="004A4963" w:rsidRPr="007D1918">
              <w:rPr>
                <w:webHidden/>
              </w:rPr>
              <w:t>15</w:t>
            </w:r>
            <w:r w:rsidR="004A4963" w:rsidRPr="007D1918">
              <w:rPr>
                <w:webHidden/>
              </w:rPr>
              <w:fldChar w:fldCharType="end"/>
            </w:r>
          </w:hyperlink>
        </w:p>
        <w:p w14:paraId="0755C673" w14:textId="22B277D2" w:rsidR="004A4963" w:rsidRPr="007D1918" w:rsidRDefault="002814BF">
          <w:pPr>
            <w:pStyle w:val="TOC2"/>
            <w:rPr>
              <w:rFonts w:asciiTheme="minorHAnsi" w:eastAsiaTheme="minorEastAsia" w:hAnsiTheme="minorHAnsi" w:cstheme="minorBidi"/>
            </w:rPr>
          </w:pPr>
          <w:hyperlink w:anchor="_Toc23766918" w:history="1">
            <w:r w:rsidR="004A4963" w:rsidRPr="007D1918">
              <w:rPr>
                <w:rStyle w:val="Hyperlink"/>
              </w:rPr>
              <w:t>Immunoglobulin therapy for Myasthenia Gravis</w:t>
            </w:r>
            <w:r w:rsidR="004A4963" w:rsidRPr="007D1918">
              <w:rPr>
                <w:webHidden/>
              </w:rPr>
              <w:tab/>
            </w:r>
            <w:r w:rsidR="004A4963" w:rsidRPr="007D1918">
              <w:rPr>
                <w:webHidden/>
              </w:rPr>
              <w:fldChar w:fldCharType="begin"/>
            </w:r>
            <w:r w:rsidR="004A4963" w:rsidRPr="007D1918">
              <w:rPr>
                <w:webHidden/>
              </w:rPr>
              <w:instrText xml:space="preserve"> PAGEREF _Toc23766918 \h </w:instrText>
            </w:r>
            <w:r w:rsidR="004A4963" w:rsidRPr="007D1918">
              <w:rPr>
                <w:webHidden/>
              </w:rPr>
            </w:r>
            <w:r w:rsidR="004A4963" w:rsidRPr="007D1918">
              <w:rPr>
                <w:webHidden/>
              </w:rPr>
              <w:fldChar w:fldCharType="separate"/>
            </w:r>
            <w:r w:rsidR="004A4963" w:rsidRPr="007D1918">
              <w:rPr>
                <w:webHidden/>
              </w:rPr>
              <w:t>16</w:t>
            </w:r>
            <w:r w:rsidR="004A4963" w:rsidRPr="007D1918">
              <w:rPr>
                <w:webHidden/>
              </w:rPr>
              <w:fldChar w:fldCharType="end"/>
            </w:r>
          </w:hyperlink>
        </w:p>
        <w:p w14:paraId="00AAD04C" w14:textId="3DC96ED5" w:rsidR="004A4963" w:rsidRPr="007D1918" w:rsidRDefault="002814BF">
          <w:pPr>
            <w:pStyle w:val="TOC3"/>
            <w:rPr>
              <w:rFonts w:asciiTheme="minorHAnsi" w:eastAsiaTheme="minorEastAsia" w:hAnsiTheme="minorHAnsi" w:cstheme="minorBidi"/>
            </w:rPr>
          </w:pPr>
          <w:hyperlink w:anchor="_Toc23766919" w:history="1">
            <w:r w:rsidR="004A4963" w:rsidRPr="007D1918">
              <w:rPr>
                <w:rStyle w:val="Hyperlink"/>
              </w:rPr>
              <w:t>Alignment with agreed PICO Confirmation</w:t>
            </w:r>
            <w:r w:rsidR="004A4963" w:rsidRPr="007D1918">
              <w:rPr>
                <w:webHidden/>
              </w:rPr>
              <w:tab/>
            </w:r>
            <w:r w:rsidR="004A4963" w:rsidRPr="007D1918">
              <w:rPr>
                <w:webHidden/>
              </w:rPr>
              <w:fldChar w:fldCharType="begin"/>
            </w:r>
            <w:r w:rsidR="004A4963" w:rsidRPr="007D1918">
              <w:rPr>
                <w:webHidden/>
              </w:rPr>
              <w:instrText xml:space="preserve"> PAGEREF _Toc23766919 \h </w:instrText>
            </w:r>
            <w:r w:rsidR="004A4963" w:rsidRPr="007D1918">
              <w:rPr>
                <w:webHidden/>
              </w:rPr>
            </w:r>
            <w:r w:rsidR="004A4963" w:rsidRPr="007D1918">
              <w:rPr>
                <w:webHidden/>
              </w:rPr>
              <w:fldChar w:fldCharType="separate"/>
            </w:r>
            <w:r w:rsidR="004A4963" w:rsidRPr="007D1918">
              <w:rPr>
                <w:webHidden/>
              </w:rPr>
              <w:t>16</w:t>
            </w:r>
            <w:r w:rsidR="004A4963" w:rsidRPr="007D1918">
              <w:rPr>
                <w:webHidden/>
              </w:rPr>
              <w:fldChar w:fldCharType="end"/>
            </w:r>
          </w:hyperlink>
        </w:p>
        <w:p w14:paraId="34059A29" w14:textId="03F387C3" w:rsidR="004A4963" w:rsidRPr="007D1918" w:rsidRDefault="002814BF">
          <w:pPr>
            <w:pStyle w:val="TOC3"/>
            <w:rPr>
              <w:rFonts w:asciiTheme="minorHAnsi" w:eastAsiaTheme="minorEastAsia" w:hAnsiTheme="minorHAnsi" w:cstheme="minorBidi"/>
            </w:rPr>
          </w:pPr>
          <w:hyperlink w:anchor="_Toc23766920" w:history="1">
            <w:r w:rsidR="004A4963" w:rsidRPr="007D1918">
              <w:rPr>
                <w:rStyle w:val="Hyperlink"/>
              </w:rPr>
              <w:t>Proposal for Public Funding</w:t>
            </w:r>
            <w:r w:rsidR="004A4963" w:rsidRPr="007D1918">
              <w:rPr>
                <w:webHidden/>
              </w:rPr>
              <w:tab/>
            </w:r>
            <w:r w:rsidR="004A4963" w:rsidRPr="007D1918">
              <w:rPr>
                <w:webHidden/>
              </w:rPr>
              <w:fldChar w:fldCharType="begin"/>
            </w:r>
            <w:r w:rsidR="004A4963" w:rsidRPr="007D1918">
              <w:rPr>
                <w:webHidden/>
              </w:rPr>
              <w:instrText xml:space="preserve"> PAGEREF _Toc23766920 \h </w:instrText>
            </w:r>
            <w:r w:rsidR="004A4963" w:rsidRPr="007D1918">
              <w:rPr>
                <w:webHidden/>
              </w:rPr>
            </w:r>
            <w:r w:rsidR="004A4963" w:rsidRPr="007D1918">
              <w:rPr>
                <w:webHidden/>
              </w:rPr>
              <w:fldChar w:fldCharType="separate"/>
            </w:r>
            <w:r w:rsidR="004A4963" w:rsidRPr="007D1918">
              <w:rPr>
                <w:webHidden/>
              </w:rPr>
              <w:t>17</w:t>
            </w:r>
            <w:r w:rsidR="004A4963" w:rsidRPr="007D1918">
              <w:rPr>
                <w:webHidden/>
              </w:rPr>
              <w:fldChar w:fldCharType="end"/>
            </w:r>
          </w:hyperlink>
        </w:p>
        <w:p w14:paraId="55F7EEF9" w14:textId="43CA1B5C" w:rsidR="004A4963" w:rsidRPr="007D1918" w:rsidRDefault="002814BF">
          <w:pPr>
            <w:pStyle w:val="TOC3"/>
            <w:rPr>
              <w:rFonts w:asciiTheme="minorHAnsi" w:eastAsiaTheme="minorEastAsia" w:hAnsiTheme="minorHAnsi" w:cstheme="minorBidi"/>
            </w:rPr>
          </w:pPr>
          <w:hyperlink w:anchor="_Toc23766921" w:history="1">
            <w:r w:rsidR="004A4963" w:rsidRPr="007D1918">
              <w:rPr>
                <w:rStyle w:val="Hyperlink"/>
              </w:rPr>
              <w:t>Population</w:t>
            </w:r>
            <w:r w:rsidR="004A4963" w:rsidRPr="007D1918">
              <w:rPr>
                <w:webHidden/>
              </w:rPr>
              <w:tab/>
            </w:r>
            <w:r w:rsidR="004A4963" w:rsidRPr="007D1918">
              <w:rPr>
                <w:webHidden/>
              </w:rPr>
              <w:fldChar w:fldCharType="begin"/>
            </w:r>
            <w:r w:rsidR="004A4963" w:rsidRPr="007D1918">
              <w:rPr>
                <w:webHidden/>
              </w:rPr>
              <w:instrText xml:space="preserve"> PAGEREF _Toc23766921 \h </w:instrText>
            </w:r>
            <w:r w:rsidR="004A4963" w:rsidRPr="007D1918">
              <w:rPr>
                <w:webHidden/>
              </w:rPr>
            </w:r>
            <w:r w:rsidR="004A4963" w:rsidRPr="007D1918">
              <w:rPr>
                <w:webHidden/>
              </w:rPr>
              <w:fldChar w:fldCharType="separate"/>
            </w:r>
            <w:r w:rsidR="004A4963" w:rsidRPr="007D1918">
              <w:rPr>
                <w:webHidden/>
              </w:rPr>
              <w:t>17</w:t>
            </w:r>
            <w:r w:rsidR="004A4963" w:rsidRPr="007D1918">
              <w:rPr>
                <w:webHidden/>
              </w:rPr>
              <w:fldChar w:fldCharType="end"/>
            </w:r>
          </w:hyperlink>
        </w:p>
        <w:p w14:paraId="2397AC83" w14:textId="1B7BCD75" w:rsidR="004A4963" w:rsidRPr="007D1918" w:rsidRDefault="002814BF">
          <w:pPr>
            <w:pStyle w:val="TOC3"/>
            <w:rPr>
              <w:rFonts w:asciiTheme="minorHAnsi" w:eastAsiaTheme="minorEastAsia" w:hAnsiTheme="minorHAnsi" w:cstheme="minorBidi"/>
            </w:rPr>
          </w:pPr>
          <w:hyperlink w:anchor="_Toc23766922" w:history="1">
            <w:r w:rsidR="004A4963" w:rsidRPr="007D1918">
              <w:rPr>
                <w:rStyle w:val="Hyperlink"/>
              </w:rPr>
              <w:t>Proposed Medical Service</w:t>
            </w:r>
            <w:r w:rsidR="004A4963" w:rsidRPr="007D1918">
              <w:rPr>
                <w:webHidden/>
              </w:rPr>
              <w:tab/>
            </w:r>
            <w:r w:rsidR="004A4963" w:rsidRPr="007D1918">
              <w:rPr>
                <w:webHidden/>
              </w:rPr>
              <w:fldChar w:fldCharType="begin"/>
            </w:r>
            <w:r w:rsidR="004A4963" w:rsidRPr="007D1918">
              <w:rPr>
                <w:webHidden/>
              </w:rPr>
              <w:instrText xml:space="preserve"> PAGEREF _Toc23766922 \h </w:instrText>
            </w:r>
            <w:r w:rsidR="004A4963" w:rsidRPr="007D1918">
              <w:rPr>
                <w:webHidden/>
              </w:rPr>
            </w:r>
            <w:r w:rsidR="004A4963" w:rsidRPr="007D1918">
              <w:rPr>
                <w:webHidden/>
              </w:rPr>
              <w:fldChar w:fldCharType="separate"/>
            </w:r>
            <w:r w:rsidR="004A4963" w:rsidRPr="007D1918">
              <w:rPr>
                <w:webHidden/>
              </w:rPr>
              <w:t>18</w:t>
            </w:r>
            <w:r w:rsidR="004A4963" w:rsidRPr="007D1918">
              <w:rPr>
                <w:webHidden/>
              </w:rPr>
              <w:fldChar w:fldCharType="end"/>
            </w:r>
          </w:hyperlink>
        </w:p>
        <w:p w14:paraId="0CC1E034" w14:textId="5428B0C5" w:rsidR="004A4963" w:rsidRPr="007D1918" w:rsidRDefault="002814BF">
          <w:pPr>
            <w:pStyle w:val="TOC3"/>
            <w:rPr>
              <w:rFonts w:asciiTheme="minorHAnsi" w:eastAsiaTheme="minorEastAsia" w:hAnsiTheme="minorHAnsi" w:cstheme="minorBidi"/>
            </w:rPr>
          </w:pPr>
          <w:hyperlink w:anchor="_Toc23766923" w:history="1">
            <w:r w:rsidR="004A4963" w:rsidRPr="007D1918">
              <w:rPr>
                <w:rStyle w:val="Hyperlink"/>
              </w:rPr>
              <w:t>Comparator Details</w:t>
            </w:r>
            <w:r w:rsidR="004A4963" w:rsidRPr="007D1918">
              <w:rPr>
                <w:webHidden/>
              </w:rPr>
              <w:tab/>
            </w:r>
            <w:r w:rsidR="004A4963" w:rsidRPr="007D1918">
              <w:rPr>
                <w:webHidden/>
              </w:rPr>
              <w:fldChar w:fldCharType="begin"/>
            </w:r>
            <w:r w:rsidR="004A4963" w:rsidRPr="007D1918">
              <w:rPr>
                <w:webHidden/>
              </w:rPr>
              <w:instrText xml:space="preserve"> PAGEREF _Toc23766923 \h </w:instrText>
            </w:r>
            <w:r w:rsidR="004A4963" w:rsidRPr="007D1918">
              <w:rPr>
                <w:webHidden/>
              </w:rPr>
            </w:r>
            <w:r w:rsidR="004A4963" w:rsidRPr="007D1918">
              <w:rPr>
                <w:webHidden/>
              </w:rPr>
              <w:fldChar w:fldCharType="separate"/>
            </w:r>
            <w:r w:rsidR="004A4963" w:rsidRPr="007D1918">
              <w:rPr>
                <w:webHidden/>
              </w:rPr>
              <w:t>19</w:t>
            </w:r>
            <w:r w:rsidR="004A4963" w:rsidRPr="007D1918">
              <w:rPr>
                <w:webHidden/>
              </w:rPr>
              <w:fldChar w:fldCharType="end"/>
            </w:r>
          </w:hyperlink>
        </w:p>
        <w:p w14:paraId="04C2F0BA" w14:textId="47CEFADA" w:rsidR="004A4963" w:rsidRPr="007D1918" w:rsidRDefault="002814BF">
          <w:pPr>
            <w:pStyle w:val="TOC3"/>
            <w:rPr>
              <w:rFonts w:asciiTheme="minorHAnsi" w:eastAsiaTheme="minorEastAsia" w:hAnsiTheme="minorHAnsi" w:cstheme="minorBidi"/>
            </w:rPr>
          </w:pPr>
          <w:hyperlink w:anchor="_Toc23766924" w:history="1">
            <w:r w:rsidR="004A4963" w:rsidRPr="007D1918">
              <w:rPr>
                <w:rStyle w:val="Hyperlink"/>
              </w:rPr>
              <w:t>Clinical management algorithm(s)</w:t>
            </w:r>
            <w:r w:rsidR="004A4963" w:rsidRPr="007D1918">
              <w:rPr>
                <w:webHidden/>
              </w:rPr>
              <w:tab/>
            </w:r>
            <w:r w:rsidR="004A4963" w:rsidRPr="007D1918">
              <w:rPr>
                <w:webHidden/>
              </w:rPr>
              <w:fldChar w:fldCharType="begin"/>
            </w:r>
            <w:r w:rsidR="004A4963" w:rsidRPr="007D1918">
              <w:rPr>
                <w:webHidden/>
              </w:rPr>
              <w:instrText xml:space="preserve"> PAGEREF _Toc23766924 \h </w:instrText>
            </w:r>
            <w:r w:rsidR="004A4963" w:rsidRPr="007D1918">
              <w:rPr>
                <w:webHidden/>
              </w:rPr>
            </w:r>
            <w:r w:rsidR="004A4963" w:rsidRPr="007D1918">
              <w:rPr>
                <w:webHidden/>
              </w:rPr>
              <w:fldChar w:fldCharType="separate"/>
            </w:r>
            <w:r w:rsidR="004A4963" w:rsidRPr="007D1918">
              <w:rPr>
                <w:webHidden/>
              </w:rPr>
              <w:t>19</w:t>
            </w:r>
            <w:r w:rsidR="004A4963" w:rsidRPr="007D1918">
              <w:rPr>
                <w:webHidden/>
              </w:rPr>
              <w:fldChar w:fldCharType="end"/>
            </w:r>
          </w:hyperlink>
        </w:p>
        <w:p w14:paraId="4599CE23" w14:textId="60C70C5A" w:rsidR="004A4963" w:rsidRPr="007D1918" w:rsidRDefault="002814BF">
          <w:pPr>
            <w:pStyle w:val="TOC3"/>
            <w:rPr>
              <w:rFonts w:asciiTheme="minorHAnsi" w:eastAsiaTheme="minorEastAsia" w:hAnsiTheme="minorHAnsi" w:cstheme="minorBidi"/>
            </w:rPr>
          </w:pPr>
          <w:hyperlink w:anchor="_Toc23766925" w:history="1">
            <w:r w:rsidR="004A4963" w:rsidRPr="007D1918">
              <w:rPr>
                <w:rStyle w:val="Hyperlink"/>
              </w:rPr>
              <w:t>Key Differences in the Delivery of the Proposed Medical Service and the Main Comparator</w:t>
            </w:r>
            <w:r w:rsidR="004A4963" w:rsidRPr="007D1918">
              <w:rPr>
                <w:webHidden/>
              </w:rPr>
              <w:tab/>
            </w:r>
            <w:r w:rsidR="004A4963" w:rsidRPr="007D1918">
              <w:rPr>
                <w:webHidden/>
              </w:rPr>
              <w:fldChar w:fldCharType="begin"/>
            </w:r>
            <w:r w:rsidR="004A4963" w:rsidRPr="007D1918">
              <w:rPr>
                <w:webHidden/>
              </w:rPr>
              <w:instrText xml:space="preserve"> PAGEREF _Toc23766925 \h </w:instrText>
            </w:r>
            <w:r w:rsidR="004A4963" w:rsidRPr="007D1918">
              <w:rPr>
                <w:webHidden/>
              </w:rPr>
            </w:r>
            <w:r w:rsidR="004A4963" w:rsidRPr="007D1918">
              <w:rPr>
                <w:webHidden/>
              </w:rPr>
              <w:fldChar w:fldCharType="separate"/>
            </w:r>
            <w:r w:rsidR="004A4963" w:rsidRPr="007D1918">
              <w:rPr>
                <w:webHidden/>
              </w:rPr>
              <w:t>20</w:t>
            </w:r>
            <w:r w:rsidR="004A4963" w:rsidRPr="007D1918">
              <w:rPr>
                <w:webHidden/>
              </w:rPr>
              <w:fldChar w:fldCharType="end"/>
            </w:r>
          </w:hyperlink>
        </w:p>
        <w:p w14:paraId="3885E1E4" w14:textId="4E92B6B7" w:rsidR="004A4963" w:rsidRPr="007D1918" w:rsidRDefault="002814BF">
          <w:pPr>
            <w:pStyle w:val="TOC3"/>
            <w:rPr>
              <w:rFonts w:asciiTheme="minorHAnsi" w:eastAsiaTheme="minorEastAsia" w:hAnsiTheme="minorHAnsi" w:cstheme="minorBidi"/>
            </w:rPr>
          </w:pPr>
          <w:hyperlink w:anchor="_Toc23766926" w:history="1">
            <w:r w:rsidR="004A4963" w:rsidRPr="007D1918">
              <w:rPr>
                <w:rStyle w:val="Hyperlink"/>
              </w:rPr>
              <w:t>Clinical Claim</w:t>
            </w:r>
            <w:r w:rsidR="004A4963" w:rsidRPr="007D1918">
              <w:rPr>
                <w:webHidden/>
              </w:rPr>
              <w:tab/>
            </w:r>
            <w:r w:rsidR="004A4963" w:rsidRPr="007D1918">
              <w:rPr>
                <w:webHidden/>
              </w:rPr>
              <w:fldChar w:fldCharType="begin"/>
            </w:r>
            <w:r w:rsidR="004A4963" w:rsidRPr="007D1918">
              <w:rPr>
                <w:webHidden/>
              </w:rPr>
              <w:instrText xml:space="preserve"> PAGEREF _Toc23766926 \h </w:instrText>
            </w:r>
            <w:r w:rsidR="004A4963" w:rsidRPr="007D1918">
              <w:rPr>
                <w:webHidden/>
              </w:rPr>
            </w:r>
            <w:r w:rsidR="004A4963" w:rsidRPr="007D1918">
              <w:rPr>
                <w:webHidden/>
              </w:rPr>
              <w:fldChar w:fldCharType="separate"/>
            </w:r>
            <w:r w:rsidR="004A4963" w:rsidRPr="007D1918">
              <w:rPr>
                <w:webHidden/>
              </w:rPr>
              <w:t>21</w:t>
            </w:r>
            <w:r w:rsidR="004A4963" w:rsidRPr="007D1918">
              <w:rPr>
                <w:webHidden/>
              </w:rPr>
              <w:fldChar w:fldCharType="end"/>
            </w:r>
          </w:hyperlink>
        </w:p>
        <w:p w14:paraId="0337C51E" w14:textId="5DA43398" w:rsidR="004A4963" w:rsidRPr="007D1918" w:rsidRDefault="002814BF">
          <w:pPr>
            <w:pStyle w:val="TOC3"/>
            <w:rPr>
              <w:rFonts w:asciiTheme="minorHAnsi" w:eastAsiaTheme="minorEastAsia" w:hAnsiTheme="minorHAnsi" w:cstheme="minorBidi"/>
            </w:rPr>
          </w:pPr>
          <w:hyperlink w:anchor="_Toc23766927" w:history="1">
            <w:r w:rsidR="004A4963" w:rsidRPr="007D1918">
              <w:rPr>
                <w:rStyle w:val="Hyperlink"/>
              </w:rPr>
              <w:t>Approach Taken to the Evidence Assessment</w:t>
            </w:r>
            <w:r w:rsidR="004A4963" w:rsidRPr="007D1918">
              <w:rPr>
                <w:webHidden/>
              </w:rPr>
              <w:tab/>
            </w:r>
            <w:r w:rsidR="004A4963" w:rsidRPr="007D1918">
              <w:rPr>
                <w:webHidden/>
              </w:rPr>
              <w:fldChar w:fldCharType="begin"/>
            </w:r>
            <w:r w:rsidR="004A4963" w:rsidRPr="007D1918">
              <w:rPr>
                <w:webHidden/>
              </w:rPr>
              <w:instrText xml:space="preserve"> PAGEREF _Toc23766927 \h </w:instrText>
            </w:r>
            <w:r w:rsidR="004A4963" w:rsidRPr="007D1918">
              <w:rPr>
                <w:webHidden/>
              </w:rPr>
            </w:r>
            <w:r w:rsidR="004A4963" w:rsidRPr="007D1918">
              <w:rPr>
                <w:webHidden/>
              </w:rPr>
              <w:fldChar w:fldCharType="separate"/>
            </w:r>
            <w:r w:rsidR="004A4963" w:rsidRPr="007D1918">
              <w:rPr>
                <w:webHidden/>
              </w:rPr>
              <w:t>21</w:t>
            </w:r>
            <w:r w:rsidR="004A4963" w:rsidRPr="007D1918">
              <w:rPr>
                <w:webHidden/>
              </w:rPr>
              <w:fldChar w:fldCharType="end"/>
            </w:r>
          </w:hyperlink>
        </w:p>
        <w:p w14:paraId="0D91C8D9" w14:textId="6C26C8D2" w:rsidR="004A4963" w:rsidRPr="007D1918" w:rsidRDefault="002814BF">
          <w:pPr>
            <w:pStyle w:val="TOC3"/>
            <w:rPr>
              <w:rFonts w:asciiTheme="minorHAnsi" w:eastAsiaTheme="minorEastAsia" w:hAnsiTheme="minorHAnsi" w:cstheme="minorBidi"/>
            </w:rPr>
          </w:pPr>
          <w:hyperlink w:anchor="_Toc23766928" w:history="1">
            <w:r w:rsidR="004A4963" w:rsidRPr="007D1918">
              <w:rPr>
                <w:rStyle w:val="Hyperlink"/>
              </w:rPr>
              <w:t>Characteristics of the Evidence Base</w:t>
            </w:r>
            <w:r w:rsidR="004A4963" w:rsidRPr="007D1918">
              <w:rPr>
                <w:webHidden/>
              </w:rPr>
              <w:tab/>
            </w:r>
            <w:r w:rsidR="004A4963" w:rsidRPr="007D1918">
              <w:rPr>
                <w:webHidden/>
              </w:rPr>
              <w:fldChar w:fldCharType="begin"/>
            </w:r>
            <w:r w:rsidR="004A4963" w:rsidRPr="007D1918">
              <w:rPr>
                <w:webHidden/>
              </w:rPr>
              <w:instrText xml:space="preserve"> PAGEREF _Toc23766928 \h </w:instrText>
            </w:r>
            <w:r w:rsidR="004A4963" w:rsidRPr="007D1918">
              <w:rPr>
                <w:webHidden/>
              </w:rPr>
            </w:r>
            <w:r w:rsidR="004A4963" w:rsidRPr="007D1918">
              <w:rPr>
                <w:webHidden/>
              </w:rPr>
              <w:fldChar w:fldCharType="separate"/>
            </w:r>
            <w:r w:rsidR="004A4963" w:rsidRPr="007D1918">
              <w:rPr>
                <w:webHidden/>
              </w:rPr>
              <w:t>21</w:t>
            </w:r>
            <w:r w:rsidR="004A4963" w:rsidRPr="007D1918">
              <w:rPr>
                <w:webHidden/>
              </w:rPr>
              <w:fldChar w:fldCharType="end"/>
            </w:r>
          </w:hyperlink>
        </w:p>
        <w:p w14:paraId="2CD2E21C" w14:textId="005FBE0A" w:rsidR="004A4963" w:rsidRPr="007D1918" w:rsidRDefault="002814BF">
          <w:pPr>
            <w:pStyle w:val="TOC3"/>
            <w:rPr>
              <w:rFonts w:asciiTheme="minorHAnsi" w:eastAsiaTheme="minorEastAsia" w:hAnsiTheme="minorHAnsi" w:cstheme="minorBidi"/>
            </w:rPr>
          </w:pPr>
          <w:hyperlink w:anchor="_Toc23766929" w:history="1">
            <w:r w:rsidR="004A4963" w:rsidRPr="007D1918">
              <w:rPr>
                <w:rStyle w:val="Hyperlink"/>
              </w:rPr>
              <w:t>Results</w:t>
            </w:r>
            <w:r w:rsidR="004A4963" w:rsidRPr="007D1918">
              <w:rPr>
                <w:webHidden/>
              </w:rPr>
              <w:tab/>
            </w:r>
            <w:r w:rsidR="004A4963" w:rsidRPr="007D1918">
              <w:rPr>
                <w:webHidden/>
              </w:rPr>
              <w:fldChar w:fldCharType="begin"/>
            </w:r>
            <w:r w:rsidR="004A4963" w:rsidRPr="007D1918">
              <w:rPr>
                <w:webHidden/>
              </w:rPr>
              <w:instrText xml:space="preserve"> PAGEREF _Toc23766929 \h </w:instrText>
            </w:r>
            <w:r w:rsidR="004A4963" w:rsidRPr="007D1918">
              <w:rPr>
                <w:webHidden/>
              </w:rPr>
            </w:r>
            <w:r w:rsidR="004A4963" w:rsidRPr="007D1918">
              <w:rPr>
                <w:webHidden/>
              </w:rPr>
              <w:fldChar w:fldCharType="separate"/>
            </w:r>
            <w:r w:rsidR="004A4963" w:rsidRPr="007D1918">
              <w:rPr>
                <w:webHidden/>
              </w:rPr>
              <w:t>22</w:t>
            </w:r>
            <w:r w:rsidR="004A4963" w:rsidRPr="007D1918">
              <w:rPr>
                <w:webHidden/>
              </w:rPr>
              <w:fldChar w:fldCharType="end"/>
            </w:r>
          </w:hyperlink>
        </w:p>
        <w:p w14:paraId="31391C45" w14:textId="0BE5EA1A" w:rsidR="004A4963" w:rsidRPr="007D1918" w:rsidRDefault="002814BF">
          <w:pPr>
            <w:pStyle w:val="TOC3"/>
            <w:rPr>
              <w:rFonts w:asciiTheme="minorHAnsi" w:eastAsiaTheme="minorEastAsia" w:hAnsiTheme="minorHAnsi" w:cstheme="minorBidi"/>
            </w:rPr>
          </w:pPr>
          <w:hyperlink w:anchor="_Toc23766930" w:history="1">
            <w:r w:rsidR="004A4963" w:rsidRPr="007D1918">
              <w:rPr>
                <w:rStyle w:val="Hyperlink"/>
              </w:rPr>
              <w:t>Translation Issues</w:t>
            </w:r>
            <w:r w:rsidR="004A4963" w:rsidRPr="007D1918">
              <w:rPr>
                <w:webHidden/>
              </w:rPr>
              <w:tab/>
            </w:r>
            <w:r w:rsidR="004A4963" w:rsidRPr="007D1918">
              <w:rPr>
                <w:webHidden/>
              </w:rPr>
              <w:fldChar w:fldCharType="begin"/>
            </w:r>
            <w:r w:rsidR="004A4963" w:rsidRPr="007D1918">
              <w:rPr>
                <w:webHidden/>
              </w:rPr>
              <w:instrText xml:space="preserve"> PAGEREF _Toc23766930 \h </w:instrText>
            </w:r>
            <w:r w:rsidR="004A4963" w:rsidRPr="007D1918">
              <w:rPr>
                <w:webHidden/>
              </w:rPr>
            </w:r>
            <w:r w:rsidR="004A4963" w:rsidRPr="007D1918">
              <w:rPr>
                <w:webHidden/>
              </w:rPr>
              <w:fldChar w:fldCharType="separate"/>
            </w:r>
            <w:r w:rsidR="004A4963" w:rsidRPr="007D1918">
              <w:rPr>
                <w:webHidden/>
              </w:rPr>
              <w:t>25</w:t>
            </w:r>
            <w:r w:rsidR="004A4963" w:rsidRPr="007D1918">
              <w:rPr>
                <w:webHidden/>
              </w:rPr>
              <w:fldChar w:fldCharType="end"/>
            </w:r>
          </w:hyperlink>
        </w:p>
        <w:p w14:paraId="76FE6392" w14:textId="224D26E4" w:rsidR="004A4963" w:rsidRPr="007D1918" w:rsidRDefault="002814BF">
          <w:pPr>
            <w:pStyle w:val="TOC3"/>
            <w:rPr>
              <w:rFonts w:asciiTheme="minorHAnsi" w:eastAsiaTheme="minorEastAsia" w:hAnsiTheme="minorHAnsi" w:cstheme="minorBidi"/>
            </w:rPr>
          </w:pPr>
          <w:hyperlink w:anchor="_Toc23766931" w:history="1">
            <w:r w:rsidR="004A4963" w:rsidRPr="007D1918">
              <w:rPr>
                <w:rStyle w:val="Hyperlink"/>
              </w:rPr>
              <w:t>Economic Evaluation</w:t>
            </w:r>
            <w:r w:rsidR="004A4963" w:rsidRPr="007D1918">
              <w:rPr>
                <w:webHidden/>
              </w:rPr>
              <w:tab/>
            </w:r>
            <w:r w:rsidR="004A4963" w:rsidRPr="007D1918">
              <w:rPr>
                <w:webHidden/>
              </w:rPr>
              <w:fldChar w:fldCharType="begin"/>
            </w:r>
            <w:r w:rsidR="004A4963" w:rsidRPr="007D1918">
              <w:rPr>
                <w:webHidden/>
              </w:rPr>
              <w:instrText xml:space="preserve"> PAGEREF _Toc23766931 \h </w:instrText>
            </w:r>
            <w:r w:rsidR="004A4963" w:rsidRPr="007D1918">
              <w:rPr>
                <w:webHidden/>
              </w:rPr>
            </w:r>
            <w:r w:rsidR="004A4963" w:rsidRPr="007D1918">
              <w:rPr>
                <w:webHidden/>
              </w:rPr>
              <w:fldChar w:fldCharType="separate"/>
            </w:r>
            <w:r w:rsidR="004A4963" w:rsidRPr="007D1918">
              <w:rPr>
                <w:webHidden/>
              </w:rPr>
              <w:t>26</w:t>
            </w:r>
            <w:r w:rsidR="004A4963" w:rsidRPr="007D1918">
              <w:rPr>
                <w:webHidden/>
              </w:rPr>
              <w:fldChar w:fldCharType="end"/>
            </w:r>
          </w:hyperlink>
        </w:p>
        <w:p w14:paraId="183ED672" w14:textId="7979079E" w:rsidR="004A4963" w:rsidRPr="007D1918" w:rsidRDefault="002814BF">
          <w:pPr>
            <w:pStyle w:val="TOC3"/>
            <w:rPr>
              <w:rFonts w:asciiTheme="minorHAnsi" w:eastAsiaTheme="minorEastAsia" w:hAnsiTheme="minorHAnsi" w:cstheme="minorBidi"/>
            </w:rPr>
          </w:pPr>
          <w:hyperlink w:anchor="_Toc23766932" w:history="1">
            <w:r w:rsidR="004A4963" w:rsidRPr="007D1918">
              <w:rPr>
                <w:rStyle w:val="Hyperlink"/>
              </w:rPr>
              <w:t>Estimated Extent of Use and Financial Implications</w:t>
            </w:r>
            <w:r w:rsidR="004A4963" w:rsidRPr="007D1918">
              <w:rPr>
                <w:webHidden/>
              </w:rPr>
              <w:tab/>
            </w:r>
            <w:r w:rsidR="004A4963" w:rsidRPr="007D1918">
              <w:rPr>
                <w:webHidden/>
              </w:rPr>
              <w:fldChar w:fldCharType="begin"/>
            </w:r>
            <w:r w:rsidR="004A4963" w:rsidRPr="007D1918">
              <w:rPr>
                <w:webHidden/>
              </w:rPr>
              <w:instrText xml:space="preserve"> PAGEREF _Toc23766932 \h </w:instrText>
            </w:r>
            <w:r w:rsidR="004A4963" w:rsidRPr="007D1918">
              <w:rPr>
                <w:webHidden/>
              </w:rPr>
            </w:r>
            <w:r w:rsidR="004A4963" w:rsidRPr="007D1918">
              <w:rPr>
                <w:webHidden/>
              </w:rPr>
              <w:fldChar w:fldCharType="separate"/>
            </w:r>
            <w:r w:rsidR="004A4963" w:rsidRPr="007D1918">
              <w:rPr>
                <w:webHidden/>
              </w:rPr>
              <w:t>30</w:t>
            </w:r>
            <w:r w:rsidR="004A4963" w:rsidRPr="007D1918">
              <w:rPr>
                <w:webHidden/>
              </w:rPr>
              <w:fldChar w:fldCharType="end"/>
            </w:r>
          </w:hyperlink>
        </w:p>
        <w:p w14:paraId="3DB59760" w14:textId="651280D9" w:rsidR="004A4963" w:rsidRPr="007D1918" w:rsidRDefault="002814BF">
          <w:pPr>
            <w:pStyle w:val="TOC3"/>
            <w:rPr>
              <w:rFonts w:asciiTheme="minorHAnsi" w:eastAsiaTheme="minorEastAsia" w:hAnsiTheme="minorHAnsi" w:cstheme="minorBidi"/>
            </w:rPr>
          </w:pPr>
          <w:hyperlink w:anchor="_Toc23766933" w:history="1">
            <w:r w:rsidR="004A4963" w:rsidRPr="007D1918">
              <w:rPr>
                <w:rStyle w:val="Hyperlink"/>
              </w:rPr>
              <w:t>Consumer impact summary</w:t>
            </w:r>
            <w:r w:rsidR="004A4963" w:rsidRPr="007D1918">
              <w:rPr>
                <w:webHidden/>
              </w:rPr>
              <w:tab/>
            </w:r>
            <w:r w:rsidR="004A4963" w:rsidRPr="007D1918">
              <w:rPr>
                <w:webHidden/>
              </w:rPr>
              <w:fldChar w:fldCharType="begin"/>
            </w:r>
            <w:r w:rsidR="004A4963" w:rsidRPr="007D1918">
              <w:rPr>
                <w:webHidden/>
              </w:rPr>
              <w:instrText xml:space="preserve"> PAGEREF _Toc23766933 \h </w:instrText>
            </w:r>
            <w:r w:rsidR="004A4963" w:rsidRPr="007D1918">
              <w:rPr>
                <w:webHidden/>
              </w:rPr>
            </w:r>
            <w:r w:rsidR="004A4963" w:rsidRPr="007D1918">
              <w:rPr>
                <w:webHidden/>
              </w:rPr>
              <w:fldChar w:fldCharType="separate"/>
            </w:r>
            <w:r w:rsidR="004A4963" w:rsidRPr="007D1918">
              <w:rPr>
                <w:webHidden/>
              </w:rPr>
              <w:t>30</w:t>
            </w:r>
            <w:r w:rsidR="004A4963" w:rsidRPr="007D1918">
              <w:rPr>
                <w:webHidden/>
              </w:rPr>
              <w:fldChar w:fldCharType="end"/>
            </w:r>
          </w:hyperlink>
        </w:p>
        <w:p w14:paraId="7A7D0E0C" w14:textId="6CC6E8A6" w:rsidR="004A4963" w:rsidRPr="007D1918" w:rsidRDefault="002814BF">
          <w:pPr>
            <w:pStyle w:val="TOC3"/>
            <w:rPr>
              <w:rFonts w:asciiTheme="minorHAnsi" w:eastAsiaTheme="minorEastAsia" w:hAnsiTheme="minorHAnsi" w:cstheme="minorBidi"/>
            </w:rPr>
          </w:pPr>
          <w:hyperlink w:anchor="_Toc23766934" w:history="1">
            <w:r w:rsidR="004A4963" w:rsidRPr="007D1918">
              <w:rPr>
                <w:rStyle w:val="Hyperlink"/>
              </w:rPr>
              <w:t>Other Relevant Considerations</w:t>
            </w:r>
            <w:r w:rsidR="004A4963" w:rsidRPr="007D1918">
              <w:rPr>
                <w:webHidden/>
              </w:rPr>
              <w:tab/>
            </w:r>
            <w:r w:rsidR="004A4963" w:rsidRPr="007D1918">
              <w:rPr>
                <w:webHidden/>
              </w:rPr>
              <w:fldChar w:fldCharType="begin"/>
            </w:r>
            <w:r w:rsidR="004A4963" w:rsidRPr="007D1918">
              <w:rPr>
                <w:webHidden/>
              </w:rPr>
              <w:instrText xml:space="preserve"> PAGEREF _Toc23766934 \h </w:instrText>
            </w:r>
            <w:r w:rsidR="004A4963" w:rsidRPr="007D1918">
              <w:rPr>
                <w:webHidden/>
              </w:rPr>
            </w:r>
            <w:r w:rsidR="004A4963" w:rsidRPr="007D1918">
              <w:rPr>
                <w:webHidden/>
              </w:rPr>
              <w:fldChar w:fldCharType="separate"/>
            </w:r>
            <w:r w:rsidR="004A4963" w:rsidRPr="007D1918">
              <w:rPr>
                <w:webHidden/>
              </w:rPr>
              <w:t>31</w:t>
            </w:r>
            <w:r w:rsidR="004A4963" w:rsidRPr="007D1918">
              <w:rPr>
                <w:webHidden/>
              </w:rPr>
              <w:fldChar w:fldCharType="end"/>
            </w:r>
          </w:hyperlink>
        </w:p>
        <w:p w14:paraId="2A90C9D6" w14:textId="558A5E71" w:rsidR="004A4963" w:rsidRPr="007D1918" w:rsidRDefault="002814BF">
          <w:pPr>
            <w:pStyle w:val="TOC1"/>
            <w:rPr>
              <w:rFonts w:asciiTheme="minorHAnsi" w:eastAsiaTheme="minorEastAsia" w:hAnsiTheme="minorHAnsi" w:cstheme="minorBidi"/>
              <w:b w:val="0"/>
            </w:rPr>
          </w:pPr>
          <w:hyperlink w:anchor="_Toc23766935" w:history="1">
            <w:r w:rsidR="004A4963" w:rsidRPr="007D1918">
              <w:rPr>
                <w:rStyle w:val="Hyperlink"/>
              </w:rPr>
              <w:t>Acronyms and Abbreviations</w:t>
            </w:r>
            <w:r w:rsidR="004A4963" w:rsidRPr="007D1918">
              <w:rPr>
                <w:webHidden/>
              </w:rPr>
              <w:tab/>
            </w:r>
            <w:r w:rsidR="004A4963" w:rsidRPr="007D1918">
              <w:rPr>
                <w:webHidden/>
              </w:rPr>
              <w:fldChar w:fldCharType="begin"/>
            </w:r>
            <w:r w:rsidR="004A4963" w:rsidRPr="007D1918">
              <w:rPr>
                <w:webHidden/>
              </w:rPr>
              <w:instrText xml:space="preserve"> PAGEREF _Toc23766935 \h </w:instrText>
            </w:r>
            <w:r w:rsidR="004A4963" w:rsidRPr="007D1918">
              <w:rPr>
                <w:webHidden/>
              </w:rPr>
            </w:r>
            <w:r w:rsidR="004A4963" w:rsidRPr="007D1918">
              <w:rPr>
                <w:webHidden/>
              </w:rPr>
              <w:fldChar w:fldCharType="separate"/>
            </w:r>
            <w:r w:rsidR="004A4963" w:rsidRPr="007D1918">
              <w:rPr>
                <w:webHidden/>
              </w:rPr>
              <w:t>33</w:t>
            </w:r>
            <w:r w:rsidR="004A4963" w:rsidRPr="007D1918">
              <w:rPr>
                <w:webHidden/>
              </w:rPr>
              <w:fldChar w:fldCharType="end"/>
            </w:r>
          </w:hyperlink>
        </w:p>
        <w:p w14:paraId="0F9BEABD" w14:textId="2286718D" w:rsidR="004A4963" w:rsidRPr="007D1918" w:rsidRDefault="002814BF">
          <w:pPr>
            <w:pStyle w:val="TOC1"/>
            <w:rPr>
              <w:rFonts w:asciiTheme="minorHAnsi" w:eastAsiaTheme="minorEastAsia" w:hAnsiTheme="minorHAnsi" w:cstheme="minorBidi"/>
              <w:b w:val="0"/>
            </w:rPr>
          </w:pPr>
          <w:hyperlink w:anchor="_Toc23766936" w:history="1">
            <w:r w:rsidR="004A4963" w:rsidRPr="007D1918">
              <w:rPr>
                <w:rStyle w:val="Hyperlink"/>
              </w:rPr>
              <w:t>Section A</w:t>
            </w:r>
            <w:r w:rsidR="004A4963" w:rsidRPr="007D1918">
              <w:rPr>
                <w:rFonts w:asciiTheme="minorHAnsi" w:eastAsiaTheme="minorEastAsia" w:hAnsiTheme="minorHAnsi" w:cstheme="minorBidi"/>
                <w:b w:val="0"/>
              </w:rPr>
              <w:tab/>
            </w:r>
            <w:r w:rsidR="004A4963" w:rsidRPr="007D1918">
              <w:rPr>
                <w:rStyle w:val="Hyperlink"/>
              </w:rPr>
              <w:t>Context</w:t>
            </w:r>
            <w:r w:rsidR="004A4963" w:rsidRPr="007D1918">
              <w:rPr>
                <w:webHidden/>
              </w:rPr>
              <w:tab/>
            </w:r>
            <w:r w:rsidR="004A4963" w:rsidRPr="007D1918">
              <w:rPr>
                <w:webHidden/>
              </w:rPr>
              <w:fldChar w:fldCharType="begin"/>
            </w:r>
            <w:r w:rsidR="004A4963" w:rsidRPr="007D1918">
              <w:rPr>
                <w:webHidden/>
              </w:rPr>
              <w:instrText xml:space="preserve"> PAGEREF _Toc23766936 \h </w:instrText>
            </w:r>
            <w:r w:rsidR="004A4963" w:rsidRPr="007D1918">
              <w:rPr>
                <w:webHidden/>
              </w:rPr>
            </w:r>
            <w:r w:rsidR="004A4963" w:rsidRPr="007D1918">
              <w:rPr>
                <w:webHidden/>
              </w:rPr>
              <w:fldChar w:fldCharType="separate"/>
            </w:r>
            <w:r w:rsidR="004A4963" w:rsidRPr="007D1918">
              <w:rPr>
                <w:webHidden/>
              </w:rPr>
              <w:t>35</w:t>
            </w:r>
            <w:r w:rsidR="004A4963" w:rsidRPr="007D1918">
              <w:rPr>
                <w:webHidden/>
              </w:rPr>
              <w:fldChar w:fldCharType="end"/>
            </w:r>
          </w:hyperlink>
        </w:p>
        <w:p w14:paraId="6B891FE3" w14:textId="179B25D0" w:rsidR="004A4963" w:rsidRPr="007D1918" w:rsidRDefault="002814BF">
          <w:pPr>
            <w:pStyle w:val="TOC2"/>
            <w:tabs>
              <w:tab w:val="left" w:pos="1540"/>
            </w:tabs>
            <w:rPr>
              <w:rFonts w:asciiTheme="minorHAnsi" w:eastAsiaTheme="minorEastAsia" w:hAnsiTheme="minorHAnsi" w:cstheme="minorBidi"/>
            </w:rPr>
          </w:pPr>
          <w:hyperlink w:anchor="_Toc23766937" w:history="1">
            <w:r w:rsidR="004A4963" w:rsidRPr="007D1918">
              <w:rPr>
                <w:rStyle w:val="Hyperlink"/>
              </w:rPr>
              <w:t>A.1.</w:t>
            </w:r>
            <w:r w:rsidR="004A4963" w:rsidRPr="007D1918">
              <w:rPr>
                <w:rFonts w:asciiTheme="minorHAnsi" w:eastAsiaTheme="minorEastAsia" w:hAnsiTheme="minorHAnsi" w:cstheme="minorBidi"/>
              </w:rPr>
              <w:tab/>
            </w:r>
            <w:r w:rsidR="004A4963" w:rsidRPr="007D1918">
              <w:rPr>
                <w:rStyle w:val="Hyperlink"/>
              </w:rPr>
              <w:t>Items in the Agreed PICO Confirmation</w:t>
            </w:r>
            <w:r w:rsidR="004A4963" w:rsidRPr="007D1918">
              <w:rPr>
                <w:webHidden/>
              </w:rPr>
              <w:tab/>
            </w:r>
            <w:r w:rsidR="004A4963" w:rsidRPr="007D1918">
              <w:rPr>
                <w:webHidden/>
              </w:rPr>
              <w:fldChar w:fldCharType="begin"/>
            </w:r>
            <w:r w:rsidR="004A4963" w:rsidRPr="007D1918">
              <w:rPr>
                <w:webHidden/>
              </w:rPr>
              <w:instrText xml:space="preserve"> PAGEREF _Toc23766937 \h </w:instrText>
            </w:r>
            <w:r w:rsidR="004A4963" w:rsidRPr="007D1918">
              <w:rPr>
                <w:webHidden/>
              </w:rPr>
            </w:r>
            <w:r w:rsidR="004A4963" w:rsidRPr="007D1918">
              <w:rPr>
                <w:webHidden/>
              </w:rPr>
              <w:fldChar w:fldCharType="separate"/>
            </w:r>
            <w:r w:rsidR="004A4963" w:rsidRPr="007D1918">
              <w:rPr>
                <w:webHidden/>
              </w:rPr>
              <w:t>35</w:t>
            </w:r>
            <w:r w:rsidR="004A4963" w:rsidRPr="007D1918">
              <w:rPr>
                <w:webHidden/>
              </w:rPr>
              <w:fldChar w:fldCharType="end"/>
            </w:r>
          </w:hyperlink>
        </w:p>
        <w:p w14:paraId="06992F65" w14:textId="0A4B581C" w:rsidR="004A4963" w:rsidRPr="007D1918" w:rsidRDefault="002814BF">
          <w:pPr>
            <w:pStyle w:val="TOC2"/>
            <w:tabs>
              <w:tab w:val="left" w:pos="1540"/>
            </w:tabs>
            <w:rPr>
              <w:rFonts w:asciiTheme="minorHAnsi" w:eastAsiaTheme="minorEastAsia" w:hAnsiTheme="minorHAnsi" w:cstheme="minorBidi"/>
            </w:rPr>
          </w:pPr>
          <w:hyperlink w:anchor="_Toc23766938" w:history="1">
            <w:r w:rsidR="004A4963" w:rsidRPr="007D1918">
              <w:rPr>
                <w:rStyle w:val="Hyperlink"/>
              </w:rPr>
              <w:t>A.2.</w:t>
            </w:r>
            <w:r w:rsidR="004A4963" w:rsidRPr="007D1918">
              <w:rPr>
                <w:rFonts w:asciiTheme="minorHAnsi" w:eastAsiaTheme="minorEastAsia" w:hAnsiTheme="minorHAnsi" w:cstheme="minorBidi"/>
              </w:rPr>
              <w:tab/>
            </w:r>
            <w:r w:rsidR="004A4963" w:rsidRPr="007D1918">
              <w:rPr>
                <w:rStyle w:val="Hyperlink"/>
              </w:rPr>
              <w:t>Proposed Medical Service</w:t>
            </w:r>
            <w:r w:rsidR="004A4963" w:rsidRPr="007D1918">
              <w:rPr>
                <w:webHidden/>
              </w:rPr>
              <w:tab/>
            </w:r>
            <w:r w:rsidR="004A4963" w:rsidRPr="007D1918">
              <w:rPr>
                <w:webHidden/>
              </w:rPr>
              <w:fldChar w:fldCharType="begin"/>
            </w:r>
            <w:r w:rsidR="004A4963" w:rsidRPr="007D1918">
              <w:rPr>
                <w:webHidden/>
              </w:rPr>
              <w:instrText xml:space="preserve"> PAGEREF _Toc23766938 \h </w:instrText>
            </w:r>
            <w:r w:rsidR="004A4963" w:rsidRPr="007D1918">
              <w:rPr>
                <w:webHidden/>
              </w:rPr>
            </w:r>
            <w:r w:rsidR="004A4963" w:rsidRPr="007D1918">
              <w:rPr>
                <w:webHidden/>
              </w:rPr>
              <w:fldChar w:fldCharType="separate"/>
            </w:r>
            <w:r w:rsidR="004A4963" w:rsidRPr="007D1918">
              <w:rPr>
                <w:webHidden/>
              </w:rPr>
              <w:t>36</w:t>
            </w:r>
            <w:r w:rsidR="004A4963" w:rsidRPr="007D1918">
              <w:rPr>
                <w:webHidden/>
              </w:rPr>
              <w:fldChar w:fldCharType="end"/>
            </w:r>
          </w:hyperlink>
        </w:p>
        <w:p w14:paraId="3DBBE6C5" w14:textId="17DDC399" w:rsidR="004A4963" w:rsidRPr="007D1918" w:rsidRDefault="002814BF">
          <w:pPr>
            <w:pStyle w:val="TOC3"/>
            <w:rPr>
              <w:rFonts w:asciiTheme="minorHAnsi" w:eastAsiaTheme="minorEastAsia" w:hAnsiTheme="minorHAnsi" w:cstheme="minorBidi"/>
            </w:rPr>
          </w:pPr>
          <w:hyperlink w:anchor="_Toc23766939" w:history="1">
            <w:r w:rsidR="004A4963" w:rsidRPr="007D1918">
              <w:rPr>
                <w:rStyle w:val="Hyperlink"/>
              </w:rPr>
              <w:t>Marketing status of device / technology</w:t>
            </w:r>
            <w:r w:rsidR="004A4963" w:rsidRPr="007D1918">
              <w:rPr>
                <w:webHidden/>
              </w:rPr>
              <w:tab/>
            </w:r>
            <w:r w:rsidR="004A4963" w:rsidRPr="007D1918">
              <w:rPr>
                <w:webHidden/>
              </w:rPr>
              <w:fldChar w:fldCharType="begin"/>
            </w:r>
            <w:r w:rsidR="004A4963" w:rsidRPr="007D1918">
              <w:rPr>
                <w:webHidden/>
              </w:rPr>
              <w:instrText xml:space="preserve"> PAGEREF _Toc23766939 \h </w:instrText>
            </w:r>
            <w:r w:rsidR="004A4963" w:rsidRPr="007D1918">
              <w:rPr>
                <w:webHidden/>
              </w:rPr>
            </w:r>
            <w:r w:rsidR="004A4963" w:rsidRPr="007D1918">
              <w:rPr>
                <w:webHidden/>
              </w:rPr>
              <w:fldChar w:fldCharType="separate"/>
            </w:r>
            <w:r w:rsidR="004A4963" w:rsidRPr="007D1918">
              <w:rPr>
                <w:webHidden/>
              </w:rPr>
              <w:t>38</w:t>
            </w:r>
            <w:r w:rsidR="004A4963" w:rsidRPr="007D1918">
              <w:rPr>
                <w:webHidden/>
              </w:rPr>
              <w:fldChar w:fldCharType="end"/>
            </w:r>
          </w:hyperlink>
        </w:p>
        <w:p w14:paraId="6C90EC6E" w14:textId="5B7F3F87" w:rsidR="004A4963" w:rsidRPr="007D1918" w:rsidRDefault="002814BF">
          <w:pPr>
            <w:pStyle w:val="TOC3"/>
            <w:rPr>
              <w:rFonts w:asciiTheme="minorHAnsi" w:eastAsiaTheme="minorEastAsia" w:hAnsiTheme="minorHAnsi" w:cstheme="minorBidi"/>
            </w:rPr>
          </w:pPr>
          <w:hyperlink w:anchor="_Toc23766940" w:history="1">
            <w:r w:rsidR="004A4963" w:rsidRPr="007D1918">
              <w:rPr>
                <w:rStyle w:val="Hyperlink"/>
              </w:rPr>
              <w:t>Other indications</w:t>
            </w:r>
            <w:r w:rsidR="004A4963" w:rsidRPr="007D1918">
              <w:rPr>
                <w:webHidden/>
              </w:rPr>
              <w:tab/>
            </w:r>
            <w:r w:rsidR="004A4963" w:rsidRPr="007D1918">
              <w:rPr>
                <w:webHidden/>
              </w:rPr>
              <w:fldChar w:fldCharType="begin"/>
            </w:r>
            <w:r w:rsidR="004A4963" w:rsidRPr="007D1918">
              <w:rPr>
                <w:webHidden/>
              </w:rPr>
              <w:instrText xml:space="preserve"> PAGEREF _Toc23766940 \h </w:instrText>
            </w:r>
            <w:r w:rsidR="004A4963" w:rsidRPr="007D1918">
              <w:rPr>
                <w:webHidden/>
              </w:rPr>
            </w:r>
            <w:r w:rsidR="004A4963" w:rsidRPr="007D1918">
              <w:rPr>
                <w:webHidden/>
              </w:rPr>
              <w:fldChar w:fldCharType="separate"/>
            </w:r>
            <w:r w:rsidR="004A4963" w:rsidRPr="007D1918">
              <w:rPr>
                <w:webHidden/>
              </w:rPr>
              <w:t>39</w:t>
            </w:r>
            <w:r w:rsidR="004A4963" w:rsidRPr="007D1918">
              <w:rPr>
                <w:webHidden/>
              </w:rPr>
              <w:fldChar w:fldCharType="end"/>
            </w:r>
          </w:hyperlink>
        </w:p>
        <w:p w14:paraId="0ECB2223" w14:textId="311A737B" w:rsidR="004A4963" w:rsidRPr="007D1918" w:rsidRDefault="002814BF">
          <w:pPr>
            <w:pStyle w:val="TOC3"/>
            <w:rPr>
              <w:rFonts w:asciiTheme="minorHAnsi" w:eastAsiaTheme="minorEastAsia" w:hAnsiTheme="minorHAnsi" w:cstheme="minorBidi"/>
            </w:rPr>
          </w:pPr>
          <w:hyperlink w:anchor="_Toc23766941" w:history="1">
            <w:r w:rsidR="004A4963" w:rsidRPr="007D1918">
              <w:rPr>
                <w:rStyle w:val="Hyperlink"/>
              </w:rPr>
              <w:t>Current funding arrangements</w:t>
            </w:r>
            <w:r w:rsidR="004A4963" w:rsidRPr="007D1918">
              <w:rPr>
                <w:webHidden/>
              </w:rPr>
              <w:tab/>
            </w:r>
            <w:r w:rsidR="004A4963" w:rsidRPr="007D1918">
              <w:rPr>
                <w:webHidden/>
              </w:rPr>
              <w:fldChar w:fldCharType="begin"/>
            </w:r>
            <w:r w:rsidR="004A4963" w:rsidRPr="007D1918">
              <w:rPr>
                <w:webHidden/>
              </w:rPr>
              <w:instrText xml:space="preserve"> PAGEREF _Toc23766941 \h </w:instrText>
            </w:r>
            <w:r w:rsidR="004A4963" w:rsidRPr="007D1918">
              <w:rPr>
                <w:webHidden/>
              </w:rPr>
            </w:r>
            <w:r w:rsidR="004A4963" w:rsidRPr="007D1918">
              <w:rPr>
                <w:webHidden/>
              </w:rPr>
              <w:fldChar w:fldCharType="separate"/>
            </w:r>
            <w:r w:rsidR="004A4963" w:rsidRPr="007D1918">
              <w:rPr>
                <w:webHidden/>
              </w:rPr>
              <w:t>40</w:t>
            </w:r>
            <w:r w:rsidR="004A4963" w:rsidRPr="007D1918">
              <w:rPr>
                <w:webHidden/>
              </w:rPr>
              <w:fldChar w:fldCharType="end"/>
            </w:r>
          </w:hyperlink>
        </w:p>
        <w:p w14:paraId="21E95B07" w14:textId="1314459C" w:rsidR="004A4963" w:rsidRPr="007D1918" w:rsidRDefault="002814BF">
          <w:pPr>
            <w:pStyle w:val="TOC2"/>
            <w:tabs>
              <w:tab w:val="left" w:pos="1540"/>
            </w:tabs>
            <w:rPr>
              <w:rFonts w:asciiTheme="minorHAnsi" w:eastAsiaTheme="minorEastAsia" w:hAnsiTheme="minorHAnsi" w:cstheme="minorBidi"/>
            </w:rPr>
          </w:pPr>
          <w:hyperlink w:anchor="_Toc23766942" w:history="1">
            <w:r w:rsidR="004A4963" w:rsidRPr="007D1918">
              <w:rPr>
                <w:rStyle w:val="Hyperlink"/>
              </w:rPr>
              <w:t>A.3.</w:t>
            </w:r>
            <w:r w:rsidR="004A4963" w:rsidRPr="007D1918">
              <w:rPr>
                <w:rFonts w:asciiTheme="minorHAnsi" w:eastAsiaTheme="minorEastAsia" w:hAnsiTheme="minorHAnsi" w:cstheme="minorBidi"/>
              </w:rPr>
              <w:tab/>
            </w:r>
            <w:r w:rsidR="004A4963" w:rsidRPr="007D1918">
              <w:rPr>
                <w:rStyle w:val="Hyperlink"/>
              </w:rPr>
              <w:t>Proposal for Public Funding</w:t>
            </w:r>
            <w:r w:rsidR="004A4963" w:rsidRPr="007D1918">
              <w:rPr>
                <w:webHidden/>
              </w:rPr>
              <w:tab/>
            </w:r>
            <w:r w:rsidR="004A4963" w:rsidRPr="007D1918">
              <w:rPr>
                <w:webHidden/>
              </w:rPr>
              <w:fldChar w:fldCharType="begin"/>
            </w:r>
            <w:r w:rsidR="004A4963" w:rsidRPr="007D1918">
              <w:rPr>
                <w:webHidden/>
              </w:rPr>
              <w:instrText xml:space="preserve"> PAGEREF _Toc23766942 \h </w:instrText>
            </w:r>
            <w:r w:rsidR="004A4963" w:rsidRPr="007D1918">
              <w:rPr>
                <w:webHidden/>
              </w:rPr>
            </w:r>
            <w:r w:rsidR="004A4963" w:rsidRPr="007D1918">
              <w:rPr>
                <w:webHidden/>
              </w:rPr>
              <w:fldChar w:fldCharType="separate"/>
            </w:r>
            <w:r w:rsidR="004A4963" w:rsidRPr="007D1918">
              <w:rPr>
                <w:webHidden/>
              </w:rPr>
              <w:t>40</w:t>
            </w:r>
            <w:r w:rsidR="004A4963" w:rsidRPr="007D1918">
              <w:rPr>
                <w:webHidden/>
              </w:rPr>
              <w:fldChar w:fldCharType="end"/>
            </w:r>
          </w:hyperlink>
        </w:p>
        <w:p w14:paraId="1055EBDF" w14:textId="6F07264B" w:rsidR="004A4963" w:rsidRPr="007D1918" w:rsidRDefault="002814BF">
          <w:pPr>
            <w:pStyle w:val="TOC2"/>
            <w:tabs>
              <w:tab w:val="left" w:pos="1540"/>
            </w:tabs>
            <w:rPr>
              <w:rFonts w:asciiTheme="minorHAnsi" w:eastAsiaTheme="minorEastAsia" w:hAnsiTheme="minorHAnsi" w:cstheme="minorBidi"/>
            </w:rPr>
          </w:pPr>
          <w:hyperlink w:anchor="_Toc23766943" w:history="1">
            <w:r w:rsidR="004A4963" w:rsidRPr="007D1918">
              <w:rPr>
                <w:rStyle w:val="Hyperlink"/>
              </w:rPr>
              <w:t>A.4.</w:t>
            </w:r>
            <w:r w:rsidR="004A4963" w:rsidRPr="007D1918">
              <w:rPr>
                <w:rFonts w:asciiTheme="minorHAnsi" w:eastAsiaTheme="minorEastAsia" w:hAnsiTheme="minorHAnsi" w:cstheme="minorBidi"/>
              </w:rPr>
              <w:tab/>
            </w:r>
            <w:r w:rsidR="004A4963" w:rsidRPr="007D1918">
              <w:rPr>
                <w:rStyle w:val="Hyperlink"/>
              </w:rPr>
              <w:t>Proposed Population</w:t>
            </w:r>
            <w:r w:rsidR="004A4963" w:rsidRPr="007D1918">
              <w:rPr>
                <w:webHidden/>
              </w:rPr>
              <w:tab/>
            </w:r>
            <w:r w:rsidR="004A4963" w:rsidRPr="007D1918">
              <w:rPr>
                <w:webHidden/>
              </w:rPr>
              <w:fldChar w:fldCharType="begin"/>
            </w:r>
            <w:r w:rsidR="004A4963" w:rsidRPr="007D1918">
              <w:rPr>
                <w:webHidden/>
              </w:rPr>
              <w:instrText xml:space="preserve"> PAGEREF _Toc23766943 \h </w:instrText>
            </w:r>
            <w:r w:rsidR="004A4963" w:rsidRPr="007D1918">
              <w:rPr>
                <w:webHidden/>
              </w:rPr>
            </w:r>
            <w:r w:rsidR="004A4963" w:rsidRPr="007D1918">
              <w:rPr>
                <w:webHidden/>
              </w:rPr>
              <w:fldChar w:fldCharType="separate"/>
            </w:r>
            <w:r w:rsidR="004A4963" w:rsidRPr="007D1918">
              <w:rPr>
                <w:webHidden/>
              </w:rPr>
              <w:t>40</w:t>
            </w:r>
            <w:r w:rsidR="004A4963" w:rsidRPr="007D1918">
              <w:rPr>
                <w:webHidden/>
              </w:rPr>
              <w:fldChar w:fldCharType="end"/>
            </w:r>
          </w:hyperlink>
        </w:p>
        <w:p w14:paraId="4B4672B3" w14:textId="5C5906CC" w:rsidR="004A4963" w:rsidRPr="007D1918" w:rsidRDefault="002814BF">
          <w:pPr>
            <w:pStyle w:val="TOC2"/>
            <w:tabs>
              <w:tab w:val="left" w:pos="1540"/>
            </w:tabs>
            <w:rPr>
              <w:rFonts w:asciiTheme="minorHAnsi" w:eastAsiaTheme="minorEastAsia" w:hAnsiTheme="minorHAnsi" w:cstheme="minorBidi"/>
            </w:rPr>
          </w:pPr>
          <w:hyperlink w:anchor="_Toc23766944" w:history="1">
            <w:r w:rsidR="004A4963" w:rsidRPr="007D1918">
              <w:rPr>
                <w:rStyle w:val="Hyperlink"/>
              </w:rPr>
              <w:t>A.5.</w:t>
            </w:r>
            <w:r w:rsidR="004A4963" w:rsidRPr="007D1918">
              <w:rPr>
                <w:rFonts w:asciiTheme="minorHAnsi" w:eastAsiaTheme="minorEastAsia" w:hAnsiTheme="minorHAnsi" w:cstheme="minorBidi"/>
              </w:rPr>
              <w:tab/>
            </w:r>
            <w:r w:rsidR="004A4963" w:rsidRPr="007D1918">
              <w:rPr>
                <w:rStyle w:val="Hyperlink"/>
              </w:rPr>
              <w:t>Comparator Details</w:t>
            </w:r>
            <w:r w:rsidR="004A4963" w:rsidRPr="007D1918">
              <w:rPr>
                <w:webHidden/>
              </w:rPr>
              <w:tab/>
            </w:r>
            <w:r w:rsidR="004A4963" w:rsidRPr="007D1918">
              <w:rPr>
                <w:webHidden/>
              </w:rPr>
              <w:fldChar w:fldCharType="begin"/>
            </w:r>
            <w:r w:rsidR="004A4963" w:rsidRPr="007D1918">
              <w:rPr>
                <w:webHidden/>
              </w:rPr>
              <w:instrText xml:space="preserve"> PAGEREF _Toc23766944 \h </w:instrText>
            </w:r>
            <w:r w:rsidR="004A4963" w:rsidRPr="007D1918">
              <w:rPr>
                <w:webHidden/>
              </w:rPr>
            </w:r>
            <w:r w:rsidR="004A4963" w:rsidRPr="007D1918">
              <w:rPr>
                <w:webHidden/>
              </w:rPr>
              <w:fldChar w:fldCharType="separate"/>
            </w:r>
            <w:r w:rsidR="004A4963" w:rsidRPr="007D1918">
              <w:rPr>
                <w:webHidden/>
              </w:rPr>
              <w:t>42</w:t>
            </w:r>
            <w:r w:rsidR="004A4963" w:rsidRPr="007D1918">
              <w:rPr>
                <w:webHidden/>
              </w:rPr>
              <w:fldChar w:fldCharType="end"/>
            </w:r>
          </w:hyperlink>
        </w:p>
        <w:p w14:paraId="68AB08B4" w14:textId="6F4BD8C1" w:rsidR="004A4963" w:rsidRPr="007D1918" w:rsidRDefault="002814BF">
          <w:pPr>
            <w:pStyle w:val="TOC2"/>
            <w:tabs>
              <w:tab w:val="left" w:pos="1540"/>
            </w:tabs>
            <w:rPr>
              <w:rFonts w:asciiTheme="minorHAnsi" w:eastAsiaTheme="minorEastAsia" w:hAnsiTheme="minorHAnsi" w:cstheme="minorBidi"/>
            </w:rPr>
          </w:pPr>
          <w:hyperlink w:anchor="_Toc23766945" w:history="1">
            <w:r w:rsidR="004A4963" w:rsidRPr="007D1918">
              <w:rPr>
                <w:rStyle w:val="Hyperlink"/>
              </w:rPr>
              <w:t>A.6.</w:t>
            </w:r>
            <w:r w:rsidR="004A4963" w:rsidRPr="007D1918">
              <w:rPr>
                <w:rFonts w:asciiTheme="minorHAnsi" w:eastAsiaTheme="minorEastAsia" w:hAnsiTheme="minorHAnsi" w:cstheme="minorBidi"/>
              </w:rPr>
              <w:tab/>
            </w:r>
            <w:r w:rsidR="004A4963" w:rsidRPr="007D1918">
              <w:rPr>
                <w:rStyle w:val="Hyperlink"/>
              </w:rPr>
              <w:t>Clinical Management Algorithm(s)</w:t>
            </w:r>
            <w:r w:rsidR="004A4963" w:rsidRPr="007D1918">
              <w:rPr>
                <w:webHidden/>
              </w:rPr>
              <w:tab/>
            </w:r>
            <w:r w:rsidR="004A4963" w:rsidRPr="007D1918">
              <w:rPr>
                <w:webHidden/>
              </w:rPr>
              <w:fldChar w:fldCharType="begin"/>
            </w:r>
            <w:r w:rsidR="004A4963" w:rsidRPr="007D1918">
              <w:rPr>
                <w:webHidden/>
              </w:rPr>
              <w:instrText xml:space="preserve"> PAGEREF _Toc23766945 \h </w:instrText>
            </w:r>
            <w:r w:rsidR="004A4963" w:rsidRPr="007D1918">
              <w:rPr>
                <w:webHidden/>
              </w:rPr>
            </w:r>
            <w:r w:rsidR="004A4963" w:rsidRPr="007D1918">
              <w:rPr>
                <w:webHidden/>
              </w:rPr>
              <w:fldChar w:fldCharType="separate"/>
            </w:r>
            <w:r w:rsidR="004A4963" w:rsidRPr="007D1918">
              <w:rPr>
                <w:webHidden/>
              </w:rPr>
              <w:t>44</w:t>
            </w:r>
            <w:r w:rsidR="004A4963" w:rsidRPr="007D1918">
              <w:rPr>
                <w:webHidden/>
              </w:rPr>
              <w:fldChar w:fldCharType="end"/>
            </w:r>
          </w:hyperlink>
        </w:p>
        <w:p w14:paraId="0479CCC4" w14:textId="576324D2" w:rsidR="004A4963" w:rsidRPr="007D1918" w:rsidRDefault="002814BF">
          <w:pPr>
            <w:pStyle w:val="TOC2"/>
            <w:tabs>
              <w:tab w:val="left" w:pos="1540"/>
            </w:tabs>
            <w:rPr>
              <w:rFonts w:asciiTheme="minorHAnsi" w:eastAsiaTheme="minorEastAsia" w:hAnsiTheme="minorHAnsi" w:cstheme="minorBidi"/>
            </w:rPr>
          </w:pPr>
          <w:hyperlink w:anchor="_Toc23766946" w:history="1">
            <w:r w:rsidR="004A4963" w:rsidRPr="007D1918">
              <w:rPr>
                <w:rStyle w:val="Hyperlink"/>
              </w:rPr>
              <w:t>A.7.</w:t>
            </w:r>
            <w:r w:rsidR="004A4963" w:rsidRPr="007D1918">
              <w:rPr>
                <w:rFonts w:asciiTheme="minorHAnsi" w:eastAsiaTheme="minorEastAsia" w:hAnsiTheme="minorHAnsi" w:cstheme="minorBidi"/>
              </w:rPr>
              <w:tab/>
            </w:r>
            <w:r w:rsidR="004A4963" w:rsidRPr="007D1918">
              <w:rPr>
                <w:rStyle w:val="Hyperlink"/>
              </w:rPr>
              <w:t>Key Differences in the Delivery of the Proposed Medical Service and the Main Comparator</w:t>
            </w:r>
            <w:r w:rsidR="004A4963" w:rsidRPr="007D1918">
              <w:rPr>
                <w:webHidden/>
              </w:rPr>
              <w:tab/>
            </w:r>
            <w:r w:rsidR="004A4963" w:rsidRPr="007D1918">
              <w:rPr>
                <w:webHidden/>
              </w:rPr>
              <w:fldChar w:fldCharType="begin"/>
            </w:r>
            <w:r w:rsidR="004A4963" w:rsidRPr="007D1918">
              <w:rPr>
                <w:webHidden/>
              </w:rPr>
              <w:instrText xml:space="preserve"> PAGEREF _Toc23766946 \h </w:instrText>
            </w:r>
            <w:r w:rsidR="004A4963" w:rsidRPr="007D1918">
              <w:rPr>
                <w:webHidden/>
              </w:rPr>
            </w:r>
            <w:r w:rsidR="004A4963" w:rsidRPr="007D1918">
              <w:rPr>
                <w:webHidden/>
              </w:rPr>
              <w:fldChar w:fldCharType="separate"/>
            </w:r>
            <w:r w:rsidR="004A4963" w:rsidRPr="007D1918">
              <w:rPr>
                <w:webHidden/>
              </w:rPr>
              <w:t>48</w:t>
            </w:r>
            <w:r w:rsidR="004A4963" w:rsidRPr="007D1918">
              <w:rPr>
                <w:webHidden/>
              </w:rPr>
              <w:fldChar w:fldCharType="end"/>
            </w:r>
          </w:hyperlink>
        </w:p>
        <w:p w14:paraId="4FB139D8" w14:textId="39D62343" w:rsidR="004A4963" w:rsidRPr="007D1918" w:rsidRDefault="002814BF">
          <w:pPr>
            <w:pStyle w:val="TOC2"/>
            <w:tabs>
              <w:tab w:val="left" w:pos="1540"/>
            </w:tabs>
            <w:rPr>
              <w:rFonts w:asciiTheme="minorHAnsi" w:eastAsiaTheme="minorEastAsia" w:hAnsiTheme="minorHAnsi" w:cstheme="minorBidi"/>
            </w:rPr>
          </w:pPr>
          <w:hyperlink w:anchor="_Toc23766947" w:history="1">
            <w:r w:rsidR="004A4963" w:rsidRPr="007D1918">
              <w:rPr>
                <w:rStyle w:val="Hyperlink"/>
              </w:rPr>
              <w:t>A.8.</w:t>
            </w:r>
            <w:r w:rsidR="004A4963" w:rsidRPr="007D1918">
              <w:rPr>
                <w:rFonts w:asciiTheme="minorHAnsi" w:eastAsiaTheme="minorEastAsia" w:hAnsiTheme="minorHAnsi" w:cstheme="minorBidi"/>
              </w:rPr>
              <w:tab/>
            </w:r>
            <w:r w:rsidR="004A4963" w:rsidRPr="007D1918">
              <w:rPr>
                <w:rStyle w:val="Hyperlink"/>
              </w:rPr>
              <w:t>Clinical Claim</w:t>
            </w:r>
            <w:r w:rsidR="004A4963" w:rsidRPr="007D1918">
              <w:rPr>
                <w:webHidden/>
              </w:rPr>
              <w:tab/>
            </w:r>
            <w:r w:rsidR="004A4963" w:rsidRPr="007D1918">
              <w:rPr>
                <w:webHidden/>
              </w:rPr>
              <w:fldChar w:fldCharType="begin"/>
            </w:r>
            <w:r w:rsidR="004A4963" w:rsidRPr="007D1918">
              <w:rPr>
                <w:webHidden/>
              </w:rPr>
              <w:instrText xml:space="preserve"> PAGEREF _Toc23766947 \h </w:instrText>
            </w:r>
            <w:r w:rsidR="004A4963" w:rsidRPr="007D1918">
              <w:rPr>
                <w:webHidden/>
              </w:rPr>
            </w:r>
            <w:r w:rsidR="004A4963" w:rsidRPr="007D1918">
              <w:rPr>
                <w:webHidden/>
              </w:rPr>
              <w:fldChar w:fldCharType="separate"/>
            </w:r>
            <w:r w:rsidR="004A4963" w:rsidRPr="007D1918">
              <w:rPr>
                <w:webHidden/>
              </w:rPr>
              <w:t>48</w:t>
            </w:r>
            <w:r w:rsidR="004A4963" w:rsidRPr="007D1918">
              <w:rPr>
                <w:webHidden/>
              </w:rPr>
              <w:fldChar w:fldCharType="end"/>
            </w:r>
          </w:hyperlink>
        </w:p>
        <w:p w14:paraId="5D04E79D" w14:textId="425AD148" w:rsidR="004A4963" w:rsidRPr="007D1918" w:rsidRDefault="002814BF">
          <w:pPr>
            <w:pStyle w:val="TOC2"/>
            <w:tabs>
              <w:tab w:val="left" w:pos="1540"/>
            </w:tabs>
            <w:rPr>
              <w:rFonts w:asciiTheme="minorHAnsi" w:eastAsiaTheme="minorEastAsia" w:hAnsiTheme="minorHAnsi" w:cstheme="minorBidi"/>
            </w:rPr>
          </w:pPr>
          <w:hyperlink w:anchor="_Toc23766948" w:history="1">
            <w:r w:rsidR="004A4963" w:rsidRPr="007D1918">
              <w:rPr>
                <w:rStyle w:val="Hyperlink"/>
              </w:rPr>
              <w:t>A.9.</w:t>
            </w:r>
            <w:r w:rsidR="004A4963" w:rsidRPr="007D1918">
              <w:rPr>
                <w:rFonts w:asciiTheme="minorHAnsi" w:eastAsiaTheme="minorEastAsia" w:hAnsiTheme="minorHAnsi" w:cstheme="minorBidi"/>
              </w:rPr>
              <w:tab/>
            </w:r>
            <w:r w:rsidR="004A4963" w:rsidRPr="007D1918">
              <w:rPr>
                <w:rStyle w:val="Hyperlink"/>
              </w:rPr>
              <w:t>Summary of the PICO</w:t>
            </w:r>
            <w:r w:rsidR="004A4963" w:rsidRPr="007D1918">
              <w:rPr>
                <w:webHidden/>
              </w:rPr>
              <w:tab/>
            </w:r>
            <w:r w:rsidR="004A4963" w:rsidRPr="007D1918">
              <w:rPr>
                <w:webHidden/>
              </w:rPr>
              <w:fldChar w:fldCharType="begin"/>
            </w:r>
            <w:r w:rsidR="004A4963" w:rsidRPr="007D1918">
              <w:rPr>
                <w:webHidden/>
              </w:rPr>
              <w:instrText xml:space="preserve"> PAGEREF _Toc23766948 \h </w:instrText>
            </w:r>
            <w:r w:rsidR="004A4963" w:rsidRPr="007D1918">
              <w:rPr>
                <w:webHidden/>
              </w:rPr>
            </w:r>
            <w:r w:rsidR="004A4963" w:rsidRPr="007D1918">
              <w:rPr>
                <w:webHidden/>
              </w:rPr>
              <w:fldChar w:fldCharType="separate"/>
            </w:r>
            <w:r w:rsidR="004A4963" w:rsidRPr="007D1918">
              <w:rPr>
                <w:webHidden/>
              </w:rPr>
              <w:t>49</w:t>
            </w:r>
            <w:r w:rsidR="004A4963" w:rsidRPr="007D1918">
              <w:rPr>
                <w:webHidden/>
              </w:rPr>
              <w:fldChar w:fldCharType="end"/>
            </w:r>
          </w:hyperlink>
        </w:p>
        <w:p w14:paraId="20364B34" w14:textId="0B22376F" w:rsidR="004A4963" w:rsidRPr="007D1918" w:rsidRDefault="002814BF">
          <w:pPr>
            <w:pStyle w:val="TOC2"/>
            <w:tabs>
              <w:tab w:val="left" w:pos="1540"/>
            </w:tabs>
            <w:rPr>
              <w:rFonts w:asciiTheme="minorHAnsi" w:eastAsiaTheme="minorEastAsia" w:hAnsiTheme="minorHAnsi" w:cstheme="minorBidi"/>
            </w:rPr>
          </w:pPr>
          <w:hyperlink w:anchor="_Toc23766949" w:history="1">
            <w:r w:rsidR="004A4963" w:rsidRPr="007D1918">
              <w:rPr>
                <w:rStyle w:val="Hyperlink"/>
              </w:rPr>
              <w:t>A.10.</w:t>
            </w:r>
            <w:r w:rsidR="004A4963" w:rsidRPr="007D1918">
              <w:rPr>
                <w:rFonts w:asciiTheme="minorHAnsi" w:eastAsiaTheme="minorEastAsia" w:hAnsiTheme="minorHAnsi" w:cstheme="minorBidi"/>
              </w:rPr>
              <w:tab/>
            </w:r>
            <w:r w:rsidR="004A4963" w:rsidRPr="007D1918">
              <w:rPr>
                <w:rStyle w:val="Hyperlink"/>
              </w:rPr>
              <w:t>Stakeholder Feedback on the PICO Confirmation</w:t>
            </w:r>
            <w:r w:rsidR="004A4963" w:rsidRPr="007D1918">
              <w:rPr>
                <w:webHidden/>
              </w:rPr>
              <w:tab/>
            </w:r>
            <w:r w:rsidR="004A4963" w:rsidRPr="007D1918">
              <w:rPr>
                <w:webHidden/>
              </w:rPr>
              <w:fldChar w:fldCharType="begin"/>
            </w:r>
            <w:r w:rsidR="004A4963" w:rsidRPr="007D1918">
              <w:rPr>
                <w:webHidden/>
              </w:rPr>
              <w:instrText xml:space="preserve"> PAGEREF _Toc23766949 \h </w:instrText>
            </w:r>
            <w:r w:rsidR="004A4963" w:rsidRPr="007D1918">
              <w:rPr>
                <w:webHidden/>
              </w:rPr>
            </w:r>
            <w:r w:rsidR="004A4963" w:rsidRPr="007D1918">
              <w:rPr>
                <w:webHidden/>
              </w:rPr>
              <w:fldChar w:fldCharType="separate"/>
            </w:r>
            <w:r w:rsidR="004A4963" w:rsidRPr="007D1918">
              <w:rPr>
                <w:webHidden/>
              </w:rPr>
              <w:t>52</w:t>
            </w:r>
            <w:r w:rsidR="004A4963" w:rsidRPr="007D1918">
              <w:rPr>
                <w:webHidden/>
              </w:rPr>
              <w:fldChar w:fldCharType="end"/>
            </w:r>
          </w:hyperlink>
        </w:p>
        <w:p w14:paraId="5DEFC336" w14:textId="46F2996B" w:rsidR="004A4963" w:rsidRPr="007D1918" w:rsidRDefault="002814BF">
          <w:pPr>
            <w:pStyle w:val="TOC3"/>
            <w:rPr>
              <w:rFonts w:asciiTheme="minorHAnsi" w:eastAsiaTheme="minorEastAsia" w:hAnsiTheme="minorHAnsi" w:cstheme="minorBidi"/>
            </w:rPr>
          </w:pPr>
          <w:hyperlink w:anchor="_Toc23766950" w:history="1">
            <w:r w:rsidR="004A4963" w:rsidRPr="007D1918">
              <w:rPr>
                <w:rStyle w:val="Hyperlink"/>
              </w:rPr>
              <w:t>Targeted consultation</w:t>
            </w:r>
            <w:r w:rsidR="004A4963" w:rsidRPr="007D1918">
              <w:rPr>
                <w:webHidden/>
              </w:rPr>
              <w:tab/>
            </w:r>
            <w:r w:rsidR="004A4963" w:rsidRPr="007D1918">
              <w:rPr>
                <w:webHidden/>
              </w:rPr>
              <w:fldChar w:fldCharType="begin"/>
            </w:r>
            <w:r w:rsidR="004A4963" w:rsidRPr="007D1918">
              <w:rPr>
                <w:webHidden/>
              </w:rPr>
              <w:instrText xml:space="preserve"> PAGEREF _Toc23766950 \h </w:instrText>
            </w:r>
            <w:r w:rsidR="004A4963" w:rsidRPr="007D1918">
              <w:rPr>
                <w:webHidden/>
              </w:rPr>
            </w:r>
            <w:r w:rsidR="004A4963" w:rsidRPr="007D1918">
              <w:rPr>
                <w:webHidden/>
              </w:rPr>
              <w:fldChar w:fldCharType="separate"/>
            </w:r>
            <w:r w:rsidR="004A4963" w:rsidRPr="007D1918">
              <w:rPr>
                <w:webHidden/>
              </w:rPr>
              <w:t>52</w:t>
            </w:r>
            <w:r w:rsidR="004A4963" w:rsidRPr="007D1918">
              <w:rPr>
                <w:webHidden/>
              </w:rPr>
              <w:fldChar w:fldCharType="end"/>
            </w:r>
          </w:hyperlink>
        </w:p>
        <w:p w14:paraId="5220C6BB" w14:textId="2868950E" w:rsidR="004A4963" w:rsidRPr="007D1918" w:rsidRDefault="002814BF">
          <w:pPr>
            <w:pStyle w:val="TOC3"/>
            <w:rPr>
              <w:rFonts w:asciiTheme="minorHAnsi" w:eastAsiaTheme="minorEastAsia" w:hAnsiTheme="minorHAnsi" w:cstheme="minorBidi"/>
            </w:rPr>
          </w:pPr>
          <w:hyperlink w:anchor="_Toc23766951" w:history="1">
            <w:r w:rsidR="004A4963" w:rsidRPr="007D1918">
              <w:rPr>
                <w:rStyle w:val="Hyperlink"/>
              </w:rPr>
              <w:t>Sponsor feedback</w:t>
            </w:r>
            <w:r w:rsidR="004A4963" w:rsidRPr="007D1918">
              <w:rPr>
                <w:webHidden/>
              </w:rPr>
              <w:tab/>
            </w:r>
            <w:r w:rsidR="004A4963" w:rsidRPr="007D1918">
              <w:rPr>
                <w:webHidden/>
              </w:rPr>
              <w:fldChar w:fldCharType="begin"/>
            </w:r>
            <w:r w:rsidR="004A4963" w:rsidRPr="007D1918">
              <w:rPr>
                <w:webHidden/>
              </w:rPr>
              <w:instrText xml:space="preserve"> PAGEREF _Toc23766951 \h </w:instrText>
            </w:r>
            <w:r w:rsidR="004A4963" w:rsidRPr="007D1918">
              <w:rPr>
                <w:webHidden/>
              </w:rPr>
            </w:r>
            <w:r w:rsidR="004A4963" w:rsidRPr="007D1918">
              <w:rPr>
                <w:webHidden/>
              </w:rPr>
              <w:fldChar w:fldCharType="separate"/>
            </w:r>
            <w:r w:rsidR="004A4963" w:rsidRPr="007D1918">
              <w:rPr>
                <w:webHidden/>
              </w:rPr>
              <w:t>53</w:t>
            </w:r>
            <w:r w:rsidR="004A4963" w:rsidRPr="007D1918">
              <w:rPr>
                <w:webHidden/>
              </w:rPr>
              <w:fldChar w:fldCharType="end"/>
            </w:r>
          </w:hyperlink>
        </w:p>
        <w:p w14:paraId="4E74E526" w14:textId="28FC9BC4" w:rsidR="004A4963" w:rsidRPr="007D1918" w:rsidRDefault="002814BF">
          <w:pPr>
            <w:pStyle w:val="TOC1"/>
            <w:rPr>
              <w:rFonts w:asciiTheme="minorHAnsi" w:eastAsiaTheme="minorEastAsia" w:hAnsiTheme="minorHAnsi" w:cstheme="minorBidi"/>
              <w:b w:val="0"/>
            </w:rPr>
          </w:pPr>
          <w:hyperlink w:anchor="_Toc23766952" w:history="1">
            <w:r w:rsidR="004A4963" w:rsidRPr="007D1918">
              <w:rPr>
                <w:rStyle w:val="Hyperlink"/>
              </w:rPr>
              <w:t>Section B</w:t>
            </w:r>
            <w:r w:rsidR="004A4963" w:rsidRPr="007D1918">
              <w:rPr>
                <w:rFonts w:asciiTheme="minorHAnsi" w:eastAsiaTheme="minorEastAsia" w:hAnsiTheme="minorHAnsi" w:cstheme="minorBidi"/>
                <w:b w:val="0"/>
              </w:rPr>
              <w:tab/>
            </w:r>
            <w:r w:rsidR="004A4963" w:rsidRPr="007D1918">
              <w:rPr>
                <w:rStyle w:val="Hyperlink"/>
              </w:rPr>
              <w:t>Clinical Evaluation</w:t>
            </w:r>
            <w:r w:rsidR="004A4963" w:rsidRPr="007D1918">
              <w:rPr>
                <w:webHidden/>
              </w:rPr>
              <w:tab/>
            </w:r>
            <w:r w:rsidR="004A4963" w:rsidRPr="007D1918">
              <w:rPr>
                <w:webHidden/>
              </w:rPr>
              <w:fldChar w:fldCharType="begin"/>
            </w:r>
            <w:r w:rsidR="004A4963" w:rsidRPr="007D1918">
              <w:rPr>
                <w:webHidden/>
              </w:rPr>
              <w:instrText xml:space="preserve"> PAGEREF _Toc23766952 \h </w:instrText>
            </w:r>
            <w:r w:rsidR="004A4963" w:rsidRPr="007D1918">
              <w:rPr>
                <w:webHidden/>
              </w:rPr>
            </w:r>
            <w:r w:rsidR="004A4963" w:rsidRPr="007D1918">
              <w:rPr>
                <w:webHidden/>
              </w:rPr>
              <w:fldChar w:fldCharType="separate"/>
            </w:r>
            <w:r w:rsidR="004A4963" w:rsidRPr="007D1918">
              <w:rPr>
                <w:webHidden/>
              </w:rPr>
              <w:t>56</w:t>
            </w:r>
            <w:r w:rsidR="004A4963" w:rsidRPr="007D1918">
              <w:rPr>
                <w:webHidden/>
              </w:rPr>
              <w:fldChar w:fldCharType="end"/>
            </w:r>
          </w:hyperlink>
        </w:p>
        <w:p w14:paraId="7587CE40" w14:textId="5ADA7364" w:rsidR="004A4963" w:rsidRPr="007D1918" w:rsidRDefault="002814BF">
          <w:pPr>
            <w:pStyle w:val="TOC2"/>
            <w:tabs>
              <w:tab w:val="left" w:pos="1418"/>
            </w:tabs>
            <w:rPr>
              <w:rFonts w:asciiTheme="minorHAnsi" w:eastAsiaTheme="minorEastAsia" w:hAnsiTheme="minorHAnsi" w:cstheme="minorBidi"/>
            </w:rPr>
          </w:pPr>
          <w:hyperlink w:anchor="_Toc23766953" w:history="1">
            <w:r w:rsidR="004A4963" w:rsidRPr="007D1918">
              <w:rPr>
                <w:rStyle w:val="Hyperlink"/>
              </w:rPr>
              <w:t>B.1.</w:t>
            </w:r>
            <w:r w:rsidR="004A4963" w:rsidRPr="007D1918">
              <w:rPr>
                <w:rFonts w:asciiTheme="minorHAnsi" w:eastAsiaTheme="minorEastAsia" w:hAnsiTheme="minorHAnsi" w:cstheme="minorBidi"/>
              </w:rPr>
              <w:tab/>
            </w:r>
            <w:r w:rsidR="004A4963" w:rsidRPr="007D1918">
              <w:rPr>
                <w:rStyle w:val="Hyperlink"/>
              </w:rPr>
              <w:t>Literature Sources and Search Strategies</w:t>
            </w:r>
            <w:r w:rsidR="004A4963" w:rsidRPr="007D1918">
              <w:rPr>
                <w:webHidden/>
              </w:rPr>
              <w:tab/>
            </w:r>
            <w:r w:rsidR="004A4963" w:rsidRPr="007D1918">
              <w:rPr>
                <w:webHidden/>
              </w:rPr>
              <w:fldChar w:fldCharType="begin"/>
            </w:r>
            <w:r w:rsidR="004A4963" w:rsidRPr="007D1918">
              <w:rPr>
                <w:webHidden/>
              </w:rPr>
              <w:instrText xml:space="preserve"> PAGEREF _Toc23766953 \h </w:instrText>
            </w:r>
            <w:r w:rsidR="004A4963" w:rsidRPr="007D1918">
              <w:rPr>
                <w:webHidden/>
              </w:rPr>
            </w:r>
            <w:r w:rsidR="004A4963" w:rsidRPr="007D1918">
              <w:rPr>
                <w:webHidden/>
              </w:rPr>
              <w:fldChar w:fldCharType="separate"/>
            </w:r>
            <w:r w:rsidR="004A4963" w:rsidRPr="007D1918">
              <w:rPr>
                <w:webHidden/>
              </w:rPr>
              <w:t>56</w:t>
            </w:r>
            <w:r w:rsidR="004A4963" w:rsidRPr="007D1918">
              <w:rPr>
                <w:webHidden/>
              </w:rPr>
              <w:fldChar w:fldCharType="end"/>
            </w:r>
          </w:hyperlink>
        </w:p>
        <w:p w14:paraId="76005938" w14:textId="036B7E1E" w:rsidR="004A4963" w:rsidRPr="007D1918" w:rsidRDefault="002814BF">
          <w:pPr>
            <w:pStyle w:val="TOC2"/>
            <w:tabs>
              <w:tab w:val="left" w:pos="1418"/>
            </w:tabs>
            <w:rPr>
              <w:rFonts w:asciiTheme="minorHAnsi" w:eastAsiaTheme="minorEastAsia" w:hAnsiTheme="minorHAnsi" w:cstheme="minorBidi"/>
            </w:rPr>
          </w:pPr>
          <w:hyperlink w:anchor="_Toc23766954" w:history="1">
            <w:r w:rsidR="004A4963" w:rsidRPr="007D1918">
              <w:rPr>
                <w:rStyle w:val="Hyperlink"/>
              </w:rPr>
              <w:t>B.2.</w:t>
            </w:r>
            <w:r w:rsidR="004A4963" w:rsidRPr="007D1918">
              <w:rPr>
                <w:rFonts w:asciiTheme="minorHAnsi" w:eastAsiaTheme="minorEastAsia" w:hAnsiTheme="minorHAnsi" w:cstheme="minorBidi"/>
              </w:rPr>
              <w:tab/>
            </w:r>
            <w:r w:rsidR="004A4963" w:rsidRPr="007D1918">
              <w:rPr>
                <w:rStyle w:val="Hyperlink"/>
              </w:rPr>
              <w:t>Results of Literature Search</w:t>
            </w:r>
            <w:r w:rsidR="004A4963" w:rsidRPr="007D1918">
              <w:rPr>
                <w:webHidden/>
              </w:rPr>
              <w:tab/>
            </w:r>
            <w:r w:rsidR="004A4963" w:rsidRPr="007D1918">
              <w:rPr>
                <w:webHidden/>
              </w:rPr>
              <w:fldChar w:fldCharType="begin"/>
            </w:r>
            <w:r w:rsidR="004A4963" w:rsidRPr="007D1918">
              <w:rPr>
                <w:webHidden/>
              </w:rPr>
              <w:instrText xml:space="preserve"> PAGEREF _Toc23766954 \h </w:instrText>
            </w:r>
            <w:r w:rsidR="004A4963" w:rsidRPr="007D1918">
              <w:rPr>
                <w:webHidden/>
              </w:rPr>
            </w:r>
            <w:r w:rsidR="004A4963" w:rsidRPr="007D1918">
              <w:rPr>
                <w:webHidden/>
              </w:rPr>
              <w:fldChar w:fldCharType="separate"/>
            </w:r>
            <w:r w:rsidR="004A4963" w:rsidRPr="007D1918">
              <w:rPr>
                <w:webHidden/>
              </w:rPr>
              <w:t>56</w:t>
            </w:r>
            <w:r w:rsidR="004A4963" w:rsidRPr="007D1918">
              <w:rPr>
                <w:webHidden/>
              </w:rPr>
              <w:fldChar w:fldCharType="end"/>
            </w:r>
          </w:hyperlink>
        </w:p>
        <w:p w14:paraId="066BAFCF" w14:textId="69B1F2A2" w:rsidR="004A4963" w:rsidRPr="007D1918" w:rsidRDefault="002814BF">
          <w:pPr>
            <w:pStyle w:val="TOC3"/>
            <w:rPr>
              <w:rFonts w:asciiTheme="minorHAnsi" w:eastAsiaTheme="minorEastAsia" w:hAnsiTheme="minorHAnsi" w:cstheme="minorBidi"/>
            </w:rPr>
          </w:pPr>
          <w:hyperlink w:anchor="_Toc23766955" w:history="1">
            <w:r w:rsidR="004A4963" w:rsidRPr="007D1918">
              <w:rPr>
                <w:rStyle w:val="Hyperlink"/>
              </w:rPr>
              <w:t>Appraisal of the evidence</w:t>
            </w:r>
            <w:r w:rsidR="004A4963" w:rsidRPr="007D1918">
              <w:rPr>
                <w:webHidden/>
              </w:rPr>
              <w:tab/>
            </w:r>
            <w:r w:rsidR="004A4963" w:rsidRPr="007D1918">
              <w:rPr>
                <w:webHidden/>
              </w:rPr>
              <w:fldChar w:fldCharType="begin"/>
            </w:r>
            <w:r w:rsidR="004A4963" w:rsidRPr="007D1918">
              <w:rPr>
                <w:webHidden/>
              </w:rPr>
              <w:instrText xml:space="preserve"> PAGEREF _Toc23766955 \h </w:instrText>
            </w:r>
            <w:r w:rsidR="004A4963" w:rsidRPr="007D1918">
              <w:rPr>
                <w:webHidden/>
              </w:rPr>
            </w:r>
            <w:r w:rsidR="004A4963" w:rsidRPr="007D1918">
              <w:rPr>
                <w:webHidden/>
              </w:rPr>
              <w:fldChar w:fldCharType="separate"/>
            </w:r>
            <w:r w:rsidR="004A4963" w:rsidRPr="007D1918">
              <w:rPr>
                <w:webHidden/>
              </w:rPr>
              <w:t>58</w:t>
            </w:r>
            <w:r w:rsidR="004A4963" w:rsidRPr="007D1918">
              <w:rPr>
                <w:webHidden/>
              </w:rPr>
              <w:fldChar w:fldCharType="end"/>
            </w:r>
          </w:hyperlink>
        </w:p>
        <w:p w14:paraId="6C44526B" w14:textId="072E35B8" w:rsidR="004A4963" w:rsidRPr="007D1918" w:rsidRDefault="002814BF">
          <w:pPr>
            <w:pStyle w:val="TOC2"/>
            <w:tabs>
              <w:tab w:val="left" w:pos="1418"/>
            </w:tabs>
            <w:rPr>
              <w:rFonts w:asciiTheme="minorHAnsi" w:eastAsiaTheme="minorEastAsia" w:hAnsiTheme="minorHAnsi" w:cstheme="minorBidi"/>
            </w:rPr>
          </w:pPr>
          <w:hyperlink w:anchor="_Toc23766956" w:history="1">
            <w:r w:rsidR="004A4963" w:rsidRPr="007D1918">
              <w:rPr>
                <w:rStyle w:val="Hyperlink"/>
              </w:rPr>
              <w:t>B.3.</w:t>
            </w:r>
            <w:r w:rsidR="004A4963" w:rsidRPr="007D1918">
              <w:rPr>
                <w:rFonts w:asciiTheme="minorHAnsi" w:eastAsiaTheme="minorEastAsia" w:hAnsiTheme="minorHAnsi" w:cstheme="minorBidi"/>
              </w:rPr>
              <w:tab/>
            </w:r>
            <w:r w:rsidR="004A4963" w:rsidRPr="007D1918">
              <w:rPr>
                <w:rStyle w:val="Hyperlink"/>
              </w:rPr>
              <w:t>Risk of Bias Assessment</w:t>
            </w:r>
            <w:r w:rsidR="004A4963" w:rsidRPr="007D1918">
              <w:rPr>
                <w:webHidden/>
              </w:rPr>
              <w:tab/>
            </w:r>
            <w:r w:rsidR="004A4963" w:rsidRPr="007D1918">
              <w:rPr>
                <w:webHidden/>
              </w:rPr>
              <w:fldChar w:fldCharType="begin"/>
            </w:r>
            <w:r w:rsidR="004A4963" w:rsidRPr="007D1918">
              <w:rPr>
                <w:webHidden/>
              </w:rPr>
              <w:instrText xml:space="preserve"> PAGEREF _Toc23766956 \h </w:instrText>
            </w:r>
            <w:r w:rsidR="004A4963" w:rsidRPr="007D1918">
              <w:rPr>
                <w:webHidden/>
              </w:rPr>
            </w:r>
            <w:r w:rsidR="004A4963" w:rsidRPr="007D1918">
              <w:rPr>
                <w:webHidden/>
              </w:rPr>
              <w:fldChar w:fldCharType="separate"/>
            </w:r>
            <w:r w:rsidR="004A4963" w:rsidRPr="007D1918">
              <w:rPr>
                <w:webHidden/>
              </w:rPr>
              <w:t>58</w:t>
            </w:r>
            <w:r w:rsidR="004A4963" w:rsidRPr="007D1918">
              <w:rPr>
                <w:webHidden/>
              </w:rPr>
              <w:fldChar w:fldCharType="end"/>
            </w:r>
          </w:hyperlink>
        </w:p>
        <w:p w14:paraId="141AB1E2" w14:textId="313217E8" w:rsidR="004A4963" w:rsidRPr="007D1918" w:rsidRDefault="002814BF">
          <w:pPr>
            <w:pStyle w:val="TOC2"/>
            <w:tabs>
              <w:tab w:val="left" w:pos="1418"/>
            </w:tabs>
            <w:rPr>
              <w:rFonts w:asciiTheme="minorHAnsi" w:eastAsiaTheme="minorEastAsia" w:hAnsiTheme="minorHAnsi" w:cstheme="minorBidi"/>
            </w:rPr>
          </w:pPr>
          <w:hyperlink w:anchor="_Toc23766957" w:history="1">
            <w:r w:rsidR="004A4963" w:rsidRPr="007D1918">
              <w:rPr>
                <w:rStyle w:val="Hyperlink"/>
              </w:rPr>
              <w:t>B.4.</w:t>
            </w:r>
            <w:r w:rsidR="004A4963" w:rsidRPr="007D1918">
              <w:rPr>
                <w:rFonts w:asciiTheme="minorHAnsi" w:eastAsiaTheme="minorEastAsia" w:hAnsiTheme="minorHAnsi" w:cstheme="minorBidi"/>
              </w:rPr>
              <w:tab/>
            </w:r>
            <w:r w:rsidR="004A4963" w:rsidRPr="007D1918">
              <w:rPr>
                <w:rStyle w:val="Hyperlink"/>
              </w:rPr>
              <w:t>Characteristics of the Evidence Base</w:t>
            </w:r>
            <w:r w:rsidR="004A4963" w:rsidRPr="007D1918">
              <w:rPr>
                <w:webHidden/>
              </w:rPr>
              <w:tab/>
            </w:r>
            <w:r w:rsidR="004A4963" w:rsidRPr="007D1918">
              <w:rPr>
                <w:webHidden/>
              </w:rPr>
              <w:fldChar w:fldCharType="begin"/>
            </w:r>
            <w:r w:rsidR="004A4963" w:rsidRPr="007D1918">
              <w:rPr>
                <w:webHidden/>
              </w:rPr>
              <w:instrText xml:space="preserve"> PAGEREF _Toc23766957 \h </w:instrText>
            </w:r>
            <w:r w:rsidR="004A4963" w:rsidRPr="007D1918">
              <w:rPr>
                <w:webHidden/>
              </w:rPr>
            </w:r>
            <w:r w:rsidR="004A4963" w:rsidRPr="007D1918">
              <w:rPr>
                <w:webHidden/>
              </w:rPr>
              <w:fldChar w:fldCharType="separate"/>
            </w:r>
            <w:r w:rsidR="004A4963" w:rsidRPr="007D1918">
              <w:rPr>
                <w:webHidden/>
              </w:rPr>
              <w:t>59</w:t>
            </w:r>
            <w:r w:rsidR="004A4963" w:rsidRPr="007D1918">
              <w:rPr>
                <w:webHidden/>
              </w:rPr>
              <w:fldChar w:fldCharType="end"/>
            </w:r>
          </w:hyperlink>
        </w:p>
        <w:p w14:paraId="5F26EADD" w14:textId="5E1A7EC3" w:rsidR="004A4963" w:rsidRPr="007D1918" w:rsidRDefault="002814BF">
          <w:pPr>
            <w:pStyle w:val="TOC2"/>
            <w:tabs>
              <w:tab w:val="left" w:pos="1418"/>
            </w:tabs>
            <w:rPr>
              <w:rFonts w:asciiTheme="minorHAnsi" w:eastAsiaTheme="minorEastAsia" w:hAnsiTheme="minorHAnsi" w:cstheme="minorBidi"/>
            </w:rPr>
          </w:pPr>
          <w:hyperlink w:anchor="_Toc23766958" w:history="1">
            <w:r w:rsidR="004A4963" w:rsidRPr="007D1918">
              <w:rPr>
                <w:rStyle w:val="Hyperlink"/>
              </w:rPr>
              <w:t>B.5.</w:t>
            </w:r>
            <w:r w:rsidR="004A4963" w:rsidRPr="007D1918">
              <w:rPr>
                <w:rFonts w:asciiTheme="minorHAnsi" w:eastAsiaTheme="minorEastAsia" w:hAnsiTheme="minorHAnsi" w:cstheme="minorBidi"/>
              </w:rPr>
              <w:tab/>
            </w:r>
            <w:r w:rsidR="004A4963" w:rsidRPr="007D1918">
              <w:rPr>
                <w:rStyle w:val="Hyperlink"/>
              </w:rPr>
              <w:t>Outcome Measures and Analysis</w:t>
            </w:r>
            <w:r w:rsidR="004A4963" w:rsidRPr="007D1918">
              <w:rPr>
                <w:webHidden/>
              </w:rPr>
              <w:tab/>
            </w:r>
            <w:r w:rsidR="004A4963" w:rsidRPr="007D1918">
              <w:rPr>
                <w:webHidden/>
              </w:rPr>
              <w:fldChar w:fldCharType="begin"/>
            </w:r>
            <w:r w:rsidR="004A4963" w:rsidRPr="007D1918">
              <w:rPr>
                <w:webHidden/>
              </w:rPr>
              <w:instrText xml:space="preserve"> PAGEREF _Toc23766958 \h </w:instrText>
            </w:r>
            <w:r w:rsidR="004A4963" w:rsidRPr="007D1918">
              <w:rPr>
                <w:webHidden/>
              </w:rPr>
            </w:r>
            <w:r w:rsidR="004A4963" w:rsidRPr="007D1918">
              <w:rPr>
                <w:webHidden/>
              </w:rPr>
              <w:fldChar w:fldCharType="separate"/>
            </w:r>
            <w:r w:rsidR="004A4963" w:rsidRPr="007D1918">
              <w:rPr>
                <w:webHidden/>
              </w:rPr>
              <w:t>63</w:t>
            </w:r>
            <w:r w:rsidR="004A4963" w:rsidRPr="007D1918">
              <w:rPr>
                <w:webHidden/>
              </w:rPr>
              <w:fldChar w:fldCharType="end"/>
            </w:r>
          </w:hyperlink>
        </w:p>
        <w:p w14:paraId="730D103A" w14:textId="4DFFF6ED" w:rsidR="004A4963" w:rsidRPr="007D1918" w:rsidRDefault="002814BF">
          <w:pPr>
            <w:pStyle w:val="TOC3"/>
            <w:rPr>
              <w:rFonts w:asciiTheme="minorHAnsi" w:eastAsiaTheme="minorEastAsia" w:hAnsiTheme="minorHAnsi" w:cstheme="minorBidi"/>
            </w:rPr>
          </w:pPr>
          <w:hyperlink w:anchor="_Toc23766959" w:history="1">
            <w:r w:rsidR="004A4963" w:rsidRPr="007D1918">
              <w:rPr>
                <w:rStyle w:val="Hyperlink"/>
              </w:rPr>
              <w:t>Functional or clinical categorical scales</w:t>
            </w:r>
            <w:r w:rsidR="004A4963" w:rsidRPr="007D1918">
              <w:rPr>
                <w:webHidden/>
              </w:rPr>
              <w:tab/>
            </w:r>
            <w:r w:rsidR="004A4963" w:rsidRPr="007D1918">
              <w:rPr>
                <w:webHidden/>
              </w:rPr>
              <w:fldChar w:fldCharType="begin"/>
            </w:r>
            <w:r w:rsidR="004A4963" w:rsidRPr="007D1918">
              <w:rPr>
                <w:webHidden/>
              </w:rPr>
              <w:instrText xml:space="preserve"> PAGEREF _Toc23766959 \h </w:instrText>
            </w:r>
            <w:r w:rsidR="004A4963" w:rsidRPr="007D1918">
              <w:rPr>
                <w:webHidden/>
              </w:rPr>
            </w:r>
            <w:r w:rsidR="004A4963" w:rsidRPr="007D1918">
              <w:rPr>
                <w:webHidden/>
              </w:rPr>
              <w:fldChar w:fldCharType="separate"/>
            </w:r>
            <w:r w:rsidR="004A4963" w:rsidRPr="007D1918">
              <w:rPr>
                <w:webHidden/>
              </w:rPr>
              <w:t>64</w:t>
            </w:r>
            <w:r w:rsidR="004A4963" w:rsidRPr="007D1918">
              <w:rPr>
                <w:webHidden/>
              </w:rPr>
              <w:fldChar w:fldCharType="end"/>
            </w:r>
          </w:hyperlink>
        </w:p>
        <w:p w14:paraId="57346925" w14:textId="0165CD30" w:rsidR="004A4963" w:rsidRPr="007D1918" w:rsidRDefault="002814BF">
          <w:pPr>
            <w:pStyle w:val="TOC3"/>
            <w:rPr>
              <w:rFonts w:asciiTheme="minorHAnsi" w:eastAsiaTheme="minorEastAsia" w:hAnsiTheme="minorHAnsi" w:cstheme="minorBidi"/>
            </w:rPr>
          </w:pPr>
          <w:hyperlink w:anchor="_Toc23766960" w:history="1">
            <w:r w:rsidR="004A4963" w:rsidRPr="007D1918">
              <w:rPr>
                <w:rStyle w:val="Hyperlink"/>
              </w:rPr>
              <w:t>Treatment effectiveness scales</w:t>
            </w:r>
            <w:r w:rsidR="004A4963" w:rsidRPr="007D1918">
              <w:rPr>
                <w:webHidden/>
              </w:rPr>
              <w:tab/>
            </w:r>
            <w:r w:rsidR="004A4963" w:rsidRPr="007D1918">
              <w:rPr>
                <w:webHidden/>
              </w:rPr>
              <w:fldChar w:fldCharType="begin"/>
            </w:r>
            <w:r w:rsidR="004A4963" w:rsidRPr="007D1918">
              <w:rPr>
                <w:webHidden/>
              </w:rPr>
              <w:instrText xml:space="preserve"> PAGEREF _Toc23766960 \h </w:instrText>
            </w:r>
            <w:r w:rsidR="004A4963" w:rsidRPr="007D1918">
              <w:rPr>
                <w:webHidden/>
              </w:rPr>
            </w:r>
            <w:r w:rsidR="004A4963" w:rsidRPr="007D1918">
              <w:rPr>
                <w:webHidden/>
              </w:rPr>
              <w:fldChar w:fldCharType="separate"/>
            </w:r>
            <w:r w:rsidR="004A4963" w:rsidRPr="007D1918">
              <w:rPr>
                <w:webHidden/>
              </w:rPr>
              <w:t>64</w:t>
            </w:r>
            <w:r w:rsidR="004A4963" w:rsidRPr="007D1918">
              <w:rPr>
                <w:webHidden/>
              </w:rPr>
              <w:fldChar w:fldCharType="end"/>
            </w:r>
          </w:hyperlink>
        </w:p>
        <w:p w14:paraId="10B295D3" w14:textId="5D94F39C" w:rsidR="004A4963" w:rsidRPr="007D1918" w:rsidRDefault="002814BF">
          <w:pPr>
            <w:pStyle w:val="TOC3"/>
            <w:rPr>
              <w:rFonts w:asciiTheme="minorHAnsi" w:eastAsiaTheme="minorEastAsia" w:hAnsiTheme="minorHAnsi" w:cstheme="minorBidi"/>
            </w:rPr>
          </w:pPr>
          <w:hyperlink w:anchor="_Toc23766961" w:history="1">
            <w:r w:rsidR="004A4963" w:rsidRPr="007D1918">
              <w:rPr>
                <w:rStyle w:val="Hyperlink"/>
              </w:rPr>
              <w:t>MG severity and/or QOL linear scales</w:t>
            </w:r>
            <w:r w:rsidR="004A4963" w:rsidRPr="007D1918">
              <w:rPr>
                <w:webHidden/>
              </w:rPr>
              <w:tab/>
            </w:r>
            <w:r w:rsidR="004A4963" w:rsidRPr="007D1918">
              <w:rPr>
                <w:webHidden/>
              </w:rPr>
              <w:fldChar w:fldCharType="begin"/>
            </w:r>
            <w:r w:rsidR="004A4963" w:rsidRPr="007D1918">
              <w:rPr>
                <w:webHidden/>
              </w:rPr>
              <w:instrText xml:space="preserve"> PAGEREF _Toc23766961 \h </w:instrText>
            </w:r>
            <w:r w:rsidR="004A4963" w:rsidRPr="007D1918">
              <w:rPr>
                <w:webHidden/>
              </w:rPr>
            </w:r>
            <w:r w:rsidR="004A4963" w:rsidRPr="007D1918">
              <w:rPr>
                <w:webHidden/>
              </w:rPr>
              <w:fldChar w:fldCharType="separate"/>
            </w:r>
            <w:r w:rsidR="004A4963" w:rsidRPr="007D1918">
              <w:rPr>
                <w:webHidden/>
              </w:rPr>
              <w:t>64</w:t>
            </w:r>
            <w:r w:rsidR="004A4963" w:rsidRPr="007D1918">
              <w:rPr>
                <w:webHidden/>
              </w:rPr>
              <w:fldChar w:fldCharType="end"/>
            </w:r>
          </w:hyperlink>
        </w:p>
        <w:p w14:paraId="2E2A69EA" w14:textId="33BA9482" w:rsidR="004A4963" w:rsidRPr="007D1918" w:rsidRDefault="002814BF">
          <w:pPr>
            <w:pStyle w:val="TOC2"/>
            <w:tabs>
              <w:tab w:val="left" w:pos="1418"/>
            </w:tabs>
            <w:rPr>
              <w:rFonts w:asciiTheme="minorHAnsi" w:eastAsiaTheme="minorEastAsia" w:hAnsiTheme="minorHAnsi" w:cstheme="minorBidi"/>
            </w:rPr>
          </w:pPr>
          <w:hyperlink w:anchor="_Toc23766962" w:history="1">
            <w:r w:rsidR="004A4963" w:rsidRPr="007D1918">
              <w:rPr>
                <w:rStyle w:val="Hyperlink"/>
              </w:rPr>
              <w:t>B.6.</w:t>
            </w:r>
            <w:r w:rsidR="004A4963" w:rsidRPr="007D1918">
              <w:rPr>
                <w:rFonts w:asciiTheme="minorHAnsi" w:eastAsiaTheme="minorEastAsia" w:hAnsiTheme="minorHAnsi" w:cstheme="minorBidi"/>
              </w:rPr>
              <w:tab/>
            </w:r>
            <w:r w:rsidR="004A4963" w:rsidRPr="007D1918">
              <w:rPr>
                <w:rStyle w:val="Hyperlink"/>
              </w:rPr>
              <w:t>Results of the Systematic Literature Review</w:t>
            </w:r>
            <w:r w:rsidR="004A4963" w:rsidRPr="007D1918">
              <w:rPr>
                <w:webHidden/>
              </w:rPr>
              <w:tab/>
            </w:r>
            <w:r w:rsidR="004A4963" w:rsidRPr="007D1918">
              <w:rPr>
                <w:webHidden/>
              </w:rPr>
              <w:fldChar w:fldCharType="begin"/>
            </w:r>
            <w:r w:rsidR="004A4963" w:rsidRPr="007D1918">
              <w:rPr>
                <w:webHidden/>
              </w:rPr>
              <w:instrText xml:space="preserve"> PAGEREF _Toc23766962 \h </w:instrText>
            </w:r>
            <w:r w:rsidR="004A4963" w:rsidRPr="007D1918">
              <w:rPr>
                <w:webHidden/>
              </w:rPr>
            </w:r>
            <w:r w:rsidR="004A4963" w:rsidRPr="007D1918">
              <w:rPr>
                <w:webHidden/>
              </w:rPr>
              <w:fldChar w:fldCharType="separate"/>
            </w:r>
            <w:r w:rsidR="004A4963" w:rsidRPr="007D1918">
              <w:rPr>
                <w:webHidden/>
              </w:rPr>
              <w:t>69</w:t>
            </w:r>
            <w:r w:rsidR="004A4963" w:rsidRPr="007D1918">
              <w:rPr>
                <w:webHidden/>
              </w:rPr>
              <w:fldChar w:fldCharType="end"/>
            </w:r>
          </w:hyperlink>
        </w:p>
        <w:p w14:paraId="2C2DFA92" w14:textId="4EE63EDA" w:rsidR="004A4963" w:rsidRPr="007D1918" w:rsidRDefault="002814BF">
          <w:pPr>
            <w:pStyle w:val="TOC2"/>
            <w:rPr>
              <w:rFonts w:asciiTheme="minorHAnsi" w:eastAsiaTheme="minorEastAsia" w:hAnsiTheme="minorHAnsi" w:cstheme="minorBidi"/>
            </w:rPr>
          </w:pPr>
          <w:hyperlink w:anchor="_Toc23766963" w:history="1">
            <w:r w:rsidR="004A4963" w:rsidRPr="007D1918">
              <w:rPr>
                <w:rStyle w:val="Hyperlink"/>
              </w:rPr>
              <w:t>Is it safe?</w:t>
            </w:r>
            <w:r w:rsidR="004A4963" w:rsidRPr="007D1918">
              <w:rPr>
                <w:webHidden/>
              </w:rPr>
              <w:tab/>
            </w:r>
            <w:r w:rsidR="004A4963" w:rsidRPr="007D1918">
              <w:rPr>
                <w:webHidden/>
              </w:rPr>
              <w:fldChar w:fldCharType="begin"/>
            </w:r>
            <w:r w:rsidR="004A4963" w:rsidRPr="007D1918">
              <w:rPr>
                <w:webHidden/>
              </w:rPr>
              <w:instrText xml:space="preserve"> PAGEREF _Toc23766963 \h </w:instrText>
            </w:r>
            <w:r w:rsidR="004A4963" w:rsidRPr="007D1918">
              <w:rPr>
                <w:webHidden/>
              </w:rPr>
            </w:r>
            <w:r w:rsidR="004A4963" w:rsidRPr="007D1918">
              <w:rPr>
                <w:webHidden/>
              </w:rPr>
              <w:fldChar w:fldCharType="separate"/>
            </w:r>
            <w:r w:rsidR="004A4963" w:rsidRPr="007D1918">
              <w:rPr>
                <w:webHidden/>
              </w:rPr>
              <w:t>69</w:t>
            </w:r>
            <w:r w:rsidR="004A4963" w:rsidRPr="007D1918">
              <w:rPr>
                <w:webHidden/>
              </w:rPr>
              <w:fldChar w:fldCharType="end"/>
            </w:r>
          </w:hyperlink>
        </w:p>
        <w:p w14:paraId="7AF26E3B" w14:textId="08F0D9C8" w:rsidR="004A4963" w:rsidRPr="007D1918" w:rsidRDefault="002814BF">
          <w:pPr>
            <w:pStyle w:val="TOC3"/>
            <w:rPr>
              <w:rFonts w:asciiTheme="minorHAnsi" w:eastAsiaTheme="minorEastAsia" w:hAnsiTheme="minorHAnsi" w:cstheme="minorBidi"/>
            </w:rPr>
          </w:pPr>
          <w:hyperlink w:anchor="_Toc23766964" w:history="1">
            <w:r w:rsidR="004A4963" w:rsidRPr="007D1918">
              <w:rPr>
                <w:rStyle w:val="Hyperlink"/>
              </w:rPr>
              <w:t>Indications 1 and 3: Adverse events meta-analysis</w:t>
            </w:r>
            <w:r w:rsidR="004A4963" w:rsidRPr="007D1918">
              <w:rPr>
                <w:webHidden/>
              </w:rPr>
              <w:tab/>
            </w:r>
            <w:r w:rsidR="004A4963" w:rsidRPr="007D1918">
              <w:rPr>
                <w:webHidden/>
              </w:rPr>
              <w:fldChar w:fldCharType="begin"/>
            </w:r>
            <w:r w:rsidR="004A4963" w:rsidRPr="007D1918">
              <w:rPr>
                <w:webHidden/>
              </w:rPr>
              <w:instrText xml:space="preserve"> PAGEREF _Toc23766964 \h </w:instrText>
            </w:r>
            <w:r w:rsidR="004A4963" w:rsidRPr="007D1918">
              <w:rPr>
                <w:webHidden/>
              </w:rPr>
            </w:r>
            <w:r w:rsidR="004A4963" w:rsidRPr="007D1918">
              <w:rPr>
                <w:webHidden/>
              </w:rPr>
              <w:fldChar w:fldCharType="separate"/>
            </w:r>
            <w:r w:rsidR="004A4963" w:rsidRPr="007D1918">
              <w:rPr>
                <w:webHidden/>
              </w:rPr>
              <w:t>70</w:t>
            </w:r>
            <w:r w:rsidR="004A4963" w:rsidRPr="007D1918">
              <w:rPr>
                <w:webHidden/>
              </w:rPr>
              <w:fldChar w:fldCharType="end"/>
            </w:r>
          </w:hyperlink>
        </w:p>
        <w:p w14:paraId="417BBA4E" w14:textId="23F770F1" w:rsidR="004A4963" w:rsidRPr="007D1918" w:rsidRDefault="002814BF">
          <w:pPr>
            <w:pStyle w:val="TOC3"/>
            <w:rPr>
              <w:rFonts w:asciiTheme="minorHAnsi" w:eastAsiaTheme="minorEastAsia" w:hAnsiTheme="minorHAnsi" w:cstheme="minorBidi"/>
            </w:rPr>
          </w:pPr>
          <w:hyperlink w:anchor="_Toc23766965" w:history="1">
            <w:r w:rsidR="004A4963" w:rsidRPr="007D1918">
              <w:rPr>
                <w:rStyle w:val="Hyperlink"/>
              </w:rPr>
              <w:t>Indication 1:  Patients in or at risk of myasthenic crisis</w:t>
            </w:r>
            <w:r w:rsidR="004A4963" w:rsidRPr="007D1918">
              <w:rPr>
                <w:webHidden/>
              </w:rPr>
              <w:tab/>
            </w:r>
            <w:r w:rsidR="004A4963" w:rsidRPr="007D1918">
              <w:rPr>
                <w:webHidden/>
              </w:rPr>
              <w:fldChar w:fldCharType="begin"/>
            </w:r>
            <w:r w:rsidR="004A4963" w:rsidRPr="007D1918">
              <w:rPr>
                <w:webHidden/>
              </w:rPr>
              <w:instrText xml:space="preserve"> PAGEREF _Toc23766965 \h </w:instrText>
            </w:r>
            <w:r w:rsidR="004A4963" w:rsidRPr="007D1918">
              <w:rPr>
                <w:webHidden/>
              </w:rPr>
            </w:r>
            <w:r w:rsidR="004A4963" w:rsidRPr="007D1918">
              <w:rPr>
                <w:webHidden/>
              </w:rPr>
              <w:fldChar w:fldCharType="separate"/>
            </w:r>
            <w:r w:rsidR="004A4963" w:rsidRPr="007D1918">
              <w:rPr>
                <w:webHidden/>
              </w:rPr>
              <w:t>71</w:t>
            </w:r>
            <w:r w:rsidR="004A4963" w:rsidRPr="007D1918">
              <w:rPr>
                <w:webHidden/>
              </w:rPr>
              <w:fldChar w:fldCharType="end"/>
            </w:r>
          </w:hyperlink>
        </w:p>
        <w:p w14:paraId="42A71954" w14:textId="01139464" w:rsidR="004A4963" w:rsidRPr="007D1918" w:rsidRDefault="002814BF">
          <w:pPr>
            <w:pStyle w:val="TOC3"/>
            <w:rPr>
              <w:rFonts w:asciiTheme="minorHAnsi" w:eastAsiaTheme="minorEastAsia" w:hAnsiTheme="minorHAnsi" w:cstheme="minorBidi"/>
            </w:rPr>
          </w:pPr>
          <w:hyperlink w:anchor="_Toc23766966" w:history="1">
            <w:r w:rsidR="004A4963" w:rsidRPr="007D1918">
              <w:rPr>
                <w:rStyle w:val="Hyperlink"/>
              </w:rPr>
              <w:t>Indication 2: Patients preparing for surgery</w:t>
            </w:r>
            <w:r w:rsidR="004A4963" w:rsidRPr="007D1918">
              <w:rPr>
                <w:webHidden/>
              </w:rPr>
              <w:tab/>
            </w:r>
            <w:r w:rsidR="004A4963" w:rsidRPr="007D1918">
              <w:rPr>
                <w:webHidden/>
              </w:rPr>
              <w:fldChar w:fldCharType="begin"/>
            </w:r>
            <w:r w:rsidR="004A4963" w:rsidRPr="007D1918">
              <w:rPr>
                <w:webHidden/>
              </w:rPr>
              <w:instrText xml:space="preserve"> PAGEREF _Toc23766966 \h </w:instrText>
            </w:r>
            <w:r w:rsidR="004A4963" w:rsidRPr="007D1918">
              <w:rPr>
                <w:webHidden/>
              </w:rPr>
            </w:r>
            <w:r w:rsidR="004A4963" w:rsidRPr="007D1918">
              <w:rPr>
                <w:webHidden/>
              </w:rPr>
              <w:fldChar w:fldCharType="separate"/>
            </w:r>
            <w:r w:rsidR="004A4963" w:rsidRPr="007D1918">
              <w:rPr>
                <w:webHidden/>
              </w:rPr>
              <w:t>75</w:t>
            </w:r>
            <w:r w:rsidR="004A4963" w:rsidRPr="007D1918">
              <w:rPr>
                <w:webHidden/>
              </w:rPr>
              <w:fldChar w:fldCharType="end"/>
            </w:r>
          </w:hyperlink>
        </w:p>
        <w:p w14:paraId="1F8380F0" w14:textId="086F5DA7" w:rsidR="004A4963" w:rsidRPr="007D1918" w:rsidRDefault="002814BF">
          <w:pPr>
            <w:pStyle w:val="TOC3"/>
            <w:rPr>
              <w:rFonts w:asciiTheme="minorHAnsi" w:eastAsiaTheme="minorEastAsia" w:hAnsiTheme="minorHAnsi" w:cstheme="minorBidi"/>
            </w:rPr>
          </w:pPr>
          <w:hyperlink w:anchor="_Toc23766967" w:history="1">
            <w:r w:rsidR="004A4963" w:rsidRPr="007D1918">
              <w:rPr>
                <w:rStyle w:val="Hyperlink"/>
              </w:rPr>
              <w:t>Indication 3: Adults undergoing maintenance therapy</w:t>
            </w:r>
            <w:r w:rsidR="004A4963" w:rsidRPr="007D1918">
              <w:rPr>
                <w:webHidden/>
              </w:rPr>
              <w:tab/>
            </w:r>
            <w:r w:rsidR="004A4963" w:rsidRPr="007D1918">
              <w:rPr>
                <w:webHidden/>
              </w:rPr>
              <w:fldChar w:fldCharType="begin"/>
            </w:r>
            <w:r w:rsidR="004A4963" w:rsidRPr="007D1918">
              <w:rPr>
                <w:webHidden/>
              </w:rPr>
              <w:instrText xml:space="preserve"> PAGEREF _Toc23766967 \h </w:instrText>
            </w:r>
            <w:r w:rsidR="004A4963" w:rsidRPr="007D1918">
              <w:rPr>
                <w:webHidden/>
              </w:rPr>
            </w:r>
            <w:r w:rsidR="004A4963" w:rsidRPr="007D1918">
              <w:rPr>
                <w:webHidden/>
              </w:rPr>
              <w:fldChar w:fldCharType="separate"/>
            </w:r>
            <w:r w:rsidR="004A4963" w:rsidRPr="007D1918">
              <w:rPr>
                <w:webHidden/>
              </w:rPr>
              <w:t>78</w:t>
            </w:r>
            <w:r w:rsidR="004A4963" w:rsidRPr="007D1918">
              <w:rPr>
                <w:webHidden/>
              </w:rPr>
              <w:fldChar w:fldCharType="end"/>
            </w:r>
          </w:hyperlink>
        </w:p>
        <w:p w14:paraId="12F62D5D" w14:textId="50A3A0A0" w:rsidR="004A4963" w:rsidRPr="007D1918" w:rsidRDefault="002814BF">
          <w:pPr>
            <w:pStyle w:val="TOC3"/>
            <w:rPr>
              <w:rFonts w:asciiTheme="minorHAnsi" w:eastAsiaTheme="minorEastAsia" w:hAnsiTheme="minorHAnsi" w:cstheme="minorBidi"/>
            </w:rPr>
          </w:pPr>
          <w:hyperlink w:anchor="_Toc23766968" w:history="1">
            <w:r w:rsidR="004A4963" w:rsidRPr="007D1918">
              <w:rPr>
                <w:rStyle w:val="Hyperlink"/>
              </w:rPr>
              <w:t>Indication 3: Children undergoing IVIg maintenance therapy</w:t>
            </w:r>
            <w:r w:rsidR="004A4963" w:rsidRPr="007D1918">
              <w:rPr>
                <w:webHidden/>
              </w:rPr>
              <w:tab/>
            </w:r>
            <w:r w:rsidR="004A4963" w:rsidRPr="007D1918">
              <w:rPr>
                <w:webHidden/>
              </w:rPr>
              <w:fldChar w:fldCharType="begin"/>
            </w:r>
            <w:r w:rsidR="004A4963" w:rsidRPr="007D1918">
              <w:rPr>
                <w:webHidden/>
              </w:rPr>
              <w:instrText xml:space="preserve"> PAGEREF _Toc23766968 \h </w:instrText>
            </w:r>
            <w:r w:rsidR="004A4963" w:rsidRPr="007D1918">
              <w:rPr>
                <w:webHidden/>
              </w:rPr>
            </w:r>
            <w:r w:rsidR="004A4963" w:rsidRPr="007D1918">
              <w:rPr>
                <w:webHidden/>
              </w:rPr>
              <w:fldChar w:fldCharType="separate"/>
            </w:r>
            <w:r w:rsidR="004A4963" w:rsidRPr="007D1918">
              <w:rPr>
                <w:webHidden/>
              </w:rPr>
              <w:t>82</w:t>
            </w:r>
            <w:r w:rsidR="004A4963" w:rsidRPr="007D1918">
              <w:rPr>
                <w:webHidden/>
              </w:rPr>
              <w:fldChar w:fldCharType="end"/>
            </w:r>
          </w:hyperlink>
        </w:p>
        <w:p w14:paraId="093708C7" w14:textId="73E4B98A" w:rsidR="004A4963" w:rsidRPr="007D1918" w:rsidRDefault="002814BF">
          <w:pPr>
            <w:pStyle w:val="TOC3"/>
            <w:rPr>
              <w:rFonts w:asciiTheme="minorHAnsi" w:eastAsiaTheme="minorEastAsia" w:hAnsiTheme="minorHAnsi" w:cstheme="minorBidi"/>
            </w:rPr>
          </w:pPr>
          <w:hyperlink w:anchor="_Toc23766969" w:history="1">
            <w:r w:rsidR="004A4963" w:rsidRPr="007D1918">
              <w:rPr>
                <w:rStyle w:val="Hyperlink"/>
              </w:rPr>
              <w:t>Indication 3: Patients undergoing SCIg maintenance therapy</w:t>
            </w:r>
            <w:r w:rsidR="004A4963" w:rsidRPr="007D1918">
              <w:rPr>
                <w:webHidden/>
              </w:rPr>
              <w:tab/>
            </w:r>
            <w:r w:rsidR="004A4963" w:rsidRPr="007D1918">
              <w:rPr>
                <w:webHidden/>
              </w:rPr>
              <w:fldChar w:fldCharType="begin"/>
            </w:r>
            <w:r w:rsidR="004A4963" w:rsidRPr="007D1918">
              <w:rPr>
                <w:webHidden/>
              </w:rPr>
              <w:instrText xml:space="preserve"> PAGEREF _Toc23766969 \h </w:instrText>
            </w:r>
            <w:r w:rsidR="004A4963" w:rsidRPr="007D1918">
              <w:rPr>
                <w:webHidden/>
              </w:rPr>
            </w:r>
            <w:r w:rsidR="004A4963" w:rsidRPr="007D1918">
              <w:rPr>
                <w:webHidden/>
              </w:rPr>
              <w:fldChar w:fldCharType="separate"/>
            </w:r>
            <w:r w:rsidR="004A4963" w:rsidRPr="007D1918">
              <w:rPr>
                <w:webHidden/>
              </w:rPr>
              <w:t>83</w:t>
            </w:r>
            <w:r w:rsidR="004A4963" w:rsidRPr="007D1918">
              <w:rPr>
                <w:webHidden/>
              </w:rPr>
              <w:fldChar w:fldCharType="end"/>
            </w:r>
          </w:hyperlink>
        </w:p>
        <w:p w14:paraId="1F58726B" w14:textId="57A68689" w:rsidR="004A4963" w:rsidRPr="007D1918" w:rsidRDefault="002814BF">
          <w:pPr>
            <w:pStyle w:val="TOC2"/>
            <w:rPr>
              <w:rFonts w:asciiTheme="minorHAnsi" w:eastAsiaTheme="minorEastAsia" w:hAnsiTheme="minorHAnsi" w:cstheme="minorBidi"/>
            </w:rPr>
          </w:pPr>
          <w:hyperlink w:anchor="_Toc23766970" w:history="1">
            <w:r w:rsidR="004A4963" w:rsidRPr="007D1918">
              <w:rPr>
                <w:rStyle w:val="Hyperlink"/>
              </w:rPr>
              <w:t>Is it effective?</w:t>
            </w:r>
            <w:r w:rsidR="004A4963" w:rsidRPr="007D1918">
              <w:rPr>
                <w:webHidden/>
              </w:rPr>
              <w:tab/>
            </w:r>
            <w:r w:rsidR="004A4963" w:rsidRPr="007D1918">
              <w:rPr>
                <w:webHidden/>
              </w:rPr>
              <w:fldChar w:fldCharType="begin"/>
            </w:r>
            <w:r w:rsidR="004A4963" w:rsidRPr="007D1918">
              <w:rPr>
                <w:webHidden/>
              </w:rPr>
              <w:instrText xml:space="preserve"> PAGEREF _Toc23766970 \h </w:instrText>
            </w:r>
            <w:r w:rsidR="004A4963" w:rsidRPr="007D1918">
              <w:rPr>
                <w:webHidden/>
              </w:rPr>
            </w:r>
            <w:r w:rsidR="004A4963" w:rsidRPr="007D1918">
              <w:rPr>
                <w:webHidden/>
              </w:rPr>
              <w:fldChar w:fldCharType="separate"/>
            </w:r>
            <w:r w:rsidR="004A4963" w:rsidRPr="007D1918">
              <w:rPr>
                <w:webHidden/>
              </w:rPr>
              <w:t>85</w:t>
            </w:r>
            <w:r w:rsidR="004A4963" w:rsidRPr="007D1918">
              <w:rPr>
                <w:webHidden/>
              </w:rPr>
              <w:fldChar w:fldCharType="end"/>
            </w:r>
          </w:hyperlink>
        </w:p>
        <w:p w14:paraId="1F2A2839" w14:textId="1BC46F59" w:rsidR="004A4963" w:rsidRPr="007D1918" w:rsidRDefault="002814BF">
          <w:pPr>
            <w:pStyle w:val="TOC3"/>
            <w:rPr>
              <w:rFonts w:asciiTheme="minorHAnsi" w:eastAsiaTheme="minorEastAsia" w:hAnsiTheme="minorHAnsi" w:cstheme="minorBidi"/>
            </w:rPr>
          </w:pPr>
          <w:hyperlink w:anchor="_Toc23766971" w:history="1">
            <w:r w:rsidR="004A4963" w:rsidRPr="007D1918">
              <w:rPr>
                <w:rStyle w:val="Hyperlink"/>
              </w:rPr>
              <w:t>Indication 1:  Patients in or at risk of myasthenic crisis</w:t>
            </w:r>
            <w:r w:rsidR="004A4963" w:rsidRPr="007D1918">
              <w:rPr>
                <w:webHidden/>
              </w:rPr>
              <w:tab/>
            </w:r>
            <w:r w:rsidR="004A4963" w:rsidRPr="007D1918">
              <w:rPr>
                <w:webHidden/>
              </w:rPr>
              <w:fldChar w:fldCharType="begin"/>
            </w:r>
            <w:r w:rsidR="004A4963" w:rsidRPr="007D1918">
              <w:rPr>
                <w:webHidden/>
              </w:rPr>
              <w:instrText xml:space="preserve"> PAGEREF _Toc23766971 \h </w:instrText>
            </w:r>
            <w:r w:rsidR="004A4963" w:rsidRPr="007D1918">
              <w:rPr>
                <w:webHidden/>
              </w:rPr>
            </w:r>
            <w:r w:rsidR="004A4963" w:rsidRPr="007D1918">
              <w:rPr>
                <w:webHidden/>
              </w:rPr>
              <w:fldChar w:fldCharType="separate"/>
            </w:r>
            <w:r w:rsidR="004A4963" w:rsidRPr="007D1918">
              <w:rPr>
                <w:webHidden/>
              </w:rPr>
              <w:t>86</w:t>
            </w:r>
            <w:r w:rsidR="004A4963" w:rsidRPr="007D1918">
              <w:rPr>
                <w:webHidden/>
              </w:rPr>
              <w:fldChar w:fldCharType="end"/>
            </w:r>
          </w:hyperlink>
        </w:p>
        <w:p w14:paraId="2F55D2C6" w14:textId="3D5C3D07" w:rsidR="004A4963" w:rsidRPr="007D1918" w:rsidRDefault="002814BF">
          <w:pPr>
            <w:pStyle w:val="TOC3"/>
            <w:rPr>
              <w:rFonts w:asciiTheme="minorHAnsi" w:eastAsiaTheme="minorEastAsia" w:hAnsiTheme="minorHAnsi" w:cstheme="minorBidi"/>
            </w:rPr>
          </w:pPr>
          <w:hyperlink w:anchor="_Toc23766972" w:history="1">
            <w:r w:rsidR="004A4963" w:rsidRPr="007D1918">
              <w:rPr>
                <w:rStyle w:val="Hyperlink"/>
              </w:rPr>
              <w:t>Indication 2: Patients preparing for surgery</w:t>
            </w:r>
            <w:r w:rsidR="004A4963" w:rsidRPr="007D1918">
              <w:rPr>
                <w:webHidden/>
              </w:rPr>
              <w:tab/>
            </w:r>
            <w:r w:rsidR="004A4963" w:rsidRPr="007D1918">
              <w:rPr>
                <w:webHidden/>
              </w:rPr>
              <w:fldChar w:fldCharType="begin"/>
            </w:r>
            <w:r w:rsidR="004A4963" w:rsidRPr="007D1918">
              <w:rPr>
                <w:webHidden/>
              </w:rPr>
              <w:instrText xml:space="preserve"> PAGEREF _Toc23766972 \h </w:instrText>
            </w:r>
            <w:r w:rsidR="004A4963" w:rsidRPr="007D1918">
              <w:rPr>
                <w:webHidden/>
              </w:rPr>
            </w:r>
            <w:r w:rsidR="004A4963" w:rsidRPr="007D1918">
              <w:rPr>
                <w:webHidden/>
              </w:rPr>
              <w:fldChar w:fldCharType="separate"/>
            </w:r>
            <w:r w:rsidR="004A4963" w:rsidRPr="007D1918">
              <w:rPr>
                <w:webHidden/>
              </w:rPr>
              <w:t>92</w:t>
            </w:r>
            <w:r w:rsidR="004A4963" w:rsidRPr="007D1918">
              <w:rPr>
                <w:webHidden/>
              </w:rPr>
              <w:fldChar w:fldCharType="end"/>
            </w:r>
          </w:hyperlink>
        </w:p>
        <w:p w14:paraId="0A83B506" w14:textId="1C54481E" w:rsidR="004A4963" w:rsidRPr="007D1918" w:rsidRDefault="002814BF">
          <w:pPr>
            <w:pStyle w:val="TOC3"/>
            <w:rPr>
              <w:rFonts w:asciiTheme="minorHAnsi" w:eastAsiaTheme="minorEastAsia" w:hAnsiTheme="minorHAnsi" w:cstheme="minorBidi"/>
            </w:rPr>
          </w:pPr>
          <w:hyperlink w:anchor="_Toc23766973" w:history="1">
            <w:r w:rsidR="004A4963" w:rsidRPr="007D1918">
              <w:rPr>
                <w:rStyle w:val="Hyperlink"/>
              </w:rPr>
              <w:t>Indication 3: Adults undergoing IVIg maintenance therapy</w:t>
            </w:r>
            <w:r w:rsidR="004A4963" w:rsidRPr="007D1918">
              <w:rPr>
                <w:webHidden/>
              </w:rPr>
              <w:tab/>
            </w:r>
            <w:r w:rsidR="004A4963" w:rsidRPr="007D1918">
              <w:rPr>
                <w:webHidden/>
              </w:rPr>
              <w:fldChar w:fldCharType="begin"/>
            </w:r>
            <w:r w:rsidR="004A4963" w:rsidRPr="007D1918">
              <w:rPr>
                <w:webHidden/>
              </w:rPr>
              <w:instrText xml:space="preserve"> PAGEREF _Toc23766973 \h </w:instrText>
            </w:r>
            <w:r w:rsidR="004A4963" w:rsidRPr="007D1918">
              <w:rPr>
                <w:webHidden/>
              </w:rPr>
            </w:r>
            <w:r w:rsidR="004A4963" w:rsidRPr="007D1918">
              <w:rPr>
                <w:webHidden/>
              </w:rPr>
              <w:fldChar w:fldCharType="separate"/>
            </w:r>
            <w:r w:rsidR="004A4963" w:rsidRPr="007D1918">
              <w:rPr>
                <w:webHidden/>
              </w:rPr>
              <w:t>95</w:t>
            </w:r>
            <w:r w:rsidR="004A4963" w:rsidRPr="007D1918">
              <w:rPr>
                <w:webHidden/>
              </w:rPr>
              <w:fldChar w:fldCharType="end"/>
            </w:r>
          </w:hyperlink>
        </w:p>
        <w:p w14:paraId="79C45868" w14:textId="24580C67" w:rsidR="004A4963" w:rsidRPr="007D1918" w:rsidRDefault="002814BF">
          <w:pPr>
            <w:pStyle w:val="TOC3"/>
            <w:rPr>
              <w:rFonts w:asciiTheme="minorHAnsi" w:eastAsiaTheme="minorEastAsia" w:hAnsiTheme="minorHAnsi" w:cstheme="minorBidi"/>
            </w:rPr>
          </w:pPr>
          <w:hyperlink w:anchor="_Toc23766974" w:history="1">
            <w:r w:rsidR="004A4963" w:rsidRPr="007D1918">
              <w:rPr>
                <w:rStyle w:val="Hyperlink"/>
              </w:rPr>
              <w:t>Indication 3: Children undergoing IVIg maintenance therapy</w:t>
            </w:r>
            <w:r w:rsidR="004A4963" w:rsidRPr="007D1918">
              <w:rPr>
                <w:webHidden/>
              </w:rPr>
              <w:tab/>
            </w:r>
            <w:r w:rsidR="004A4963" w:rsidRPr="007D1918">
              <w:rPr>
                <w:webHidden/>
              </w:rPr>
              <w:fldChar w:fldCharType="begin"/>
            </w:r>
            <w:r w:rsidR="004A4963" w:rsidRPr="007D1918">
              <w:rPr>
                <w:webHidden/>
              </w:rPr>
              <w:instrText xml:space="preserve"> PAGEREF _Toc23766974 \h </w:instrText>
            </w:r>
            <w:r w:rsidR="004A4963" w:rsidRPr="007D1918">
              <w:rPr>
                <w:webHidden/>
              </w:rPr>
            </w:r>
            <w:r w:rsidR="004A4963" w:rsidRPr="007D1918">
              <w:rPr>
                <w:webHidden/>
              </w:rPr>
              <w:fldChar w:fldCharType="separate"/>
            </w:r>
            <w:r w:rsidR="004A4963" w:rsidRPr="007D1918">
              <w:rPr>
                <w:webHidden/>
              </w:rPr>
              <w:t>102</w:t>
            </w:r>
            <w:r w:rsidR="004A4963" w:rsidRPr="007D1918">
              <w:rPr>
                <w:webHidden/>
              </w:rPr>
              <w:fldChar w:fldCharType="end"/>
            </w:r>
          </w:hyperlink>
        </w:p>
        <w:p w14:paraId="7C807494" w14:textId="23D4F27A" w:rsidR="004A4963" w:rsidRPr="007D1918" w:rsidRDefault="002814BF">
          <w:pPr>
            <w:pStyle w:val="TOC3"/>
            <w:rPr>
              <w:rFonts w:asciiTheme="minorHAnsi" w:eastAsiaTheme="minorEastAsia" w:hAnsiTheme="minorHAnsi" w:cstheme="minorBidi"/>
            </w:rPr>
          </w:pPr>
          <w:hyperlink w:anchor="_Toc23766975" w:history="1">
            <w:r w:rsidR="004A4963" w:rsidRPr="007D1918">
              <w:rPr>
                <w:rStyle w:val="Hyperlink"/>
              </w:rPr>
              <w:t>Indication 3: Patients undergoing SCIg maintenance therapy</w:t>
            </w:r>
            <w:r w:rsidR="004A4963" w:rsidRPr="007D1918">
              <w:rPr>
                <w:webHidden/>
              </w:rPr>
              <w:tab/>
            </w:r>
            <w:r w:rsidR="004A4963" w:rsidRPr="007D1918">
              <w:rPr>
                <w:webHidden/>
              </w:rPr>
              <w:fldChar w:fldCharType="begin"/>
            </w:r>
            <w:r w:rsidR="004A4963" w:rsidRPr="007D1918">
              <w:rPr>
                <w:webHidden/>
              </w:rPr>
              <w:instrText xml:space="preserve"> PAGEREF _Toc23766975 \h </w:instrText>
            </w:r>
            <w:r w:rsidR="004A4963" w:rsidRPr="007D1918">
              <w:rPr>
                <w:webHidden/>
              </w:rPr>
            </w:r>
            <w:r w:rsidR="004A4963" w:rsidRPr="007D1918">
              <w:rPr>
                <w:webHidden/>
              </w:rPr>
              <w:fldChar w:fldCharType="separate"/>
            </w:r>
            <w:r w:rsidR="004A4963" w:rsidRPr="007D1918">
              <w:rPr>
                <w:webHidden/>
              </w:rPr>
              <w:t>106</w:t>
            </w:r>
            <w:r w:rsidR="004A4963" w:rsidRPr="007D1918">
              <w:rPr>
                <w:webHidden/>
              </w:rPr>
              <w:fldChar w:fldCharType="end"/>
            </w:r>
          </w:hyperlink>
        </w:p>
        <w:p w14:paraId="67055A0F" w14:textId="0877DE9D" w:rsidR="004A4963" w:rsidRPr="007D1918" w:rsidRDefault="002814BF">
          <w:pPr>
            <w:pStyle w:val="TOC2"/>
            <w:tabs>
              <w:tab w:val="left" w:pos="1418"/>
            </w:tabs>
            <w:rPr>
              <w:rFonts w:asciiTheme="minorHAnsi" w:eastAsiaTheme="minorEastAsia" w:hAnsiTheme="minorHAnsi" w:cstheme="minorBidi"/>
            </w:rPr>
          </w:pPr>
          <w:hyperlink w:anchor="_Toc23766976" w:history="1">
            <w:r w:rsidR="004A4963" w:rsidRPr="007D1918">
              <w:rPr>
                <w:rStyle w:val="Hyperlink"/>
              </w:rPr>
              <w:t>B.7.</w:t>
            </w:r>
            <w:r w:rsidR="004A4963" w:rsidRPr="007D1918">
              <w:rPr>
                <w:rFonts w:asciiTheme="minorHAnsi" w:eastAsiaTheme="minorEastAsia" w:hAnsiTheme="minorHAnsi" w:cstheme="minorBidi"/>
              </w:rPr>
              <w:tab/>
            </w:r>
            <w:r w:rsidR="004A4963" w:rsidRPr="007D1918">
              <w:rPr>
                <w:rStyle w:val="Hyperlink"/>
              </w:rPr>
              <w:t>Interpretation of the Clinical Evidence</w:t>
            </w:r>
            <w:r w:rsidR="004A4963" w:rsidRPr="007D1918">
              <w:rPr>
                <w:webHidden/>
              </w:rPr>
              <w:tab/>
            </w:r>
            <w:r w:rsidR="004A4963" w:rsidRPr="007D1918">
              <w:rPr>
                <w:webHidden/>
              </w:rPr>
              <w:fldChar w:fldCharType="begin"/>
            </w:r>
            <w:r w:rsidR="004A4963" w:rsidRPr="007D1918">
              <w:rPr>
                <w:webHidden/>
              </w:rPr>
              <w:instrText xml:space="preserve"> PAGEREF _Toc23766976 \h </w:instrText>
            </w:r>
            <w:r w:rsidR="004A4963" w:rsidRPr="007D1918">
              <w:rPr>
                <w:webHidden/>
              </w:rPr>
            </w:r>
            <w:r w:rsidR="004A4963" w:rsidRPr="007D1918">
              <w:rPr>
                <w:webHidden/>
              </w:rPr>
              <w:fldChar w:fldCharType="separate"/>
            </w:r>
            <w:r w:rsidR="004A4963" w:rsidRPr="007D1918">
              <w:rPr>
                <w:webHidden/>
              </w:rPr>
              <w:t>108</w:t>
            </w:r>
            <w:r w:rsidR="004A4963" w:rsidRPr="007D1918">
              <w:rPr>
                <w:webHidden/>
              </w:rPr>
              <w:fldChar w:fldCharType="end"/>
            </w:r>
          </w:hyperlink>
        </w:p>
        <w:p w14:paraId="535CDADF" w14:textId="77A38FDC" w:rsidR="004A4963" w:rsidRPr="007D1918" w:rsidRDefault="002814BF">
          <w:pPr>
            <w:pStyle w:val="TOC3"/>
            <w:rPr>
              <w:rFonts w:asciiTheme="minorHAnsi" w:eastAsiaTheme="minorEastAsia" w:hAnsiTheme="minorHAnsi" w:cstheme="minorBidi"/>
            </w:rPr>
          </w:pPr>
          <w:hyperlink w:anchor="_Toc23766977" w:history="1">
            <w:r w:rsidR="004A4963" w:rsidRPr="007D1918">
              <w:rPr>
                <w:rStyle w:val="Hyperlink"/>
              </w:rPr>
              <w:t>Indication 1</w:t>
            </w:r>
            <w:r w:rsidR="004A4963" w:rsidRPr="007D1918">
              <w:rPr>
                <w:webHidden/>
              </w:rPr>
              <w:tab/>
            </w:r>
            <w:r w:rsidR="004A4963" w:rsidRPr="007D1918">
              <w:rPr>
                <w:webHidden/>
              </w:rPr>
              <w:fldChar w:fldCharType="begin"/>
            </w:r>
            <w:r w:rsidR="004A4963" w:rsidRPr="007D1918">
              <w:rPr>
                <w:webHidden/>
              </w:rPr>
              <w:instrText xml:space="preserve"> PAGEREF _Toc23766977 \h </w:instrText>
            </w:r>
            <w:r w:rsidR="004A4963" w:rsidRPr="007D1918">
              <w:rPr>
                <w:webHidden/>
              </w:rPr>
            </w:r>
            <w:r w:rsidR="004A4963" w:rsidRPr="007D1918">
              <w:rPr>
                <w:webHidden/>
              </w:rPr>
              <w:fldChar w:fldCharType="separate"/>
            </w:r>
            <w:r w:rsidR="004A4963" w:rsidRPr="007D1918">
              <w:rPr>
                <w:webHidden/>
              </w:rPr>
              <w:t>108</w:t>
            </w:r>
            <w:r w:rsidR="004A4963" w:rsidRPr="007D1918">
              <w:rPr>
                <w:webHidden/>
              </w:rPr>
              <w:fldChar w:fldCharType="end"/>
            </w:r>
          </w:hyperlink>
        </w:p>
        <w:p w14:paraId="2C458CA8" w14:textId="0CDBBB31" w:rsidR="004A4963" w:rsidRPr="007D1918" w:rsidRDefault="002814BF">
          <w:pPr>
            <w:pStyle w:val="TOC3"/>
            <w:rPr>
              <w:rFonts w:asciiTheme="minorHAnsi" w:eastAsiaTheme="minorEastAsia" w:hAnsiTheme="minorHAnsi" w:cstheme="minorBidi"/>
            </w:rPr>
          </w:pPr>
          <w:hyperlink w:anchor="_Toc23766978" w:history="1">
            <w:r w:rsidR="004A4963" w:rsidRPr="007D1918">
              <w:rPr>
                <w:rStyle w:val="Hyperlink"/>
              </w:rPr>
              <w:t>Indication 2</w:t>
            </w:r>
            <w:r w:rsidR="004A4963" w:rsidRPr="007D1918">
              <w:rPr>
                <w:webHidden/>
              </w:rPr>
              <w:tab/>
            </w:r>
            <w:r w:rsidR="004A4963" w:rsidRPr="007D1918">
              <w:rPr>
                <w:webHidden/>
              </w:rPr>
              <w:fldChar w:fldCharType="begin"/>
            </w:r>
            <w:r w:rsidR="004A4963" w:rsidRPr="007D1918">
              <w:rPr>
                <w:webHidden/>
              </w:rPr>
              <w:instrText xml:space="preserve"> PAGEREF _Toc23766978 \h </w:instrText>
            </w:r>
            <w:r w:rsidR="004A4963" w:rsidRPr="007D1918">
              <w:rPr>
                <w:webHidden/>
              </w:rPr>
            </w:r>
            <w:r w:rsidR="004A4963" w:rsidRPr="007D1918">
              <w:rPr>
                <w:webHidden/>
              </w:rPr>
              <w:fldChar w:fldCharType="separate"/>
            </w:r>
            <w:r w:rsidR="004A4963" w:rsidRPr="007D1918">
              <w:rPr>
                <w:webHidden/>
              </w:rPr>
              <w:t>108</w:t>
            </w:r>
            <w:r w:rsidR="004A4963" w:rsidRPr="007D1918">
              <w:rPr>
                <w:webHidden/>
              </w:rPr>
              <w:fldChar w:fldCharType="end"/>
            </w:r>
          </w:hyperlink>
        </w:p>
        <w:p w14:paraId="0331D53D" w14:textId="1543856C" w:rsidR="004A4963" w:rsidRPr="007D1918" w:rsidRDefault="002814BF">
          <w:pPr>
            <w:pStyle w:val="TOC3"/>
            <w:rPr>
              <w:rFonts w:asciiTheme="minorHAnsi" w:eastAsiaTheme="minorEastAsia" w:hAnsiTheme="minorHAnsi" w:cstheme="minorBidi"/>
            </w:rPr>
          </w:pPr>
          <w:hyperlink w:anchor="_Toc23766979" w:history="1">
            <w:r w:rsidR="004A4963" w:rsidRPr="007D1918">
              <w:rPr>
                <w:rStyle w:val="Hyperlink"/>
              </w:rPr>
              <w:t>Indication 3</w:t>
            </w:r>
            <w:r w:rsidR="004A4963" w:rsidRPr="007D1918">
              <w:rPr>
                <w:webHidden/>
              </w:rPr>
              <w:tab/>
            </w:r>
            <w:r w:rsidR="004A4963" w:rsidRPr="007D1918">
              <w:rPr>
                <w:webHidden/>
              </w:rPr>
              <w:fldChar w:fldCharType="begin"/>
            </w:r>
            <w:r w:rsidR="004A4963" w:rsidRPr="007D1918">
              <w:rPr>
                <w:webHidden/>
              </w:rPr>
              <w:instrText xml:space="preserve"> PAGEREF _Toc23766979 \h </w:instrText>
            </w:r>
            <w:r w:rsidR="004A4963" w:rsidRPr="007D1918">
              <w:rPr>
                <w:webHidden/>
              </w:rPr>
            </w:r>
            <w:r w:rsidR="004A4963" w:rsidRPr="007D1918">
              <w:rPr>
                <w:webHidden/>
              </w:rPr>
              <w:fldChar w:fldCharType="separate"/>
            </w:r>
            <w:r w:rsidR="004A4963" w:rsidRPr="007D1918">
              <w:rPr>
                <w:webHidden/>
              </w:rPr>
              <w:t>108</w:t>
            </w:r>
            <w:r w:rsidR="004A4963" w:rsidRPr="007D1918">
              <w:rPr>
                <w:webHidden/>
              </w:rPr>
              <w:fldChar w:fldCharType="end"/>
            </w:r>
          </w:hyperlink>
        </w:p>
        <w:p w14:paraId="29CE2E39" w14:textId="4CFEBC4B" w:rsidR="004A4963" w:rsidRPr="007D1918" w:rsidRDefault="002814BF">
          <w:pPr>
            <w:pStyle w:val="TOC1"/>
            <w:rPr>
              <w:rFonts w:asciiTheme="minorHAnsi" w:eastAsiaTheme="minorEastAsia" w:hAnsiTheme="minorHAnsi" w:cstheme="minorBidi"/>
              <w:b w:val="0"/>
            </w:rPr>
          </w:pPr>
          <w:hyperlink w:anchor="_Toc23766980" w:history="1">
            <w:r w:rsidR="004A4963" w:rsidRPr="007D1918">
              <w:rPr>
                <w:rStyle w:val="Hyperlink"/>
              </w:rPr>
              <w:t>Section C</w:t>
            </w:r>
            <w:r w:rsidR="004A4963" w:rsidRPr="007D1918">
              <w:rPr>
                <w:rFonts w:asciiTheme="minorHAnsi" w:eastAsiaTheme="minorEastAsia" w:hAnsiTheme="minorHAnsi" w:cstheme="minorBidi"/>
                <w:b w:val="0"/>
              </w:rPr>
              <w:tab/>
            </w:r>
            <w:r w:rsidR="004A4963" w:rsidRPr="007D1918">
              <w:rPr>
                <w:rStyle w:val="Hyperlink"/>
              </w:rPr>
              <w:t>Translation Issues</w:t>
            </w:r>
            <w:r w:rsidR="004A4963" w:rsidRPr="007D1918">
              <w:rPr>
                <w:webHidden/>
              </w:rPr>
              <w:tab/>
            </w:r>
            <w:r w:rsidR="004A4963" w:rsidRPr="007D1918">
              <w:rPr>
                <w:webHidden/>
              </w:rPr>
              <w:fldChar w:fldCharType="begin"/>
            </w:r>
            <w:r w:rsidR="004A4963" w:rsidRPr="007D1918">
              <w:rPr>
                <w:webHidden/>
              </w:rPr>
              <w:instrText xml:space="preserve"> PAGEREF _Toc23766980 \h </w:instrText>
            </w:r>
            <w:r w:rsidR="004A4963" w:rsidRPr="007D1918">
              <w:rPr>
                <w:webHidden/>
              </w:rPr>
            </w:r>
            <w:r w:rsidR="004A4963" w:rsidRPr="007D1918">
              <w:rPr>
                <w:webHidden/>
              </w:rPr>
              <w:fldChar w:fldCharType="separate"/>
            </w:r>
            <w:r w:rsidR="004A4963" w:rsidRPr="007D1918">
              <w:rPr>
                <w:webHidden/>
              </w:rPr>
              <w:t>114</w:t>
            </w:r>
            <w:r w:rsidR="004A4963" w:rsidRPr="007D1918">
              <w:rPr>
                <w:webHidden/>
              </w:rPr>
              <w:fldChar w:fldCharType="end"/>
            </w:r>
          </w:hyperlink>
        </w:p>
        <w:p w14:paraId="65D008DD" w14:textId="4F67D193" w:rsidR="004A4963" w:rsidRPr="007D1918" w:rsidRDefault="002814BF">
          <w:pPr>
            <w:pStyle w:val="TOC2"/>
            <w:tabs>
              <w:tab w:val="left" w:pos="1418"/>
            </w:tabs>
            <w:rPr>
              <w:rFonts w:asciiTheme="minorHAnsi" w:eastAsiaTheme="minorEastAsia" w:hAnsiTheme="minorHAnsi" w:cstheme="minorBidi"/>
            </w:rPr>
          </w:pPr>
          <w:hyperlink w:anchor="_Toc23766981" w:history="1">
            <w:r w:rsidR="004A4963" w:rsidRPr="007D1918">
              <w:rPr>
                <w:rStyle w:val="Hyperlink"/>
              </w:rPr>
              <w:t>C.1.</w:t>
            </w:r>
            <w:r w:rsidR="004A4963" w:rsidRPr="007D1918">
              <w:rPr>
                <w:rFonts w:asciiTheme="minorHAnsi" w:eastAsiaTheme="minorEastAsia" w:hAnsiTheme="minorHAnsi" w:cstheme="minorBidi"/>
              </w:rPr>
              <w:tab/>
            </w:r>
            <w:r w:rsidR="004A4963" w:rsidRPr="007D1918">
              <w:rPr>
                <w:rStyle w:val="Hyperlink"/>
              </w:rPr>
              <w:t>Overview</w:t>
            </w:r>
            <w:r w:rsidR="004A4963" w:rsidRPr="007D1918">
              <w:rPr>
                <w:webHidden/>
              </w:rPr>
              <w:tab/>
            </w:r>
            <w:r w:rsidR="004A4963" w:rsidRPr="007D1918">
              <w:rPr>
                <w:webHidden/>
              </w:rPr>
              <w:fldChar w:fldCharType="begin"/>
            </w:r>
            <w:r w:rsidR="004A4963" w:rsidRPr="007D1918">
              <w:rPr>
                <w:webHidden/>
              </w:rPr>
              <w:instrText xml:space="preserve"> PAGEREF _Toc23766981 \h </w:instrText>
            </w:r>
            <w:r w:rsidR="004A4963" w:rsidRPr="007D1918">
              <w:rPr>
                <w:webHidden/>
              </w:rPr>
            </w:r>
            <w:r w:rsidR="004A4963" w:rsidRPr="007D1918">
              <w:rPr>
                <w:webHidden/>
              </w:rPr>
              <w:fldChar w:fldCharType="separate"/>
            </w:r>
            <w:r w:rsidR="004A4963" w:rsidRPr="007D1918">
              <w:rPr>
                <w:webHidden/>
              </w:rPr>
              <w:t>114</w:t>
            </w:r>
            <w:r w:rsidR="004A4963" w:rsidRPr="007D1918">
              <w:rPr>
                <w:webHidden/>
              </w:rPr>
              <w:fldChar w:fldCharType="end"/>
            </w:r>
          </w:hyperlink>
        </w:p>
        <w:p w14:paraId="78F0F40D" w14:textId="0B33EF55" w:rsidR="004A4963" w:rsidRPr="007D1918" w:rsidRDefault="002814BF">
          <w:pPr>
            <w:pStyle w:val="TOC2"/>
            <w:tabs>
              <w:tab w:val="left" w:pos="1418"/>
            </w:tabs>
            <w:rPr>
              <w:rFonts w:asciiTheme="minorHAnsi" w:eastAsiaTheme="minorEastAsia" w:hAnsiTheme="minorHAnsi" w:cstheme="minorBidi"/>
            </w:rPr>
          </w:pPr>
          <w:hyperlink w:anchor="_Toc23766982" w:history="1">
            <w:r w:rsidR="004A4963" w:rsidRPr="007D1918">
              <w:rPr>
                <w:rStyle w:val="Hyperlink"/>
              </w:rPr>
              <w:t>C.2.</w:t>
            </w:r>
            <w:r w:rsidR="004A4963" w:rsidRPr="007D1918">
              <w:rPr>
                <w:rFonts w:asciiTheme="minorHAnsi" w:eastAsiaTheme="minorEastAsia" w:hAnsiTheme="minorHAnsi" w:cstheme="minorBidi"/>
              </w:rPr>
              <w:tab/>
            </w:r>
            <w:r w:rsidR="004A4963" w:rsidRPr="007D1918">
              <w:rPr>
                <w:rStyle w:val="Hyperlink"/>
              </w:rPr>
              <w:t>Applicability translation issues</w:t>
            </w:r>
            <w:r w:rsidR="004A4963" w:rsidRPr="007D1918">
              <w:rPr>
                <w:webHidden/>
              </w:rPr>
              <w:tab/>
            </w:r>
            <w:r w:rsidR="004A4963" w:rsidRPr="007D1918">
              <w:rPr>
                <w:webHidden/>
              </w:rPr>
              <w:fldChar w:fldCharType="begin"/>
            </w:r>
            <w:r w:rsidR="004A4963" w:rsidRPr="007D1918">
              <w:rPr>
                <w:webHidden/>
              </w:rPr>
              <w:instrText xml:space="preserve"> PAGEREF _Toc23766982 \h </w:instrText>
            </w:r>
            <w:r w:rsidR="004A4963" w:rsidRPr="007D1918">
              <w:rPr>
                <w:webHidden/>
              </w:rPr>
            </w:r>
            <w:r w:rsidR="004A4963" w:rsidRPr="007D1918">
              <w:rPr>
                <w:webHidden/>
              </w:rPr>
              <w:fldChar w:fldCharType="separate"/>
            </w:r>
            <w:r w:rsidR="004A4963" w:rsidRPr="007D1918">
              <w:rPr>
                <w:webHidden/>
              </w:rPr>
              <w:t>115</w:t>
            </w:r>
            <w:r w:rsidR="004A4963" w:rsidRPr="007D1918">
              <w:rPr>
                <w:webHidden/>
              </w:rPr>
              <w:fldChar w:fldCharType="end"/>
            </w:r>
          </w:hyperlink>
        </w:p>
        <w:p w14:paraId="4ECF9AE5" w14:textId="1DE362F6" w:rsidR="004A4963" w:rsidRPr="007D1918" w:rsidRDefault="002814BF">
          <w:pPr>
            <w:pStyle w:val="TOC3"/>
            <w:rPr>
              <w:rFonts w:asciiTheme="minorHAnsi" w:eastAsiaTheme="minorEastAsia" w:hAnsiTheme="minorHAnsi" w:cstheme="minorBidi"/>
            </w:rPr>
          </w:pPr>
          <w:hyperlink w:anchor="_Toc23766983" w:history="1">
            <w:r w:rsidR="004A4963" w:rsidRPr="007D1918">
              <w:rPr>
                <w:rStyle w:val="Hyperlink"/>
              </w:rPr>
              <w:t>Indication 1</w:t>
            </w:r>
            <w:r w:rsidR="004A4963" w:rsidRPr="007D1918">
              <w:rPr>
                <w:webHidden/>
              </w:rPr>
              <w:tab/>
            </w:r>
            <w:r w:rsidR="004A4963" w:rsidRPr="007D1918">
              <w:rPr>
                <w:webHidden/>
              </w:rPr>
              <w:fldChar w:fldCharType="begin"/>
            </w:r>
            <w:r w:rsidR="004A4963" w:rsidRPr="007D1918">
              <w:rPr>
                <w:webHidden/>
              </w:rPr>
              <w:instrText xml:space="preserve"> PAGEREF _Toc23766983 \h </w:instrText>
            </w:r>
            <w:r w:rsidR="004A4963" w:rsidRPr="007D1918">
              <w:rPr>
                <w:webHidden/>
              </w:rPr>
            </w:r>
            <w:r w:rsidR="004A4963" w:rsidRPr="007D1918">
              <w:rPr>
                <w:webHidden/>
              </w:rPr>
              <w:fldChar w:fldCharType="separate"/>
            </w:r>
            <w:r w:rsidR="004A4963" w:rsidRPr="007D1918">
              <w:rPr>
                <w:webHidden/>
              </w:rPr>
              <w:t>115</w:t>
            </w:r>
            <w:r w:rsidR="004A4963" w:rsidRPr="007D1918">
              <w:rPr>
                <w:webHidden/>
              </w:rPr>
              <w:fldChar w:fldCharType="end"/>
            </w:r>
          </w:hyperlink>
        </w:p>
        <w:p w14:paraId="0D762CEB" w14:textId="0F06F4F6" w:rsidR="004A4963" w:rsidRPr="007D1918" w:rsidRDefault="002814BF">
          <w:pPr>
            <w:pStyle w:val="TOC3"/>
            <w:rPr>
              <w:rFonts w:asciiTheme="minorHAnsi" w:eastAsiaTheme="minorEastAsia" w:hAnsiTheme="minorHAnsi" w:cstheme="minorBidi"/>
            </w:rPr>
          </w:pPr>
          <w:hyperlink w:anchor="_Toc23766984" w:history="1">
            <w:r w:rsidR="004A4963" w:rsidRPr="007D1918">
              <w:rPr>
                <w:rStyle w:val="Hyperlink"/>
              </w:rPr>
              <w:t>Indication 2</w:t>
            </w:r>
            <w:r w:rsidR="004A4963" w:rsidRPr="007D1918">
              <w:rPr>
                <w:webHidden/>
              </w:rPr>
              <w:tab/>
            </w:r>
            <w:r w:rsidR="004A4963" w:rsidRPr="007D1918">
              <w:rPr>
                <w:webHidden/>
              </w:rPr>
              <w:fldChar w:fldCharType="begin"/>
            </w:r>
            <w:r w:rsidR="004A4963" w:rsidRPr="007D1918">
              <w:rPr>
                <w:webHidden/>
              </w:rPr>
              <w:instrText xml:space="preserve"> PAGEREF _Toc23766984 \h </w:instrText>
            </w:r>
            <w:r w:rsidR="004A4963" w:rsidRPr="007D1918">
              <w:rPr>
                <w:webHidden/>
              </w:rPr>
            </w:r>
            <w:r w:rsidR="004A4963" w:rsidRPr="007D1918">
              <w:rPr>
                <w:webHidden/>
              </w:rPr>
              <w:fldChar w:fldCharType="separate"/>
            </w:r>
            <w:r w:rsidR="004A4963" w:rsidRPr="007D1918">
              <w:rPr>
                <w:webHidden/>
              </w:rPr>
              <w:t>116</w:t>
            </w:r>
            <w:r w:rsidR="004A4963" w:rsidRPr="007D1918">
              <w:rPr>
                <w:webHidden/>
              </w:rPr>
              <w:fldChar w:fldCharType="end"/>
            </w:r>
          </w:hyperlink>
        </w:p>
        <w:p w14:paraId="09A5F22A" w14:textId="377ED1B0" w:rsidR="004A4963" w:rsidRPr="007D1918" w:rsidRDefault="002814BF">
          <w:pPr>
            <w:pStyle w:val="TOC2"/>
            <w:tabs>
              <w:tab w:val="left" w:pos="1418"/>
            </w:tabs>
            <w:rPr>
              <w:rFonts w:asciiTheme="minorHAnsi" w:eastAsiaTheme="minorEastAsia" w:hAnsiTheme="minorHAnsi" w:cstheme="minorBidi"/>
            </w:rPr>
          </w:pPr>
          <w:hyperlink w:anchor="_Toc23766985" w:history="1">
            <w:r w:rsidR="004A4963" w:rsidRPr="007D1918">
              <w:rPr>
                <w:rStyle w:val="Hyperlink"/>
              </w:rPr>
              <w:t>C.3.</w:t>
            </w:r>
            <w:r w:rsidR="004A4963" w:rsidRPr="007D1918">
              <w:rPr>
                <w:rFonts w:asciiTheme="minorHAnsi" w:eastAsiaTheme="minorEastAsia" w:hAnsiTheme="minorHAnsi" w:cstheme="minorBidi"/>
              </w:rPr>
              <w:tab/>
            </w:r>
            <w:r w:rsidR="004A4963" w:rsidRPr="007D1918">
              <w:rPr>
                <w:rStyle w:val="Hyperlink"/>
              </w:rPr>
              <w:t>Extrapolation translation issues</w:t>
            </w:r>
            <w:r w:rsidR="004A4963" w:rsidRPr="007D1918">
              <w:rPr>
                <w:webHidden/>
              </w:rPr>
              <w:tab/>
            </w:r>
            <w:r w:rsidR="004A4963" w:rsidRPr="007D1918">
              <w:rPr>
                <w:webHidden/>
              </w:rPr>
              <w:fldChar w:fldCharType="begin"/>
            </w:r>
            <w:r w:rsidR="004A4963" w:rsidRPr="007D1918">
              <w:rPr>
                <w:webHidden/>
              </w:rPr>
              <w:instrText xml:space="preserve"> PAGEREF _Toc23766985 \h </w:instrText>
            </w:r>
            <w:r w:rsidR="004A4963" w:rsidRPr="007D1918">
              <w:rPr>
                <w:webHidden/>
              </w:rPr>
            </w:r>
            <w:r w:rsidR="004A4963" w:rsidRPr="007D1918">
              <w:rPr>
                <w:webHidden/>
              </w:rPr>
              <w:fldChar w:fldCharType="separate"/>
            </w:r>
            <w:r w:rsidR="004A4963" w:rsidRPr="007D1918">
              <w:rPr>
                <w:webHidden/>
              </w:rPr>
              <w:t>117</w:t>
            </w:r>
            <w:r w:rsidR="004A4963" w:rsidRPr="007D1918">
              <w:rPr>
                <w:webHidden/>
              </w:rPr>
              <w:fldChar w:fldCharType="end"/>
            </w:r>
          </w:hyperlink>
        </w:p>
        <w:p w14:paraId="3E47F0FA" w14:textId="31131F9B" w:rsidR="004A4963" w:rsidRPr="007D1918" w:rsidRDefault="002814BF">
          <w:pPr>
            <w:pStyle w:val="TOC3"/>
            <w:rPr>
              <w:rFonts w:asciiTheme="minorHAnsi" w:eastAsiaTheme="minorEastAsia" w:hAnsiTheme="minorHAnsi" w:cstheme="minorBidi"/>
            </w:rPr>
          </w:pPr>
          <w:hyperlink w:anchor="_Toc23766986" w:history="1">
            <w:r w:rsidR="004A4963" w:rsidRPr="007D1918">
              <w:rPr>
                <w:rStyle w:val="Hyperlink"/>
              </w:rPr>
              <w:t>Indication 1</w:t>
            </w:r>
            <w:r w:rsidR="004A4963" w:rsidRPr="007D1918">
              <w:rPr>
                <w:webHidden/>
              </w:rPr>
              <w:tab/>
            </w:r>
            <w:r w:rsidR="004A4963" w:rsidRPr="007D1918">
              <w:rPr>
                <w:webHidden/>
              </w:rPr>
              <w:fldChar w:fldCharType="begin"/>
            </w:r>
            <w:r w:rsidR="004A4963" w:rsidRPr="007D1918">
              <w:rPr>
                <w:webHidden/>
              </w:rPr>
              <w:instrText xml:space="preserve"> PAGEREF _Toc23766986 \h </w:instrText>
            </w:r>
            <w:r w:rsidR="004A4963" w:rsidRPr="007D1918">
              <w:rPr>
                <w:webHidden/>
              </w:rPr>
            </w:r>
            <w:r w:rsidR="004A4963" w:rsidRPr="007D1918">
              <w:rPr>
                <w:webHidden/>
              </w:rPr>
              <w:fldChar w:fldCharType="separate"/>
            </w:r>
            <w:r w:rsidR="004A4963" w:rsidRPr="007D1918">
              <w:rPr>
                <w:webHidden/>
              </w:rPr>
              <w:t>117</w:t>
            </w:r>
            <w:r w:rsidR="004A4963" w:rsidRPr="007D1918">
              <w:rPr>
                <w:webHidden/>
              </w:rPr>
              <w:fldChar w:fldCharType="end"/>
            </w:r>
          </w:hyperlink>
        </w:p>
        <w:p w14:paraId="68F477BE" w14:textId="77B7B9BE" w:rsidR="004A4963" w:rsidRPr="007D1918" w:rsidRDefault="002814BF">
          <w:pPr>
            <w:pStyle w:val="TOC3"/>
            <w:rPr>
              <w:rFonts w:asciiTheme="minorHAnsi" w:eastAsiaTheme="minorEastAsia" w:hAnsiTheme="minorHAnsi" w:cstheme="minorBidi"/>
            </w:rPr>
          </w:pPr>
          <w:hyperlink w:anchor="_Toc23766987" w:history="1">
            <w:r w:rsidR="004A4963" w:rsidRPr="007D1918">
              <w:rPr>
                <w:rStyle w:val="Hyperlink"/>
              </w:rPr>
              <w:t>Indication 3</w:t>
            </w:r>
            <w:r w:rsidR="004A4963" w:rsidRPr="007D1918">
              <w:rPr>
                <w:webHidden/>
              </w:rPr>
              <w:tab/>
            </w:r>
            <w:r w:rsidR="004A4963" w:rsidRPr="007D1918">
              <w:rPr>
                <w:webHidden/>
              </w:rPr>
              <w:fldChar w:fldCharType="begin"/>
            </w:r>
            <w:r w:rsidR="004A4963" w:rsidRPr="007D1918">
              <w:rPr>
                <w:webHidden/>
              </w:rPr>
              <w:instrText xml:space="preserve"> PAGEREF _Toc23766987 \h </w:instrText>
            </w:r>
            <w:r w:rsidR="004A4963" w:rsidRPr="007D1918">
              <w:rPr>
                <w:webHidden/>
              </w:rPr>
            </w:r>
            <w:r w:rsidR="004A4963" w:rsidRPr="007D1918">
              <w:rPr>
                <w:webHidden/>
              </w:rPr>
              <w:fldChar w:fldCharType="separate"/>
            </w:r>
            <w:r w:rsidR="004A4963" w:rsidRPr="007D1918">
              <w:rPr>
                <w:webHidden/>
              </w:rPr>
              <w:t>118</w:t>
            </w:r>
            <w:r w:rsidR="004A4963" w:rsidRPr="007D1918">
              <w:rPr>
                <w:webHidden/>
              </w:rPr>
              <w:fldChar w:fldCharType="end"/>
            </w:r>
          </w:hyperlink>
        </w:p>
        <w:p w14:paraId="05A29476" w14:textId="5A58A7A9" w:rsidR="004A4963" w:rsidRPr="007D1918" w:rsidRDefault="002814BF">
          <w:pPr>
            <w:pStyle w:val="TOC2"/>
            <w:tabs>
              <w:tab w:val="left" w:pos="1418"/>
            </w:tabs>
            <w:rPr>
              <w:rFonts w:asciiTheme="minorHAnsi" w:eastAsiaTheme="minorEastAsia" w:hAnsiTheme="minorHAnsi" w:cstheme="minorBidi"/>
            </w:rPr>
          </w:pPr>
          <w:hyperlink w:anchor="_Toc23766988" w:history="1">
            <w:r w:rsidR="004A4963" w:rsidRPr="007D1918">
              <w:rPr>
                <w:rStyle w:val="Hyperlink"/>
              </w:rPr>
              <w:t>C.4.</w:t>
            </w:r>
            <w:r w:rsidR="004A4963" w:rsidRPr="007D1918">
              <w:rPr>
                <w:rFonts w:asciiTheme="minorHAnsi" w:eastAsiaTheme="minorEastAsia" w:hAnsiTheme="minorHAnsi" w:cstheme="minorBidi"/>
              </w:rPr>
              <w:tab/>
            </w:r>
            <w:r w:rsidR="004A4963" w:rsidRPr="007D1918">
              <w:rPr>
                <w:rStyle w:val="Hyperlink"/>
              </w:rPr>
              <w:t>Transformation issues</w:t>
            </w:r>
            <w:r w:rsidR="004A4963" w:rsidRPr="007D1918">
              <w:rPr>
                <w:webHidden/>
              </w:rPr>
              <w:tab/>
            </w:r>
            <w:r w:rsidR="004A4963" w:rsidRPr="007D1918">
              <w:rPr>
                <w:webHidden/>
              </w:rPr>
              <w:fldChar w:fldCharType="begin"/>
            </w:r>
            <w:r w:rsidR="004A4963" w:rsidRPr="007D1918">
              <w:rPr>
                <w:webHidden/>
              </w:rPr>
              <w:instrText xml:space="preserve"> PAGEREF _Toc23766988 \h </w:instrText>
            </w:r>
            <w:r w:rsidR="004A4963" w:rsidRPr="007D1918">
              <w:rPr>
                <w:webHidden/>
              </w:rPr>
            </w:r>
            <w:r w:rsidR="004A4963" w:rsidRPr="007D1918">
              <w:rPr>
                <w:webHidden/>
              </w:rPr>
              <w:fldChar w:fldCharType="separate"/>
            </w:r>
            <w:r w:rsidR="004A4963" w:rsidRPr="007D1918">
              <w:rPr>
                <w:webHidden/>
              </w:rPr>
              <w:t>121</w:t>
            </w:r>
            <w:r w:rsidR="004A4963" w:rsidRPr="007D1918">
              <w:rPr>
                <w:webHidden/>
              </w:rPr>
              <w:fldChar w:fldCharType="end"/>
            </w:r>
          </w:hyperlink>
        </w:p>
        <w:p w14:paraId="49261D93" w14:textId="2337E080" w:rsidR="004A4963" w:rsidRPr="007D1918" w:rsidRDefault="002814BF">
          <w:pPr>
            <w:pStyle w:val="TOC3"/>
            <w:rPr>
              <w:rFonts w:asciiTheme="minorHAnsi" w:eastAsiaTheme="minorEastAsia" w:hAnsiTheme="minorHAnsi" w:cstheme="minorBidi"/>
            </w:rPr>
          </w:pPr>
          <w:hyperlink w:anchor="_Toc23766989" w:history="1">
            <w:r w:rsidR="004A4963" w:rsidRPr="007D1918">
              <w:rPr>
                <w:rStyle w:val="Hyperlink"/>
              </w:rPr>
              <w:t>Indication 1</w:t>
            </w:r>
            <w:r w:rsidR="004A4963" w:rsidRPr="007D1918">
              <w:rPr>
                <w:webHidden/>
              </w:rPr>
              <w:tab/>
            </w:r>
            <w:r w:rsidR="004A4963" w:rsidRPr="007D1918">
              <w:rPr>
                <w:webHidden/>
              </w:rPr>
              <w:fldChar w:fldCharType="begin"/>
            </w:r>
            <w:r w:rsidR="004A4963" w:rsidRPr="007D1918">
              <w:rPr>
                <w:webHidden/>
              </w:rPr>
              <w:instrText xml:space="preserve"> PAGEREF _Toc23766989 \h </w:instrText>
            </w:r>
            <w:r w:rsidR="004A4963" w:rsidRPr="007D1918">
              <w:rPr>
                <w:webHidden/>
              </w:rPr>
            </w:r>
            <w:r w:rsidR="004A4963" w:rsidRPr="007D1918">
              <w:rPr>
                <w:webHidden/>
              </w:rPr>
              <w:fldChar w:fldCharType="separate"/>
            </w:r>
            <w:r w:rsidR="004A4963" w:rsidRPr="007D1918">
              <w:rPr>
                <w:webHidden/>
              </w:rPr>
              <w:t>121</w:t>
            </w:r>
            <w:r w:rsidR="004A4963" w:rsidRPr="007D1918">
              <w:rPr>
                <w:webHidden/>
              </w:rPr>
              <w:fldChar w:fldCharType="end"/>
            </w:r>
          </w:hyperlink>
        </w:p>
        <w:p w14:paraId="56497EC5" w14:textId="4C8ABB0E" w:rsidR="004A4963" w:rsidRPr="007D1918" w:rsidRDefault="002814BF">
          <w:pPr>
            <w:pStyle w:val="TOC3"/>
            <w:rPr>
              <w:rFonts w:asciiTheme="minorHAnsi" w:eastAsiaTheme="minorEastAsia" w:hAnsiTheme="minorHAnsi" w:cstheme="minorBidi"/>
            </w:rPr>
          </w:pPr>
          <w:hyperlink w:anchor="_Toc23766990" w:history="1">
            <w:r w:rsidR="004A4963" w:rsidRPr="007D1918">
              <w:rPr>
                <w:rStyle w:val="Hyperlink"/>
              </w:rPr>
              <w:t>Indication 3</w:t>
            </w:r>
            <w:r w:rsidR="004A4963" w:rsidRPr="007D1918">
              <w:rPr>
                <w:webHidden/>
              </w:rPr>
              <w:tab/>
            </w:r>
            <w:r w:rsidR="004A4963" w:rsidRPr="007D1918">
              <w:rPr>
                <w:webHidden/>
              </w:rPr>
              <w:fldChar w:fldCharType="begin"/>
            </w:r>
            <w:r w:rsidR="004A4963" w:rsidRPr="007D1918">
              <w:rPr>
                <w:webHidden/>
              </w:rPr>
              <w:instrText xml:space="preserve"> PAGEREF _Toc23766990 \h </w:instrText>
            </w:r>
            <w:r w:rsidR="004A4963" w:rsidRPr="007D1918">
              <w:rPr>
                <w:webHidden/>
              </w:rPr>
            </w:r>
            <w:r w:rsidR="004A4963" w:rsidRPr="007D1918">
              <w:rPr>
                <w:webHidden/>
              </w:rPr>
              <w:fldChar w:fldCharType="separate"/>
            </w:r>
            <w:r w:rsidR="004A4963" w:rsidRPr="007D1918">
              <w:rPr>
                <w:webHidden/>
              </w:rPr>
              <w:t>127</w:t>
            </w:r>
            <w:r w:rsidR="004A4963" w:rsidRPr="007D1918">
              <w:rPr>
                <w:webHidden/>
              </w:rPr>
              <w:fldChar w:fldCharType="end"/>
            </w:r>
          </w:hyperlink>
        </w:p>
        <w:p w14:paraId="5C913AC2" w14:textId="25732BB7" w:rsidR="004A4963" w:rsidRPr="007D1918" w:rsidRDefault="002814BF">
          <w:pPr>
            <w:pStyle w:val="TOC1"/>
            <w:rPr>
              <w:rFonts w:asciiTheme="minorHAnsi" w:eastAsiaTheme="minorEastAsia" w:hAnsiTheme="minorHAnsi" w:cstheme="minorBidi"/>
              <w:b w:val="0"/>
            </w:rPr>
          </w:pPr>
          <w:hyperlink w:anchor="_Toc23766991" w:history="1">
            <w:r w:rsidR="004A4963" w:rsidRPr="007D1918">
              <w:rPr>
                <w:rStyle w:val="Hyperlink"/>
              </w:rPr>
              <w:t>Section D</w:t>
            </w:r>
            <w:r w:rsidR="004A4963" w:rsidRPr="007D1918">
              <w:rPr>
                <w:rFonts w:asciiTheme="minorHAnsi" w:eastAsiaTheme="minorEastAsia" w:hAnsiTheme="minorHAnsi" w:cstheme="minorBidi"/>
                <w:b w:val="0"/>
              </w:rPr>
              <w:tab/>
            </w:r>
            <w:r w:rsidR="004A4963" w:rsidRPr="007D1918">
              <w:rPr>
                <w:rStyle w:val="Hyperlink"/>
              </w:rPr>
              <w:t>Economic Evaluation</w:t>
            </w:r>
            <w:r w:rsidR="004A4963" w:rsidRPr="007D1918">
              <w:rPr>
                <w:webHidden/>
              </w:rPr>
              <w:tab/>
            </w:r>
            <w:r w:rsidR="004A4963" w:rsidRPr="007D1918">
              <w:rPr>
                <w:webHidden/>
              </w:rPr>
              <w:fldChar w:fldCharType="begin"/>
            </w:r>
            <w:r w:rsidR="004A4963" w:rsidRPr="007D1918">
              <w:rPr>
                <w:webHidden/>
              </w:rPr>
              <w:instrText xml:space="preserve"> PAGEREF _Toc23766991 \h </w:instrText>
            </w:r>
            <w:r w:rsidR="004A4963" w:rsidRPr="007D1918">
              <w:rPr>
                <w:webHidden/>
              </w:rPr>
            </w:r>
            <w:r w:rsidR="004A4963" w:rsidRPr="007D1918">
              <w:rPr>
                <w:webHidden/>
              </w:rPr>
              <w:fldChar w:fldCharType="separate"/>
            </w:r>
            <w:r w:rsidR="004A4963" w:rsidRPr="007D1918">
              <w:rPr>
                <w:webHidden/>
              </w:rPr>
              <w:t>129</w:t>
            </w:r>
            <w:r w:rsidR="004A4963" w:rsidRPr="007D1918">
              <w:rPr>
                <w:webHidden/>
              </w:rPr>
              <w:fldChar w:fldCharType="end"/>
            </w:r>
          </w:hyperlink>
        </w:p>
        <w:p w14:paraId="4A881398" w14:textId="6571BA0A" w:rsidR="004A4963" w:rsidRPr="007D1918" w:rsidRDefault="002814BF">
          <w:pPr>
            <w:pStyle w:val="TOC2"/>
            <w:tabs>
              <w:tab w:val="left" w:pos="1540"/>
            </w:tabs>
            <w:rPr>
              <w:rFonts w:asciiTheme="minorHAnsi" w:eastAsiaTheme="minorEastAsia" w:hAnsiTheme="minorHAnsi" w:cstheme="minorBidi"/>
            </w:rPr>
          </w:pPr>
          <w:hyperlink w:anchor="_Toc23766992" w:history="1">
            <w:r w:rsidR="004A4963" w:rsidRPr="007D1918">
              <w:rPr>
                <w:rStyle w:val="Hyperlink"/>
              </w:rPr>
              <w:t>D.1.</w:t>
            </w:r>
            <w:r w:rsidR="004A4963" w:rsidRPr="007D1918">
              <w:rPr>
                <w:rFonts w:asciiTheme="minorHAnsi" w:eastAsiaTheme="minorEastAsia" w:hAnsiTheme="minorHAnsi" w:cstheme="minorBidi"/>
              </w:rPr>
              <w:tab/>
            </w:r>
            <w:r w:rsidR="004A4963" w:rsidRPr="007D1918">
              <w:rPr>
                <w:rStyle w:val="Hyperlink"/>
              </w:rPr>
              <w:t>Overview</w:t>
            </w:r>
            <w:r w:rsidR="004A4963" w:rsidRPr="007D1918">
              <w:rPr>
                <w:webHidden/>
              </w:rPr>
              <w:tab/>
            </w:r>
            <w:r w:rsidR="004A4963" w:rsidRPr="007D1918">
              <w:rPr>
                <w:webHidden/>
              </w:rPr>
              <w:fldChar w:fldCharType="begin"/>
            </w:r>
            <w:r w:rsidR="004A4963" w:rsidRPr="007D1918">
              <w:rPr>
                <w:webHidden/>
              </w:rPr>
              <w:instrText xml:space="preserve"> PAGEREF _Toc23766992 \h </w:instrText>
            </w:r>
            <w:r w:rsidR="004A4963" w:rsidRPr="007D1918">
              <w:rPr>
                <w:webHidden/>
              </w:rPr>
            </w:r>
            <w:r w:rsidR="004A4963" w:rsidRPr="007D1918">
              <w:rPr>
                <w:webHidden/>
              </w:rPr>
              <w:fldChar w:fldCharType="separate"/>
            </w:r>
            <w:r w:rsidR="004A4963" w:rsidRPr="007D1918">
              <w:rPr>
                <w:webHidden/>
              </w:rPr>
              <w:t>129</w:t>
            </w:r>
            <w:r w:rsidR="004A4963" w:rsidRPr="007D1918">
              <w:rPr>
                <w:webHidden/>
              </w:rPr>
              <w:fldChar w:fldCharType="end"/>
            </w:r>
          </w:hyperlink>
        </w:p>
        <w:p w14:paraId="6164965E" w14:textId="766ED38C" w:rsidR="004A4963" w:rsidRPr="007D1918" w:rsidRDefault="002814BF">
          <w:pPr>
            <w:pStyle w:val="TOC2"/>
            <w:tabs>
              <w:tab w:val="left" w:pos="1540"/>
            </w:tabs>
            <w:rPr>
              <w:rFonts w:asciiTheme="minorHAnsi" w:eastAsiaTheme="minorEastAsia" w:hAnsiTheme="minorHAnsi" w:cstheme="minorBidi"/>
            </w:rPr>
          </w:pPr>
          <w:hyperlink w:anchor="_Toc23766993" w:history="1">
            <w:r w:rsidR="004A4963" w:rsidRPr="007D1918">
              <w:rPr>
                <w:rStyle w:val="Hyperlink"/>
              </w:rPr>
              <w:t>D.2.</w:t>
            </w:r>
            <w:r w:rsidR="004A4963" w:rsidRPr="007D1918">
              <w:rPr>
                <w:rFonts w:asciiTheme="minorHAnsi" w:eastAsiaTheme="minorEastAsia" w:hAnsiTheme="minorHAnsi" w:cstheme="minorBidi"/>
              </w:rPr>
              <w:tab/>
            </w:r>
            <w:r w:rsidR="004A4963" w:rsidRPr="007D1918">
              <w:rPr>
                <w:rStyle w:val="Hyperlink"/>
              </w:rPr>
              <w:t>Populations and settings</w:t>
            </w:r>
            <w:r w:rsidR="004A4963" w:rsidRPr="007D1918">
              <w:rPr>
                <w:webHidden/>
              </w:rPr>
              <w:tab/>
            </w:r>
            <w:r w:rsidR="004A4963" w:rsidRPr="007D1918">
              <w:rPr>
                <w:webHidden/>
              </w:rPr>
              <w:fldChar w:fldCharType="begin"/>
            </w:r>
            <w:r w:rsidR="004A4963" w:rsidRPr="007D1918">
              <w:rPr>
                <w:webHidden/>
              </w:rPr>
              <w:instrText xml:space="preserve"> PAGEREF _Toc23766993 \h </w:instrText>
            </w:r>
            <w:r w:rsidR="004A4963" w:rsidRPr="007D1918">
              <w:rPr>
                <w:webHidden/>
              </w:rPr>
            </w:r>
            <w:r w:rsidR="004A4963" w:rsidRPr="007D1918">
              <w:rPr>
                <w:webHidden/>
              </w:rPr>
              <w:fldChar w:fldCharType="separate"/>
            </w:r>
            <w:r w:rsidR="004A4963" w:rsidRPr="007D1918">
              <w:rPr>
                <w:webHidden/>
              </w:rPr>
              <w:t>130</w:t>
            </w:r>
            <w:r w:rsidR="004A4963" w:rsidRPr="007D1918">
              <w:rPr>
                <w:webHidden/>
              </w:rPr>
              <w:fldChar w:fldCharType="end"/>
            </w:r>
          </w:hyperlink>
        </w:p>
        <w:p w14:paraId="6AE9806B" w14:textId="326A61B5" w:rsidR="004A4963" w:rsidRPr="007D1918" w:rsidRDefault="002814BF">
          <w:pPr>
            <w:pStyle w:val="TOC2"/>
            <w:tabs>
              <w:tab w:val="left" w:pos="1540"/>
            </w:tabs>
            <w:rPr>
              <w:rFonts w:asciiTheme="minorHAnsi" w:eastAsiaTheme="minorEastAsia" w:hAnsiTheme="minorHAnsi" w:cstheme="minorBidi"/>
            </w:rPr>
          </w:pPr>
          <w:hyperlink w:anchor="_Toc23766994" w:history="1">
            <w:r w:rsidR="004A4963" w:rsidRPr="007D1918">
              <w:rPr>
                <w:rStyle w:val="Hyperlink"/>
              </w:rPr>
              <w:t>D.3.</w:t>
            </w:r>
            <w:r w:rsidR="004A4963" w:rsidRPr="007D1918">
              <w:rPr>
                <w:rFonts w:asciiTheme="minorHAnsi" w:eastAsiaTheme="minorEastAsia" w:hAnsiTheme="minorHAnsi" w:cstheme="minorBidi"/>
              </w:rPr>
              <w:tab/>
            </w:r>
            <w:r w:rsidR="004A4963" w:rsidRPr="007D1918">
              <w:rPr>
                <w:rStyle w:val="Hyperlink"/>
              </w:rPr>
              <w:t>Structure and rationale of the economic evaluation</w:t>
            </w:r>
            <w:r w:rsidR="004A4963" w:rsidRPr="007D1918">
              <w:rPr>
                <w:webHidden/>
              </w:rPr>
              <w:tab/>
            </w:r>
            <w:r w:rsidR="004A4963" w:rsidRPr="007D1918">
              <w:rPr>
                <w:webHidden/>
              </w:rPr>
              <w:fldChar w:fldCharType="begin"/>
            </w:r>
            <w:r w:rsidR="004A4963" w:rsidRPr="007D1918">
              <w:rPr>
                <w:webHidden/>
              </w:rPr>
              <w:instrText xml:space="preserve"> PAGEREF _Toc23766994 \h </w:instrText>
            </w:r>
            <w:r w:rsidR="004A4963" w:rsidRPr="007D1918">
              <w:rPr>
                <w:webHidden/>
              </w:rPr>
            </w:r>
            <w:r w:rsidR="004A4963" w:rsidRPr="007D1918">
              <w:rPr>
                <w:webHidden/>
              </w:rPr>
              <w:fldChar w:fldCharType="separate"/>
            </w:r>
            <w:r w:rsidR="004A4963" w:rsidRPr="007D1918">
              <w:rPr>
                <w:webHidden/>
              </w:rPr>
              <w:t>131</w:t>
            </w:r>
            <w:r w:rsidR="004A4963" w:rsidRPr="007D1918">
              <w:rPr>
                <w:webHidden/>
              </w:rPr>
              <w:fldChar w:fldCharType="end"/>
            </w:r>
          </w:hyperlink>
        </w:p>
        <w:p w14:paraId="1AF074C5" w14:textId="6A2A5D73" w:rsidR="004A4963" w:rsidRPr="007D1918" w:rsidRDefault="002814BF">
          <w:pPr>
            <w:pStyle w:val="TOC3"/>
            <w:rPr>
              <w:rFonts w:asciiTheme="minorHAnsi" w:eastAsiaTheme="minorEastAsia" w:hAnsiTheme="minorHAnsi" w:cstheme="minorBidi"/>
            </w:rPr>
          </w:pPr>
          <w:hyperlink w:anchor="_Toc23766995" w:history="1">
            <w:r w:rsidR="004A4963" w:rsidRPr="007D1918">
              <w:rPr>
                <w:rStyle w:val="Hyperlink"/>
              </w:rPr>
              <w:t>Structure of the economic evaluation</w:t>
            </w:r>
            <w:r w:rsidR="004A4963" w:rsidRPr="007D1918">
              <w:rPr>
                <w:webHidden/>
              </w:rPr>
              <w:tab/>
            </w:r>
            <w:r w:rsidR="004A4963" w:rsidRPr="007D1918">
              <w:rPr>
                <w:webHidden/>
              </w:rPr>
              <w:fldChar w:fldCharType="begin"/>
            </w:r>
            <w:r w:rsidR="004A4963" w:rsidRPr="007D1918">
              <w:rPr>
                <w:webHidden/>
              </w:rPr>
              <w:instrText xml:space="preserve"> PAGEREF _Toc23766995 \h </w:instrText>
            </w:r>
            <w:r w:rsidR="004A4963" w:rsidRPr="007D1918">
              <w:rPr>
                <w:webHidden/>
              </w:rPr>
            </w:r>
            <w:r w:rsidR="004A4963" w:rsidRPr="007D1918">
              <w:rPr>
                <w:webHidden/>
              </w:rPr>
              <w:fldChar w:fldCharType="separate"/>
            </w:r>
            <w:r w:rsidR="004A4963" w:rsidRPr="007D1918">
              <w:rPr>
                <w:webHidden/>
              </w:rPr>
              <w:t>135</w:t>
            </w:r>
            <w:r w:rsidR="004A4963" w:rsidRPr="007D1918">
              <w:rPr>
                <w:webHidden/>
              </w:rPr>
              <w:fldChar w:fldCharType="end"/>
            </w:r>
          </w:hyperlink>
        </w:p>
        <w:p w14:paraId="15BC72A0" w14:textId="44DA50A2" w:rsidR="004A4963" w:rsidRPr="007D1918" w:rsidRDefault="002814BF">
          <w:pPr>
            <w:pStyle w:val="TOC2"/>
            <w:tabs>
              <w:tab w:val="left" w:pos="1540"/>
            </w:tabs>
            <w:rPr>
              <w:rFonts w:asciiTheme="minorHAnsi" w:eastAsiaTheme="minorEastAsia" w:hAnsiTheme="minorHAnsi" w:cstheme="minorBidi"/>
            </w:rPr>
          </w:pPr>
          <w:hyperlink w:anchor="_Toc23766996" w:history="1">
            <w:r w:rsidR="004A4963" w:rsidRPr="007D1918">
              <w:rPr>
                <w:rStyle w:val="Hyperlink"/>
              </w:rPr>
              <w:t>D.4.</w:t>
            </w:r>
            <w:r w:rsidR="004A4963" w:rsidRPr="007D1918">
              <w:rPr>
                <w:rFonts w:asciiTheme="minorHAnsi" w:eastAsiaTheme="minorEastAsia" w:hAnsiTheme="minorHAnsi" w:cstheme="minorBidi"/>
              </w:rPr>
              <w:tab/>
            </w:r>
            <w:r w:rsidR="004A4963" w:rsidRPr="007D1918">
              <w:rPr>
                <w:rStyle w:val="Hyperlink"/>
              </w:rPr>
              <w:t>Inputs to the economic evaluation</w:t>
            </w:r>
            <w:r w:rsidR="004A4963" w:rsidRPr="007D1918">
              <w:rPr>
                <w:webHidden/>
              </w:rPr>
              <w:tab/>
            </w:r>
            <w:r w:rsidR="004A4963" w:rsidRPr="007D1918">
              <w:rPr>
                <w:webHidden/>
              </w:rPr>
              <w:fldChar w:fldCharType="begin"/>
            </w:r>
            <w:r w:rsidR="004A4963" w:rsidRPr="007D1918">
              <w:rPr>
                <w:webHidden/>
              </w:rPr>
              <w:instrText xml:space="preserve"> PAGEREF _Toc23766996 \h </w:instrText>
            </w:r>
            <w:r w:rsidR="004A4963" w:rsidRPr="007D1918">
              <w:rPr>
                <w:webHidden/>
              </w:rPr>
            </w:r>
            <w:r w:rsidR="004A4963" w:rsidRPr="007D1918">
              <w:rPr>
                <w:webHidden/>
              </w:rPr>
              <w:fldChar w:fldCharType="separate"/>
            </w:r>
            <w:r w:rsidR="004A4963" w:rsidRPr="007D1918">
              <w:rPr>
                <w:webHidden/>
              </w:rPr>
              <w:t>139</w:t>
            </w:r>
            <w:r w:rsidR="004A4963" w:rsidRPr="007D1918">
              <w:rPr>
                <w:webHidden/>
              </w:rPr>
              <w:fldChar w:fldCharType="end"/>
            </w:r>
          </w:hyperlink>
        </w:p>
        <w:p w14:paraId="79861B6B" w14:textId="5D2C5A64" w:rsidR="004A4963" w:rsidRPr="007D1918" w:rsidRDefault="002814BF">
          <w:pPr>
            <w:pStyle w:val="TOC3"/>
            <w:rPr>
              <w:rFonts w:asciiTheme="minorHAnsi" w:eastAsiaTheme="minorEastAsia" w:hAnsiTheme="minorHAnsi" w:cstheme="minorBidi"/>
            </w:rPr>
          </w:pPr>
          <w:hyperlink w:anchor="_Toc23766997" w:history="1">
            <w:r w:rsidR="004A4963" w:rsidRPr="007D1918">
              <w:rPr>
                <w:rStyle w:val="Hyperlink"/>
              </w:rPr>
              <w:t>Patient Demographic inputs</w:t>
            </w:r>
            <w:r w:rsidR="004A4963" w:rsidRPr="007D1918">
              <w:rPr>
                <w:webHidden/>
              </w:rPr>
              <w:tab/>
            </w:r>
            <w:r w:rsidR="004A4963" w:rsidRPr="007D1918">
              <w:rPr>
                <w:webHidden/>
              </w:rPr>
              <w:fldChar w:fldCharType="begin"/>
            </w:r>
            <w:r w:rsidR="004A4963" w:rsidRPr="007D1918">
              <w:rPr>
                <w:webHidden/>
              </w:rPr>
              <w:instrText xml:space="preserve"> PAGEREF _Toc23766997 \h </w:instrText>
            </w:r>
            <w:r w:rsidR="004A4963" w:rsidRPr="007D1918">
              <w:rPr>
                <w:webHidden/>
              </w:rPr>
            </w:r>
            <w:r w:rsidR="004A4963" w:rsidRPr="007D1918">
              <w:rPr>
                <w:webHidden/>
              </w:rPr>
              <w:fldChar w:fldCharType="separate"/>
            </w:r>
            <w:r w:rsidR="004A4963" w:rsidRPr="007D1918">
              <w:rPr>
                <w:webHidden/>
              </w:rPr>
              <w:t>139</w:t>
            </w:r>
            <w:r w:rsidR="004A4963" w:rsidRPr="007D1918">
              <w:rPr>
                <w:webHidden/>
              </w:rPr>
              <w:fldChar w:fldCharType="end"/>
            </w:r>
          </w:hyperlink>
        </w:p>
        <w:p w14:paraId="28D6DA06" w14:textId="4C04A3E3" w:rsidR="004A4963" w:rsidRPr="007D1918" w:rsidRDefault="002814BF">
          <w:pPr>
            <w:pStyle w:val="TOC3"/>
            <w:rPr>
              <w:rFonts w:asciiTheme="minorHAnsi" w:eastAsiaTheme="minorEastAsia" w:hAnsiTheme="minorHAnsi" w:cstheme="minorBidi"/>
            </w:rPr>
          </w:pPr>
          <w:hyperlink w:anchor="_Toc23766998" w:history="1">
            <w:r w:rsidR="004A4963" w:rsidRPr="007D1918">
              <w:rPr>
                <w:rStyle w:val="Hyperlink"/>
                <w:snapToGrid w:val="0"/>
                <w:lang w:eastAsia="en-US"/>
              </w:rPr>
              <w:t>Clinical management inputs</w:t>
            </w:r>
            <w:r w:rsidR="004A4963" w:rsidRPr="007D1918">
              <w:rPr>
                <w:webHidden/>
              </w:rPr>
              <w:tab/>
            </w:r>
            <w:r w:rsidR="004A4963" w:rsidRPr="007D1918">
              <w:rPr>
                <w:webHidden/>
              </w:rPr>
              <w:fldChar w:fldCharType="begin"/>
            </w:r>
            <w:r w:rsidR="004A4963" w:rsidRPr="007D1918">
              <w:rPr>
                <w:webHidden/>
              </w:rPr>
              <w:instrText xml:space="preserve"> PAGEREF _Toc23766998 \h </w:instrText>
            </w:r>
            <w:r w:rsidR="004A4963" w:rsidRPr="007D1918">
              <w:rPr>
                <w:webHidden/>
              </w:rPr>
            </w:r>
            <w:r w:rsidR="004A4963" w:rsidRPr="007D1918">
              <w:rPr>
                <w:webHidden/>
              </w:rPr>
              <w:fldChar w:fldCharType="separate"/>
            </w:r>
            <w:r w:rsidR="004A4963" w:rsidRPr="007D1918">
              <w:rPr>
                <w:webHidden/>
              </w:rPr>
              <w:t>139</w:t>
            </w:r>
            <w:r w:rsidR="004A4963" w:rsidRPr="007D1918">
              <w:rPr>
                <w:webHidden/>
              </w:rPr>
              <w:fldChar w:fldCharType="end"/>
            </w:r>
          </w:hyperlink>
        </w:p>
        <w:p w14:paraId="5576DF49" w14:textId="59C636EB" w:rsidR="004A4963" w:rsidRPr="007D1918" w:rsidRDefault="002814BF">
          <w:pPr>
            <w:pStyle w:val="TOC3"/>
            <w:rPr>
              <w:rFonts w:asciiTheme="minorHAnsi" w:eastAsiaTheme="minorEastAsia" w:hAnsiTheme="minorHAnsi" w:cstheme="minorBidi"/>
            </w:rPr>
          </w:pPr>
          <w:hyperlink w:anchor="_Toc23766999" w:history="1">
            <w:r w:rsidR="004A4963" w:rsidRPr="007D1918">
              <w:rPr>
                <w:rStyle w:val="Hyperlink"/>
                <w:snapToGrid w:val="0"/>
                <w:lang w:eastAsia="en-US"/>
              </w:rPr>
              <w:t>Adverse event and clinical outcome inputs</w:t>
            </w:r>
            <w:r w:rsidR="004A4963" w:rsidRPr="007D1918">
              <w:rPr>
                <w:webHidden/>
              </w:rPr>
              <w:tab/>
            </w:r>
            <w:r w:rsidR="004A4963" w:rsidRPr="007D1918">
              <w:rPr>
                <w:webHidden/>
              </w:rPr>
              <w:fldChar w:fldCharType="begin"/>
            </w:r>
            <w:r w:rsidR="004A4963" w:rsidRPr="007D1918">
              <w:rPr>
                <w:webHidden/>
              </w:rPr>
              <w:instrText xml:space="preserve"> PAGEREF _Toc23766999 \h </w:instrText>
            </w:r>
            <w:r w:rsidR="004A4963" w:rsidRPr="007D1918">
              <w:rPr>
                <w:webHidden/>
              </w:rPr>
            </w:r>
            <w:r w:rsidR="004A4963" w:rsidRPr="007D1918">
              <w:rPr>
                <w:webHidden/>
              </w:rPr>
              <w:fldChar w:fldCharType="separate"/>
            </w:r>
            <w:r w:rsidR="004A4963" w:rsidRPr="007D1918">
              <w:rPr>
                <w:webHidden/>
              </w:rPr>
              <w:t>142</w:t>
            </w:r>
            <w:r w:rsidR="004A4963" w:rsidRPr="007D1918">
              <w:rPr>
                <w:webHidden/>
              </w:rPr>
              <w:fldChar w:fldCharType="end"/>
            </w:r>
          </w:hyperlink>
        </w:p>
        <w:p w14:paraId="4C60DBD2" w14:textId="03501505" w:rsidR="004A4963" w:rsidRPr="007D1918" w:rsidRDefault="002814BF">
          <w:pPr>
            <w:pStyle w:val="TOC3"/>
            <w:rPr>
              <w:rFonts w:asciiTheme="minorHAnsi" w:eastAsiaTheme="minorEastAsia" w:hAnsiTheme="minorHAnsi" w:cstheme="minorBidi"/>
            </w:rPr>
          </w:pPr>
          <w:hyperlink w:anchor="_Toc23767000" w:history="1">
            <w:r w:rsidR="004A4963" w:rsidRPr="007D1918">
              <w:rPr>
                <w:rStyle w:val="Hyperlink"/>
              </w:rPr>
              <w:t>Resource costs</w:t>
            </w:r>
            <w:r w:rsidR="004A4963" w:rsidRPr="007D1918">
              <w:rPr>
                <w:webHidden/>
              </w:rPr>
              <w:tab/>
            </w:r>
            <w:r w:rsidR="004A4963" w:rsidRPr="007D1918">
              <w:rPr>
                <w:webHidden/>
              </w:rPr>
              <w:fldChar w:fldCharType="begin"/>
            </w:r>
            <w:r w:rsidR="004A4963" w:rsidRPr="007D1918">
              <w:rPr>
                <w:webHidden/>
              </w:rPr>
              <w:instrText xml:space="preserve"> PAGEREF _Toc23767000 \h </w:instrText>
            </w:r>
            <w:r w:rsidR="004A4963" w:rsidRPr="007D1918">
              <w:rPr>
                <w:webHidden/>
              </w:rPr>
            </w:r>
            <w:r w:rsidR="004A4963" w:rsidRPr="007D1918">
              <w:rPr>
                <w:webHidden/>
              </w:rPr>
              <w:fldChar w:fldCharType="separate"/>
            </w:r>
            <w:r w:rsidR="004A4963" w:rsidRPr="007D1918">
              <w:rPr>
                <w:webHidden/>
              </w:rPr>
              <w:t>143</w:t>
            </w:r>
            <w:r w:rsidR="004A4963" w:rsidRPr="007D1918">
              <w:rPr>
                <w:webHidden/>
              </w:rPr>
              <w:fldChar w:fldCharType="end"/>
            </w:r>
          </w:hyperlink>
        </w:p>
        <w:p w14:paraId="3ADDDB22" w14:textId="1D5636F9" w:rsidR="004A4963" w:rsidRPr="007D1918" w:rsidRDefault="002814BF">
          <w:pPr>
            <w:pStyle w:val="TOC3"/>
            <w:rPr>
              <w:rFonts w:asciiTheme="minorHAnsi" w:eastAsiaTheme="minorEastAsia" w:hAnsiTheme="minorHAnsi" w:cstheme="minorBidi"/>
            </w:rPr>
          </w:pPr>
          <w:hyperlink w:anchor="_Toc23767001" w:history="1">
            <w:r w:rsidR="004A4963" w:rsidRPr="007D1918">
              <w:rPr>
                <w:rStyle w:val="Hyperlink"/>
              </w:rPr>
              <w:t>Health Outcomes</w:t>
            </w:r>
            <w:r w:rsidR="004A4963" w:rsidRPr="007D1918">
              <w:rPr>
                <w:webHidden/>
              </w:rPr>
              <w:tab/>
            </w:r>
            <w:r w:rsidR="004A4963" w:rsidRPr="007D1918">
              <w:rPr>
                <w:webHidden/>
              </w:rPr>
              <w:fldChar w:fldCharType="begin"/>
            </w:r>
            <w:r w:rsidR="004A4963" w:rsidRPr="007D1918">
              <w:rPr>
                <w:webHidden/>
              </w:rPr>
              <w:instrText xml:space="preserve"> PAGEREF _Toc23767001 \h </w:instrText>
            </w:r>
            <w:r w:rsidR="004A4963" w:rsidRPr="007D1918">
              <w:rPr>
                <w:webHidden/>
              </w:rPr>
            </w:r>
            <w:r w:rsidR="004A4963" w:rsidRPr="007D1918">
              <w:rPr>
                <w:webHidden/>
              </w:rPr>
              <w:fldChar w:fldCharType="separate"/>
            </w:r>
            <w:r w:rsidR="004A4963" w:rsidRPr="007D1918">
              <w:rPr>
                <w:webHidden/>
              </w:rPr>
              <w:t>148</w:t>
            </w:r>
            <w:r w:rsidR="004A4963" w:rsidRPr="007D1918">
              <w:rPr>
                <w:webHidden/>
              </w:rPr>
              <w:fldChar w:fldCharType="end"/>
            </w:r>
          </w:hyperlink>
        </w:p>
        <w:p w14:paraId="6C2C8B01" w14:textId="62B7C831" w:rsidR="004A4963" w:rsidRPr="007D1918" w:rsidRDefault="002814BF">
          <w:pPr>
            <w:pStyle w:val="TOC2"/>
            <w:tabs>
              <w:tab w:val="left" w:pos="1760"/>
            </w:tabs>
            <w:rPr>
              <w:rFonts w:asciiTheme="minorHAnsi" w:eastAsiaTheme="minorEastAsia" w:hAnsiTheme="minorHAnsi" w:cstheme="minorBidi"/>
            </w:rPr>
          </w:pPr>
          <w:hyperlink w:anchor="_Toc23767002" w:history="1">
            <w:r w:rsidR="004A4963" w:rsidRPr="007D1918">
              <w:rPr>
                <w:rStyle w:val="Hyperlink"/>
              </w:rPr>
              <w:t>D.5/6</w:t>
            </w:r>
            <w:r w:rsidR="004A4963" w:rsidRPr="007D1918">
              <w:rPr>
                <w:rFonts w:asciiTheme="minorHAnsi" w:eastAsiaTheme="minorEastAsia" w:hAnsiTheme="minorHAnsi" w:cstheme="minorBidi"/>
              </w:rPr>
              <w:tab/>
            </w:r>
            <w:r w:rsidR="004A4963" w:rsidRPr="007D1918">
              <w:rPr>
                <w:rStyle w:val="Hyperlink"/>
              </w:rPr>
              <w:t>Results of the Economic Evaluation, including exploratory and sensitivity analyses</w:t>
            </w:r>
            <w:r w:rsidR="004A4963" w:rsidRPr="007D1918">
              <w:rPr>
                <w:webHidden/>
              </w:rPr>
              <w:tab/>
            </w:r>
            <w:r w:rsidR="004A4963" w:rsidRPr="007D1918">
              <w:rPr>
                <w:webHidden/>
              </w:rPr>
              <w:tab/>
            </w:r>
            <w:r w:rsidR="004A4963" w:rsidRPr="007D1918">
              <w:rPr>
                <w:webHidden/>
              </w:rPr>
              <w:fldChar w:fldCharType="begin"/>
            </w:r>
            <w:r w:rsidR="004A4963" w:rsidRPr="007D1918">
              <w:rPr>
                <w:webHidden/>
              </w:rPr>
              <w:instrText xml:space="preserve"> PAGEREF _Toc23767002 \h </w:instrText>
            </w:r>
            <w:r w:rsidR="004A4963" w:rsidRPr="007D1918">
              <w:rPr>
                <w:webHidden/>
              </w:rPr>
            </w:r>
            <w:r w:rsidR="004A4963" w:rsidRPr="007D1918">
              <w:rPr>
                <w:webHidden/>
              </w:rPr>
              <w:fldChar w:fldCharType="separate"/>
            </w:r>
            <w:r w:rsidR="004A4963" w:rsidRPr="007D1918">
              <w:rPr>
                <w:webHidden/>
              </w:rPr>
              <w:t>150</w:t>
            </w:r>
            <w:r w:rsidR="004A4963" w:rsidRPr="007D1918">
              <w:rPr>
                <w:webHidden/>
              </w:rPr>
              <w:fldChar w:fldCharType="end"/>
            </w:r>
          </w:hyperlink>
        </w:p>
        <w:p w14:paraId="03DD9589" w14:textId="2F60ED5A" w:rsidR="004A4963" w:rsidRPr="007D1918" w:rsidRDefault="002814BF">
          <w:pPr>
            <w:pStyle w:val="TOC3"/>
            <w:tabs>
              <w:tab w:val="left" w:pos="2107"/>
            </w:tabs>
            <w:rPr>
              <w:rFonts w:asciiTheme="minorHAnsi" w:eastAsiaTheme="minorEastAsia" w:hAnsiTheme="minorHAnsi" w:cstheme="minorBidi"/>
            </w:rPr>
          </w:pPr>
          <w:hyperlink w:anchor="_Toc23767003" w:history="1">
            <w:r w:rsidR="004A4963" w:rsidRPr="007D1918">
              <w:rPr>
                <w:rStyle w:val="Hyperlink"/>
              </w:rPr>
              <w:t>D.5.1</w:t>
            </w:r>
            <w:r w:rsidR="004A4963" w:rsidRPr="007D1918">
              <w:rPr>
                <w:rFonts w:asciiTheme="minorHAnsi" w:eastAsiaTheme="minorEastAsia" w:hAnsiTheme="minorHAnsi" w:cstheme="minorBidi"/>
              </w:rPr>
              <w:tab/>
            </w:r>
            <w:r w:rsidR="004A4963" w:rsidRPr="007D1918">
              <w:rPr>
                <w:rStyle w:val="Hyperlink"/>
              </w:rPr>
              <w:t xml:space="preserve"> Indication 1 Analysis</w:t>
            </w:r>
            <w:r w:rsidR="004A4963" w:rsidRPr="007D1918">
              <w:rPr>
                <w:webHidden/>
              </w:rPr>
              <w:tab/>
            </w:r>
            <w:r w:rsidR="004A4963" w:rsidRPr="007D1918">
              <w:rPr>
                <w:webHidden/>
              </w:rPr>
              <w:fldChar w:fldCharType="begin"/>
            </w:r>
            <w:r w:rsidR="004A4963" w:rsidRPr="007D1918">
              <w:rPr>
                <w:webHidden/>
              </w:rPr>
              <w:instrText xml:space="preserve"> PAGEREF _Toc23767003 \h </w:instrText>
            </w:r>
            <w:r w:rsidR="004A4963" w:rsidRPr="007D1918">
              <w:rPr>
                <w:webHidden/>
              </w:rPr>
            </w:r>
            <w:r w:rsidR="004A4963" w:rsidRPr="007D1918">
              <w:rPr>
                <w:webHidden/>
              </w:rPr>
              <w:fldChar w:fldCharType="separate"/>
            </w:r>
            <w:r w:rsidR="004A4963" w:rsidRPr="007D1918">
              <w:rPr>
                <w:webHidden/>
              </w:rPr>
              <w:t>150</w:t>
            </w:r>
            <w:r w:rsidR="004A4963" w:rsidRPr="007D1918">
              <w:rPr>
                <w:webHidden/>
              </w:rPr>
              <w:fldChar w:fldCharType="end"/>
            </w:r>
          </w:hyperlink>
        </w:p>
        <w:p w14:paraId="66BE5919" w14:textId="1100F5F3" w:rsidR="004A4963" w:rsidRPr="007D1918" w:rsidRDefault="002814BF">
          <w:pPr>
            <w:pStyle w:val="TOC3"/>
            <w:tabs>
              <w:tab w:val="left" w:pos="2107"/>
            </w:tabs>
            <w:rPr>
              <w:rFonts w:asciiTheme="minorHAnsi" w:eastAsiaTheme="minorEastAsia" w:hAnsiTheme="minorHAnsi" w:cstheme="minorBidi"/>
            </w:rPr>
          </w:pPr>
          <w:hyperlink w:anchor="_Toc23767004" w:history="1">
            <w:r w:rsidR="004A4963" w:rsidRPr="007D1918">
              <w:rPr>
                <w:rStyle w:val="Hyperlink"/>
              </w:rPr>
              <w:t>D.5.2</w:t>
            </w:r>
            <w:r w:rsidR="004A4963" w:rsidRPr="007D1918">
              <w:rPr>
                <w:rFonts w:asciiTheme="minorHAnsi" w:eastAsiaTheme="minorEastAsia" w:hAnsiTheme="minorHAnsi" w:cstheme="minorBidi"/>
              </w:rPr>
              <w:tab/>
            </w:r>
            <w:r w:rsidR="004A4963" w:rsidRPr="007D1918">
              <w:rPr>
                <w:rStyle w:val="Hyperlink"/>
              </w:rPr>
              <w:t xml:space="preserve"> Indication 2 Analysis</w:t>
            </w:r>
            <w:r w:rsidR="004A4963" w:rsidRPr="007D1918">
              <w:rPr>
                <w:webHidden/>
              </w:rPr>
              <w:tab/>
            </w:r>
            <w:r w:rsidR="004A4963" w:rsidRPr="007D1918">
              <w:rPr>
                <w:webHidden/>
              </w:rPr>
              <w:fldChar w:fldCharType="begin"/>
            </w:r>
            <w:r w:rsidR="004A4963" w:rsidRPr="007D1918">
              <w:rPr>
                <w:webHidden/>
              </w:rPr>
              <w:instrText xml:space="preserve"> PAGEREF _Toc23767004 \h </w:instrText>
            </w:r>
            <w:r w:rsidR="004A4963" w:rsidRPr="007D1918">
              <w:rPr>
                <w:webHidden/>
              </w:rPr>
            </w:r>
            <w:r w:rsidR="004A4963" w:rsidRPr="007D1918">
              <w:rPr>
                <w:webHidden/>
              </w:rPr>
              <w:fldChar w:fldCharType="separate"/>
            </w:r>
            <w:r w:rsidR="004A4963" w:rsidRPr="007D1918">
              <w:rPr>
                <w:webHidden/>
              </w:rPr>
              <w:t>154</w:t>
            </w:r>
            <w:r w:rsidR="004A4963" w:rsidRPr="007D1918">
              <w:rPr>
                <w:webHidden/>
              </w:rPr>
              <w:fldChar w:fldCharType="end"/>
            </w:r>
          </w:hyperlink>
        </w:p>
        <w:p w14:paraId="2F6CF3FE" w14:textId="42F5193E" w:rsidR="004A4963" w:rsidRPr="007D1918" w:rsidRDefault="002814BF">
          <w:pPr>
            <w:pStyle w:val="TOC3"/>
            <w:tabs>
              <w:tab w:val="left" w:pos="2107"/>
            </w:tabs>
            <w:rPr>
              <w:rFonts w:asciiTheme="minorHAnsi" w:eastAsiaTheme="minorEastAsia" w:hAnsiTheme="minorHAnsi" w:cstheme="minorBidi"/>
            </w:rPr>
          </w:pPr>
          <w:hyperlink w:anchor="_Toc23767005" w:history="1">
            <w:r w:rsidR="004A4963" w:rsidRPr="007D1918">
              <w:rPr>
                <w:rStyle w:val="Hyperlink"/>
              </w:rPr>
              <w:t>D.5.3</w:t>
            </w:r>
            <w:r w:rsidR="004A4963" w:rsidRPr="007D1918">
              <w:rPr>
                <w:rFonts w:asciiTheme="minorHAnsi" w:eastAsiaTheme="minorEastAsia" w:hAnsiTheme="minorHAnsi" w:cstheme="minorBidi"/>
              </w:rPr>
              <w:tab/>
            </w:r>
            <w:r w:rsidR="004A4963" w:rsidRPr="007D1918">
              <w:rPr>
                <w:rStyle w:val="Hyperlink"/>
              </w:rPr>
              <w:t xml:space="preserve"> Indication 3 Analysis</w:t>
            </w:r>
            <w:r w:rsidR="004A4963" w:rsidRPr="007D1918">
              <w:rPr>
                <w:webHidden/>
              </w:rPr>
              <w:tab/>
            </w:r>
            <w:r w:rsidR="004A4963" w:rsidRPr="007D1918">
              <w:rPr>
                <w:webHidden/>
              </w:rPr>
              <w:fldChar w:fldCharType="begin"/>
            </w:r>
            <w:r w:rsidR="004A4963" w:rsidRPr="007D1918">
              <w:rPr>
                <w:webHidden/>
              </w:rPr>
              <w:instrText xml:space="preserve"> PAGEREF _Toc23767005 \h </w:instrText>
            </w:r>
            <w:r w:rsidR="004A4963" w:rsidRPr="007D1918">
              <w:rPr>
                <w:webHidden/>
              </w:rPr>
            </w:r>
            <w:r w:rsidR="004A4963" w:rsidRPr="007D1918">
              <w:rPr>
                <w:webHidden/>
              </w:rPr>
              <w:fldChar w:fldCharType="separate"/>
            </w:r>
            <w:r w:rsidR="004A4963" w:rsidRPr="007D1918">
              <w:rPr>
                <w:webHidden/>
              </w:rPr>
              <w:t>156</w:t>
            </w:r>
            <w:r w:rsidR="004A4963" w:rsidRPr="007D1918">
              <w:rPr>
                <w:webHidden/>
              </w:rPr>
              <w:fldChar w:fldCharType="end"/>
            </w:r>
          </w:hyperlink>
        </w:p>
        <w:p w14:paraId="01D91DEF" w14:textId="372296D9" w:rsidR="004A4963" w:rsidRPr="007D1918" w:rsidRDefault="002814BF">
          <w:pPr>
            <w:pStyle w:val="TOC1"/>
            <w:rPr>
              <w:rFonts w:asciiTheme="minorHAnsi" w:eastAsiaTheme="minorEastAsia" w:hAnsiTheme="minorHAnsi" w:cstheme="minorBidi"/>
              <w:b w:val="0"/>
            </w:rPr>
          </w:pPr>
          <w:hyperlink w:anchor="_Toc23767006" w:history="1">
            <w:r w:rsidR="004A4963" w:rsidRPr="007D1918">
              <w:rPr>
                <w:rStyle w:val="Hyperlink"/>
              </w:rPr>
              <w:t>Section E</w:t>
            </w:r>
            <w:r w:rsidR="004A4963" w:rsidRPr="007D1918">
              <w:rPr>
                <w:rFonts w:asciiTheme="minorHAnsi" w:eastAsiaTheme="minorEastAsia" w:hAnsiTheme="minorHAnsi" w:cstheme="minorBidi"/>
                <w:b w:val="0"/>
              </w:rPr>
              <w:tab/>
            </w:r>
            <w:r w:rsidR="004A4963" w:rsidRPr="007D1918">
              <w:rPr>
                <w:rStyle w:val="Hyperlink"/>
              </w:rPr>
              <w:t>Financial Implications</w:t>
            </w:r>
            <w:r w:rsidR="004A4963" w:rsidRPr="007D1918">
              <w:rPr>
                <w:webHidden/>
              </w:rPr>
              <w:tab/>
            </w:r>
            <w:r w:rsidR="004A4963" w:rsidRPr="007D1918">
              <w:rPr>
                <w:webHidden/>
              </w:rPr>
              <w:fldChar w:fldCharType="begin"/>
            </w:r>
            <w:r w:rsidR="004A4963" w:rsidRPr="007D1918">
              <w:rPr>
                <w:webHidden/>
              </w:rPr>
              <w:instrText xml:space="preserve"> PAGEREF _Toc23767006 \h </w:instrText>
            </w:r>
            <w:r w:rsidR="004A4963" w:rsidRPr="007D1918">
              <w:rPr>
                <w:webHidden/>
              </w:rPr>
            </w:r>
            <w:r w:rsidR="004A4963" w:rsidRPr="007D1918">
              <w:rPr>
                <w:webHidden/>
              </w:rPr>
              <w:fldChar w:fldCharType="separate"/>
            </w:r>
            <w:r w:rsidR="004A4963" w:rsidRPr="007D1918">
              <w:rPr>
                <w:webHidden/>
              </w:rPr>
              <w:t>162</w:t>
            </w:r>
            <w:r w:rsidR="004A4963" w:rsidRPr="007D1918">
              <w:rPr>
                <w:webHidden/>
              </w:rPr>
              <w:fldChar w:fldCharType="end"/>
            </w:r>
          </w:hyperlink>
        </w:p>
        <w:p w14:paraId="015E1852" w14:textId="0E0066D8" w:rsidR="004A4963" w:rsidRPr="007D1918" w:rsidRDefault="002814BF">
          <w:pPr>
            <w:pStyle w:val="TOC2"/>
            <w:tabs>
              <w:tab w:val="left" w:pos="1418"/>
            </w:tabs>
            <w:rPr>
              <w:rFonts w:asciiTheme="minorHAnsi" w:eastAsiaTheme="minorEastAsia" w:hAnsiTheme="minorHAnsi" w:cstheme="minorBidi"/>
            </w:rPr>
          </w:pPr>
          <w:hyperlink w:anchor="_Toc23767007" w:history="1">
            <w:r w:rsidR="004A4963" w:rsidRPr="007D1918">
              <w:rPr>
                <w:rStyle w:val="Hyperlink"/>
              </w:rPr>
              <w:t>E.1.</w:t>
            </w:r>
            <w:r w:rsidR="004A4963" w:rsidRPr="007D1918">
              <w:rPr>
                <w:rFonts w:asciiTheme="minorHAnsi" w:eastAsiaTheme="minorEastAsia" w:hAnsiTheme="minorHAnsi" w:cstheme="minorBidi"/>
              </w:rPr>
              <w:tab/>
            </w:r>
            <w:r w:rsidR="004A4963" w:rsidRPr="007D1918">
              <w:rPr>
                <w:rStyle w:val="Hyperlink"/>
              </w:rPr>
              <w:t>Justification of the Selection of Sources of Data</w:t>
            </w:r>
            <w:r w:rsidR="004A4963" w:rsidRPr="007D1918">
              <w:rPr>
                <w:webHidden/>
              </w:rPr>
              <w:tab/>
            </w:r>
            <w:r w:rsidR="004A4963" w:rsidRPr="007D1918">
              <w:rPr>
                <w:webHidden/>
              </w:rPr>
              <w:fldChar w:fldCharType="begin"/>
            </w:r>
            <w:r w:rsidR="004A4963" w:rsidRPr="007D1918">
              <w:rPr>
                <w:webHidden/>
              </w:rPr>
              <w:instrText xml:space="preserve"> PAGEREF _Toc23767007 \h </w:instrText>
            </w:r>
            <w:r w:rsidR="004A4963" w:rsidRPr="007D1918">
              <w:rPr>
                <w:webHidden/>
              </w:rPr>
            </w:r>
            <w:r w:rsidR="004A4963" w:rsidRPr="007D1918">
              <w:rPr>
                <w:webHidden/>
              </w:rPr>
              <w:fldChar w:fldCharType="separate"/>
            </w:r>
            <w:r w:rsidR="004A4963" w:rsidRPr="007D1918">
              <w:rPr>
                <w:webHidden/>
              </w:rPr>
              <w:t>162</w:t>
            </w:r>
            <w:r w:rsidR="004A4963" w:rsidRPr="007D1918">
              <w:rPr>
                <w:webHidden/>
              </w:rPr>
              <w:fldChar w:fldCharType="end"/>
            </w:r>
          </w:hyperlink>
        </w:p>
        <w:p w14:paraId="11D7A1A4" w14:textId="5F403828" w:rsidR="004A4963" w:rsidRPr="007D1918" w:rsidRDefault="002814BF">
          <w:pPr>
            <w:pStyle w:val="TOC2"/>
            <w:tabs>
              <w:tab w:val="left" w:pos="1418"/>
            </w:tabs>
            <w:rPr>
              <w:rFonts w:asciiTheme="minorHAnsi" w:eastAsiaTheme="minorEastAsia" w:hAnsiTheme="minorHAnsi" w:cstheme="minorBidi"/>
            </w:rPr>
          </w:pPr>
          <w:hyperlink w:anchor="_Toc23767008" w:history="1">
            <w:r w:rsidR="004A4963" w:rsidRPr="007D1918">
              <w:rPr>
                <w:rStyle w:val="Hyperlink"/>
              </w:rPr>
              <w:t>E.2.</w:t>
            </w:r>
            <w:r w:rsidR="004A4963" w:rsidRPr="007D1918">
              <w:rPr>
                <w:rFonts w:asciiTheme="minorHAnsi" w:eastAsiaTheme="minorEastAsia" w:hAnsiTheme="minorHAnsi" w:cstheme="minorBidi"/>
              </w:rPr>
              <w:tab/>
            </w:r>
            <w:r w:rsidR="004A4963" w:rsidRPr="007D1918">
              <w:rPr>
                <w:rStyle w:val="Hyperlink"/>
              </w:rPr>
              <w:t>Use and Costs of IVIg for MG</w:t>
            </w:r>
            <w:r w:rsidR="004A4963" w:rsidRPr="007D1918">
              <w:rPr>
                <w:webHidden/>
              </w:rPr>
              <w:tab/>
            </w:r>
            <w:r w:rsidR="004A4963" w:rsidRPr="007D1918">
              <w:rPr>
                <w:webHidden/>
              </w:rPr>
              <w:fldChar w:fldCharType="begin"/>
            </w:r>
            <w:r w:rsidR="004A4963" w:rsidRPr="007D1918">
              <w:rPr>
                <w:webHidden/>
              </w:rPr>
              <w:instrText xml:space="preserve"> PAGEREF _Toc23767008 \h </w:instrText>
            </w:r>
            <w:r w:rsidR="004A4963" w:rsidRPr="007D1918">
              <w:rPr>
                <w:webHidden/>
              </w:rPr>
            </w:r>
            <w:r w:rsidR="004A4963" w:rsidRPr="007D1918">
              <w:rPr>
                <w:webHidden/>
              </w:rPr>
              <w:fldChar w:fldCharType="separate"/>
            </w:r>
            <w:r w:rsidR="004A4963" w:rsidRPr="007D1918">
              <w:rPr>
                <w:webHidden/>
              </w:rPr>
              <w:t>163</w:t>
            </w:r>
            <w:r w:rsidR="004A4963" w:rsidRPr="007D1918">
              <w:rPr>
                <w:webHidden/>
              </w:rPr>
              <w:fldChar w:fldCharType="end"/>
            </w:r>
          </w:hyperlink>
        </w:p>
        <w:p w14:paraId="1860BC42" w14:textId="0047DB81" w:rsidR="004A4963" w:rsidRPr="007D1918" w:rsidRDefault="002814BF">
          <w:pPr>
            <w:pStyle w:val="TOC3"/>
            <w:rPr>
              <w:rFonts w:asciiTheme="minorHAnsi" w:eastAsiaTheme="minorEastAsia" w:hAnsiTheme="minorHAnsi" w:cstheme="minorBidi"/>
            </w:rPr>
          </w:pPr>
          <w:hyperlink w:anchor="_Toc23767009" w:history="1">
            <w:r w:rsidR="004A4963" w:rsidRPr="007D1918">
              <w:rPr>
                <w:rStyle w:val="Hyperlink"/>
              </w:rPr>
              <w:t>Estimated use and cost per patient who receives Ig</w:t>
            </w:r>
            <w:r w:rsidR="004A4963" w:rsidRPr="007D1918">
              <w:rPr>
                <w:webHidden/>
              </w:rPr>
              <w:tab/>
            </w:r>
            <w:r w:rsidR="004A4963" w:rsidRPr="007D1918">
              <w:rPr>
                <w:webHidden/>
              </w:rPr>
              <w:fldChar w:fldCharType="begin"/>
            </w:r>
            <w:r w:rsidR="004A4963" w:rsidRPr="007D1918">
              <w:rPr>
                <w:webHidden/>
              </w:rPr>
              <w:instrText xml:space="preserve"> PAGEREF _Toc23767009 \h </w:instrText>
            </w:r>
            <w:r w:rsidR="004A4963" w:rsidRPr="007D1918">
              <w:rPr>
                <w:webHidden/>
              </w:rPr>
            </w:r>
            <w:r w:rsidR="004A4963" w:rsidRPr="007D1918">
              <w:rPr>
                <w:webHidden/>
              </w:rPr>
              <w:fldChar w:fldCharType="separate"/>
            </w:r>
            <w:r w:rsidR="004A4963" w:rsidRPr="007D1918">
              <w:rPr>
                <w:webHidden/>
              </w:rPr>
              <w:t>163</w:t>
            </w:r>
            <w:r w:rsidR="004A4963" w:rsidRPr="007D1918">
              <w:rPr>
                <w:webHidden/>
              </w:rPr>
              <w:fldChar w:fldCharType="end"/>
            </w:r>
          </w:hyperlink>
        </w:p>
        <w:p w14:paraId="5222F2B8" w14:textId="3DA1E6C6" w:rsidR="004A4963" w:rsidRPr="007D1918" w:rsidRDefault="002814BF">
          <w:pPr>
            <w:pStyle w:val="TOC2"/>
            <w:tabs>
              <w:tab w:val="left" w:pos="1418"/>
            </w:tabs>
            <w:rPr>
              <w:rFonts w:asciiTheme="minorHAnsi" w:eastAsiaTheme="minorEastAsia" w:hAnsiTheme="minorHAnsi" w:cstheme="minorBidi"/>
            </w:rPr>
          </w:pPr>
          <w:hyperlink w:anchor="_Toc23767010" w:history="1">
            <w:r w:rsidR="004A4963" w:rsidRPr="007D1918">
              <w:rPr>
                <w:rStyle w:val="Hyperlink"/>
              </w:rPr>
              <w:t>E.3.</w:t>
            </w:r>
            <w:r w:rsidR="004A4963" w:rsidRPr="007D1918">
              <w:rPr>
                <w:rFonts w:asciiTheme="minorHAnsi" w:eastAsiaTheme="minorEastAsia" w:hAnsiTheme="minorHAnsi" w:cstheme="minorBidi"/>
              </w:rPr>
              <w:tab/>
            </w:r>
            <w:r w:rsidR="004A4963" w:rsidRPr="007D1918">
              <w:rPr>
                <w:rStyle w:val="Hyperlink"/>
              </w:rPr>
              <w:t>Changes in Use and Cost of Other Medical Services</w:t>
            </w:r>
            <w:r w:rsidR="004A4963" w:rsidRPr="007D1918">
              <w:rPr>
                <w:webHidden/>
              </w:rPr>
              <w:tab/>
            </w:r>
            <w:r w:rsidR="004A4963" w:rsidRPr="007D1918">
              <w:rPr>
                <w:webHidden/>
              </w:rPr>
              <w:fldChar w:fldCharType="begin"/>
            </w:r>
            <w:r w:rsidR="004A4963" w:rsidRPr="007D1918">
              <w:rPr>
                <w:webHidden/>
              </w:rPr>
              <w:instrText xml:space="preserve"> PAGEREF _Toc23767010 \h </w:instrText>
            </w:r>
            <w:r w:rsidR="004A4963" w:rsidRPr="007D1918">
              <w:rPr>
                <w:webHidden/>
              </w:rPr>
            </w:r>
            <w:r w:rsidR="004A4963" w:rsidRPr="007D1918">
              <w:rPr>
                <w:webHidden/>
              </w:rPr>
              <w:fldChar w:fldCharType="separate"/>
            </w:r>
            <w:r w:rsidR="004A4963" w:rsidRPr="007D1918">
              <w:rPr>
                <w:webHidden/>
              </w:rPr>
              <w:t>166</w:t>
            </w:r>
            <w:r w:rsidR="004A4963" w:rsidRPr="007D1918">
              <w:rPr>
                <w:webHidden/>
              </w:rPr>
              <w:fldChar w:fldCharType="end"/>
            </w:r>
          </w:hyperlink>
        </w:p>
        <w:p w14:paraId="21C65877" w14:textId="0780EAA0" w:rsidR="004A4963" w:rsidRPr="007D1918" w:rsidRDefault="002814BF">
          <w:pPr>
            <w:pStyle w:val="TOC2"/>
            <w:tabs>
              <w:tab w:val="left" w:pos="1418"/>
            </w:tabs>
            <w:rPr>
              <w:rFonts w:asciiTheme="minorHAnsi" w:eastAsiaTheme="minorEastAsia" w:hAnsiTheme="minorHAnsi" w:cstheme="minorBidi"/>
            </w:rPr>
          </w:pPr>
          <w:hyperlink w:anchor="_Toc23767011" w:history="1">
            <w:r w:rsidR="004A4963" w:rsidRPr="007D1918">
              <w:rPr>
                <w:rStyle w:val="Hyperlink"/>
              </w:rPr>
              <w:t>E.4.</w:t>
            </w:r>
            <w:r w:rsidR="004A4963" w:rsidRPr="007D1918">
              <w:rPr>
                <w:rFonts w:asciiTheme="minorHAnsi" w:eastAsiaTheme="minorEastAsia" w:hAnsiTheme="minorHAnsi" w:cstheme="minorBidi"/>
              </w:rPr>
              <w:tab/>
            </w:r>
            <w:r w:rsidR="004A4963" w:rsidRPr="007D1918">
              <w:rPr>
                <w:rStyle w:val="Hyperlink"/>
              </w:rPr>
              <w:t>Financial Implications for Government Health Budgets</w:t>
            </w:r>
            <w:r w:rsidR="004A4963" w:rsidRPr="007D1918">
              <w:rPr>
                <w:webHidden/>
              </w:rPr>
              <w:tab/>
            </w:r>
            <w:r w:rsidR="004A4963" w:rsidRPr="007D1918">
              <w:rPr>
                <w:webHidden/>
              </w:rPr>
              <w:fldChar w:fldCharType="begin"/>
            </w:r>
            <w:r w:rsidR="004A4963" w:rsidRPr="007D1918">
              <w:rPr>
                <w:webHidden/>
              </w:rPr>
              <w:instrText xml:space="preserve"> PAGEREF _Toc23767011 \h </w:instrText>
            </w:r>
            <w:r w:rsidR="004A4963" w:rsidRPr="007D1918">
              <w:rPr>
                <w:webHidden/>
              </w:rPr>
            </w:r>
            <w:r w:rsidR="004A4963" w:rsidRPr="007D1918">
              <w:rPr>
                <w:webHidden/>
              </w:rPr>
              <w:fldChar w:fldCharType="separate"/>
            </w:r>
            <w:r w:rsidR="004A4963" w:rsidRPr="007D1918">
              <w:rPr>
                <w:webHidden/>
              </w:rPr>
              <w:t>168</w:t>
            </w:r>
            <w:r w:rsidR="004A4963" w:rsidRPr="007D1918">
              <w:rPr>
                <w:webHidden/>
              </w:rPr>
              <w:fldChar w:fldCharType="end"/>
            </w:r>
          </w:hyperlink>
        </w:p>
        <w:p w14:paraId="513C8E31" w14:textId="1AE7AE17" w:rsidR="004A4963" w:rsidRPr="007D1918" w:rsidRDefault="002814BF">
          <w:pPr>
            <w:pStyle w:val="TOC2"/>
            <w:tabs>
              <w:tab w:val="left" w:pos="1418"/>
            </w:tabs>
            <w:rPr>
              <w:rFonts w:asciiTheme="minorHAnsi" w:eastAsiaTheme="minorEastAsia" w:hAnsiTheme="minorHAnsi" w:cstheme="minorBidi"/>
            </w:rPr>
          </w:pPr>
          <w:hyperlink w:anchor="_Toc23767012" w:history="1">
            <w:r w:rsidR="004A4963" w:rsidRPr="007D1918">
              <w:rPr>
                <w:rStyle w:val="Hyperlink"/>
              </w:rPr>
              <w:t>E.5.</w:t>
            </w:r>
            <w:r w:rsidR="004A4963" w:rsidRPr="007D1918">
              <w:rPr>
                <w:rFonts w:asciiTheme="minorHAnsi" w:eastAsiaTheme="minorEastAsia" w:hAnsiTheme="minorHAnsi" w:cstheme="minorBidi"/>
              </w:rPr>
              <w:tab/>
            </w:r>
            <w:r w:rsidR="004A4963" w:rsidRPr="007D1918">
              <w:rPr>
                <w:rStyle w:val="Hyperlink"/>
              </w:rPr>
              <w:t>Identification, estimation and reduction of uncertainty</w:t>
            </w:r>
            <w:r w:rsidR="004A4963" w:rsidRPr="007D1918">
              <w:rPr>
                <w:webHidden/>
              </w:rPr>
              <w:tab/>
            </w:r>
            <w:r w:rsidR="004A4963" w:rsidRPr="007D1918">
              <w:rPr>
                <w:webHidden/>
              </w:rPr>
              <w:fldChar w:fldCharType="begin"/>
            </w:r>
            <w:r w:rsidR="004A4963" w:rsidRPr="007D1918">
              <w:rPr>
                <w:webHidden/>
              </w:rPr>
              <w:instrText xml:space="preserve"> PAGEREF _Toc23767012 \h </w:instrText>
            </w:r>
            <w:r w:rsidR="004A4963" w:rsidRPr="007D1918">
              <w:rPr>
                <w:webHidden/>
              </w:rPr>
            </w:r>
            <w:r w:rsidR="004A4963" w:rsidRPr="007D1918">
              <w:rPr>
                <w:webHidden/>
              </w:rPr>
              <w:fldChar w:fldCharType="separate"/>
            </w:r>
            <w:r w:rsidR="004A4963" w:rsidRPr="007D1918">
              <w:rPr>
                <w:webHidden/>
              </w:rPr>
              <w:t>169</w:t>
            </w:r>
            <w:r w:rsidR="004A4963" w:rsidRPr="007D1918">
              <w:rPr>
                <w:webHidden/>
              </w:rPr>
              <w:fldChar w:fldCharType="end"/>
            </w:r>
          </w:hyperlink>
        </w:p>
        <w:p w14:paraId="1B27DA26" w14:textId="19EE4FD9" w:rsidR="004A4963" w:rsidRPr="007D1918" w:rsidRDefault="002814BF">
          <w:pPr>
            <w:pStyle w:val="TOC1"/>
            <w:rPr>
              <w:rFonts w:asciiTheme="minorHAnsi" w:eastAsiaTheme="minorEastAsia" w:hAnsiTheme="minorHAnsi" w:cstheme="minorBidi"/>
              <w:b w:val="0"/>
            </w:rPr>
          </w:pPr>
          <w:hyperlink w:anchor="_Toc23767013" w:history="1">
            <w:r w:rsidR="004A4963" w:rsidRPr="007D1918">
              <w:rPr>
                <w:rStyle w:val="Hyperlink"/>
              </w:rPr>
              <w:t>Section F</w:t>
            </w:r>
            <w:r w:rsidR="004A4963" w:rsidRPr="007D1918">
              <w:rPr>
                <w:rFonts w:asciiTheme="minorHAnsi" w:eastAsiaTheme="minorEastAsia" w:hAnsiTheme="minorHAnsi" w:cstheme="minorBidi"/>
                <w:b w:val="0"/>
              </w:rPr>
              <w:tab/>
            </w:r>
            <w:r w:rsidR="004A4963" w:rsidRPr="007D1918">
              <w:rPr>
                <w:rStyle w:val="Hyperlink"/>
              </w:rPr>
              <w:t>Other Relevant Considerations</w:t>
            </w:r>
            <w:r w:rsidR="004A4963" w:rsidRPr="007D1918">
              <w:rPr>
                <w:webHidden/>
              </w:rPr>
              <w:tab/>
            </w:r>
            <w:r w:rsidR="004A4963" w:rsidRPr="007D1918">
              <w:rPr>
                <w:webHidden/>
              </w:rPr>
              <w:fldChar w:fldCharType="begin"/>
            </w:r>
            <w:r w:rsidR="004A4963" w:rsidRPr="007D1918">
              <w:rPr>
                <w:webHidden/>
              </w:rPr>
              <w:instrText xml:space="preserve"> PAGEREF _Toc23767013 \h </w:instrText>
            </w:r>
            <w:r w:rsidR="004A4963" w:rsidRPr="007D1918">
              <w:rPr>
                <w:webHidden/>
              </w:rPr>
            </w:r>
            <w:r w:rsidR="004A4963" w:rsidRPr="007D1918">
              <w:rPr>
                <w:webHidden/>
              </w:rPr>
              <w:fldChar w:fldCharType="separate"/>
            </w:r>
            <w:r w:rsidR="004A4963" w:rsidRPr="007D1918">
              <w:rPr>
                <w:webHidden/>
              </w:rPr>
              <w:t>170</w:t>
            </w:r>
            <w:r w:rsidR="004A4963" w:rsidRPr="007D1918">
              <w:rPr>
                <w:webHidden/>
              </w:rPr>
              <w:fldChar w:fldCharType="end"/>
            </w:r>
          </w:hyperlink>
        </w:p>
        <w:p w14:paraId="62E8B04E" w14:textId="3A89BD91" w:rsidR="004A4963" w:rsidRPr="007D1918" w:rsidRDefault="002814BF">
          <w:pPr>
            <w:pStyle w:val="TOC3"/>
            <w:rPr>
              <w:rFonts w:asciiTheme="minorHAnsi" w:eastAsiaTheme="minorEastAsia" w:hAnsiTheme="minorHAnsi" w:cstheme="minorBidi"/>
            </w:rPr>
          </w:pPr>
          <w:hyperlink w:anchor="_Toc23767014" w:history="1">
            <w:r w:rsidR="004A4963" w:rsidRPr="007D1918">
              <w:rPr>
                <w:rStyle w:val="Hyperlink"/>
              </w:rPr>
              <w:t>Safety and effectiveness of rituximab for patients with MG</w:t>
            </w:r>
            <w:r w:rsidR="004A4963" w:rsidRPr="007D1918">
              <w:rPr>
                <w:webHidden/>
              </w:rPr>
              <w:tab/>
            </w:r>
            <w:r w:rsidR="004A4963" w:rsidRPr="007D1918">
              <w:rPr>
                <w:webHidden/>
              </w:rPr>
              <w:fldChar w:fldCharType="begin"/>
            </w:r>
            <w:r w:rsidR="004A4963" w:rsidRPr="007D1918">
              <w:rPr>
                <w:webHidden/>
              </w:rPr>
              <w:instrText xml:space="preserve"> PAGEREF _Toc23767014 \h </w:instrText>
            </w:r>
            <w:r w:rsidR="004A4963" w:rsidRPr="007D1918">
              <w:rPr>
                <w:webHidden/>
              </w:rPr>
            </w:r>
            <w:r w:rsidR="004A4963" w:rsidRPr="007D1918">
              <w:rPr>
                <w:webHidden/>
              </w:rPr>
              <w:fldChar w:fldCharType="separate"/>
            </w:r>
            <w:r w:rsidR="004A4963" w:rsidRPr="007D1918">
              <w:rPr>
                <w:webHidden/>
              </w:rPr>
              <w:t>170</w:t>
            </w:r>
            <w:r w:rsidR="004A4963" w:rsidRPr="007D1918">
              <w:rPr>
                <w:webHidden/>
              </w:rPr>
              <w:fldChar w:fldCharType="end"/>
            </w:r>
          </w:hyperlink>
        </w:p>
        <w:p w14:paraId="13C08BA3" w14:textId="6307566F" w:rsidR="004A4963" w:rsidRPr="007D1918" w:rsidRDefault="002814BF">
          <w:pPr>
            <w:pStyle w:val="TOC3"/>
            <w:rPr>
              <w:rFonts w:asciiTheme="minorHAnsi" w:eastAsiaTheme="minorEastAsia" w:hAnsiTheme="minorHAnsi" w:cstheme="minorBidi"/>
            </w:rPr>
          </w:pPr>
          <w:hyperlink w:anchor="_Toc23767015" w:history="1">
            <w:r w:rsidR="004A4963" w:rsidRPr="007D1918">
              <w:rPr>
                <w:rStyle w:val="Hyperlink"/>
              </w:rPr>
              <w:t>Safety and effectiveness of IVIg compared with PE in patients with Anti-MuSK MG</w:t>
            </w:r>
            <w:r w:rsidR="004A4963" w:rsidRPr="007D1918">
              <w:rPr>
                <w:webHidden/>
              </w:rPr>
              <w:tab/>
            </w:r>
            <w:r w:rsidR="004A4963" w:rsidRPr="007D1918">
              <w:rPr>
                <w:webHidden/>
              </w:rPr>
              <w:fldChar w:fldCharType="begin"/>
            </w:r>
            <w:r w:rsidR="004A4963" w:rsidRPr="007D1918">
              <w:rPr>
                <w:webHidden/>
              </w:rPr>
              <w:instrText xml:space="preserve"> PAGEREF _Toc23767015 \h </w:instrText>
            </w:r>
            <w:r w:rsidR="004A4963" w:rsidRPr="007D1918">
              <w:rPr>
                <w:webHidden/>
              </w:rPr>
            </w:r>
            <w:r w:rsidR="004A4963" w:rsidRPr="007D1918">
              <w:rPr>
                <w:webHidden/>
              </w:rPr>
              <w:fldChar w:fldCharType="separate"/>
            </w:r>
            <w:r w:rsidR="004A4963" w:rsidRPr="007D1918">
              <w:rPr>
                <w:webHidden/>
              </w:rPr>
              <w:t>173</w:t>
            </w:r>
            <w:r w:rsidR="004A4963" w:rsidRPr="007D1918">
              <w:rPr>
                <w:webHidden/>
              </w:rPr>
              <w:fldChar w:fldCharType="end"/>
            </w:r>
          </w:hyperlink>
        </w:p>
        <w:p w14:paraId="5CB9A3E3" w14:textId="093F7C00" w:rsidR="004A4963" w:rsidRPr="007D1918" w:rsidRDefault="002814BF">
          <w:pPr>
            <w:pStyle w:val="TOC3"/>
            <w:rPr>
              <w:rFonts w:asciiTheme="minorHAnsi" w:eastAsiaTheme="minorEastAsia" w:hAnsiTheme="minorHAnsi" w:cstheme="minorBidi"/>
            </w:rPr>
          </w:pPr>
          <w:hyperlink w:anchor="_Toc23767016" w:history="1">
            <w:r w:rsidR="004A4963" w:rsidRPr="007D1918">
              <w:rPr>
                <w:rStyle w:val="Hyperlink"/>
              </w:rPr>
              <w:t>IVIg for MG in pregnancy</w:t>
            </w:r>
            <w:r w:rsidR="004A4963" w:rsidRPr="007D1918">
              <w:rPr>
                <w:webHidden/>
              </w:rPr>
              <w:tab/>
            </w:r>
            <w:r w:rsidR="004A4963" w:rsidRPr="007D1918">
              <w:rPr>
                <w:webHidden/>
              </w:rPr>
              <w:fldChar w:fldCharType="begin"/>
            </w:r>
            <w:r w:rsidR="004A4963" w:rsidRPr="007D1918">
              <w:rPr>
                <w:webHidden/>
              </w:rPr>
              <w:instrText xml:space="preserve"> PAGEREF _Toc23767016 \h </w:instrText>
            </w:r>
            <w:r w:rsidR="004A4963" w:rsidRPr="007D1918">
              <w:rPr>
                <w:webHidden/>
              </w:rPr>
            </w:r>
            <w:r w:rsidR="004A4963" w:rsidRPr="007D1918">
              <w:rPr>
                <w:webHidden/>
              </w:rPr>
              <w:fldChar w:fldCharType="separate"/>
            </w:r>
            <w:r w:rsidR="004A4963" w:rsidRPr="007D1918">
              <w:rPr>
                <w:webHidden/>
              </w:rPr>
              <w:t>175</w:t>
            </w:r>
            <w:r w:rsidR="004A4963" w:rsidRPr="007D1918">
              <w:rPr>
                <w:webHidden/>
              </w:rPr>
              <w:fldChar w:fldCharType="end"/>
            </w:r>
          </w:hyperlink>
        </w:p>
        <w:p w14:paraId="58D113BB" w14:textId="31BE09D4" w:rsidR="004A4963" w:rsidRPr="007D1918" w:rsidRDefault="002814BF">
          <w:pPr>
            <w:pStyle w:val="TOC1"/>
            <w:rPr>
              <w:rFonts w:asciiTheme="minorHAnsi" w:eastAsiaTheme="minorEastAsia" w:hAnsiTheme="minorHAnsi" w:cstheme="minorBidi"/>
              <w:b w:val="0"/>
            </w:rPr>
          </w:pPr>
          <w:hyperlink w:anchor="_Toc23767017" w:history="1">
            <w:r w:rsidR="004A4963" w:rsidRPr="007D1918">
              <w:rPr>
                <w:rStyle w:val="Hyperlink"/>
              </w:rPr>
              <w:t>Appendix A</w:t>
            </w:r>
            <w:r w:rsidR="004A4963" w:rsidRPr="007D1918">
              <w:rPr>
                <w:rFonts w:asciiTheme="minorHAnsi" w:eastAsiaTheme="minorEastAsia" w:hAnsiTheme="minorHAnsi" w:cstheme="minorBidi"/>
                <w:b w:val="0"/>
              </w:rPr>
              <w:tab/>
            </w:r>
            <w:r w:rsidR="004A4963" w:rsidRPr="007D1918">
              <w:rPr>
                <w:rStyle w:val="Hyperlink"/>
              </w:rPr>
              <w:t>Clinical Experts and Assessment Group</w:t>
            </w:r>
            <w:r w:rsidR="004A4963" w:rsidRPr="007D1918">
              <w:rPr>
                <w:webHidden/>
              </w:rPr>
              <w:tab/>
            </w:r>
            <w:r w:rsidR="004A4963" w:rsidRPr="007D1918">
              <w:rPr>
                <w:webHidden/>
              </w:rPr>
              <w:fldChar w:fldCharType="begin"/>
            </w:r>
            <w:r w:rsidR="004A4963" w:rsidRPr="007D1918">
              <w:rPr>
                <w:webHidden/>
              </w:rPr>
              <w:instrText xml:space="preserve"> PAGEREF _Toc23767017 \h </w:instrText>
            </w:r>
            <w:r w:rsidR="004A4963" w:rsidRPr="007D1918">
              <w:rPr>
                <w:webHidden/>
              </w:rPr>
            </w:r>
            <w:r w:rsidR="004A4963" w:rsidRPr="007D1918">
              <w:rPr>
                <w:webHidden/>
              </w:rPr>
              <w:fldChar w:fldCharType="separate"/>
            </w:r>
            <w:r w:rsidR="004A4963" w:rsidRPr="007D1918">
              <w:rPr>
                <w:webHidden/>
              </w:rPr>
              <w:t>176</w:t>
            </w:r>
            <w:r w:rsidR="004A4963" w:rsidRPr="007D1918">
              <w:rPr>
                <w:webHidden/>
              </w:rPr>
              <w:fldChar w:fldCharType="end"/>
            </w:r>
          </w:hyperlink>
        </w:p>
        <w:p w14:paraId="67EEC5B9" w14:textId="72C5EDE4" w:rsidR="004A4963" w:rsidRPr="007D1918" w:rsidRDefault="002814BF">
          <w:pPr>
            <w:pStyle w:val="TOC2"/>
            <w:rPr>
              <w:rFonts w:asciiTheme="minorHAnsi" w:eastAsiaTheme="minorEastAsia" w:hAnsiTheme="minorHAnsi" w:cstheme="minorBidi"/>
            </w:rPr>
          </w:pPr>
          <w:hyperlink w:anchor="_Toc23767018" w:history="1">
            <w:r w:rsidR="004A4963" w:rsidRPr="007D1918">
              <w:rPr>
                <w:rStyle w:val="Hyperlink"/>
              </w:rPr>
              <w:t>Ig review reference group</w:t>
            </w:r>
            <w:r w:rsidR="004A4963" w:rsidRPr="007D1918">
              <w:rPr>
                <w:webHidden/>
              </w:rPr>
              <w:tab/>
            </w:r>
            <w:r w:rsidR="004A4963" w:rsidRPr="007D1918">
              <w:rPr>
                <w:webHidden/>
              </w:rPr>
              <w:fldChar w:fldCharType="begin"/>
            </w:r>
            <w:r w:rsidR="004A4963" w:rsidRPr="007D1918">
              <w:rPr>
                <w:webHidden/>
              </w:rPr>
              <w:instrText xml:space="preserve"> PAGEREF _Toc23767018 \h </w:instrText>
            </w:r>
            <w:r w:rsidR="004A4963" w:rsidRPr="007D1918">
              <w:rPr>
                <w:webHidden/>
              </w:rPr>
            </w:r>
            <w:r w:rsidR="004A4963" w:rsidRPr="007D1918">
              <w:rPr>
                <w:webHidden/>
              </w:rPr>
              <w:fldChar w:fldCharType="separate"/>
            </w:r>
            <w:r w:rsidR="004A4963" w:rsidRPr="007D1918">
              <w:rPr>
                <w:webHidden/>
              </w:rPr>
              <w:t>176</w:t>
            </w:r>
            <w:r w:rsidR="004A4963" w:rsidRPr="007D1918">
              <w:rPr>
                <w:webHidden/>
              </w:rPr>
              <w:fldChar w:fldCharType="end"/>
            </w:r>
          </w:hyperlink>
        </w:p>
        <w:p w14:paraId="4E242D69" w14:textId="4FDD4804" w:rsidR="004A4963" w:rsidRPr="007D1918" w:rsidRDefault="002814BF">
          <w:pPr>
            <w:pStyle w:val="TOC2"/>
            <w:rPr>
              <w:rFonts w:asciiTheme="minorHAnsi" w:eastAsiaTheme="minorEastAsia" w:hAnsiTheme="minorHAnsi" w:cstheme="minorBidi"/>
            </w:rPr>
          </w:pPr>
          <w:hyperlink w:anchor="_Toc23767019" w:history="1">
            <w:r w:rsidR="004A4963" w:rsidRPr="007D1918">
              <w:rPr>
                <w:rStyle w:val="Hyperlink"/>
              </w:rPr>
              <w:t>Assessment group</w:t>
            </w:r>
            <w:r w:rsidR="004A4963" w:rsidRPr="007D1918">
              <w:rPr>
                <w:webHidden/>
              </w:rPr>
              <w:tab/>
            </w:r>
            <w:r w:rsidR="004A4963" w:rsidRPr="007D1918">
              <w:rPr>
                <w:webHidden/>
              </w:rPr>
              <w:fldChar w:fldCharType="begin"/>
            </w:r>
            <w:r w:rsidR="004A4963" w:rsidRPr="007D1918">
              <w:rPr>
                <w:webHidden/>
              </w:rPr>
              <w:instrText xml:space="preserve"> PAGEREF _Toc23767019 \h </w:instrText>
            </w:r>
            <w:r w:rsidR="004A4963" w:rsidRPr="007D1918">
              <w:rPr>
                <w:webHidden/>
              </w:rPr>
            </w:r>
            <w:r w:rsidR="004A4963" w:rsidRPr="007D1918">
              <w:rPr>
                <w:webHidden/>
              </w:rPr>
              <w:fldChar w:fldCharType="separate"/>
            </w:r>
            <w:r w:rsidR="004A4963" w:rsidRPr="007D1918">
              <w:rPr>
                <w:webHidden/>
              </w:rPr>
              <w:t>176</w:t>
            </w:r>
            <w:r w:rsidR="004A4963" w:rsidRPr="007D1918">
              <w:rPr>
                <w:webHidden/>
              </w:rPr>
              <w:fldChar w:fldCharType="end"/>
            </w:r>
          </w:hyperlink>
        </w:p>
        <w:p w14:paraId="5CEF01DD" w14:textId="026F28A8" w:rsidR="004A4963" w:rsidRPr="007D1918" w:rsidRDefault="002814BF">
          <w:pPr>
            <w:pStyle w:val="TOC2"/>
            <w:rPr>
              <w:rFonts w:asciiTheme="minorHAnsi" w:eastAsiaTheme="minorEastAsia" w:hAnsiTheme="minorHAnsi" w:cstheme="minorBidi"/>
            </w:rPr>
          </w:pPr>
          <w:hyperlink w:anchor="_Toc23767020" w:history="1">
            <w:r w:rsidR="004A4963" w:rsidRPr="007D1918">
              <w:rPr>
                <w:rStyle w:val="Hyperlink"/>
              </w:rPr>
              <w:t>Noted conflicts of interest</w:t>
            </w:r>
            <w:r w:rsidR="004A4963" w:rsidRPr="007D1918">
              <w:rPr>
                <w:webHidden/>
              </w:rPr>
              <w:tab/>
            </w:r>
            <w:r w:rsidR="004A4963" w:rsidRPr="007D1918">
              <w:rPr>
                <w:webHidden/>
              </w:rPr>
              <w:fldChar w:fldCharType="begin"/>
            </w:r>
            <w:r w:rsidR="004A4963" w:rsidRPr="007D1918">
              <w:rPr>
                <w:webHidden/>
              </w:rPr>
              <w:instrText xml:space="preserve"> PAGEREF _Toc23767020 \h </w:instrText>
            </w:r>
            <w:r w:rsidR="004A4963" w:rsidRPr="007D1918">
              <w:rPr>
                <w:webHidden/>
              </w:rPr>
            </w:r>
            <w:r w:rsidR="004A4963" w:rsidRPr="007D1918">
              <w:rPr>
                <w:webHidden/>
              </w:rPr>
              <w:fldChar w:fldCharType="separate"/>
            </w:r>
            <w:r w:rsidR="004A4963" w:rsidRPr="007D1918">
              <w:rPr>
                <w:webHidden/>
              </w:rPr>
              <w:t>176</w:t>
            </w:r>
            <w:r w:rsidR="004A4963" w:rsidRPr="007D1918">
              <w:rPr>
                <w:webHidden/>
              </w:rPr>
              <w:fldChar w:fldCharType="end"/>
            </w:r>
          </w:hyperlink>
        </w:p>
        <w:p w14:paraId="58276AA1" w14:textId="08649A41" w:rsidR="004A4963" w:rsidRPr="007D1918" w:rsidRDefault="002814BF">
          <w:pPr>
            <w:pStyle w:val="TOC1"/>
            <w:rPr>
              <w:rFonts w:asciiTheme="minorHAnsi" w:eastAsiaTheme="minorEastAsia" w:hAnsiTheme="minorHAnsi" w:cstheme="minorBidi"/>
              <w:b w:val="0"/>
            </w:rPr>
          </w:pPr>
          <w:hyperlink w:anchor="_Toc23767021" w:history="1">
            <w:r w:rsidR="004A4963" w:rsidRPr="007D1918">
              <w:rPr>
                <w:rStyle w:val="Hyperlink"/>
              </w:rPr>
              <w:t>Appendix B</w:t>
            </w:r>
            <w:r w:rsidR="004A4963" w:rsidRPr="007D1918">
              <w:rPr>
                <w:rFonts w:asciiTheme="minorHAnsi" w:eastAsiaTheme="minorEastAsia" w:hAnsiTheme="minorHAnsi" w:cstheme="minorBidi"/>
                <w:b w:val="0"/>
              </w:rPr>
              <w:tab/>
            </w:r>
            <w:r w:rsidR="004A4963" w:rsidRPr="007D1918">
              <w:rPr>
                <w:rStyle w:val="Hyperlink"/>
              </w:rPr>
              <w:t>Search strategies</w:t>
            </w:r>
            <w:r w:rsidR="004A4963" w:rsidRPr="007D1918">
              <w:rPr>
                <w:webHidden/>
              </w:rPr>
              <w:tab/>
            </w:r>
            <w:r w:rsidR="004A4963" w:rsidRPr="007D1918">
              <w:rPr>
                <w:webHidden/>
              </w:rPr>
              <w:fldChar w:fldCharType="begin"/>
            </w:r>
            <w:r w:rsidR="004A4963" w:rsidRPr="007D1918">
              <w:rPr>
                <w:webHidden/>
              </w:rPr>
              <w:instrText xml:space="preserve"> PAGEREF _Toc23767021 \h </w:instrText>
            </w:r>
            <w:r w:rsidR="004A4963" w:rsidRPr="007D1918">
              <w:rPr>
                <w:webHidden/>
              </w:rPr>
            </w:r>
            <w:r w:rsidR="004A4963" w:rsidRPr="007D1918">
              <w:rPr>
                <w:webHidden/>
              </w:rPr>
              <w:fldChar w:fldCharType="separate"/>
            </w:r>
            <w:r w:rsidR="004A4963" w:rsidRPr="007D1918">
              <w:rPr>
                <w:webHidden/>
              </w:rPr>
              <w:t>177</w:t>
            </w:r>
            <w:r w:rsidR="004A4963" w:rsidRPr="007D1918">
              <w:rPr>
                <w:webHidden/>
              </w:rPr>
              <w:fldChar w:fldCharType="end"/>
            </w:r>
          </w:hyperlink>
        </w:p>
        <w:p w14:paraId="7B32792D" w14:textId="472AD686" w:rsidR="004A4963" w:rsidRPr="007D1918" w:rsidRDefault="002814BF">
          <w:pPr>
            <w:pStyle w:val="TOC3"/>
            <w:rPr>
              <w:rFonts w:asciiTheme="minorHAnsi" w:eastAsiaTheme="minorEastAsia" w:hAnsiTheme="minorHAnsi" w:cstheme="minorBidi"/>
            </w:rPr>
          </w:pPr>
          <w:hyperlink w:anchor="_Toc23767022" w:history="1">
            <w:r w:rsidR="004A4963" w:rsidRPr="007D1918">
              <w:rPr>
                <w:rStyle w:val="Hyperlink"/>
              </w:rPr>
              <w:t>Bibliographic databases</w:t>
            </w:r>
            <w:r w:rsidR="004A4963" w:rsidRPr="007D1918">
              <w:rPr>
                <w:webHidden/>
              </w:rPr>
              <w:tab/>
            </w:r>
            <w:r w:rsidR="004A4963" w:rsidRPr="007D1918">
              <w:rPr>
                <w:webHidden/>
              </w:rPr>
              <w:fldChar w:fldCharType="begin"/>
            </w:r>
            <w:r w:rsidR="004A4963" w:rsidRPr="007D1918">
              <w:rPr>
                <w:webHidden/>
              </w:rPr>
              <w:instrText xml:space="preserve"> PAGEREF _Toc23767022 \h </w:instrText>
            </w:r>
            <w:r w:rsidR="004A4963" w:rsidRPr="007D1918">
              <w:rPr>
                <w:webHidden/>
              </w:rPr>
            </w:r>
            <w:r w:rsidR="004A4963" w:rsidRPr="007D1918">
              <w:rPr>
                <w:webHidden/>
              </w:rPr>
              <w:fldChar w:fldCharType="separate"/>
            </w:r>
            <w:r w:rsidR="004A4963" w:rsidRPr="007D1918">
              <w:rPr>
                <w:webHidden/>
              </w:rPr>
              <w:t>177</w:t>
            </w:r>
            <w:r w:rsidR="004A4963" w:rsidRPr="007D1918">
              <w:rPr>
                <w:webHidden/>
              </w:rPr>
              <w:fldChar w:fldCharType="end"/>
            </w:r>
          </w:hyperlink>
        </w:p>
        <w:p w14:paraId="5A5FB99E" w14:textId="75DEE5A6" w:rsidR="004A4963" w:rsidRPr="007D1918" w:rsidRDefault="002814BF">
          <w:pPr>
            <w:pStyle w:val="TOC3"/>
            <w:rPr>
              <w:rFonts w:asciiTheme="minorHAnsi" w:eastAsiaTheme="minorEastAsia" w:hAnsiTheme="minorHAnsi" w:cstheme="minorBidi"/>
            </w:rPr>
          </w:pPr>
          <w:hyperlink w:anchor="_Toc23767023" w:history="1">
            <w:r w:rsidR="004A4963" w:rsidRPr="007D1918">
              <w:rPr>
                <w:rStyle w:val="Hyperlink"/>
              </w:rPr>
              <w:t>Additional sources of literature (including websites)</w:t>
            </w:r>
            <w:r w:rsidR="004A4963" w:rsidRPr="007D1918">
              <w:rPr>
                <w:webHidden/>
              </w:rPr>
              <w:tab/>
            </w:r>
            <w:r w:rsidR="004A4963" w:rsidRPr="007D1918">
              <w:rPr>
                <w:webHidden/>
              </w:rPr>
              <w:fldChar w:fldCharType="begin"/>
            </w:r>
            <w:r w:rsidR="004A4963" w:rsidRPr="007D1918">
              <w:rPr>
                <w:webHidden/>
              </w:rPr>
              <w:instrText xml:space="preserve"> PAGEREF _Toc23767023 \h </w:instrText>
            </w:r>
            <w:r w:rsidR="004A4963" w:rsidRPr="007D1918">
              <w:rPr>
                <w:webHidden/>
              </w:rPr>
            </w:r>
            <w:r w:rsidR="004A4963" w:rsidRPr="007D1918">
              <w:rPr>
                <w:webHidden/>
              </w:rPr>
              <w:fldChar w:fldCharType="separate"/>
            </w:r>
            <w:r w:rsidR="004A4963" w:rsidRPr="007D1918">
              <w:rPr>
                <w:webHidden/>
              </w:rPr>
              <w:t>177</w:t>
            </w:r>
            <w:r w:rsidR="004A4963" w:rsidRPr="007D1918">
              <w:rPr>
                <w:webHidden/>
              </w:rPr>
              <w:fldChar w:fldCharType="end"/>
            </w:r>
          </w:hyperlink>
        </w:p>
        <w:p w14:paraId="2560CF6C" w14:textId="63A3CFE6" w:rsidR="004A4963" w:rsidRPr="007D1918" w:rsidRDefault="002814BF">
          <w:pPr>
            <w:pStyle w:val="TOC1"/>
            <w:rPr>
              <w:rFonts w:asciiTheme="minorHAnsi" w:eastAsiaTheme="minorEastAsia" w:hAnsiTheme="minorHAnsi" w:cstheme="minorBidi"/>
              <w:b w:val="0"/>
            </w:rPr>
          </w:pPr>
          <w:hyperlink w:anchor="_Toc23767024" w:history="1">
            <w:r w:rsidR="004A4963" w:rsidRPr="007D1918">
              <w:rPr>
                <w:rStyle w:val="Hyperlink"/>
              </w:rPr>
              <w:t>Appendix C</w:t>
            </w:r>
            <w:r w:rsidR="004A4963" w:rsidRPr="007D1918">
              <w:rPr>
                <w:rFonts w:asciiTheme="minorHAnsi" w:eastAsiaTheme="minorEastAsia" w:hAnsiTheme="minorHAnsi" w:cstheme="minorBidi"/>
                <w:b w:val="0"/>
              </w:rPr>
              <w:tab/>
            </w:r>
            <w:r w:rsidR="004A4963" w:rsidRPr="007D1918">
              <w:rPr>
                <w:rStyle w:val="Hyperlink"/>
              </w:rPr>
              <w:t>Studies included in the Systematic Review</w:t>
            </w:r>
            <w:r w:rsidR="004A4963" w:rsidRPr="007D1918">
              <w:rPr>
                <w:webHidden/>
              </w:rPr>
              <w:tab/>
            </w:r>
            <w:r w:rsidR="004A4963" w:rsidRPr="007D1918">
              <w:rPr>
                <w:webHidden/>
              </w:rPr>
              <w:fldChar w:fldCharType="begin"/>
            </w:r>
            <w:r w:rsidR="004A4963" w:rsidRPr="007D1918">
              <w:rPr>
                <w:webHidden/>
              </w:rPr>
              <w:instrText xml:space="preserve"> PAGEREF _Toc23767024 \h </w:instrText>
            </w:r>
            <w:r w:rsidR="004A4963" w:rsidRPr="007D1918">
              <w:rPr>
                <w:webHidden/>
              </w:rPr>
            </w:r>
            <w:r w:rsidR="004A4963" w:rsidRPr="007D1918">
              <w:rPr>
                <w:webHidden/>
              </w:rPr>
              <w:fldChar w:fldCharType="separate"/>
            </w:r>
            <w:r w:rsidR="004A4963" w:rsidRPr="007D1918">
              <w:rPr>
                <w:webHidden/>
              </w:rPr>
              <w:t>178</w:t>
            </w:r>
            <w:r w:rsidR="004A4963" w:rsidRPr="007D1918">
              <w:rPr>
                <w:webHidden/>
              </w:rPr>
              <w:fldChar w:fldCharType="end"/>
            </w:r>
          </w:hyperlink>
        </w:p>
        <w:p w14:paraId="0E0220BA" w14:textId="45AAF807" w:rsidR="004A4963" w:rsidRPr="007D1918" w:rsidRDefault="002814BF">
          <w:pPr>
            <w:pStyle w:val="TOC1"/>
            <w:rPr>
              <w:rFonts w:asciiTheme="minorHAnsi" w:eastAsiaTheme="minorEastAsia" w:hAnsiTheme="minorHAnsi" w:cstheme="minorBidi"/>
              <w:b w:val="0"/>
            </w:rPr>
          </w:pPr>
          <w:hyperlink w:anchor="_Toc23767025" w:history="1">
            <w:r w:rsidR="004A4963" w:rsidRPr="007D1918">
              <w:rPr>
                <w:rStyle w:val="Hyperlink"/>
              </w:rPr>
              <w:t>Appendix D</w:t>
            </w:r>
            <w:r w:rsidR="004A4963" w:rsidRPr="007D1918">
              <w:rPr>
                <w:rFonts w:asciiTheme="minorHAnsi" w:eastAsiaTheme="minorEastAsia" w:hAnsiTheme="minorHAnsi" w:cstheme="minorBidi"/>
                <w:b w:val="0"/>
              </w:rPr>
              <w:tab/>
            </w:r>
            <w:r w:rsidR="004A4963" w:rsidRPr="007D1918">
              <w:rPr>
                <w:rStyle w:val="Hyperlink"/>
              </w:rPr>
              <w:t>Evidence Profile Tables</w:t>
            </w:r>
            <w:r w:rsidR="004A4963" w:rsidRPr="007D1918">
              <w:rPr>
                <w:webHidden/>
              </w:rPr>
              <w:tab/>
            </w:r>
            <w:r w:rsidR="004A4963" w:rsidRPr="007D1918">
              <w:rPr>
                <w:webHidden/>
              </w:rPr>
              <w:fldChar w:fldCharType="begin"/>
            </w:r>
            <w:r w:rsidR="004A4963" w:rsidRPr="007D1918">
              <w:rPr>
                <w:webHidden/>
              </w:rPr>
              <w:instrText xml:space="preserve"> PAGEREF _Toc23767025 \h </w:instrText>
            </w:r>
            <w:r w:rsidR="004A4963" w:rsidRPr="007D1918">
              <w:rPr>
                <w:webHidden/>
              </w:rPr>
            </w:r>
            <w:r w:rsidR="004A4963" w:rsidRPr="007D1918">
              <w:rPr>
                <w:webHidden/>
              </w:rPr>
              <w:fldChar w:fldCharType="separate"/>
            </w:r>
            <w:r w:rsidR="004A4963" w:rsidRPr="007D1918">
              <w:rPr>
                <w:webHidden/>
              </w:rPr>
              <w:t>194</w:t>
            </w:r>
            <w:r w:rsidR="004A4963" w:rsidRPr="007D1918">
              <w:rPr>
                <w:webHidden/>
              </w:rPr>
              <w:fldChar w:fldCharType="end"/>
            </w:r>
          </w:hyperlink>
        </w:p>
        <w:p w14:paraId="02AE45C8" w14:textId="79844E51" w:rsidR="004A4963" w:rsidRPr="007D1918" w:rsidRDefault="002814BF">
          <w:pPr>
            <w:pStyle w:val="TOC1"/>
            <w:rPr>
              <w:rFonts w:asciiTheme="minorHAnsi" w:eastAsiaTheme="minorEastAsia" w:hAnsiTheme="minorHAnsi" w:cstheme="minorBidi"/>
              <w:b w:val="0"/>
            </w:rPr>
          </w:pPr>
          <w:hyperlink w:anchor="_Toc23767026" w:history="1">
            <w:r w:rsidR="004A4963" w:rsidRPr="007D1918">
              <w:rPr>
                <w:rStyle w:val="Hyperlink"/>
              </w:rPr>
              <w:t>Appendix E</w:t>
            </w:r>
            <w:r w:rsidR="004A4963" w:rsidRPr="007D1918">
              <w:rPr>
                <w:rFonts w:asciiTheme="minorHAnsi" w:eastAsiaTheme="minorEastAsia" w:hAnsiTheme="minorHAnsi" w:cstheme="minorBidi"/>
                <w:b w:val="0"/>
              </w:rPr>
              <w:tab/>
            </w:r>
            <w:r w:rsidR="004A4963" w:rsidRPr="007D1918">
              <w:rPr>
                <w:rStyle w:val="Hyperlink"/>
              </w:rPr>
              <w:t>Excluded Studies</w:t>
            </w:r>
            <w:r w:rsidR="004A4963" w:rsidRPr="007D1918">
              <w:rPr>
                <w:webHidden/>
              </w:rPr>
              <w:tab/>
            </w:r>
            <w:r w:rsidR="004A4963" w:rsidRPr="007D1918">
              <w:rPr>
                <w:webHidden/>
              </w:rPr>
              <w:fldChar w:fldCharType="begin"/>
            </w:r>
            <w:r w:rsidR="004A4963" w:rsidRPr="007D1918">
              <w:rPr>
                <w:webHidden/>
              </w:rPr>
              <w:instrText xml:space="preserve"> PAGEREF _Toc23767026 \h </w:instrText>
            </w:r>
            <w:r w:rsidR="004A4963" w:rsidRPr="007D1918">
              <w:rPr>
                <w:webHidden/>
              </w:rPr>
            </w:r>
            <w:r w:rsidR="004A4963" w:rsidRPr="007D1918">
              <w:rPr>
                <w:webHidden/>
              </w:rPr>
              <w:fldChar w:fldCharType="separate"/>
            </w:r>
            <w:r w:rsidR="004A4963" w:rsidRPr="007D1918">
              <w:rPr>
                <w:webHidden/>
              </w:rPr>
              <w:t>204</w:t>
            </w:r>
            <w:r w:rsidR="004A4963" w:rsidRPr="007D1918">
              <w:rPr>
                <w:webHidden/>
              </w:rPr>
              <w:fldChar w:fldCharType="end"/>
            </w:r>
          </w:hyperlink>
        </w:p>
        <w:p w14:paraId="72B7C4B2" w14:textId="44E94BE7" w:rsidR="004A4963" w:rsidRPr="007D1918" w:rsidRDefault="002814BF">
          <w:pPr>
            <w:pStyle w:val="TOC1"/>
            <w:rPr>
              <w:rFonts w:asciiTheme="minorHAnsi" w:eastAsiaTheme="minorEastAsia" w:hAnsiTheme="minorHAnsi" w:cstheme="minorBidi"/>
              <w:b w:val="0"/>
            </w:rPr>
          </w:pPr>
          <w:hyperlink w:anchor="_Toc23767027" w:history="1">
            <w:r w:rsidR="004A4963" w:rsidRPr="007D1918">
              <w:rPr>
                <w:rStyle w:val="Hyperlink"/>
                <w:rFonts w:eastAsiaTheme="minorHAnsi"/>
                <w:lang w:eastAsia="en-US"/>
              </w:rPr>
              <w:t>Appendix F</w:t>
            </w:r>
            <w:r w:rsidR="004A4963" w:rsidRPr="007D1918">
              <w:rPr>
                <w:rFonts w:asciiTheme="minorHAnsi" w:eastAsiaTheme="minorEastAsia" w:hAnsiTheme="minorHAnsi" w:cstheme="minorBidi"/>
                <w:b w:val="0"/>
              </w:rPr>
              <w:tab/>
            </w:r>
            <w:r w:rsidR="004A4963" w:rsidRPr="007D1918">
              <w:rPr>
                <w:rStyle w:val="Hyperlink"/>
                <w:rFonts w:eastAsiaTheme="minorHAnsi"/>
                <w:lang w:eastAsia="en-US"/>
              </w:rPr>
              <w:t>Criteria for MG Indications 1-3 (NBA criteria, Version 3)</w:t>
            </w:r>
            <w:r w:rsidR="004A4963" w:rsidRPr="007D1918">
              <w:rPr>
                <w:webHidden/>
              </w:rPr>
              <w:tab/>
            </w:r>
            <w:r w:rsidR="004A4963" w:rsidRPr="007D1918">
              <w:rPr>
                <w:webHidden/>
              </w:rPr>
              <w:fldChar w:fldCharType="begin"/>
            </w:r>
            <w:r w:rsidR="004A4963" w:rsidRPr="007D1918">
              <w:rPr>
                <w:webHidden/>
              </w:rPr>
              <w:instrText xml:space="preserve"> PAGEREF _Toc23767027 \h </w:instrText>
            </w:r>
            <w:r w:rsidR="004A4963" w:rsidRPr="007D1918">
              <w:rPr>
                <w:webHidden/>
              </w:rPr>
            </w:r>
            <w:r w:rsidR="004A4963" w:rsidRPr="007D1918">
              <w:rPr>
                <w:webHidden/>
              </w:rPr>
              <w:fldChar w:fldCharType="separate"/>
            </w:r>
            <w:r w:rsidR="004A4963" w:rsidRPr="007D1918">
              <w:rPr>
                <w:webHidden/>
              </w:rPr>
              <w:t>206</w:t>
            </w:r>
            <w:r w:rsidR="004A4963" w:rsidRPr="007D1918">
              <w:rPr>
                <w:webHidden/>
              </w:rPr>
              <w:fldChar w:fldCharType="end"/>
            </w:r>
          </w:hyperlink>
        </w:p>
        <w:p w14:paraId="0F01E5F8" w14:textId="3CB61673" w:rsidR="004A4963" w:rsidRPr="007D1918" w:rsidRDefault="002814BF">
          <w:pPr>
            <w:pStyle w:val="TOC1"/>
            <w:rPr>
              <w:rFonts w:asciiTheme="minorHAnsi" w:eastAsiaTheme="minorEastAsia" w:hAnsiTheme="minorHAnsi" w:cstheme="minorBidi"/>
              <w:b w:val="0"/>
            </w:rPr>
          </w:pPr>
          <w:hyperlink w:anchor="_Toc23767028" w:history="1">
            <w:r w:rsidR="004A4963" w:rsidRPr="007D1918">
              <w:rPr>
                <w:rStyle w:val="Hyperlink"/>
                <w:rFonts w:eastAsiaTheme="minorHAnsi"/>
                <w:lang w:eastAsia="en-US"/>
              </w:rPr>
              <w:t>Appendix G</w:t>
            </w:r>
            <w:r w:rsidR="004A4963" w:rsidRPr="007D1918">
              <w:rPr>
                <w:rFonts w:asciiTheme="minorHAnsi" w:eastAsiaTheme="minorEastAsia" w:hAnsiTheme="minorHAnsi" w:cstheme="minorBidi"/>
                <w:b w:val="0"/>
              </w:rPr>
              <w:tab/>
            </w:r>
            <w:r w:rsidR="004A4963" w:rsidRPr="007D1918">
              <w:rPr>
                <w:rStyle w:val="Hyperlink"/>
              </w:rPr>
              <w:t>Economic analysis appendices</w:t>
            </w:r>
            <w:r w:rsidR="004A4963" w:rsidRPr="007D1918">
              <w:rPr>
                <w:webHidden/>
              </w:rPr>
              <w:tab/>
            </w:r>
            <w:r w:rsidR="004A4963" w:rsidRPr="007D1918">
              <w:rPr>
                <w:webHidden/>
              </w:rPr>
              <w:fldChar w:fldCharType="begin"/>
            </w:r>
            <w:r w:rsidR="004A4963" w:rsidRPr="007D1918">
              <w:rPr>
                <w:webHidden/>
              </w:rPr>
              <w:instrText xml:space="preserve"> PAGEREF _Toc23767028 \h </w:instrText>
            </w:r>
            <w:r w:rsidR="004A4963" w:rsidRPr="007D1918">
              <w:rPr>
                <w:webHidden/>
              </w:rPr>
            </w:r>
            <w:r w:rsidR="004A4963" w:rsidRPr="007D1918">
              <w:rPr>
                <w:webHidden/>
              </w:rPr>
              <w:fldChar w:fldCharType="separate"/>
            </w:r>
            <w:r w:rsidR="004A4963" w:rsidRPr="007D1918">
              <w:rPr>
                <w:webHidden/>
              </w:rPr>
              <w:t>209</w:t>
            </w:r>
            <w:r w:rsidR="004A4963" w:rsidRPr="007D1918">
              <w:rPr>
                <w:webHidden/>
              </w:rPr>
              <w:fldChar w:fldCharType="end"/>
            </w:r>
          </w:hyperlink>
        </w:p>
        <w:p w14:paraId="56E00487" w14:textId="7C70F0B7" w:rsidR="004A4963" w:rsidRPr="007D1918" w:rsidRDefault="002814BF">
          <w:pPr>
            <w:pStyle w:val="TOC3"/>
            <w:rPr>
              <w:rFonts w:asciiTheme="minorHAnsi" w:eastAsiaTheme="minorEastAsia" w:hAnsiTheme="minorHAnsi" w:cstheme="minorBidi"/>
            </w:rPr>
          </w:pPr>
          <w:hyperlink w:anchor="_Toc23767029" w:history="1">
            <w:r w:rsidR="004A4963" w:rsidRPr="007D1918">
              <w:rPr>
                <w:rStyle w:val="Hyperlink"/>
                <w:b/>
                <w:smallCaps/>
              </w:rPr>
              <w:t>Results calculation tables</w:t>
            </w:r>
            <w:r w:rsidR="004A4963" w:rsidRPr="007D1918">
              <w:rPr>
                <w:webHidden/>
              </w:rPr>
              <w:tab/>
            </w:r>
            <w:r w:rsidR="004A4963" w:rsidRPr="007D1918">
              <w:rPr>
                <w:webHidden/>
              </w:rPr>
              <w:fldChar w:fldCharType="begin"/>
            </w:r>
            <w:r w:rsidR="004A4963" w:rsidRPr="007D1918">
              <w:rPr>
                <w:webHidden/>
              </w:rPr>
              <w:instrText xml:space="preserve"> PAGEREF _Toc23767029 \h </w:instrText>
            </w:r>
            <w:r w:rsidR="004A4963" w:rsidRPr="007D1918">
              <w:rPr>
                <w:webHidden/>
              </w:rPr>
            </w:r>
            <w:r w:rsidR="004A4963" w:rsidRPr="007D1918">
              <w:rPr>
                <w:webHidden/>
              </w:rPr>
              <w:fldChar w:fldCharType="separate"/>
            </w:r>
            <w:r w:rsidR="004A4963" w:rsidRPr="007D1918">
              <w:rPr>
                <w:webHidden/>
              </w:rPr>
              <w:t>209</w:t>
            </w:r>
            <w:r w:rsidR="004A4963" w:rsidRPr="007D1918">
              <w:rPr>
                <w:webHidden/>
              </w:rPr>
              <w:fldChar w:fldCharType="end"/>
            </w:r>
          </w:hyperlink>
        </w:p>
        <w:p w14:paraId="6B1A9A0A" w14:textId="6019C9B6" w:rsidR="004A4963" w:rsidRPr="007D1918" w:rsidRDefault="002814BF">
          <w:pPr>
            <w:pStyle w:val="TOC1"/>
            <w:rPr>
              <w:rFonts w:asciiTheme="minorHAnsi" w:eastAsiaTheme="minorEastAsia" w:hAnsiTheme="minorHAnsi" w:cstheme="minorBidi"/>
              <w:b w:val="0"/>
            </w:rPr>
          </w:pPr>
          <w:hyperlink w:anchor="_Toc23767030" w:history="1">
            <w:r w:rsidR="004A4963" w:rsidRPr="007D1918">
              <w:rPr>
                <w:rStyle w:val="Hyperlink"/>
              </w:rPr>
              <w:t>References</w:t>
            </w:r>
            <w:r w:rsidR="004A4963" w:rsidRPr="007D1918">
              <w:rPr>
                <w:webHidden/>
              </w:rPr>
              <w:tab/>
            </w:r>
            <w:r w:rsidR="004A4963" w:rsidRPr="007D1918">
              <w:rPr>
                <w:webHidden/>
              </w:rPr>
              <w:tab/>
            </w:r>
            <w:r w:rsidR="004A4963" w:rsidRPr="007D1918">
              <w:rPr>
                <w:webHidden/>
              </w:rPr>
              <w:fldChar w:fldCharType="begin"/>
            </w:r>
            <w:r w:rsidR="004A4963" w:rsidRPr="007D1918">
              <w:rPr>
                <w:webHidden/>
              </w:rPr>
              <w:instrText xml:space="preserve"> PAGEREF _Toc23767030 \h </w:instrText>
            </w:r>
            <w:r w:rsidR="004A4963" w:rsidRPr="007D1918">
              <w:rPr>
                <w:webHidden/>
              </w:rPr>
            </w:r>
            <w:r w:rsidR="004A4963" w:rsidRPr="007D1918">
              <w:rPr>
                <w:webHidden/>
              </w:rPr>
              <w:fldChar w:fldCharType="separate"/>
            </w:r>
            <w:r w:rsidR="004A4963" w:rsidRPr="007D1918">
              <w:rPr>
                <w:webHidden/>
              </w:rPr>
              <w:t>213</w:t>
            </w:r>
            <w:r w:rsidR="004A4963" w:rsidRPr="007D1918">
              <w:rPr>
                <w:webHidden/>
              </w:rPr>
              <w:fldChar w:fldCharType="end"/>
            </w:r>
          </w:hyperlink>
        </w:p>
        <w:p w14:paraId="41479DE1" w14:textId="750B7060" w:rsidR="00F81651" w:rsidRPr="007D1918" w:rsidRDefault="00F81651">
          <w:r w:rsidRPr="007D1918">
            <w:rPr>
              <w:b/>
              <w:bCs/>
              <w:noProof/>
            </w:rPr>
            <w:fldChar w:fldCharType="end"/>
          </w:r>
        </w:p>
      </w:sdtContent>
    </w:sdt>
    <w:p w14:paraId="07F1C620" w14:textId="2A209712" w:rsidR="009A4D6B" w:rsidRPr="007D1918" w:rsidRDefault="009A4D6B">
      <w:pPr>
        <w:spacing w:after="0" w:line="240" w:lineRule="auto"/>
      </w:pPr>
      <w:bookmarkStart w:id="18" w:name="_Toc381796425"/>
      <w:bookmarkStart w:id="19" w:name="_Toc395200736"/>
      <w:bookmarkStart w:id="20" w:name="_Toc399247191"/>
      <w:bookmarkStart w:id="21" w:name="_Toc402884710"/>
      <w:r w:rsidRPr="007D1918">
        <w:br w:type="page"/>
      </w:r>
    </w:p>
    <w:p w14:paraId="7380916F" w14:textId="5BB761AC" w:rsidR="008F59A8" w:rsidRPr="007D1918" w:rsidRDefault="008F59A8" w:rsidP="00DF343F">
      <w:pPr>
        <w:pStyle w:val="Heading2"/>
        <w:jc w:val="both"/>
      </w:pPr>
      <w:bookmarkStart w:id="22" w:name="_Toc23766914"/>
      <w:r w:rsidRPr="007D1918">
        <w:lastRenderedPageBreak/>
        <w:t>Tables</w:t>
      </w:r>
      <w:bookmarkEnd w:id="18"/>
      <w:bookmarkEnd w:id="19"/>
      <w:bookmarkEnd w:id="20"/>
      <w:bookmarkEnd w:id="21"/>
      <w:bookmarkEnd w:id="22"/>
    </w:p>
    <w:bookmarkStart w:id="23" w:name="_Toc381796426"/>
    <w:bookmarkStart w:id="24" w:name="_Toc395200737"/>
    <w:p w14:paraId="3C218714" w14:textId="014EAEE5" w:rsidR="007D4948" w:rsidRPr="007D1918" w:rsidRDefault="00503C5B">
      <w:pPr>
        <w:pStyle w:val="TableofFigures"/>
        <w:rPr>
          <w:rFonts w:asciiTheme="minorHAnsi" w:eastAsiaTheme="minorEastAsia" w:hAnsiTheme="minorHAnsi" w:cstheme="minorBidi"/>
        </w:rPr>
      </w:pPr>
      <w:r w:rsidRPr="007D1918">
        <w:rPr>
          <w:rFonts w:asciiTheme="minorHAnsi" w:eastAsiaTheme="minorEastAsia" w:hAnsiTheme="minorHAnsi" w:cstheme="minorBidi"/>
          <w:b/>
          <w:smallCaps/>
        </w:rPr>
        <w:fldChar w:fldCharType="begin"/>
      </w:r>
      <w:r w:rsidRPr="007D1918">
        <w:rPr>
          <w:rFonts w:asciiTheme="minorHAnsi" w:eastAsiaTheme="minorEastAsia" w:hAnsiTheme="minorHAnsi" w:cstheme="minorBidi"/>
          <w:b/>
          <w:smallCaps/>
        </w:rPr>
        <w:instrText xml:space="preserve"> TOC \h \z \c "Table" </w:instrText>
      </w:r>
      <w:r w:rsidRPr="007D1918">
        <w:rPr>
          <w:rFonts w:asciiTheme="minorHAnsi" w:eastAsiaTheme="minorEastAsia" w:hAnsiTheme="minorHAnsi" w:cstheme="minorBidi"/>
          <w:b/>
          <w:smallCaps/>
        </w:rPr>
        <w:fldChar w:fldCharType="separate"/>
      </w:r>
      <w:hyperlink w:anchor="_Toc23769488" w:history="1">
        <w:r w:rsidR="007D4948" w:rsidRPr="007D1918">
          <w:rPr>
            <w:rStyle w:val="Hyperlink"/>
          </w:rPr>
          <w:t>Table 1</w:t>
        </w:r>
        <w:r w:rsidR="007D4948" w:rsidRPr="007D1918">
          <w:rPr>
            <w:rFonts w:asciiTheme="minorHAnsi" w:eastAsiaTheme="minorEastAsia" w:hAnsiTheme="minorHAnsi" w:cstheme="minorBidi"/>
          </w:rPr>
          <w:tab/>
        </w:r>
        <w:r w:rsidR="007D4948" w:rsidRPr="007D1918">
          <w:rPr>
            <w:rStyle w:val="Hyperlink"/>
          </w:rPr>
          <w:t>Summary of the economic evaluations</w:t>
        </w:r>
        <w:r w:rsidR="007D4948" w:rsidRPr="007D1918">
          <w:rPr>
            <w:webHidden/>
          </w:rPr>
          <w:tab/>
        </w:r>
        <w:r w:rsidR="007D4948" w:rsidRPr="007D1918">
          <w:rPr>
            <w:webHidden/>
          </w:rPr>
          <w:fldChar w:fldCharType="begin"/>
        </w:r>
        <w:r w:rsidR="007D4948" w:rsidRPr="007D1918">
          <w:rPr>
            <w:webHidden/>
          </w:rPr>
          <w:instrText xml:space="preserve"> PAGEREF _Toc23769488 \h </w:instrText>
        </w:r>
        <w:r w:rsidR="007D4948" w:rsidRPr="007D1918">
          <w:rPr>
            <w:webHidden/>
          </w:rPr>
        </w:r>
        <w:r w:rsidR="007D4948" w:rsidRPr="007D1918">
          <w:rPr>
            <w:webHidden/>
          </w:rPr>
          <w:fldChar w:fldCharType="separate"/>
        </w:r>
        <w:r w:rsidR="007D4948" w:rsidRPr="007D1918">
          <w:rPr>
            <w:webHidden/>
          </w:rPr>
          <w:t>26</w:t>
        </w:r>
        <w:r w:rsidR="007D4948" w:rsidRPr="007D1918">
          <w:rPr>
            <w:webHidden/>
          </w:rPr>
          <w:fldChar w:fldCharType="end"/>
        </w:r>
      </w:hyperlink>
    </w:p>
    <w:p w14:paraId="6D47EBE5" w14:textId="2286570A" w:rsidR="007D4948" w:rsidRPr="007D1918" w:rsidRDefault="002814BF">
      <w:pPr>
        <w:pStyle w:val="TableofFigures"/>
        <w:rPr>
          <w:rFonts w:asciiTheme="minorHAnsi" w:eastAsiaTheme="minorEastAsia" w:hAnsiTheme="minorHAnsi" w:cstheme="minorBidi"/>
        </w:rPr>
      </w:pPr>
      <w:hyperlink w:anchor="_Toc23769489" w:history="1">
        <w:r w:rsidR="007D4948" w:rsidRPr="007D1918">
          <w:rPr>
            <w:rStyle w:val="Hyperlink"/>
          </w:rPr>
          <w:t xml:space="preserve">Table 2 </w:t>
        </w:r>
        <w:r w:rsidR="007D4948" w:rsidRPr="007D1918">
          <w:rPr>
            <w:rFonts w:asciiTheme="minorHAnsi" w:eastAsiaTheme="minorEastAsia" w:hAnsiTheme="minorHAnsi" w:cstheme="minorBidi"/>
          </w:rPr>
          <w:tab/>
        </w:r>
        <w:r w:rsidR="007D4948" w:rsidRPr="007D1918">
          <w:rPr>
            <w:rStyle w:val="Hyperlink"/>
          </w:rPr>
          <w:t>Indication 1: Cost utility and cost consequences analysis</w:t>
        </w:r>
        <w:r w:rsidR="007D4948" w:rsidRPr="007D1918">
          <w:rPr>
            <w:webHidden/>
          </w:rPr>
          <w:tab/>
        </w:r>
        <w:r w:rsidR="007D4948" w:rsidRPr="007D1918">
          <w:rPr>
            <w:webHidden/>
          </w:rPr>
          <w:fldChar w:fldCharType="begin"/>
        </w:r>
        <w:r w:rsidR="007D4948" w:rsidRPr="007D1918">
          <w:rPr>
            <w:webHidden/>
          </w:rPr>
          <w:instrText xml:space="preserve"> PAGEREF _Toc23769489 \h </w:instrText>
        </w:r>
        <w:r w:rsidR="007D4948" w:rsidRPr="007D1918">
          <w:rPr>
            <w:webHidden/>
          </w:rPr>
        </w:r>
        <w:r w:rsidR="007D4948" w:rsidRPr="007D1918">
          <w:rPr>
            <w:webHidden/>
          </w:rPr>
          <w:fldChar w:fldCharType="separate"/>
        </w:r>
        <w:r w:rsidR="007D4948" w:rsidRPr="007D1918">
          <w:rPr>
            <w:webHidden/>
          </w:rPr>
          <w:t>27</w:t>
        </w:r>
        <w:r w:rsidR="007D4948" w:rsidRPr="007D1918">
          <w:rPr>
            <w:webHidden/>
          </w:rPr>
          <w:fldChar w:fldCharType="end"/>
        </w:r>
      </w:hyperlink>
    </w:p>
    <w:p w14:paraId="7B31A407" w14:textId="347DF836" w:rsidR="007D4948" w:rsidRPr="007D1918" w:rsidRDefault="002814BF">
      <w:pPr>
        <w:pStyle w:val="TableofFigures"/>
        <w:rPr>
          <w:rFonts w:asciiTheme="minorHAnsi" w:eastAsiaTheme="minorEastAsia" w:hAnsiTheme="minorHAnsi" w:cstheme="minorBidi"/>
        </w:rPr>
      </w:pPr>
      <w:hyperlink w:anchor="_Toc23769490" w:history="1">
        <w:r w:rsidR="007D4948" w:rsidRPr="007D1918">
          <w:rPr>
            <w:rStyle w:val="Hyperlink"/>
          </w:rPr>
          <w:t xml:space="preserve">Table 3 </w:t>
        </w:r>
        <w:r w:rsidR="007D4948" w:rsidRPr="007D1918">
          <w:rPr>
            <w:rFonts w:asciiTheme="minorHAnsi" w:eastAsiaTheme="minorEastAsia" w:hAnsiTheme="minorHAnsi" w:cstheme="minorBidi"/>
          </w:rPr>
          <w:tab/>
        </w:r>
        <w:r w:rsidR="007D4948" w:rsidRPr="007D1918">
          <w:rPr>
            <w:rStyle w:val="Hyperlink"/>
          </w:rPr>
          <w:t>Indication 2: Cost-minimisation analysis</w:t>
        </w:r>
        <w:r w:rsidR="007D4948" w:rsidRPr="007D1918">
          <w:rPr>
            <w:webHidden/>
          </w:rPr>
          <w:tab/>
        </w:r>
        <w:r w:rsidR="007D4948" w:rsidRPr="007D1918">
          <w:rPr>
            <w:webHidden/>
          </w:rPr>
          <w:fldChar w:fldCharType="begin"/>
        </w:r>
        <w:r w:rsidR="007D4948" w:rsidRPr="007D1918">
          <w:rPr>
            <w:webHidden/>
          </w:rPr>
          <w:instrText xml:space="preserve"> PAGEREF _Toc23769490 \h </w:instrText>
        </w:r>
        <w:r w:rsidR="007D4948" w:rsidRPr="007D1918">
          <w:rPr>
            <w:webHidden/>
          </w:rPr>
        </w:r>
        <w:r w:rsidR="007D4948" w:rsidRPr="007D1918">
          <w:rPr>
            <w:webHidden/>
          </w:rPr>
          <w:fldChar w:fldCharType="separate"/>
        </w:r>
        <w:r w:rsidR="007D4948" w:rsidRPr="007D1918">
          <w:rPr>
            <w:webHidden/>
          </w:rPr>
          <w:t>28</w:t>
        </w:r>
        <w:r w:rsidR="007D4948" w:rsidRPr="007D1918">
          <w:rPr>
            <w:webHidden/>
          </w:rPr>
          <w:fldChar w:fldCharType="end"/>
        </w:r>
      </w:hyperlink>
    </w:p>
    <w:p w14:paraId="3A6E99DA" w14:textId="1A0D25F1" w:rsidR="007D4948" w:rsidRPr="007D1918" w:rsidRDefault="002814BF">
      <w:pPr>
        <w:pStyle w:val="TableofFigures"/>
        <w:rPr>
          <w:rFonts w:asciiTheme="minorHAnsi" w:eastAsiaTheme="minorEastAsia" w:hAnsiTheme="minorHAnsi" w:cstheme="minorBidi"/>
        </w:rPr>
      </w:pPr>
      <w:hyperlink w:anchor="_Toc23769491" w:history="1">
        <w:r w:rsidR="007D4948" w:rsidRPr="007D1918">
          <w:rPr>
            <w:rStyle w:val="Hyperlink"/>
          </w:rPr>
          <w:t>Table 4</w:t>
        </w:r>
        <w:r w:rsidR="007D4948" w:rsidRPr="007D1918">
          <w:rPr>
            <w:rFonts w:asciiTheme="minorHAnsi" w:eastAsiaTheme="minorEastAsia" w:hAnsiTheme="minorHAnsi" w:cstheme="minorBidi"/>
          </w:rPr>
          <w:tab/>
        </w:r>
        <w:r w:rsidR="007D4948" w:rsidRPr="007D1918">
          <w:rPr>
            <w:rStyle w:val="Hyperlink"/>
          </w:rPr>
          <w:t xml:space="preserve"> Indication 3: Cost analysis over varying time horizons, discounted at 5% pa</w:t>
        </w:r>
        <w:r w:rsidR="007D4948" w:rsidRPr="007D1918">
          <w:rPr>
            <w:webHidden/>
          </w:rPr>
          <w:tab/>
        </w:r>
        <w:r w:rsidR="007D4948" w:rsidRPr="007D1918">
          <w:rPr>
            <w:webHidden/>
          </w:rPr>
          <w:fldChar w:fldCharType="begin"/>
        </w:r>
        <w:r w:rsidR="007D4948" w:rsidRPr="007D1918">
          <w:rPr>
            <w:webHidden/>
          </w:rPr>
          <w:instrText xml:space="preserve"> PAGEREF _Toc23769491 \h </w:instrText>
        </w:r>
        <w:r w:rsidR="007D4948" w:rsidRPr="007D1918">
          <w:rPr>
            <w:webHidden/>
          </w:rPr>
        </w:r>
        <w:r w:rsidR="007D4948" w:rsidRPr="007D1918">
          <w:rPr>
            <w:webHidden/>
          </w:rPr>
          <w:fldChar w:fldCharType="separate"/>
        </w:r>
        <w:r w:rsidR="007D4948" w:rsidRPr="007D1918">
          <w:rPr>
            <w:webHidden/>
          </w:rPr>
          <w:t>29</w:t>
        </w:r>
        <w:r w:rsidR="007D4948" w:rsidRPr="007D1918">
          <w:rPr>
            <w:webHidden/>
          </w:rPr>
          <w:fldChar w:fldCharType="end"/>
        </w:r>
      </w:hyperlink>
    </w:p>
    <w:p w14:paraId="40111D08" w14:textId="668791C1" w:rsidR="007D4948" w:rsidRPr="007D1918" w:rsidRDefault="002814BF">
      <w:pPr>
        <w:pStyle w:val="TableofFigures"/>
        <w:rPr>
          <w:rFonts w:asciiTheme="minorHAnsi" w:eastAsiaTheme="minorEastAsia" w:hAnsiTheme="minorHAnsi" w:cstheme="minorBidi"/>
        </w:rPr>
      </w:pPr>
      <w:hyperlink w:anchor="_Toc23769492" w:history="1">
        <w:r w:rsidR="007D4948" w:rsidRPr="007D1918">
          <w:rPr>
            <w:rStyle w:val="Hyperlink"/>
          </w:rPr>
          <w:t>Table 5</w:t>
        </w:r>
        <w:r w:rsidR="007D4948" w:rsidRPr="007D1918">
          <w:rPr>
            <w:rFonts w:asciiTheme="minorHAnsi" w:eastAsiaTheme="minorEastAsia" w:hAnsiTheme="minorHAnsi" w:cstheme="minorBidi"/>
          </w:rPr>
          <w:tab/>
        </w:r>
        <w:r w:rsidR="007D4948" w:rsidRPr="007D1918">
          <w:rPr>
            <w:rStyle w:val="Hyperlink"/>
          </w:rPr>
          <w:t xml:space="preserve"> Indication 3: Non-comparative cost analysis of other Indication 3 therapies over varying time horizons, discounted at 5% pa (equivalent effectiveness cannot be assumed).</w:t>
        </w:r>
        <w:r w:rsidR="007D4948" w:rsidRPr="007D1918">
          <w:rPr>
            <w:webHidden/>
          </w:rPr>
          <w:tab/>
        </w:r>
        <w:r w:rsidR="007D4948" w:rsidRPr="007D1918">
          <w:rPr>
            <w:webHidden/>
          </w:rPr>
          <w:fldChar w:fldCharType="begin"/>
        </w:r>
        <w:r w:rsidR="007D4948" w:rsidRPr="007D1918">
          <w:rPr>
            <w:webHidden/>
          </w:rPr>
          <w:instrText xml:space="preserve"> PAGEREF _Toc23769492 \h </w:instrText>
        </w:r>
        <w:r w:rsidR="007D4948" w:rsidRPr="007D1918">
          <w:rPr>
            <w:webHidden/>
          </w:rPr>
        </w:r>
        <w:r w:rsidR="007D4948" w:rsidRPr="007D1918">
          <w:rPr>
            <w:webHidden/>
          </w:rPr>
          <w:fldChar w:fldCharType="separate"/>
        </w:r>
        <w:r w:rsidR="007D4948" w:rsidRPr="007D1918">
          <w:rPr>
            <w:webHidden/>
          </w:rPr>
          <w:t>29</w:t>
        </w:r>
        <w:r w:rsidR="007D4948" w:rsidRPr="007D1918">
          <w:rPr>
            <w:webHidden/>
          </w:rPr>
          <w:fldChar w:fldCharType="end"/>
        </w:r>
      </w:hyperlink>
    </w:p>
    <w:p w14:paraId="6B9397C4" w14:textId="777E244E" w:rsidR="007D4948" w:rsidRPr="007D1918" w:rsidRDefault="002814BF">
      <w:pPr>
        <w:pStyle w:val="TableofFigures"/>
        <w:rPr>
          <w:rFonts w:asciiTheme="minorHAnsi" w:eastAsiaTheme="minorEastAsia" w:hAnsiTheme="minorHAnsi" w:cstheme="minorBidi"/>
        </w:rPr>
      </w:pPr>
      <w:hyperlink w:anchor="_Toc23769493" w:history="1">
        <w:r w:rsidR="007D4948" w:rsidRPr="007D1918">
          <w:rPr>
            <w:rStyle w:val="Hyperlink"/>
          </w:rPr>
          <w:t>Table 6</w:t>
        </w:r>
        <w:r w:rsidR="007D4948" w:rsidRPr="007D1918">
          <w:rPr>
            <w:rFonts w:asciiTheme="minorHAnsi" w:eastAsiaTheme="minorEastAsia" w:hAnsiTheme="minorHAnsi" w:cstheme="minorBidi"/>
          </w:rPr>
          <w:tab/>
        </w:r>
        <w:r w:rsidR="007D4948" w:rsidRPr="007D1918">
          <w:rPr>
            <w:rStyle w:val="Hyperlink"/>
          </w:rPr>
          <w:t xml:space="preserve"> Total costs to government associated with Ig for MG</w:t>
        </w:r>
        <w:r w:rsidR="007D4948" w:rsidRPr="007D1918">
          <w:rPr>
            <w:webHidden/>
          </w:rPr>
          <w:tab/>
        </w:r>
        <w:r w:rsidR="007D4948" w:rsidRPr="007D1918">
          <w:rPr>
            <w:webHidden/>
          </w:rPr>
          <w:fldChar w:fldCharType="begin"/>
        </w:r>
        <w:r w:rsidR="007D4948" w:rsidRPr="007D1918">
          <w:rPr>
            <w:webHidden/>
          </w:rPr>
          <w:instrText xml:space="preserve"> PAGEREF _Toc23769493 \h </w:instrText>
        </w:r>
        <w:r w:rsidR="007D4948" w:rsidRPr="007D1918">
          <w:rPr>
            <w:webHidden/>
          </w:rPr>
        </w:r>
        <w:r w:rsidR="007D4948" w:rsidRPr="007D1918">
          <w:rPr>
            <w:webHidden/>
          </w:rPr>
          <w:fldChar w:fldCharType="separate"/>
        </w:r>
        <w:r w:rsidR="007D4948" w:rsidRPr="007D1918">
          <w:rPr>
            <w:webHidden/>
          </w:rPr>
          <w:t>30</w:t>
        </w:r>
        <w:r w:rsidR="007D4948" w:rsidRPr="007D1918">
          <w:rPr>
            <w:webHidden/>
          </w:rPr>
          <w:fldChar w:fldCharType="end"/>
        </w:r>
      </w:hyperlink>
    </w:p>
    <w:p w14:paraId="18322E92" w14:textId="2996BE35" w:rsidR="007D4948" w:rsidRPr="007D1918" w:rsidRDefault="002814BF">
      <w:pPr>
        <w:pStyle w:val="TableofFigures"/>
        <w:rPr>
          <w:rFonts w:asciiTheme="minorHAnsi" w:eastAsiaTheme="minorEastAsia" w:hAnsiTheme="minorHAnsi" w:cstheme="minorBidi"/>
        </w:rPr>
      </w:pPr>
      <w:hyperlink w:anchor="_Toc23769494" w:history="1">
        <w:r w:rsidR="007D4948" w:rsidRPr="007D1918">
          <w:rPr>
            <w:rStyle w:val="Hyperlink"/>
          </w:rPr>
          <w:t>Table 7</w:t>
        </w:r>
        <w:r w:rsidR="007D4948" w:rsidRPr="007D1918">
          <w:rPr>
            <w:rFonts w:asciiTheme="minorHAnsi" w:eastAsiaTheme="minorEastAsia" w:hAnsiTheme="minorHAnsi" w:cstheme="minorBidi"/>
          </w:rPr>
          <w:tab/>
        </w:r>
        <w:r w:rsidR="007D4948" w:rsidRPr="007D1918">
          <w:rPr>
            <w:rStyle w:val="Hyperlink"/>
          </w:rPr>
          <w:t>Ig products listed on the ARTG</w:t>
        </w:r>
        <w:r w:rsidR="007D4948" w:rsidRPr="007D1918">
          <w:rPr>
            <w:webHidden/>
          </w:rPr>
          <w:tab/>
        </w:r>
        <w:r w:rsidR="007D4948" w:rsidRPr="007D1918">
          <w:rPr>
            <w:webHidden/>
          </w:rPr>
          <w:fldChar w:fldCharType="begin"/>
        </w:r>
        <w:r w:rsidR="007D4948" w:rsidRPr="007D1918">
          <w:rPr>
            <w:webHidden/>
          </w:rPr>
          <w:instrText xml:space="preserve"> PAGEREF _Toc23769494 \h </w:instrText>
        </w:r>
        <w:r w:rsidR="007D4948" w:rsidRPr="007D1918">
          <w:rPr>
            <w:webHidden/>
          </w:rPr>
        </w:r>
        <w:r w:rsidR="007D4948" w:rsidRPr="007D1918">
          <w:rPr>
            <w:webHidden/>
          </w:rPr>
          <w:fldChar w:fldCharType="separate"/>
        </w:r>
        <w:r w:rsidR="007D4948" w:rsidRPr="007D1918">
          <w:rPr>
            <w:webHidden/>
          </w:rPr>
          <w:t>39</w:t>
        </w:r>
        <w:r w:rsidR="007D4948" w:rsidRPr="007D1918">
          <w:rPr>
            <w:webHidden/>
          </w:rPr>
          <w:fldChar w:fldCharType="end"/>
        </w:r>
      </w:hyperlink>
    </w:p>
    <w:p w14:paraId="58314DF6" w14:textId="06268291" w:rsidR="007D4948" w:rsidRPr="007D1918" w:rsidRDefault="002814BF">
      <w:pPr>
        <w:pStyle w:val="TableofFigures"/>
        <w:rPr>
          <w:rFonts w:asciiTheme="minorHAnsi" w:eastAsiaTheme="minorEastAsia" w:hAnsiTheme="minorHAnsi" w:cstheme="minorBidi"/>
        </w:rPr>
      </w:pPr>
      <w:hyperlink w:anchor="_Toc23769495" w:history="1">
        <w:r w:rsidR="007D4948" w:rsidRPr="007D1918">
          <w:rPr>
            <w:rStyle w:val="Hyperlink"/>
          </w:rPr>
          <w:t>Table 8</w:t>
        </w:r>
        <w:r w:rsidR="007D4948" w:rsidRPr="007D1918">
          <w:rPr>
            <w:rFonts w:asciiTheme="minorHAnsi" w:eastAsiaTheme="minorEastAsia" w:hAnsiTheme="minorHAnsi" w:cstheme="minorBidi"/>
          </w:rPr>
          <w:tab/>
        </w:r>
        <w:r w:rsidR="007D4948" w:rsidRPr="007D1918">
          <w:rPr>
            <w:rStyle w:val="Hyperlink"/>
          </w:rPr>
          <w:t>Number of patients using IVIg for MG in Australia for the period of July 2017 to June 2018</w:t>
        </w:r>
        <w:r w:rsidR="007D4948" w:rsidRPr="007D1918">
          <w:rPr>
            <w:webHidden/>
          </w:rPr>
          <w:tab/>
        </w:r>
        <w:r w:rsidR="007D4948" w:rsidRPr="007D1918">
          <w:rPr>
            <w:webHidden/>
          </w:rPr>
          <w:fldChar w:fldCharType="begin"/>
        </w:r>
        <w:r w:rsidR="007D4948" w:rsidRPr="007D1918">
          <w:rPr>
            <w:webHidden/>
          </w:rPr>
          <w:instrText xml:space="preserve"> PAGEREF _Toc23769495 \h </w:instrText>
        </w:r>
        <w:r w:rsidR="007D4948" w:rsidRPr="007D1918">
          <w:rPr>
            <w:webHidden/>
          </w:rPr>
        </w:r>
        <w:r w:rsidR="007D4948" w:rsidRPr="007D1918">
          <w:rPr>
            <w:webHidden/>
          </w:rPr>
          <w:fldChar w:fldCharType="separate"/>
        </w:r>
        <w:r w:rsidR="007D4948" w:rsidRPr="007D1918">
          <w:rPr>
            <w:webHidden/>
          </w:rPr>
          <w:t>41</w:t>
        </w:r>
        <w:r w:rsidR="007D4948" w:rsidRPr="007D1918">
          <w:rPr>
            <w:webHidden/>
          </w:rPr>
          <w:fldChar w:fldCharType="end"/>
        </w:r>
      </w:hyperlink>
    </w:p>
    <w:p w14:paraId="7688B5AC" w14:textId="7AA2ADBB" w:rsidR="007D4948" w:rsidRPr="007D1918" w:rsidRDefault="002814BF">
      <w:pPr>
        <w:pStyle w:val="TableofFigures"/>
        <w:rPr>
          <w:rFonts w:asciiTheme="minorHAnsi" w:eastAsiaTheme="minorEastAsia" w:hAnsiTheme="minorHAnsi" w:cstheme="minorBidi"/>
        </w:rPr>
      </w:pPr>
      <w:hyperlink w:anchor="_Toc23769496" w:history="1">
        <w:r w:rsidR="007D4948" w:rsidRPr="007D1918">
          <w:rPr>
            <w:rStyle w:val="Hyperlink"/>
          </w:rPr>
          <w:t>Table 9</w:t>
        </w:r>
        <w:r w:rsidR="007D4948" w:rsidRPr="007D1918">
          <w:rPr>
            <w:rFonts w:asciiTheme="minorHAnsi" w:eastAsiaTheme="minorEastAsia" w:hAnsiTheme="minorHAnsi" w:cstheme="minorBidi"/>
          </w:rPr>
          <w:tab/>
        </w:r>
        <w:r w:rsidR="007D4948" w:rsidRPr="007D1918">
          <w:rPr>
            <w:rStyle w:val="Hyperlink"/>
          </w:rPr>
          <w:t xml:space="preserve"> Drug comparators for patients in Indication 3</w:t>
        </w:r>
        <w:r w:rsidR="007D4948" w:rsidRPr="007D1918">
          <w:rPr>
            <w:webHidden/>
          </w:rPr>
          <w:tab/>
        </w:r>
        <w:r w:rsidR="007D4948" w:rsidRPr="007D1918">
          <w:rPr>
            <w:webHidden/>
          </w:rPr>
          <w:fldChar w:fldCharType="begin"/>
        </w:r>
        <w:r w:rsidR="007D4948" w:rsidRPr="007D1918">
          <w:rPr>
            <w:webHidden/>
          </w:rPr>
          <w:instrText xml:space="preserve"> PAGEREF _Toc23769496 \h </w:instrText>
        </w:r>
        <w:r w:rsidR="007D4948" w:rsidRPr="007D1918">
          <w:rPr>
            <w:webHidden/>
          </w:rPr>
        </w:r>
        <w:r w:rsidR="007D4948" w:rsidRPr="007D1918">
          <w:rPr>
            <w:webHidden/>
          </w:rPr>
          <w:fldChar w:fldCharType="separate"/>
        </w:r>
        <w:r w:rsidR="007D4948" w:rsidRPr="007D1918">
          <w:rPr>
            <w:webHidden/>
          </w:rPr>
          <w:t>43</w:t>
        </w:r>
        <w:r w:rsidR="007D4948" w:rsidRPr="007D1918">
          <w:rPr>
            <w:webHidden/>
          </w:rPr>
          <w:fldChar w:fldCharType="end"/>
        </w:r>
      </w:hyperlink>
    </w:p>
    <w:p w14:paraId="75AE897B" w14:textId="63D4CC9A" w:rsidR="007D4948" w:rsidRPr="007D1918" w:rsidRDefault="002814BF">
      <w:pPr>
        <w:pStyle w:val="TableofFigures"/>
        <w:rPr>
          <w:rFonts w:asciiTheme="minorHAnsi" w:eastAsiaTheme="minorEastAsia" w:hAnsiTheme="minorHAnsi" w:cstheme="minorBidi"/>
        </w:rPr>
      </w:pPr>
      <w:hyperlink w:anchor="_Toc23769497" w:history="1">
        <w:r w:rsidR="007D4948" w:rsidRPr="007D1918">
          <w:rPr>
            <w:rStyle w:val="Hyperlink"/>
          </w:rPr>
          <w:t>Table 10</w:t>
        </w:r>
        <w:r w:rsidR="007D4948" w:rsidRPr="007D1918">
          <w:rPr>
            <w:rFonts w:asciiTheme="minorHAnsi" w:eastAsiaTheme="minorEastAsia" w:hAnsiTheme="minorHAnsi" w:cstheme="minorBidi"/>
          </w:rPr>
          <w:tab/>
        </w:r>
        <w:r w:rsidR="007D4948" w:rsidRPr="007D1918">
          <w:rPr>
            <w:rStyle w:val="Hyperlink"/>
          </w:rPr>
          <w:t>Search terms used (PubMed/Medline platform)</w:t>
        </w:r>
        <w:r w:rsidR="007D4948" w:rsidRPr="007D1918">
          <w:rPr>
            <w:webHidden/>
          </w:rPr>
          <w:tab/>
        </w:r>
        <w:r w:rsidR="007D4948" w:rsidRPr="007D1918">
          <w:rPr>
            <w:webHidden/>
          </w:rPr>
          <w:fldChar w:fldCharType="begin"/>
        </w:r>
        <w:r w:rsidR="007D4948" w:rsidRPr="007D1918">
          <w:rPr>
            <w:webHidden/>
          </w:rPr>
          <w:instrText xml:space="preserve"> PAGEREF _Toc23769497 \h </w:instrText>
        </w:r>
        <w:r w:rsidR="007D4948" w:rsidRPr="007D1918">
          <w:rPr>
            <w:webHidden/>
          </w:rPr>
        </w:r>
        <w:r w:rsidR="007D4948" w:rsidRPr="007D1918">
          <w:rPr>
            <w:webHidden/>
          </w:rPr>
          <w:fldChar w:fldCharType="separate"/>
        </w:r>
        <w:r w:rsidR="007D4948" w:rsidRPr="007D1918">
          <w:rPr>
            <w:webHidden/>
          </w:rPr>
          <w:t>56</w:t>
        </w:r>
        <w:r w:rsidR="007D4948" w:rsidRPr="007D1918">
          <w:rPr>
            <w:webHidden/>
          </w:rPr>
          <w:fldChar w:fldCharType="end"/>
        </w:r>
      </w:hyperlink>
    </w:p>
    <w:p w14:paraId="43DD3995" w14:textId="29DCC262" w:rsidR="007D4948" w:rsidRPr="007D1918" w:rsidRDefault="002814BF">
      <w:pPr>
        <w:pStyle w:val="TableofFigures"/>
        <w:rPr>
          <w:rFonts w:asciiTheme="minorHAnsi" w:eastAsiaTheme="minorEastAsia" w:hAnsiTheme="minorHAnsi" w:cstheme="minorBidi"/>
        </w:rPr>
      </w:pPr>
      <w:hyperlink w:anchor="_Toc23769498" w:history="1">
        <w:r w:rsidR="007D4948" w:rsidRPr="007D1918">
          <w:rPr>
            <w:rStyle w:val="Hyperlink"/>
          </w:rPr>
          <w:t>Table 11</w:t>
        </w:r>
        <w:r w:rsidR="007D4948" w:rsidRPr="007D1918">
          <w:rPr>
            <w:rFonts w:asciiTheme="minorHAnsi" w:eastAsiaTheme="minorEastAsia" w:hAnsiTheme="minorHAnsi" w:cstheme="minorBidi"/>
          </w:rPr>
          <w:tab/>
        </w:r>
        <w:r w:rsidR="007D4948" w:rsidRPr="007D1918">
          <w:rPr>
            <w:rStyle w:val="Hyperlink"/>
            <w:snapToGrid w:val="0"/>
            <w:lang w:eastAsia="en-US"/>
          </w:rPr>
          <w:t>Key features of the systematic reviews comparing IVIg with PE and other comparators in MG patients</w:t>
        </w:r>
        <w:r w:rsidR="007D4948" w:rsidRPr="007D1918">
          <w:rPr>
            <w:webHidden/>
          </w:rPr>
          <w:tab/>
        </w:r>
        <w:r w:rsidR="007D4948" w:rsidRPr="007D1918">
          <w:rPr>
            <w:webHidden/>
          </w:rPr>
          <w:fldChar w:fldCharType="begin"/>
        </w:r>
        <w:r w:rsidR="007D4948" w:rsidRPr="007D1918">
          <w:rPr>
            <w:webHidden/>
          </w:rPr>
          <w:instrText xml:space="preserve"> PAGEREF _Toc23769498 \h </w:instrText>
        </w:r>
        <w:r w:rsidR="007D4948" w:rsidRPr="007D1918">
          <w:rPr>
            <w:webHidden/>
          </w:rPr>
        </w:r>
        <w:r w:rsidR="007D4948" w:rsidRPr="007D1918">
          <w:rPr>
            <w:webHidden/>
          </w:rPr>
          <w:fldChar w:fldCharType="separate"/>
        </w:r>
        <w:r w:rsidR="007D4948" w:rsidRPr="007D1918">
          <w:rPr>
            <w:webHidden/>
          </w:rPr>
          <w:t>60</w:t>
        </w:r>
        <w:r w:rsidR="007D4948" w:rsidRPr="007D1918">
          <w:rPr>
            <w:webHidden/>
          </w:rPr>
          <w:fldChar w:fldCharType="end"/>
        </w:r>
      </w:hyperlink>
    </w:p>
    <w:p w14:paraId="18F6D363" w14:textId="16FE7CCB" w:rsidR="007D4948" w:rsidRPr="007D1918" w:rsidRDefault="002814BF">
      <w:pPr>
        <w:pStyle w:val="TableofFigures"/>
        <w:rPr>
          <w:rFonts w:asciiTheme="minorHAnsi" w:eastAsiaTheme="minorEastAsia" w:hAnsiTheme="minorHAnsi" w:cstheme="minorBidi"/>
        </w:rPr>
      </w:pPr>
      <w:hyperlink w:anchor="_Toc23769499" w:history="1">
        <w:r w:rsidR="007D4948" w:rsidRPr="007D1918">
          <w:rPr>
            <w:rStyle w:val="Hyperlink"/>
          </w:rPr>
          <w:t>Table 12</w:t>
        </w:r>
        <w:r w:rsidR="007D4948" w:rsidRPr="007D1918">
          <w:rPr>
            <w:rFonts w:asciiTheme="minorHAnsi" w:eastAsiaTheme="minorEastAsia" w:hAnsiTheme="minorHAnsi" w:cstheme="minorBidi"/>
          </w:rPr>
          <w:tab/>
        </w:r>
        <w:r w:rsidR="007D4948" w:rsidRPr="007D1918">
          <w:rPr>
            <w:rStyle w:val="Hyperlink"/>
          </w:rPr>
          <w:t xml:space="preserve">Key features of the primary comparative studies comparing IVIg with PE and other comparators in MG patients meeting </w:t>
        </w:r>
        <w:r w:rsidR="007D4948" w:rsidRPr="007D1918">
          <w:rPr>
            <w:rStyle w:val="Hyperlink"/>
            <w:i/>
          </w:rPr>
          <w:t>Criteria V3</w:t>
        </w:r>
        <w:r w:rsidR="007D4948" w:rsidRPr="007D1918">
          <w:rPr>
            <w:rStyle w:val="Hyperlink"/>
          </w:rPr>
          <w:t xml:space="preserve"> Indication 1, 2 and 3</w:t>
        </w:r>
        <w:r w:rsidR="007D4948" w:rsidRPr="007D1918">
          <w:rPr>
            <w:webHidden/>
          </w:rPr>
          <w:tab/>
        </w:r>
        <w:r w:rsidR="007D4948" w:rsidRPr="007D1918">
          <w:rPr>
            <w:webHidden/>
          </w:rPr>
          <w:fldChar w:fldCharType="begin"/>
        </w:r>
        <w:r w:rsidR="007D4948" w:rsidRPr="007D1918">
          <w:rPr>
            <w:webHidden/>
          </w:rPr>
          <w:instrText xml:space="preserve"> PAGEREF _Toc23769499 \h </w:instrText>
        </w:r>
        <w:r w:rsidR="007D4948" w:rsidRPr="007D1918">
          <w:rPr>
            <w:webHidden/>
          </w:rPr>
        </w:r>
        <w:r w:rsidR="007D4948" w:rsidRPr="007D1918">
          <w:rPr>
            <w:webHidden/>
          </w:rPr>
          <w:fldChar w:fldCharType="separate"/>
        </w:r>
        <w:r w:rsidR="007D4948" w:rsidRPr="007D1918">
          <w:rPr>
            <w:webHidden/>
          </w:rPr>
          <w:t>61</w:t>
        </w:r>
        <w:r w:rsidR="007D4948" w:rsidRPr="007D1918">
          <w:rPr>
            <w:webHidden/>
          </w:rPr>
          <w:fldChar w:fldCharType="end"/>
        </w:r>
      </w:hyperlink>
    </w:p>
    <w:p w14:paraId="501830AA" w14:textId="52D07407" w:rsidR="007D4948" w:rsidRPr="007D1918" w:rsidRDefault="002814BF">
      <w:pPr>
        <w:pStyle w:val="TableofFigures"/>
        <w:rPr>
          <w:rFonts w:asciiTheme="minorHAnsi" w:eastAsiaTheme="minorEastAsia" w:hAnsiTheme="minorHAnsi" w:cstheme="minorBidi"/>
        </w:rPr>
      </w:pPr>
      <w:hyperlink w:anchor="_Toc23769500" w:history="1">
        <w:r w:rsidR="007D4948" w:rsidRPr="007D1918">
          <w:rPr>
            <w:rStyle w:val="Hyperlink"/>
          </w:rPr>
          <w:t>Table 13</w:t>
        </w:r>
        <w:r w:rsidR="007D4948" w:rsidRPr="007D1918">
          <w:rPr>
            <w:rFonts w:asciiTheme="minorHAnsi" w:eastAsiaTheme="minorEastAsia" w:hAnsiTheme="minorHAnsi" w:cstheme="minorBidi"/>
          </w:rPr>
          <w:tab/>
        </w:r>
        <w:r w:rsidR="007D4948" w:rsidRPr="007D1918">
          <w:rPr>
            <w:rStyle w:val="Hyperlink"/>
          </w:rPr>
          <w:t>The functional or clinical categorical scales used to assess patients in the included studies</w:t>
        </w:r>
        <w:r w:rsidR="007D4948" w:rsidRPr="007D1918">
          <w:rPr>
            <w:webHidden/>
          </w:rPr>
          <w:tab/>
        </w:r>
        <w:r w:rsidR="007D4948" w:rsidRPr="007D1918">
          <w:rPr>
            <w:webHidden/>
          </w:rPr>
          <w:fldChar w:fldCharType="begin"/>
        </w:r>
        <w:r w:rsidR="007D4948" w:rsidRPr="007D1918">
          <w:rPr>
            <w:webHidden/>
          </w:rPr>
          <w:instrText xml:space="preserve"> PAGEREF _Toc23769500 \h </w:instrText>
        </w:r>
        <w:r w:rsidR="007D4948" w:rsidRPr="007D1918">
          <w:rPr>
            <w:webHidden/>
          </w:rPr>
        </w:r>
        <w:r w:rsidR="007D4948" w:rsidRPr="007D1918">
          <w:rPr>
            <w:webHidden/>
          </w:rPr>
          <w:fldChar w:fldCharType="separate"/>
        </w:r>
        <w:r w:rsidR="007D4948" w:rsidRPr="007D1918">
          <w:rPr>
            <w:webHidden/>
          </w:rPr>
          <w:t>66</w:t>
        </w:r>
        <w:r w:rsidR="007D4948" w:rsidRPr="007D1918">
          <w:rPr>
            <w:webHidden/>
          </w:rPr>
          <w:fldChar w:fldCharType="end"/>
        </w:r>
      </w:hyperlink>
    </w:p>
    <w:p w14:paraId="4B0FD056" w14:textId="65D51E86" w:rsidR="007D4948" w:rsidRPr="007D1918" w:rsidRDefault="002814BF">
      <w:pPr>
        <w:pStyle w:val="TableofFigures"/>
        <w:rPr>
          <w:rFonts w:asciiTheme="minorHAnsi" w:eastAsiaTheme="minorEastAsia" w:hAnsiTheme="minorHAnsi" w:cstheme="minorBidi"/>
        </w:rPr>
      </w:pPr>
      <w:hyperlink w:anchor="_Toc23769501" w:history="1">
        <w:r w:rsidR="007D4948" w:rsidRPr="007D1918">
          <w:rPr>
            <w:rStyle w:val="Hyperlink"/>
          </w:rPr>
          <w:t>Table 14</w:t>
        </w:r>
        <w:r w:rsidR="007D4948" w:rsidRPr="007D1918">
          <w:rPr>
            <w:rFonts w:asciiTheme="minorHAnsi" w:eastAsiaTheme="minorEastAsia" w:hAnsiTheme="minorHAnsi" w:cstheme="minorBidi"/>
          </w:rPr>
          <w:tab/>
        </w:r>
        <w:r w:rsidR="007D4948" w:rsidRPr="007D1918">
          <w:rPr>
            <w:rStyle w:val="Hyperlink"/>
          </w:rPr>
          <w:t>The categorical scales used to evaluate treatment effectiveness</w:t>
        </w:r>
        <w:r w:rsidR="007D4948" w:rsidRPr="007D1918">
          <w:rPr>
            <w:webHidden/>
          </w:rPr>
          <w:tab/>
        </w:r>
        <w:r w:rsidR="007D4948" w:rsidRPr="007D1918">
          <w:rPr>
            <w:webHidden/>
          </w:rPr>
          <w:fldChar w:fldCharType="begin"/>
        </w:r>
        <w:r w:rsidR="007D4948" w:rsidRPr="007D1918">
          <w:rPr>
            <w:webHidden/>
          </w:rPr>
          <w:instrText xml:space="preserve"> PAGEREF _Toc23769501 \h </w:instrText>
        </w:r>
        <w:r w:rsidR="007D4948" w:rsidRPr="007D1918">
          <w:rPr>
            <w:webHidden/>
          </w:rPr>
        </w:r>
        <w:r w:rsidR="007D4948" w:rsidRPr="007D1918">
          <w:rPr>
            <w:webHidden/>
          </w:rPr>
          <w:fldChar w:fldCharType="separate"/>
        </w:r>
        <w:r w:rsidR="007D4948" w:rsidRPr="007D1918">
          <w:rPr>
            <w:webHidden/>
          </w:rPr>
          <w:t>66</w:t>
        </w:r>
        <w:r w:rsidR="007D4948" w:rsidRPr="007D1918">
          <w:rPr>
            <w:webHidden/>
          </w:rPr>
          <w:fldChar w:fldCharType="end"/>
        </w:r>
      </w:hyperlink>
    </w:p>
    <w:p w14:paraId="38B84045" w14:textId="00CD52ED" w:rsidR="007D4948" w:rsidRPr="007D1918" w:rsidRDefault="002814BF">
      <w:pPr>
        <w:pStyle w:val="TableofFigures"/>
        <w:rPr>
          <w:rFonts w:asciiTheme="minorHAnsi" w:eastAsiaTheme="minorEastAsia" w:hAnsiTheme="minorHAnsi" w:cstheme="minorBidi"/>
        </w:rPr>
      </w:pPr>
      <w:hyperlink w:anchor="_Toc23769502" w:history="1">
        <w:r w:rsidR="007D4948" w:rsidRPr="007D1918">
          <w:rPr>
            <w:rStyle w:val="Hyperlink"/>
          </w:rPr>
          <w:t>Table 15</w:t>
        </w:r>
        <w:r w:rsidR="007D4948" w:rsidRPr="007D1918">
          <w:rPr>
            <w:rFonts w:asciiTheme="minorHAnsi" w:eastAsiaTheme="minorEastAsia" w:hAnsiTheme="minorHAnsi" w:cstheme="minorBidi"/>
          </w:rPr>
          <w:tab/>
        </w:r>
        <w:r w:rsidR="007D4948" w:rsidRPr="007D1918">
          <w:rPr>
            <w:rStyle w:val="Hyperlink"/>
          </w:rPr>
          <w:t>The MG severity and/or QOL linear scales used to assess patients in the included studies</w:t>
        </w:r>
        <w:r w:rsidR="007D4948" w:rsidRPr="007D1918">
          <w:rPr>
            <w:webHidden/>
          </w:rPr>
          <w:tab/>
        </w:r>
        <w:r w:rsidR="007D4948" w:rsidRPr="007D1918">
          <w:rPr>
            <w:webHidden/>
          </w:rPr>
          <w:fldChar w:fldCharType="begin"/>
        </w:r>
        <w:r w:rsidR="007D4948" w:rsidRPr="007D1918">
          <w:rPr>
            <w:webHidden/>
          </w:rPr>
          <w:instrText xml:space="preserve"> PAGEREF _Toc23769502 \h </w:instrText>
        </w:r>
        <w:r w:rsidR="007D4948" w:rsidRPr="007D1918">
          <w:rPr>
            <w:webHidden/>
          </w:rPr>
        </w:r>
        <w:r w:rsidR="007D4948" w:rsidRPr="007D1918">
          <w:rPr>
            <w:webHidden/>
          </w:rPr>
          <w:fldChar w:fldCharType="separate"/>
        </w:r>
        <w:r w:rsidR="007D4948" w:rsidRPr="007D1918">
          <w:rPr>
            <w:webHidden/>
          </w:rPr>
          <w:t>67</w:t>
        </w:r>
        <w:r w:rsidR="007D4948" w:rsidRPr="007D1918">
          <w:rPr>
            <w:webHidden/>
          </w:rPr>
          <w:fldChar w:fldCharType="end"/>
        </w:r>
      </w:hyperlink>
    </w:p>
    <w:p w14:paraId="0F86666B" w14:textId="3A3C849B" w:rsidR="007D4948" w:rsidRPr="007D1918" w:rsidRDefault="002814BF">
      <w:pPr>
        <w:pStyle w:val="TableofFigures"/>
        <w:rPr>
          <w:rFonts w:asciiTheme="minorHAnsi" w:eastAsiaTheme="minorEastAsia" w:hAnsiTheme="minorHAnsi" w:cstheme="minorBidi"/>
        </w:rPr>
      </w:pPr>
      <w:hyperlink w:anchor="_Toc23769503" w:history="1">
        <w:r w:rsidR="007D4948" w:rsidRPr="007D1918">
          <w:rPr>
            <w:rStyle w:val="Hyperlink"/>
          </w:rPr>
          <w:t>Table 16</w:t>
        </w:r>
        <w:r w:rsidR="007D4948" w:rsidRPr="007D1918">
          <w:rPr>
            <w:rFonts w:asciiTheme="minorHAnsi" w:eastAsiaTheme="minorEastAsia" w:hAnsiTheme="minorHAnsi" w:cstheme="minorBidi"/>
          </w:rPr>
          <w:tab/>
        </w:r>
        <w:r w:rsidR="007D4948" w:rsidRPr="007D1918">
          <w:rPr>
            <w:rStyle w:val="Hyperlink"/>
          </w:rPr>
          <w:t>Disease stage of patients prior to exacerbation, stratified by treatment (Gajdos et al. 1997)</w:t>
        </w:r>
        <w:r w:rsidR="007D4948" w:rsidRPr="007D1918">
          <w:rPr>
            <w:webHidden/>
          </w:rPr>
          <w:tab/>
        </w:r>
        <w:r w:rsidR="007D4948" w:rsidRPr="007D1918">
          <w:rPr>
            <w:webHidden/>
          </w:rPr>
          <w:fldChar w:fldCharType="begin"/>
        </w:r>
        <w:r w:rsidR="007D4948" w:rsidRPr="007D1918">
          <w:rPr>
            <w:webHidden/>
          </w:rPr>
          <w:instrText xml:space="preserve"> PAGEREF _Toc23769503 \h </w:instrText>
        </w:r>
        <w:r w:rsidR="007D4948" w:rsidRPr="007D1918">
          <w:rPr>
            <w:webHidden/>
          </w:rPr>
        </w:r>
        <w:r w:rsidR="007D4948" w:rsidRPr="007D1918">
          <w:rPr>
            <w:webHidden/>
          </w:rPr>
          <w:fldChar w:fldCharType="separate"/>
        </w:r>
        <w:r w:rsidR="007D4948" w:rsidRPr="007D1918">
          <w:rPr>
            <w:webHidden/>
          </w:rPr>
          <w:t>71</w:t>
        </w:r>
        <w:r w:rsidR="007D4948" w:rsidRPr="007D1918">
          <w:rPr>
            <w:webHidden/>
          </w:rPr>
          <w:fldChar w:fldCharType="end"/>
        </w:r>
      </w:hyperlink>
    </w:p>
    <w:p w14:paraId="3213D80F" w14:textId="0C071E16" w:rsidR="007D4948" w:rsidRPr="007D1918" w:rsidRDefault="002814BF">
      <w:pPr>
        <w:pStyle w:val="TableofFigures"/>
        <w:rPr>
          <w:rFonts w:asciiTheme="minorHAnsi" w:eastAsiaTheme="minorEastAsia" w:hAnsiTheme="minorHAnsi" w:cstheme="minorBidi"/>
        </w:rPr>
      </w:pPr>
      <w:hyperlink w:anchor="_Toc23769504" w:history="1">
        <w:r w:rsidR="007D4948" w:rsidRPr="007D1918">
          <w:rPr>
            <w:rStyle w:val="Hyperlink"/>
          </w:rPr>
          <w:t>Table 17</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Number of adverse events in patients undergoing IVIg compared with PE</w:t>
        </w:r>
        <w:r w:rsidR="007D4948" w:rsidRPr="007D1918">
          <w:rPr>
            <w:webHidden/>
          </w:rPr>
          <w:tab/>
        </w:r>
        <w:r w:rsidR="007D4948" w:rsidRPr="007D1918">
          <w:rPr>
            <w:webHidden/>
          </w:rPr>
          <w:fldChar w:fldCharType="begin"/>
        </w:r>
        <w:r w:rsidR="007D4948" w:rsidRPr="007D1918">
          <w:rPr>
            <w:webHidden/>
          </w:rPr>
          <w:instrText xml:space="preserve"> PAGEREF _Toc23769504 \h </w:instrText>
        </w:r>
        <w:r w:rsidR="007D4948" w:rsidRPr="007D1918">
          <w:rPr>
            <w:webHidden/>
          </w:rPr>
        </w:r>
        <w:r w:rsidR="007D4948" w:rsidRPr="007D1918">
          <w:rPr>
            <w:webHidden/>
          </w:rPr>
          <w:fldChar w:fldCharType="separate"/>
        </w:r>
        <w:r w:rsidR="007D4948" w:rsidRPr="007D1918">
          <w:rPr>
            <w:webHidden/>
          </w:rPr>
          <w:t>74</w:t>
        </w:r>
        <w:r w:rsidR="007D4948" w:rsidRPr="007D1918">
          <w:rPr>
            <w:webHidden/>
          </w:rPr>
          <w:fldChar w:fldCharType="end"/>
        </w:r>
      </w:hyperlink>
    </w:p>
    <w:p w14:paraId="3E549256" w14:textId="03D109D7" w:rsidR="007D4948" w:rsidRPr="007D1918" w:rsidRDefault="002814BF">
      <w:pPr>
        <w:pStyle w:val="TableofFigures"/>
        <w:rPr>
          <w:rFonts w:asciiTheme="minorHAnsi" w:eastAsiaTheme="minorEastAsia" w:hAnsiTheme="minorHAnsi" w:cstheme="minorBidi"/>
        </w:rPr>
      </w:pPr>
      <w:hyperlink w:anchor="_Toc23769505" w:history="1">
        <w:r w:rsidR="007D4948" w:rsidRPr="007D1918">
          <w:rPr>
            <w:rStyle w:val="Hyperlink"/>
          </w:rPr>
          <w:t>Table 18</w:t>
        </w:r>
        <w:r w:rsidR="007D4948" w:rsidRPr="007D1918">
          <w:rPr>
            <w:rFonts w:asciiTheme="minorHAnsi" w:eastAsiaTheme="minorEastAsia" w:hAnsiTheme="minorHAnsi" w:cstheme="minorBidi"/>
          </w:rPr>
          <w:tab/>
        </w:r>
        <w:r w:rsidR="007D4948" w:rsidRPr="007D1918">
          <w:rPr>
            <w:rStyle w:val="Hyperlink"/>
          </w:rPr>
          <w:t>Comparison of m</w:t>
        </w:r>
        <w:r w:rsidR="007D4948" w:rsidRPr="007D1918">
          <w:rPr>
            <w:rStyle w:val="Hyperlink"/>
            <w:rFonts w:cs="Arial"/>
            <w:snapToGrid w:val="0"/>
            <w:lang w:eastAsia="en-US"/>
          </w:rPr>
          <w:t>ain adverse events between groups 1 and 2 within 15 days of randomisation (Gajdos et al. 2005)</w:t>
        </w:r>
        <w:r w:rsidR="007D4948" w:rsidRPr="007D1918">
          <w:rPr>
            <w:webHidden/>
          </w:rPr>
          <w:tab/>
        </w:r>
        <w:r w:rsidR="007D4948" w:rsidRPr="007D1918">
          <w:rPr>
            <w:webHidden/>
          </w:rPr>
          <w:fldChar w:fldCharType="begin"/>
        </w:r>
        <w:r w:rsidR="007D4948" w:rsidRPr="007D1918">
          <w:rPr>
            <w:webHidden/>
          </w:rPr>
          <w:instrText xml:space="preserve"> PAGEREF _Toc23769505 \h </w:instrText>
        </w:r>
        <w:r w:rsidR="007D4948" w:rsidRPr="007D1918">
          <w:rPr>
            <w:webHidden/>
          </w:rPr>
        </w:r>
        <w:r w:rsidR="007D4948" w:rsidRPr="007D1918">
          <w:rPr>
            <w:webHidden/>
          </w:rPr>
          <w:fldChar w:fldCharType="separate"/>
        </w:r>
        <w:r w:rsidR="007D4948" w:rsidRPr="007D1918">
          <w:rPr>
            <w:webHidden/>
          </w:rPr>
          <w:t>75</w:t>
        </w:r>
        <w:r w:rsidR="007D4948" w:rsidRPr="007D1918">
          <w:rPr>
            <w:webHidden/>
          </w:rPr>
          <w:fldChar w:fldCharType="end"/>
        </w:r>
      </w:hyperlink>
    </w:p>
    <w:p w14:paraId="4D7ED3BE" w14:textId="6310B710" w:rsidR="007D4948" w:rsidRPr="007D1918" w:rsidRDefault="002814BF">
      <w:pPr>
        <w:pStyle w:val="TableofFigures"/>
        <w:rPr>
          <w:rFonts w:asciiTheme="minorHAnsi" w:eastAsiaTheme="minorEastAsia" w:hAnsiTheme="minorHAnsi" w:cstheme="minorBidi"/>
        </w:rPr>
      </w:pPr>
      <w:hyperlink w:anchor="_Toc23769506" w:history="1">
        <w:r w:rsidR="007D4948" w:rsidRPr="007D1918">
          <w:rPr>
            <w:rStyle w:val="Hyperlink"/>
          </w:rPr>
          <w:t>Table 19</w:t>
        </w:r>
        <w:r w:rsidR="007D4948" w:rsidRPr="007D1918">
          <w:rPr>
            <w:rFonts w:asciiTheme="minorHAnsi" w:eastAsiaTheme="minorEastAsia" w:hAnsiTheme="minorHAnsi" w:cstheme="minorBidi"/>
          </w:rPr>
          <w:tab/>
        </w:r>
        <w:r w:rsidR="007D4948" w:rsidRPr="007D1918">
          <w:rPr>
            <w:rStyle w:val="Hyperlink"/>
          </w:rPr>
          <w:t>Frequency of adverse events in</w:t>
        </w:r>
        <w:r w:rsidR="007D4948" w:rsidRPr="007D1918">
          <w:rPr>
            <w:rStyle w:val="Hyperlink"/>
            <w:rFonts w:cs="Arial"/>
            <w:snapToGrid w:val="0"/>
            <w:lang w:eastAsia="en-US"/>
          </w:rPr>
          <w:t xml:space="preserve"> patients receiving IVIg compared to PE</w:t>
        </w:r>
        <w:r w:rsidR="007D4948" w:rsidRPr="007D1918">
          <w:rPr>
            <w:webHidden/>
          </w:rPr>
          <w:tab/>
        </w:r>
        <w:r w:rsidR="007D4948" w:rsidRPr="007D1918">
          <w:rPr>
            <w:webHidden/>
          </w:rPr>
          <w:fldChar w:fldCharType="begin"/>
        </w:r>
        <w:r w:rsidR="007D4948" w:rsidRPr="007D1918">
          <w:rPr>
            <w:webHidden/>
          </w:rPr>
          <w:instrText xml:space="preserve"> PAGEREF _Toc23769506 \h </w:instrText>
        </w:r>
        <w:r w:rsidR="007D4948" w:rsidRPr="007D1918">
          <w:rPr>
            <w:webHidden/>
          </w:rPr>
        </w:r>
        <w:r w:rsidR="007D4948" w:rsidRPr="007D1918">
          <w:rPr>
            <w:webHidden/>
          </w:rPr>
          <w:fldChar w:fldCharType="separate"/>
        </w:r>
        <w:r w:rsidR="007D4948" w:rsidRPr="007D1918">
          <w:rPr>
            <w:webHidden/>
          </w:rPr>
          <w:t>76</w:t>
        </w:r>
        <w:r w:rsidR="007D4948" w:rsidRPr="007D1918">
          <w:rPr>
            <w:webHidden/>
          </w:rPr>
          <w:fldChar w:fldCharType="end"/>
        </w:r>
      </w:hyperlink>
    </w:p>
    <w:p w14:paraId="158E0C73" w14:textId="2AA66DF0" w:rsidR="007D4948" w:rsidRPr="007D1918" w:rsidRDefault="002814BF">
      <w:pPr>
        <w:pStyle w:val="TableofFigures"/>
        <w:rPr>
          <w:rFonts w:asciiTheme="minorHAnsi" w:eastAsiaTheme="minorEastAsia" w:hAnsiTheme="minorHAnsi" w:cstheme="minorBidi"/>
        </w:rPr>
      </w:pPr>
      <w:hyperlink w:anchor="_Toc23769507" w:history="1">
        <w:r w:rsidR="007D4948" w:rsidRPr="007D1918">
          <w:rPr>
            <w:rStyle w:val="Hyperlink"/>
          </w:rPr>
          <w:t>Table 20</w:t>
        </w:r>
        <w:r w:rsidR="007D4948" w:rsidRPr="007D1918">
          <w:rPr>
            <w:rFonts w:asciiTheme="minorHAnsi" w:eastAsiaTheme="minorEastAsia" w:hAnsiTheme="minorHAnsi" w:cstheme="minorBidi"/>
          </w:rPr>
          <w:tab/>
        </w:r>
        <w:r w:rsidR="007D4948" w:rsidRPr="007D1918">
          <w:rPr>
            <w:rStyle w:val="Hyperlink"/>
          </w:rPr>
          <w:t>Likelihood of post-operative myasthenic crisis by therapy type (Leuzzi et al. 2014)</w:t>
        </w:r>
        <w:r w:rsidR="007D4948" w:rsidRPr="007D1918">
          <w:rPr>
            <w:webHidden/>
          </w:rPr>
          <w:tab/>
        </w:r>
        <w:r w:rsidR="007D4948" w:rsidRPr="007D1918">
          <w:rPr>
            <w:webHidden/>
          </w:rPr>
          <w:fldChar w:fldCharType="begin"/>
        </w:r>
        <w:r w:rsidR="007D4948" w:rsidRPr="007D1918">
          <w:rPr>
            <w:webHidden/>
          </w:rPr>
          <w:instrText xml:space="preserve"> PAGEREF _Toc23769507 \h </w:instrText>
        </w:r>
        <w:r w:rsidR="007D4948" w:rsidRPr="007D1918">
          <w:rPr>
            <w:webHidden/>
          </w:rPr>
        </w:r>
        <w:r w:rsidR="007D4948" w:rsidRPr="007D1918">
          <w:rPr>
            <w:webHidden/>
          </w:rPr>
          <w:fldChar w:fldCharType="separate"/>
        </w:r>
        <w:r w:rsidR="007D4948" w:rsidRPr="007D1918">
          <w:rPr>
            <w:webHidden/>
          </w:rPr>
          <w:t>77</w:t>
        </w:r>
        <w:r w:rsidR="007D4948" w:rsidRPr="007D1918">
          <w:rPr>
            <w:webHidden/>
          </w:rPr>
          <w:fldChar w:fldCharType="end"/>
        </w:r>
      </w:hyperlink>
    </w:p>
    <w:p w14:paraId="058044E3" w14:textId="12A5592E" w:rsidR="007D4948" w:rsidRPr="007D1918" w:rsidRDefault="002814BF">
      <w:pPr>
        <w:pStyle w:val="TableofFigures"/>
        <w:rPr>
          <w:rFonts w:asciiTheme="minorHAnsi" w:eastAsiaTheme="minorEastAsia" w:hAnsiTheme="minorHAnsi" w:cstheme="minorBidi"/>
        </w:rPr>
      </w:pPr>
      <w:hyperlink w:anchor="_Toc23769508" w:history="1">
        <w:r w:rsidR="007D4948" w:rsidRPr="007D1918">
          <w:rPr>
            <w:rStyle w:val="Hyperlink"/>
          </w:rPr>
          <w:t>Table 21</w:t>
        </w:r>
        <w:r w:rsidR="007D4948" w:rsidRPr="007D1918">
          <w:rPr>
            <w:rFonts w:asciiTheme="minorHAnsi" w:eastAsiaTheme="minorEastAsia" w:hAnsiTheme="minorHAnsi" w:cstheme="minorBidi"/>
          </w:rPr>
          <w:tab/>
        </w:r>
        <w:r w:rsidR="007D4948" w:rsidRPr="007D1918">
          <w:rPr>
            <w:rStyle w:val="Hyperlink"/>
          </w:rPr>
          <w:t>Adverse events for IVIg compared with PE for MG maintenance</w:t>
        </w:r>
        <w:r w:rsidR="007D4948" w:rsidRPr="007D1918">
          <w:rPr>
            <w:webHidden/>
          </w:rPr>
          <w:tab/>
        </w:r>
        <w:r w:rsidR="007D4948" w:rsidRPr="007D1918">
          <w:rPr>
            <w:webHidden/>
          </w:rPr>
          <w:fldChar w:fldCharType="begin"/>
        </w:r>
        <w:r w:rsidR="007D4948" w:rsidRPr="007D1918">
          <w:rPr>
            <w:webHidden/>
          </w:rPr>
          <w:instrText xml:space="preserve"> PAGEREF _Toc23769508 \h </w:instrText>
        </w:r>
        <w:r w:rsidR="007D4948" w:rsidRPr="007D1918">
          <w:rPr>
            <w:webHidden/>
          </w:rPr>
        </w:r>
        <w:r w:rsidR="007D4948" w:rsidRPr="007D1918">
          <w:rPr>
            <w:webHidden/>
          </w:rPr>
          <w:fldChar w:fldCharType="separate"/>
        </w:r>
        <w:r w:rsidR="007D4948" w:rsidRPr="007D1918">
          <w:rPr>
            <w:webHidden/>
          </w:rPr>
          <w:t>79</w:t>
        </w:r>
        <w:r w:rsidR="007D4948" w:rsidRPr="007D1918">
          <w:rPr>
            <w:webHidden/>
          </w:rPr>
          <w:fldChar w:fldCharType="end"/>
        </w:r>
      </w:hyperlink>
    </w:p>
    <w:p w14:paraId="24DF7948" w14:textId="4598F83B" w:rsidR="007D4948" w:rsidRPr="007D1918" w:rsidRDefault="002814BF">
      <w:pPr>
        <w:pStyle w:val="TableofFigures"/>
        <w:rPr>
          <w:rFonts w:asciiTheme="minorHAnsi" w:eastAsiaTheme="minorEastAsia" w:hAnsiTheme="minorHAnsi" w:cstheme="minorBidi"/>
        </w:rPr>
      </w:pPr>
      <w:hyperlink w:anchor="_Toc23769509" w:history="1">
        <w:r w:rsidR="007D4948" w:rsidRPr="007D1918">
          <w:rPr>
            <w:rStyle w:val="Hyperlink"/>
          </w:rPr>
          <w:t>Table 22</w:t>
        </w:r>
        <w:r w:rsidR="007D4948" w:rsidRPr="007D1918">
          <w:rPr>
            <w:rFonts w:asciiTheme="minorHAnsi" w:eastAsiaTheme="minorEastAsia" w:hAnsiTheme="minorHAnsi" w:cstheme="minorBidi"/>
          </w:rPr>
          <w:tab/>
        </w:r>
        <w:r w:rsidR="007D4948" w:rsidRPr="007D1918">
          <w:rPr>
            <w:rStyle w:val="Hyperlink"/>
          </w:rPr>
          <w:t>Serious adverse events for symptomatic MG patients randomised to IVIg-C or placebo (NCT02473952)</w:t>
        </w:r>
        <w:r w:rsidR="007D4948" w:rsidRPr="007D1918">
          <w:rPr>
            <w:webHidden/>
          </w:rPr>
          <w:tab/>
        </w:r>
        <w:r w:rsidR="007D4948" w:rsidRPr="007D1918">
          <w:rPr>
            <w:webHidden/>
          </w:rPr>
          <w:fldChar w:fldCharType="begin"/>
        </w:r>
        <w:r w:rsidR="007D4948" w:rsidRPr="007D1918">
          <w:rPr>
            <w:webHidden/>
          </w:rPr>
          <w:instrText xml:space="preserve"> PAGEREF _Toc23769509 \h </w:instrText>
        </w:r>
        <w:r w:rsidR="007D4948" w:rsidRPr="007D1918">
          <w:rPr>
            <w:webHidden/>
          </w:rPr>
        </w:r>
        <w:r w:rsidR="007D4948" w:rsidRPr="007D1918">
          <w:rPr>
            <w:webHidden/>
          </w:rPr>
          <w:fldChar w:fldCharType="separate"/>
        </w:r>
        <w:r w:rsidR="007D4948" w:rsidRPr="007D1918">
          <w:rPr>
            <w:webHidden/>
          </w:rPr>
          <w:t>81</w:t>
        </w:r>
        <w:r w:rsidR="007D4948" w:rsidRPr="007D1918">
          <w:rPr>
            <w:webHidden/>
          </w:rPr>
          <w:fldChar w:fldCharType="end"/>
        </w:r>
      </w:hyperlink>
    </w:p>
    <w:p w14:paraId="2C3C7734" w14:textId="3E3E2058" w:rsidR="007D4948" w:rsidRPr="007D1918" w:rsidRDefault="002814BF">
      <w:pPr>
        <w:pStyle w:val="TableofFigures"/>
        <w:rPr>
          <w:rFonts w:asciiTheme="minorHAnsi" w:eastAsiaTheme="minorEastAsia" w:hAnsiTheme="minorHAnsi" w:cstheme="minorBidi"/>
        </w:rPr>
      </w:pPr>
      <w:hyperlink w:anchor="_Toc23769510" w:history="1">
        <w:r w:rsidR="007D4948" w:rsidRPr="007D1918">
          <w:rPr>
            <w:rStyle w:val="Hyperlink"/>
          </w:rPr>
          <w:t>Table 23</w:t>
        </w:r>
        <w:r w:rsidR="007D4948" w:rsidRPr="007D1918">
          <w:rPr>
            <w:rFonts w:asciiTheme="minorHAnsi" w:eastAsiaTheme="minorEastAsia" w:hAnsiTheme="minorHAnsi" w:cstheme="minorBidi"/>
          </w:rPr>
          <w:tab/>
        </w:r>
        <w:r w:rsidR="007D4948" w:rsidRPr="007D1918">
          <w:rPr>
            <w:rStyle w:val="Hyperlink"/>
          </w:rPr>
          <w:t>Adverse events in a case series receiving IVIg MG maintenance (Hellmann et al. 2014)</w:t>
        </w:r>
        <w:r w:rsidR="007D4948" w:rsidRPr="007D1918">
          <w:rPr>
            <w:webHidden/>
          </w:rPr>
          <w:tab/>
        </w:r>
        <w:r w:rsidR="007D4948" w:rsidRPr="007D1918">
          <w:rPr>
            <w:webHidden/>
          </w:rPr>
          <w:fldChar w:fldCharType="begin"/>
        </w:r>
        <w:r w:rsidR="007D4948" w:rsidRPr="007D1918">
          <w:rPr>
            <w:webHidden/>
          </w:rPr>
          <w:instrText xml:space="preserve"> PAGEREF _Toc23769510 \h </w:instrText>
        </w:r>
        <w:r w:rsidR="007D4948" w:rsidRPr="007D1918">
          <w:rPr>
            <w:webHidden/>
          </w:rPr>
        </w:r>
        <w:r w:rsidR="007D4948" w:rsidRPr="007D1918">
          <w:rPr>
            <w:webHidden/>
          </w:rPr>
          <w:fldChar w:fldCharType="separate"/>
        </w:r>
        <w:r w:rsidR="007D4948" w:rsidRPr="007D1918">
          <w:rPr>
            <w:webHidden/>
          </w:rPr>
          <w:t>82</w:t>
        </w:r>
        <w:r w:rsidR="007D4948" w:rsidRPr="007D1918">
          <w:rPr>
            <w:webHidden/>
          </w:rPr>
          <w:fldChar w:fldCharType="end"/>
        </w:r>
      </w:hyperlink>
    </w:p>
    <w:p w14:paraId="26B5DAA3" w14:textId="40F801A9" w:rsidR="007D4948" w:rsidRPr="007D1918" w:rsidRDefault="002814BF">
      <w:pPr>
        <w:pStyle w:val="TableofFigures"/>
        <w:rPr>
          <w:rFonts w:asciiTheme="minorHAnsi" w:eastAsiaTheme="minorEastAsia" w:hAnsiTheme="minorHAnsi" w:cstheme="minorBidi"/>
        </w:rPr>
      </w:pPr>
      <w:hyperlink w:anchor="_Toc23769511" w:history="1">
        <w:r w:rsidR="007D4948" w:rsidRPr="007D1918">
          <w:rPr>
            <w:rStyle w:val="Hyperlink"/>
          </w:rPr>
          <w:t>Table 24</w:t>
        </w:r>
        <w:r w:rsidR="007D4948" w:rsidRPr="007D1918">
          <w:rPr>
            <w:rFonts w:asciiTheme="minorHAnsi" w:eastAsiaTheme="minorEastAsia" w:hAnsiTheme="minorHAnsi" w:cstheme="minorBidi"/>
          </w:rPr>
          <w:tab/>
        </w:r>
        <w:r w:rsidR="007D4948" w:rsidRPr="007D1918">
          <w:rPr>
            <w:rStyle w:val="Hyperlink"/>
          </w:rPr>
          <w:t>Adverse events for IVIg compared with PE in children (Liew et al. 2014)</w:t>
        </w:r>
        <w:r w:rsidR="007D4948" w:rsidRPr="007D1918">
          <w:rPr>
            <w:webHidden/>
          </w:rPr>
          <w:tab/>
        </w:r>
        <w:r w:rsidR="007D4948" w:rsidRPr="007D1918">
          <w:rPr>
            <w:webHidden/>
          </w:rPr>
          <w:fldChar w:fldCharType="begin"/>
        </w:r>
        <w:r w:rsidR="007D4948" w:rsidRPr="007D1918">
          <w:rPr>
            <w:webHidden/>
          </w:rPr>
          <w:instrText xml:space="preserve"> PAGEREF _Toc23769511 \h </w:instrText>
        </w:r>
        <w:r w:rsidR="007D4948" w:rsidRPr="007D1918">
          <w:rPr>
            <w:webHidden/>
          </w:rPr>
        </w:r>
        <w:r w:rsidR="007D4948" w:rsidRPr="007D1918">
          <w:rPr>
            <w:webHidden/>
          </w:rPr>
          <w:fldChar w:fldCharType="separate"/>
        </w:r>
        <w:r w:rsidR="007D4948" w:rsidRPr="007D1918">
          <w:rPr>
            <w:webHidden/>
          </w:rPr>
          <w:t>82</w:t>
        </w:r>
        <w:r w:rsidR="007D4948" w:rsidRPr="007D1918">
          <w:rPr>
            <w:webHidden/>
          </w:rPr>
          <w:fldChar w:fldCharType="end"/>
        </w:r>
      </w:hyperlink>
    </w:p>
    <w:p w14:paraId="29916367" w14:textId="0A66963B" w:rsidR="007D4948" w:rsidRPr="007D1918" w:rsidRDefault="002814BF">
      <w:pPr>
        <w:pStyle w:val="TableofFigures"/>
        <w:rPr>
          <w:rFonts w:asciiTheme="minorHAnsi" w:eastAsiaTheme="minorEastAsia" w:hAnsiTheme="minorHAnsi" w:cstheme="minorBidi"/>
        </w:rPr>
      </w:pPr>
      <w:hyperlink w:anchor="_Toc23769512" w:history="1">
        <w:r w:rsidR="007D4948" w:rsidRPr="007D1918">
          <w:rPr>
            <w:rStyle w:val="Hyperlink"/>
          </w:rPr>
          <w:t>Table 25</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Adverse events for patients receiving SCIg maintenance therapy</w:t>
        </w:r>
        <w:r w:rsidR="007D4948" w:rsidRPr="007D1918">
          <w:rPr>
            <w:webHidden/>
          </w:rPr>
          <w:tab/>
        </w:r>
        <w:r w:rsidR="007D4948" w:rsidRPr="007D1918">
          <w:rPr>
            <w:webHidden/>
          </w:rPr>
          <w:fldChar w:fldCharType="begin"/>
        </w:r>
        <w:r w:rsidR="007D4948" w:rsidRPr="007D1918">
          <w:rPr>
            <w:webHidden/>
          </w:rPr>
          <w:instrText xml:space="preserve"> PAGEREF _Toc23769512 \h </w:instrText>
        </w:r>
        <w:r w:rsidR="007D4948" w:rsidRPr="007D1918">
          <w:rPr>
            <w:webHidden/>
          </w:rPr>
        </w:r>
        <w:r w:rsidR="007D4948" w:rsidRPr="007D1918">
          <w:rPr>
            <w:webHidden/>
          </w:rPr>
          <w:fldChar w:fldCharType="separate"/>
        </w:r>
        <w:r w:rsidR="007D4948" w:rsidRPr="007D1918">
          <w:rPr>
            <w:webHidden/>
          </w:rPr>
          <w:t>84</w:t>
        </w:r>
        <w:r w:rsidR="007D4948" w:rsidRPr="007D1918">
          <w:rPr>
            <w:webHidden/>
          </w:rPr>
          <w:fldChar w:fldCharType="end"/>
        </w:r>
      </w:hyperlink>
    </w:p>
    <w:p w14:paraId="499F2522" w14:textId="0D831F1C" w:rsidR="007D4948" w:rsidRPr="007D1918" w:rsidRDefault="002814BF">
      <w:pPr>
        <w:pStyle w:val="TableofFigures"/>
        <w:rPr>
          <w:rFonts w:asciiTheme="minorHAnsi" w:eastAsiaTheme="minorEastAsia" w:hAnsiTheme="minorHAnsi" w:cstheme="minorBidi"/>
        </w:rPr>
      </w:pPr>
      <w:hyperlink w:anchor="_Toc23769513" w:history="1">
        <w:r w:rsidR="007D4948" w:rsidRPr="007D1918">
          <w:rPr>
            <w:rStyle w:val="Hyperlink"/>
          </w:rPr>
          <w:t>Table 26</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Mortality in MG patients treated with IVIg compared to PE</w:t>
        </w:r>
        <w:r w:rsidR="007D4948" w:rsidRPr="007D1918">
          <w:rPr>
            <w:webHidden/>
          </w:rPr>
          <w:tab/>
        </w:r>
        <w:r w:rsidR="007D4948" w:rsidRPr="007D1918">
          <w:rPr>
            <w:webHidden/>
          </w:rPr>
          <w:fldChar w:fldCharType="begin"/>
        </w:r>
        <w:r w:rsidR="007D4948" w:rsidRPr="007D1918">
          <w:rPr>
            <w:webHidden/>
          </w:rPr>
          <w:instrText xml:space="preserve"> PAGEREF _Toc23769513 \h </w:instrText>
        </w:r>
        <w:r w:rsidR="007D4948" w:rsidRPr="007D1918">
          <w:rPr>
            <w:webHidden/>
          </w:rPr>
        </w:r>
        <w:r w:rsidR="007D4948" w:rsidRPr="007D1918">
          <w:rPr>
            <w:webHidden/>
          </w:rPr>
          <w:fldChar w:fldCharType="separate"/>
        </w:r>
        <w:r w:rsidR="007D4948" w:rsidRPr="007D1918">
          <w:rPr>
            <w:webHidden/>
          </w:rPr>
          <w:t>87</w:t>
        </w:r>
        <w:r w:rsidR="007D4948" w:rsidRPr="007D1918">
          <w:rPr>
            <w:webHidden/>
          </w:rPr>
          <w:fldChar w:fldCharType="end"/>
        </w:r>
      </w:hyperlink>
    </w:p>
    <w:p w14:paraId="79606476" w14:textId="3EB891C8" w:rsidR="007D4948" w:rsidRPr="007D1918" w:rsidRDefault="002814BF">
      <w:pPr>
        <w:pStyle w:val="TableofFigures"/>
        <w:rPr>
          <w:rFonts w:asciiTheme="minorHAnsi" w:eastAsiaTheme="minorEastAsia" w:hAnsiTheme="minorHAnsi" w:cstheme="minorBidi"/>
        </w:rPr>
      </w:pPr>
      <w:hyperlink w:anchor="_Toc23769514" w:history="1">
        <w:r w:rsidR="007D4948" w:rsidRPr="007D1918">
          <w:rPr>
            <w:rStyle w:val="Hyperlink"/>
          </w:rPr>
          <w:t>Table 27</w:t>
        </w:r>
        <w:r w:rsidR="007D4948" w:rsidRPr="007D1918">
          <w:rPr>
            <w:rFonts w:asciiTheme="minorHAnsi" w:eastAsiaTheme="minorEastAsia" w:hAnsiTheme="minorHAnsi" w:cstheme="minorBidi"/>
          </w:rPr>
          <w:tab/>
        </w:r>
        <w:r w:rsidR="007D4948" w:rsidRPr="007D1918">
          <w:rPr>
            <w:rStyle w:val="Hyperlink"/>
          </w:rPr>
          <w:t>Infection rates in patients given IVIg compared with PE</w:t>
        </w:r>
        <w:r w:rsidR="007D4948" w:rsidRPr="007D1918">
          <w:rPr>
            <w:webHidden/>
          </w:rPr>
          <w:tab/>
        </w:r>
        <w:r w:rsidR="007D4948" w:rsidRPr="007D1918">
          <w:rPr>
            <w:webHidden/>
          </w:rPr>
          <w:fldChar w:fldCharType="begin"/>
        </w:r>
        <w:r w:rsidR="007D4948" w:rsidRPr="007D1918">
          <w:rPr>
            <w:webHidden/>
          </w:rPr>
          <w:instrText xml:space="preserve"> PAGEREF _Toc23769514 \h </w:instrText>
        </w:r>
        <w:r w:rsidR="007D4948" w:rsidRPr="007D1918">
          <w:rPr>
            <w:webHidden/>
          </w:rPr>
        </w:r>
        <w:r w:rsidR="007D4948" w:rsidRPr="007D1918">
          <w:rPr>
            <w:webHidden/>
          </w:rPr>
          <w:fldChar w:fldCharType="separate"/>
        </w:r>
        <w:r w:rsidR="007D4948" w:rsidRPr="007D1918">
          <w:rPr>
            <w:webHidden/>
          </w:rPr>
          <w:t>88</w:t>
        </w:r>
        <w:r w:rsidR="007D4948" w:rsidRPr="007D1918">
          <w:rPr>
            <w:webHidden/>
          </w:rPr>
          <w:fldChar w:fldCharType="end"/>
        </w:r>
      </w:hyperlink>
    </w:p>
    <w:p w14:paraId="01FAFE47" w14:textId="567C2960" w:rsidR="007D4948" w:rsidRPr="007D1918" w:rsidRDefault="002814BF">
      <w:pPr>
        <w:pStyle w:val="TableofFigures"/>
        <w:rPr>
          <w:rFonts w:asciiTheme="minorHAnsi" w:eastAsiaTheme="minorEastAsia" w:hAnsiTheme="minorHAnsi" w:cstheme="minorBidi"/>
        </w:rPr>
      </w:pPr>
      <w:hyperlink w:anchor="_Toc23769515" w:history="1">
        <w:r w:rsidR="007D4948" w:rsidRPr="007D1918">
          <w:rPr>
            <w:rStyle w:val="Hyperlink"/>
          </w:rPr>
          <w:t>Table 28</w:t>
        </w:r>
        <w:r w:rsidR="007D4948" w:rsidRPr="007D1918">
          <w:rPr>
            <w:rFonts w:asciiTheme="minorHAnsi" w:eastAsiaTheme="minorEastAsia" w:hAnsiTheme="minorHAnsi" w:cstheme="minorBidi"/>
          </w:rPr>
          <w:tab/>
        </w:r>
        <w:r w:rsidR="007D4948" w:rsidRPr="007D1918">
          <w:rPr>
            <w:rStyle w:val="Hyperlink"/>
          </w:rPr>
          <w:t>Change in MMS after 15 days for MG patients treated with IVIg compared to PE (Gajdos, Chevret &amp; Toyka 2012)</w:t>
        </w:r>
        <w:r w:rsidR="007D4948" w:rsidRPr="007D1918">
          <w:rPr>
            <w:webHidden/>
          </w:rPr>
          <w:tab/>
        </w:r>
        <w:r w:rsidR="007D4948" w:rsidRPr="007D1918">
          <w:rPr>
            <w:webHidden/>
          </w:rPr>
          <w:fldChar w:fldCharType="begin"/>
        </w:r>
        <w:r w:rsidR="007D4948" w:rsidRPr="007D1918">
          <w:rPr>
            <w:webHidden/>
          </w:rPr>
          <w:instrText xml:space="preserve"> PAGEREF _Toc23769515 \h </w:instrText>
        </w:r>
        <w:r w:rsidR="007D4948" w:rsidRPr="007D1918">
          <w:rPr>
            <w:webHidden/>
          </w:rPr>
        </w:r>
        <w:r w:rsidR="007D4948" w:rsidRPr="007D1918">
          <w:rPr>
            <w:webHidden/>
          </w:rPr>
          <w:fldChar w:fldCharType="separate"/>
        </w:r>
        <w:r w:rsidR="007D4948" w:rsidRPr="007D1918">
          <w:rPr>
            <w:webHidden/>
          </w:rPr>
          <w:t>89</w:t>
        </w:r>
        <w:r w:rsidR="007D4948" w:rsidRPr="007D1918">
          <w:rPr>
            <w:webHidden/>
          </w:rPr>
          <w:fldChar w:fldCharType="end"/>
        </w:r>
      </w:hyperlink>
    </w:p>
    <w:p w14:paraId="14F9A391" w14:textId="3B5AC0C6" w:rsidR="007D4948" w:rsidRPr="007D1918" w:rsidRDefault="002814BF">
      <w:pPr>
        <w:pStyle w:val="TableofFigures"/>
        <w:rPr>
          <w:rFonts w:asciiTheme="minorHAnsi" w:eastAsiaTheme="minorEastAsia" w:hAnsiTheme="minorHAnsi" w:cstheme="minorBidi"/>
        </w:rPr>
      </w:pPr>
      <w:hyperlink w:anchor="_Toc23769516" w:history="1">
        <w:r w:rsidR="007D4948" w:rsidRPr="007D1918">
          <w:rPr>
            <w:rStyle w:val="Hyperlink"/>
          </w:rPr>
          <w:t>Table 29</w:t>
        </w:r>
        <w:r w:rsidR="007D4948" w:rsidRPr="007D1918">
          <w:rPr>
            <w:rFonts w:asciiTheme="minorHAnsi" w:eastAsiaTheme="minorEastAsia" w:hAnsiTheme="minorHAnsi" w:cstheme="minorBidi"/>
          </w:rPr>
          <w:tab/>
        </w:r>
        <w:r w:rsidR="007D4948" w:rsidRPr="007D1918">
          <w:rPr>
            <w:rStyle w:val="Hyperlink"/>
          </w:rPr>
          <w:t>Change in MMS after 15 days for MG patients treated with IVIg (dose comparison) (Gajdos, Chevret &amp; Toyka 2012)</w:t>
        </w:r>
        <w:r w:rsidR="007D4948" w:rsidRPr="007D1918">
          <w:rPr>
            <w:webHidden/>
          </w:rPr>
          <w:tab/>
        </w:r>
        <w:r w:rsidR="007D4948" w:rsidRPr="007D1918">
          <w:rPr>
            <w:webHidden/>
          </w:rPr>
          <w:fldChar w:fldCharType="begin"/>
        </w:r>
        <w:r w:rsidR="007D4948" w:rsidRPr="007D1918">
          <w:rPr>
            <w:webHidden/>
          </w:rPr>
          <w:instrText xml:space="preserve"> PAGEREF _Toc23769516 \h </w:instrText>
        </w:r>
        <w:r w:rsidR="007D4948" w:rsidRPr="007D1918">
          <w:rPr>
            <w:webHidden/>
          </w:rPr>
        </w:r>
        <w:r w:rsidR="007D4948" w:rsidRPr="007D1918">
          <w:rPr>
            <w:webHidden/>
          </w:rPr>
          <w:fldChar w:fldCharType="separate"/>
        </w:r>
        <w:r w:rsidR="007D4948" w:rsidRPr="007D1918">
          <w:rPr>
            <w:webHidden/>
          </w:rPr>
          <w:t>90</w:t>
        </w:r>
        <w:r w:rsidR="007D4948" w:rsidRPr="007D1918">
          <w:rPr>
            <w:webHidden/>
          </w:rPr>
          <w:fldChar w:fldCharType="end"/>
        </w:r>
      </w:hyperlink>
    </w:p>
    <w:p w14:paraId="4804A6E1" w14:textId="46A5DC4A" w:rsidR="007D4948" w:rsidRPr="007D1918" w:rsidRDefault="002814BF">
      <w:pPr>
        <w:pStyle w:val="TableofFigures"/>
        <w:rPr>
          <w:rFonts w:asciiTheme="minorHAnsi" w:eastAsiaTheme="minorEastAsia" w:hAnsiTheme="minorHAnsi" w:cstheme="minorBidi"/>
        </w:rPr>
      </w:pPr>
      <w:hyperlink w:anchor="_Toc23769517" w:history="1">
        <w:r w:rsidR="007D4948" w:rsidRPr="007D1918">
          <w:rPr>
            <w:rStyle w:val="Hyperlink"/>
          </w:rPr>
          <w:t>Table 30</w:t>
        </w:r>
        <w:r w:rsidR="007D4948" w:rsidRPr="007D1918">
          <w:rPr>
            <w:rFonts w:asciiTheme="minorHAnsi" w:eastAsiaTheme="minorEastAsia" w:hAnsiTheme="minorHAnsi" w:cstheme="minorBidi"/>
          </w:rPr>
          <w:tab/>
        </w:r>
        <w:r w:rsidR="007D4948" w:rsidRPr="007D1918">
          <w:rPr>
            <w:rStyle w:val="Hyperlink"/>
          </w:rPr>
          <w:t>Change in MSS after 15 days for MG crisis patients treated with IVIg or PE (Qureshi et al. 1999)</w:t>
        </w:r>
        <w:r w:rsidR="007D4948" w:rsidRPr="007D1918">
          <w:rPr>
            <w:webHidden/>
          </w:rPr>
          <w:tab/>
        </w:r>
        <w:r w:rsidR="007D4948" w:rsidRPr="007D1918">
          <w:rPr>
            <w:webHidden/>
          </w:rPr>
          <w:fldChar w:fldCharType="begin"/>
        </w:r>
        <w:r w:rsidR="007D4948" w:rsidRPr="007D1918">
          <w:rPr>
            <w:webHidden/>
          </w:rPr>
          <w:instrText xml:space="preserve"> PAGEREF _Toc23769517 \h </w:instrText>
        </w:r>
        <w:r w:rsidR="007D4948" w:rsidRPr="007D1918">
          <w:rPr>
            <w:webHidden/>
          </w:rPr>
        </w:r>
        <w:r w:rsidR="007D4948" w:rsidRPr="007D1918">
          <w:rPr>
            <w:webHidden/>
          </w:rPr>
          <w:fldChar w:fldCharType="separate"/>
        </w:r>
        <w:r w:rsidR="007D4948" w:rsidRPr="007D1918">
          <w:rPr>
            <w:webHidden/>
          </w:rPr>
          <w:t>90</w:t>
        </w:r>
        <w:r w:rsidR="007D4948" w:rsidRPr="007D1918">
          <w:rPr>
            <w:webHidden/>
          </w:rPr>
          <w:fldChar w:fldCharType="end"/>
        </w:r>
      </w:hyperlink>
    </w:p>
    <w:p w14:paraId="7582CEDE" w14:textId="06C7F3FC" w:rsidR="007D4948" w:rsidRPr="007D1918" w:rsidRDefault="002814BF">
      <w:pPr>
        <w:pStyle w:val="TableofFigures"/>
        <w:rPr>
          <w:rFonts w:asciiTheme="minorHAnsi" w:eastAsiaTheme="minorEastAsia" w:hAnsiTheme="minorHAnsi" w:cstheme="minorBidi"/>
        </w:rPr>
      </w:pPr>
      <w:hyperlink w:anchor="_Toc23769518" w:history="1">
        <w:r w:rsidR="007D4948" w:rsidRPr="007D1918">
          <w:rPr>
            <w:rStyle w:val="Hyperlink"/>
          </w:rPr>
          <w:t>Table 31</w:t>
        </w:r>
        <w:r w:rsidR="007D4948" w:rsidRPr="007D1918">
          <w:rPr>
            <w:rFonts w:asciiTheme="minorHAnsi" w:eastAsiaTheme="minorEastAsia" w:hAnsiTheme="minorHAnsi" w:cstheme="minorBidi"/>
          </w:rPr>
          <w:tab/>
        </w:r>
        <w:r w:rsidR="007D4948" w:rsidRPr="007D1918">
          <w:rPr>
            <w:rStyle w:val="Hyperlink"/>
          </w:rPr>
          <w:t>Disease stability for MG crisis patients treated with IVIg or PE</w:t>
        </w:r>
        <w:r w:rsidR="007D4948" w:rsidRPr="007D1918">
          <w:rPr>
            <w:webHidden/>
          </w:rPr>
          <w:tab/>
        </w:r>
        <w:r w:rsidR="007D4948" w:rsidRPr="007D1918">
          <w:rPr>
            <w:webHidden/>
          </w:rPr>
          <w:fldChar w:fldCharType="begin"/>
        </w:r>
        <w:r w:rsidR="007D4948" w:rsidRPr="007D1918">
          <w:rPr>
            <w:webHidden/>
          </w:rPr>
          <w:instrText xml:space="preserve"> PAGEREF _Toc23769518 \h </w:instrText>
        </w:r>
        <w:r w:rsidR="007D4948" w:rsidRPr="007D1918">
          <w:rPr>
            <w:webHidden/>
          </w:rPr>
        </w:r>
        <w:r w:rsidR="007D4948" w:rsidRPr="007D1918">
          <w:rPr>
            <w:webHidden/>
          </w:rPr>
          <w:fldChar w:fldCharType="separate"/>
        </w:r>
        <w:r w:rsidR="007D4948" w:rsidRPr="007D1918">
          <w:rPr>
            <w:webHidden/>
          </w:rPr>
          <w:t>91</w:t>
        </w:r>
        <w:r w:rsidR="007D4948" w:rsidRPr="007D1918">
          <w:rPr>
            <w:webHidden/>
          </w:rPr>
          <w:fldChar w:fldCharType="end"/>
        </w:r>
      </w:hyperlink>
    </w:p>
    <w:p w14:paraId="3646FF47" w14:textId="1AB4D020" w:rsidR="007D4948" w:rsidRPr="007D1918" w:rsidRDefault="002814BF">
      <w:pPr>
        <w:pStyle w:val="TableofFigures"/>
        <w:rPr>
          <w:rFonts w:asciiTheme="minorHAnsi" w:eastAsiaTheme="minorEastAsia" w:hAnsiTheme="minorHAnsi" w:cstheme="minorBidi"/>
        </w:rPr>
      </w:pPr>
      <w:hyperlink w:anchor="_Toc23769519" w:history="1">
        <w:r w:rsidR="007D4948" w:rsidRPr="007D1918">
          <w:rPr>
            <w:rStyle w:val="Hyperlink"/>
          </w:rPr>
          <w:t>Table 32</w:t>
        </w:r>
        <w:r w:rsidR="007D4948" w:rsidRPr="007D1918">
          <w:rPr>
            <w:rFonts w:asciiTheme="minorHAnsi" w:eastAsiaTheme="minorEastAsia" w:hAnsiTheme="minorHAnsi" w:cstheme="minorBidi"/>
          </w:rPr>
          <w:tab/>
        </w:r>
        <w:r w:rsidR="007D4948" w:rsidRPr="007D1918">
          <w:rPr>
            <w:rStyle w:val="Hyperlink"/>
          </w:rPr>
          <w:t>Treatment response for MG crisis patients treated with IVIg or PE (Gajdos et al. 1997)</w:t>
        </w:r>
        <w:r w:rsidR="007D4948" w:rsidRPr="007D1918">
          <w:rPr>
            <w:webHidden/>
          </w:rPr>
          <w:tab/>
        </w:r>
        <w:r w:rsidR="007D4948" w:rsidRPr="007D1918">
          <w:rPr>
            <w:webHidden/>
          </w:rPr>
          <w:fldChar w:fldCharType="begin"/>
        </w:r>
        <w:r w:rsidR="007D4948" w:rsidRPr="007D1918">
          <w:rPr>
            <w:webHidden/>
          </w:rPr>
          <w:instrText xml:space="preserve"> PAGEREF _Toc23769519 \h </w:instrText>
        </w:r>
        <w:r w:rsidR="007D4948" w:rsidRPr="007D1918">
          <w:rPr>
            <w:webHidden/>
          </w:rPr>
        </w:r>
        <w:r w:rsidR="007D4948" w:rsidRPr="007D1918">
          <w:rPr>
            <w:webHidden/>
          </w:rPr>
          <w:fldChar w:fldCharType="separate"/>
        </w:r>
        <w:r w:rsidR="007D4948" w:rsidRPr="007D1918">
          <w:rPr>
            <w:webHidden/>
          </w:rPr>
          <w:t>92</w:t>
        </w:r>
        <w:r w:rsidR="007D4948" w:rsidRPr="007D1918">
          <w:rPr>
            <w:webHidden/>
          </w:rPr>
          <w:fldChar w:fldCharType="end"/>
        </w:r>
      </w:hyperlink>
    </w:p>
    <w:p w14:paraId="5CBC1E88" w14:textId="21FAD89C" w:rsidR="007D4948" w:rsidRPr="007D1918" w:rsidRDefault="002814BF">
      <w:pPr>
        <w:pStyle w:val="TableofFigures"/>
        <w:rPr>
          <w:rFonts w:asciiTheme="minorHAnsi" w:eastAsiaTheme="minorEastAsia" w:hAnsiTheme="minorHAnsi" w:cstheme="minorBidi"/>
        </w:rPr>
      </w:pPr>
      <w:hyperlink w:anchor="_Toc23769520" w:history="1">
        <w:r w:rsidR="007D4948" w:rsidRPr="007D1918">
          <w:rPr>
            <w:rStyle w:val="Hyperlink"/>
          </w:rPr>
          <w:t>Table 33</w:t>
        </w:r>
        <w:r w:rsidR="007D4948" w:rsidRPr="007D1918">
          <w:rPr>
            <w:rFonts w:asciiTheme="minorHAnsi" w:eastAsiaTheme="minorEastAsia" w:hAnsiTheme="minorHAnsi" w:cstheme="minorBidi"/>
          </w:rPr>
          <w:tab/>
        </w:r>
        <w:r w:rsidR="007D4948" w:rsidRPr="007D1918">
          <w:rPr>
            <w:rStyle w:val="Hyperlink"/>
          </w:rPr>
          <w:t>Change in symptoms (Osserman grade) in thymectomy patients given IVIg or PE (Jensen &amp; Bril 2008)</w:t>
        </w:r>
        <w:r w:rsidR="007D4948" w:rsidRPr="007D1918">
          <w:rPr>
            <w:webHidden/>
          </w:rPr>
          <w:tab/>
        </w:r>
        <w:r w:rsidR="007D4948" w:rsidRPr="007D1918">
          <w:rPr>
            <w:webHidden/>
          </w:rPr>
          <w:fldChar w:fldCharType="begin"/>
        </w:r>
        <w:r w:rsidR="007D4948" w:rsidRPr="007D1918">
          <w:rPr>
            <w:webHidden/>
          </w:rPr>
          <w:instrText xml:space="preserve"> PAGEREF _Toc23769520 \h </w:instrText>
        </w:r>
        <w:r w:rsidR="007D4948" w:rsidRPr="007D1918">
          <w:rPr>
            <w:webHidden/>
          </w:rPr>
        </w:r>
        <w:r w:rsidR="007D4948" w:rsidRPr="007D1918">
          <w:rPr>
            <w:webHidden/>
          </w:rPr>
          <w:fldChar w:fldCharType="separate"/>
        </w:r>
        <w:r w:rsidR="007D4948" w:rsidRPr="007D1918">
          <w:rPr>
            <w:webHidden/>
          </w:rPr>
          <w:t>93</w:t>
        </w:r>
        <w:r w:rsidR="007D4948" w:rsidRPr="007D1918">
          <w:rPr>
            <w:webHidden/>
          </w:rPr>
          <w:fldChar w:fldCharType="end"/>
        </w:r>
      </w:hyperlink>
    </w:p>
    <w:p w14:paraId="37EC3C25" w14:textId="612C50FE" w:rsidR="007D4948" w:rsidRPr="007D1918" w:rsidRDefault="002814BF">
      <w:pPr>
        <w:pStyle w:val="TableofFigures"/>
        <w:rPr>
          <w:rFonts w:asciiTheme="minorHAnsi" w:eastAsiaTheme="minorEastAsia" w:hAnsiTheme="minorHAnsi" w:cstheme="minorBidi"/>
        </w:rPr>
      </w:pPr>
      <w:hyperlink w:anchor="_Toc23769521" w:history="1">
        <w:r w:rsidR="007D4948" w:rsidRPr="007D1918">
          <w:rPr>
            <w:rStyle w:val="Hyperlink"/>
          </w:rPr>
          <w:t>Table 34</w:t>
        </w:r>
        <w:r w:rsidR="007D4948" w:rsidRPr="007D1918">
          <w:rPr>
            <w:rFonts w:asciiTheme="minorHAnsi" w:eastAsiaTheme="minorEastAsia" w:hAnsiTheme="minorHAnsi" w:cstheme="minorBidi"/>
          </w:rPr>
          <w:tab/>
        </w:r>
        <w:r w:rsidR="007D4948" w:rsidRPr="007D1918">
          <w:rPr>
            <w:rStyle w:val="Hyperlink"/>
          </w:rPr>
          <w:t>Thymectomy patients’ perceived benefit when treated with IVIg or PE (Jensen &amp; Bril 2008)</w:t>
        </w:r>
        <w:r w:rsidR="007D4948" w:rsidRPr="007D1918">
          <w:rPr>
            <w:webHidden/>
          </w:rPr>
          <w:tab/>
        </w:r>
        <w:r w:rsidR="007D4948" w:rsidRPr="007D1918">
          <w:rPr>
            <w:webHidden/>
          </w:rPr>
          <w:fldChar w:fldCharType="begin"/>
        </w:r>
        <w:r w:rsidR="007D4948" w:rsidRPr="007D1918">
          <w:rPr>
            <w:webHidden/>
          </w:rPr>
          <w:instrText xml:space="preserve"> PAGEREF _Toc23769521 \h </w:instrText>
        </w:r>
        <w:r w:rsidR="007D4948" w:rsidRPr="007D1918">
          <w:rPr>
            <w:webHidden/>
          </w:rPr>
        </w:r>
        <w:r w:rsidR="007D4948" w:rsidRPr="007D1918">
          <w:rPr>
            <w:webHidden/>
          </w:rPr>
          <w:fldChar w:fldCharType="separate"/>
        </w:r>
        <w:r w:rsidR="007D4948" w:rsidRPr="007D1918">
          <w:rPr>
            <w:webHidden/>
          </w:rPr>
          <w:t>94</w:t>
        </w:r>
        <w:r w:rsidR="007D4948" w:rsidRPr="007D1918">
          <w:rPr>
            <w:webHidden/>
          </w:rPr>
          <w:fldChar w:fldCharType="end"/>
        </w:r>
      </w:hyperlink>
    </w:p>
    <w:p w14:paraId="7CCC3121" w14:textId="53E4BB3E" w:rsidR="007D4948" w:rsidRPr="007D1918" w:rsidRDefault="002814BF">
      <w:pPr>
        <w:pStyle w:val="TableofFigures"/>
        <w:rPr>
          <w:rFonts w:asciiTheme="minorHAnsi" w:eastAsiaTheme="minorEastAsia" w:hAnsiTheme="minorHAnsi" w:cstheme="minorBidi"/>
        </w:rPr>
      </w:pPr>
      <w:hyperlink w:anchor="_Toc23769522" w:history="1">
        <w:r w:rsidR="007D4948" w:rsidRPr="007D1918">
          <w:rPr>
            <w:rStyle w:val="Hyperlink"/>
          </w:rPr>
          <w:t>Table 35</w:t>
        </w:r>
        <w:r w:rsidR="007D4948" w:rsidRPr="007D1918">
          <w:rPr>
            <w:rFonts w:asciiTheme="minorHAnsi" w:eastAsiaTheme="minorEastAsia" w:hAnsiTheme="minorHAnsi" w:cstheme="minorBidi"/>
          </w:rPr>
          <w:tab/>
        </w:r>
        <w:r w:rsidR="007D4948" w:rsidRPr="007D1918">
          <w:rPr>
            <w:rStyle w:val="Hyperlink"/>
          </w:rPr>
          <w:t>Intubation period and number of myasthenic crises in thymectomy patients treated with IVIg or PE (Alipour-Faz et al. 2017)</w:t>
        </w:r>
        <w:r w:rsidR="007D4948" w:rsidRPr="007D1918">
          <w:rPr>
            <w:webHidden/>
          </w:rPr>
          <w:tab/>
        </w:r>
        <w:r w:rsidR="007D4948" w:rsidRPr="007D1918">
          <w:rPr>
            <w:webHidden/>
          </w:rPr>
          <w:fldChar w:fldCharType="begin"/>
        </w:r>
        <w:r w:rsidR="007D4948" w:rsidRPr="007D1918">
          <w:rPr>
            <w:webHidden/>
          </w:rPr>
          <w:instrText xml:space="preserve"> PAGEREF _Toc23769522 \h </w:instrText>
        </w:r>
        <w:r w:rsidR="007D4948" w:rsidRPr="007D1918">
          <w:rPr>
            <w:webHidden/>
          </w:rPr>
        </w:r>
        <w:r w:rsidR="007D4948" w:rsidRPr="007D1918">
          <w:rPr>
            <w:webHidden/>
          </w:rPr>
          <w:fldChar w:fldCharType="separate"/>
        </w:r>
        <w:r w:rsidR="007D4948" w:rsidRPr="007D1918">
          <w:rPr>
            <w:webHidden/>
          </w:rPr>
          <w:t>94</w:t>
        </w:r>
        <w:r w:rsidR="007D4948" w:rsidRPr="007D1918">
          <w:rPr>
            <w:webHidden/>
          </w:rPr>
          <w:fldChar w:fldCharType="end"/>
        </w:r>
      </w:hyperlink>
    </w:p>
    <w:p w14:paraId="4085A916" w14:textId="4EE2EF57" w:rsidR="007D4948" w:rsidRPr="007D1918" w:rsidRDefault="002814BF">
      <w:pPr>
        <w:pStyle w:val="TableofFigures"/>
        <w:rPr>
          <w:rFonts w:asciiTheme="minorHAnsi" w:eastAsiaTheme="minorEastAsia" w:hAnsiTheme="minorHAnsi" w:cstheme="minorBidi"/>
        </w:rPr>
      </w:pPr>
      <w:hyperlink w:anchor="_Toc23769523" w:history="1">
        <w:r w:rsidR="007D4948" w:rsidRPr="007D1918">
          <w:rPr>
            <w:rStyle w:val="Hyperlink"/>
          </w:rPr>
          <w:t>Table 36</w:t>
        </w:r>
        <w:r w:rsidR="007D4948" w:rsidRPr="007D1918">
          <w:rPr>
            <w:rFonts w:asciiTheme="minorHAnsi" w:eastAsiaTheme="minorEastAsia" w:hAnsiTheme="minorHAnsi" w:cstheme="minorBidi"/>
          </w:rPr>
          <w:tab/>
        </w:r>
        <w:r w:rsidR="007D4948" w:rsidRPr="007D1918">
          <w:rPr>
            <w:rStyle w:val="Hyperlink"/>
          </w:rPr>
          <w:t>Rates of infection for IVIg compared with PE for MG maintenance patients</w:t>
        </w:r>
        <w:r w:rsidR="007D4948" w:rsidRPr="007D1918">
          <w:rPr>
            <w:webHidden/>
          </w:rPr>
          <w:tab/>
        </w:r>
        <w:r w:rsidR="007D4948" w:rsidRPr="007D1918">
          <w:rPr>
            <w:webHidden/>
          </w:rPr>
          <w:fldChar w:fldCharType="begin"/>
        </w:r>
        <w:r w:rsidR="007D4948" w:rsidRPr="007D1918">
          <w:rPr>
            <w:webHidden/>
          </w:rPr>
          <w:instrText xml:space="preserve"> PAGEREF _Toc23769523 \h </w:instrText>
        </w:r>
        <w:r w:rsidR="007D4948" w:rsidRPr="007D1918">
          <w:rPr>
            <w:webHidden/>
          </w:rPr>
        </w:r>
        <w:r w:rsidR="007D4948" w:rsidRPr="007D1918">
          <w:rPr>
            <w:webHidden/>
          </w:rPr>
          <w:fldChar w:fldCharType="separate"/>
        </w:r>
        <w:r w:rsidR="007D4948" w:rsidRPr="007D1918">
          <w:rPr>
            <w:webHidden/>
          </w:rPr>
          <w:t>95</w:t>
        </w:r>
        <w:r w:rsidR="007D4948" w:rsidRPr="007D1918">
          <w:rPr>
            <w:webHidden/>
          </w:rPr>
          <w:fldChar w:fldCharType="end"/>
        </w:r>
      </w:hyperlink>
    </w:p>
    <w:p w14:paraId="62B4929F" w14:textId="6310F04C" w:rsidR="007D4948" w:rsidRPr="007D1918" w:rsidRDefault="002814BF">
      <w:pPr>
        <w:pStyle w:val="TableofFigures"/>
        <w:rPr>
          <w:rFonts w:asciiTheme="minorHAnsi" w:eastAsiaTheme="minorEastAsia" w:hAnsiTheme="minorHAnsi" w:cstheme="minorBidi"/>
        </w:rPr>
      </w:pPr>
      <w:hyperlink w:anchor="_Toc23769524" w:history="1">
        <w:r w:rsidR="007D4948" w:rsidRPr="007D1918">
          <w:rPr>
            <w:rStyle w:val="Hyperlink"/>
          </w:rPr>
          <w:t>Table 37</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Change in QMGS for patients on IVIg or PE maintenance therapy</w:t>
        </w:r>
        <w:r w:rsidR="007D4948" w:rsidRPr="007D1918">
          <w:rPr>
            <w:webHidden/>
          </w:rPr>
          <w:tab/>
        </w:r>
        <w:r w:rsidR="007D4948" w:rsidRPr="007D1918">
          <w:rPr>
            <w:webHidden/>
          </w:rPr>
          <w:fldChar w:fldCharType="begin"/>
        </w:r>
        <w:r w:rsidR="007D4948" w:rsidRPr="007D1918">
          <w:rPr>
            <w:webHidden/>
          </w:rPr>
          <w:instrText xml:space="preserve"> PAGEREF _Toc23769524 \h </w:instrText>
        </w:r>
        <w:r w:rsidR="007D4948" w:rsidRPr="007D1918">
          <w:rPr>
            <w:webHidden/>
          </w:rPr>
        </w:r>
        <w:r w:rsidR="007D4948" w:rsidRPr="007D1918">
          <w:rPr>
            <w:webHidden/>
          </w:rPr>
          <w:fldChar w:fldCharType="separate"/>
        </w:r>
        <w:r w:rsidR="007D4948" w:rsidRPr="007D1918">
          <w:rPr>
            <w:webHidden/>
          </w:rPr>
          <w:t>98</w:t>
        </w:r>
        <w:r w:rsidR="007D4948" w:rsidRPr="007D1918">
          <w:rPr>
            <w:webHidden/>
          </w:rPr>
          <w:fldChar w:fldCharType="end"/>
        </w:r>
      </w:hyperlink>
    </w:p>
    <w:p w14:paraId="4469D19A" w14:textId="6AE056CF" w:rsidR="007D4948" w:rsidRPr="007D1918" w:rsidRDefault="002814BF">
      <w:pPr>
        <w:pStyle w:val="TableofFigures"/>
        <w:rPr>
          <w:rFonts w:asciiTheme="minorHAnsi" w:eastAsiaTheme="minorEastAsia" w:hAnsiTheme="minorHAnsi" w:cstheme="minorBidi"/>
        </w:rPr>
      </w:pPr>
      <w:hyperlink w:anchor="_Toc23769525" w:history="1">
        <w:r w:rsidR="007D4948" w:rsidRPr="007D1918">
          <w:rPr>
            <w:rStyle w:val="Hyperlink"/>
          </w:rPr>
          <w:t>Table 38</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Change in MGFA class in patients receiving maintenance IVIg (Hellmann et al. 2014)</w:t>
        </w:r>
        <w:r w:rsidR="007D4948" w:rsidRPr="007D1918">
          <w:rPr>
            <w:webHidden/>
          </w:rPr>
          <w:tab/>
        </w:r>
        <w:r w:rsidR="007D4948" w:rsidRPr="007D1918">
          <w:rPr>
            <w:webHidden/>
          </w:rPr>
          <w:fldChar w:fldCharType="begin"/>
        </w:r>
        <w:r w:rsidR="007D4948" w:rsidRPr="007D1918">
          <w:rPr>
            <w:webHidden/>
          </w:rPr>
          <w:instrText xml:space="preserve"> PAGEREF _Toc23769525 \h </w:instrText>
        </w:r>
        <w:r w:rsidR="007D4948" w:rsidRPr="007D1918">
          <w:rPr>
            <w:webHidden/>
          </w:rPr>
        </w:r>
        <w:r w:rsidR="007D4948" w:rsidRPr="007D1918">
          <w:rPr>
            <w:webHidden/>
          </w:rPr>
          <w:fldChar w:fldCharType="separate"/>
        </w:r>
        <w:r w:rsidR="007D4948" w:rsidRPr="007D1918">
          <w:rPr>
            <w:webHidden/>
          </w:rPr>
          <w:t>98</w:t>
        </w:r>
        <w:r w:rsidR="007D4948" w:rsidRPr="007D1918">
          <w:rPr>
            <w:webHidden/>
          </w:rPr>
          <w:fldChar w:fldCharType="end"/>
        </w:r>
      </w:hyperlink>
    </w:p>
    <w:p w14:paraId="2A9AD3BE" w14:textId="31D50F03" w:rsidR="007D4948" w:rsidRPr="007D1918" w:rsidRDefault="002814BF">
      <w:pPr>
        <w:pStyle w:val="TableofFigures"/>
        <w:rPr>
          <w:rFonts w:asciiTheme="minorHAnsi" w:eastAsiaTheme="minorEastAsia" w:hAnsiTheme="minorHAnsi" w:cstheme="minorBidi"/>
        </w:rPr>
      </w:pPr>
      <w:hyperlink w:anchor="_Toc23769526" w:history="1">
        <w:r w:rsidR="007D4948" w:rsidRPr="007D1918">
          <w:rPr>
            <w:rStyle w:val="Hyperlink"/>
          </w:rPr>
          <w:t>Table 39</w:t>
        </w:r>
        <w:r w:rsidR="007D4948" w:rsidRPr="007D1918">
          <w:rPr>
            <w:rFonts w:asciiTheme="minorHAnsi" w:eastAsiaTheme="minorEastAsia" w:hAnsiTheme="minorHAnsi" w:cstheme="minorBidi"/>
          </w:rPr>
          <w:tab/>
        </w:r>
        <w:r w:rsidR="007D4948" w:rsidRPr="007D1918">
          <w:rPr>
            <w:rStyle w:val="Hyperlink"/>
          </w:rPr>
          <w:t>Change in symptoms (QMGS score) for IVIg compared to placebo (Zinman, Ng &amp; Bril 2007)</w:t>
        </w:r>
        <w:r w:rsidR="007D4948" w:rsidRPr="007D1918">
          <w:rPr>
            <w:webHidden/>
          </w:rPr>
          <w:tab/>
        </w:r>
        <w:r w:rsidR="007D4948" w:rsidRPr="007D1918">
          <w:rPr>
            <w:webHidden/>
          </w:rPr>
          <w:fldChar w:fldCharType="begin"/>
        </w:r>
        <w:r w:rsidR="007D4948" w:rsidRPr="007D1918">
          <w:rPr>
            <w:webHidden/>
          </w:rPr>
          <w:instrText xml:space="preserve"> PAGEREF _Toc23769526 \h </w:instrText>
        </w:r>
        <w:r w:rsidR="007D4948" w:rsidRPr="007D1918">
          <w:rPr>
            <w:webHidden/>
          </w:rPr>
        </w:r>
        <w:r w:rsidR="007D4948" w:rsidRPr="007D1918">
          <w:rPr>
            <w:webHidden/>
          </w:rPr>
          <w:fldChar w:fldCharType="separate"/>
        </w:r>
        <w:r w:rsidR="007D4948" w:rsidRPr="007D1918">
          <w:rPr>
            <w:webHidden/>
          </w:rPr>
          <w:t>100</w:t>
        </w:r>
        <w:r w:rsidR="007D4948" w:rsidRPr="007D1918">
          <w:rPr>
            <w:webHidden/>
          </w:rPr>
          <w:fldChar w:fldCharType="end"/>
        </w:r>
      </w:hyperlink>
    </w:p>
    <w:p w14:paraId="10B9EEDA" w14:textId="1021A5D6" w:rsidR="007D4948" w:rsidRPr="007D1918" w:rsidRDefault="002814BF">
      <w:pPr>
        <w:pStyle w:val="TableofFigures"/>
        <w:rPr>
          <w:rFonts w:asciiTheme="minorHAnsi" w:eastAsiaTheme="minorEastAsia" w:hAnsiTheme="minorHAnsi" w:cstheme="minorBidi"/>
        </w:rPr>
      </w:pPr>
      <w:hyperlink w:anchor="_Toc23769527" w:history="1">
        <w:r w:rsidR="007D4948" w:rsidRPr="007D1918">
          <w:rPr>
            <w:rStyle w:val="Hyperlink"/>
          </w:rPr>
          <w:t>Table 40</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Change in QoL in patients either IVIg or PE maintenance therapy (Barnett et al. 2013)</w:t>
        </w:r>
        <w:r w:rsidR="007D4948" w:rsidRPr="007D1918">
          <w:rPr>
            <w:webHidden/>
          </w:rPr>
          <w:tab/>
        </w:r>
        <w:r w:rsidR="007D4948" w:rsidRPr="007D1918">
          <w:rPr>
            <w:webHidden/>
          </w:rPr>
          <w:fldChar w:fldCharType="begin"/>
        </w:r>
        <w:r w:rsidR="007D4948" w:rsidRPr="007D1918">
          <w:rPr>
            <w:webHidden/>
          </w:rPr>
          <w:instrText xml:space="preserve"> PAGEREF _Toc23769527 \h </w:instrText>
        </w:r>
        <w:r w:rsidR="007D4948" w:rsidRPr="007D1918">
          <w:rPr>
            <w:webHidden/>
          </w:rPr>
        </w:r>
        <w:r w:rsidR="007D4948" w:rsidRPr="007D1918">
          <w:rPr>
            <w:webHidden/>
          </w:rPr>
          <w:fldChar w:fldCharType="separate"/>
        </w:r>
        <w:r w:rsidR="007D4948" w:rsidRPr="007D1918">
          <w:rPr>
            <w:webHidden/>
          </w:rPr>
          <w:t>101</w:t>
        </w:r>
        <w:r w:rsidR="007D4948" w:rsidRPr="007D1918">
          <w:rPr>
            <w:webHidden/>
          </w:rPr>
          <w:fldChar w:fldCharType="end"/>
        </w:r>
      </w:hyperlink>
    </w:p>
    <w:p w14:paraId="480CD7F8" w14:textId="0B69FB21" w:rsidR="007D4948" w:rsidRPr="007D1918" w:rsidRDefault="002814BF">
      <w:pPr>
        <w:pStyle w:val="TableofFigures"/>
        <w:rPr>
          <w:rFonts w:asciiTheme="minorHAnsi" w:eastAsiaTheme="minorEastAsia" w:hAnsiTheme="minorHAnsi" w:cstheme="minorBidi"/>
        </w:rPr>
      </w:pPr>
      <w:hyperlink w:anchor="_Toc23769528" w:history="1">
        <w:r w:rsidR="007D4948" w:rsidRPr="007D1918">
          <w:rPr>
            <w:rStyle w:val="Hyperlink"/>
          </w:rPr>
          <w:t>Table 41</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Remission time for patients receiving either IVIg or PE maintenance therapy (Liu et al. 2010)</w:t>
        </w:r>
        <w:r w:rsidR="007D4948" w:rsidRPr="007D1918">
          <w:rPr>
            <w:webHidden/>
          </w:rPr>
          <w:tab/>
        </w:r>
        <w:r w:rsidR="007D4948" w:rsidRPr="007D1918">
          <w:rPr>
            <w:webHidden/>
          </w:rPr>
          <w:fldChar w:fldCharType="begin"/>
        </w:r>
        <w:r w:rsidR="007D4948" w:rsidRPr="007D1918">
          <w:rPr>
            <w:webHidden/>
          </w:rPr>
          <w:instrText xml:space="preserve"> PAGEREF _Toc23769528 \h </w:instrText>
        </w:r>
        <w:r w:rsidR="007D4948" w:rsidRPr="007D1918">
          <w:rPr>
            <w:webHidden/>
          </w:rPr>
        </w:r>
        <w:r w:rsidR="007D4948" w:rsidRPr="007D1918">
          <w:rPr>
            <w:webHidden/>
          </w:rPr>
          <w:fldChar w:fldCharType="separate"/>
        </w:r>
        <w:r w:rsidR="007D4948" w:rsidRPr="007D1918">
          <w:rPr>
            <w:webHidden/>
          </w:rPr>
          <w:t>101</w:t>
        </w:r>
        <w:r w:rsidR="007D4948" w:rsidRPr="007D1918">
          <w:rPr>
            <w:webHidden/>
          </w:rPr>
          <w:fldChar w:fldCharType="end"/>
        </w:r>
      </w:hyperlink>
    </w:p>
    <w:p w14:paraId="2FC61678" w14:textId="14810B40" w:rsidR="007D4948" w:rsidRPr="007D1918" w:rsidRDefault="002814BF">
      <w:pPr>
        <w:pStyle w:val="TableofFigures"/>
        <w:rPr>
          <w:rFonts w:asciiTheme="minorHAnsi" w:eastAsiaTheme="minorEastAsia" w:hAnsiTheme="minorHAnsi" w:cstheme="minorBidi"/>
        </w:rPr>
      </w:pPr>
      <w:hyperlink w:anchor="_Toc23769529" w:history="1">
        <w:r w:rsidR="007D4948" w:rsidRPr="007D1918">
          <w:rPr>
            <w:rStyle w:val="Hyperlink"/>
          </w:rPr>
          <w:t>Table 42</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Ventilation needs for patients receiving either IVIg or PE maintenance therapy (Liu et al. 2010)</w:t>
        </w:r>
        <w:r w:rsidR="007D4948" w:rsidRPr="007D1918">
          <w:rPr>
            <w:webHidden/>
          </w:rPr>
          <w:tab/>
        </w:r>
        <w:r w:rsidR="007D4948" w:rsidRPr="007D1918">
          <w:rPr>
            <w:webHidden/>
          </w:rPr>
          <w:fldChar w:fldCharType="begin"/>
        </w:r>
        <w:r w:rsidR="007D4948" w:rsidRPr="007D1918">
          <w:rPr>
            <w:webHidden/>
          </w:rPr>
          <w:instrText xml:space="preserve"> PAGEREF _Toc23769529 \h </w:instrText>
        </w:r>
        <w:r w:rsidR="007D4948" w:rsidRPr="007D1918">
          <w:rPr>
            <w:webHidden/>
          </w:rPr>
        </w:r>
        <w:r w:rsidR="007D4948" w:rsidRPr="007D1918">
          <w:rPr>
            <w:webHidden/>
          </w:rPr>
          <w:fldChar w:fldCharType="separate"/>
        </w:r>
        <w:r w:rsidR="007D4948" w:rsidRPr="007D1918">
          <w:rPr>
            <w:webHidden/>
          </w:rPr>
          <w:t>102</w:t>
        </w:r>
        <w:r w:rsidR="007D4948" w:rsidRPr="007D1918">
          <w:rPr>
            <w:webHidden/>
          </w:rPr>
          <w:fldChar w:fldCharType="end"/>
        </w:r>
      </w:hyperlink>
    </w:p>
    <w:p w14:paraId="5D58B71C" w14:textId="7E9F38B6" w:rsidR="007D4948" w:rsidRPr="007D1918" w:rsidRDefault="002814BF">
      <w:pPr>
        <w:pStyle w:val="TableofFigures"/>
        <w:rPr>
          <w:rFonts w:asciiTheme="minorHAnsi" w:eastAsiaTheme="minorEastAsia" w:hAnsiTheme="minorHAnsi" w:cstheme="minorBidi"/>
        </w:rPr>
      </w:pPr>
      <w:hyperlink w:anchor="_Toc23769530" w:history="1">
        <w:r w:rsidR="007D4948" w:rsidRPr="007D1918">
          <w:rPr>
            <w:rStyle w:val="Hyperlink"/>
          </w:rPr>
          <w:t>Table 43</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Response to treatment in children given either IVIg or PE as maintenance therapy (Liew et al. 2014)</w:t>
        </w:r>
        <w:r w:rsidR="007D4948" w:rsidRPr="007D1918">
          <w:rPr>
            <w:webHidden/>
          </w:rPr>
          <w:tab/>
        </w:r>
        <w:r w:rsidR="007D4948" w:rsidRPr="007D1918">
          <w:rPr>
            <w:webHidden/>
          </w:rPr>
          <w:fldChar w:fldCharType="begin"/>
        </w:r>
        <w:r w:rsidR="007D4948" w:rsidRPr="007D1918">
          <w:rPr>
            <w:webHidden/>
          </w:rPr>
          <w:instrText xml:space="preserve"> PAGEREF _Toc23769530 \h </w:instrText>
        </w:r>
        <w:r w:rsidR="007D4948" w:rsidRPr="007D1918">
          <w:rPr>
            <w:webHidden/>
          </w:rPr>
        </w:r>
        <w:r w:rsidR="007D4948" w:rsidRPr="007D1918">
          <w:rPr>
            <w:webHidden/>
          </w:rPr>
          <w:fldChar w:fldCharType="separate"/>
        </w:r>
        <w:r w:rsidR="007D4948" w:rsidRPr="007D1918">
          <w:rPr>
            <w:webHidden/>
          </w:rPr>
          <w:t>103</w:t>
        </w:r>
        <w:r w:rsidR="007D4948" w:rsidRPr="007D1918">
          <w:rPr>
            <w:webHidden/>
          </w:rPr>
          <w:fldChar w:fldCharType="end"/>
        </w:r>
      </w:hyperlink>
    </w:p>
    <w:p w14:paraId="2F758BE2" w14:textId="5B75FAD4" w:rsidR="007D4948" w:rsidRPr="007D1918" w:rsidRDefault="002814BF">
      <w:pPr>
        <w:pStyle w:val="TableofFigures"/>
        <w:rPr>
          <w:rFonts w:asciiTheme="minorHAnsi" w:eastAsiaTheme="minorEastAsia" w:hAnsiTheme="minorHAnsi" w:cstheme="minorBidi"/>
        </w:rPr>
      </w:pPr>
      <w:hyperlink w:anchor="_Toc23769531" w:history="1">
        <w:r w:rsidR="007D4948" w:rsidRPr="007D1918">
          <w:rPr>
            <w:rStyle w:val="Hyperlink"/>
          </w:rPr>
          <w:t>Table 44</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Change from baseline in absolute score and the proportion cured in patients treated with IVIg plus IV MPN or high dose IV MPN alone for MG maintenance (Wang et al. 2016)</w:t>
        </w:r>
        <w:r w:rsidR="007D4948" w:rsidRPr="007D1918">
          <w:rPr>
            <w:webHidden/>
          </w:rPr>
          <w:tab/>
        </w:r>
        <w:r w:rsidR="007D4948" w:rsidRPr="007D1918">
          <w:rPr>
            <w:webHidden/>
          </w:rPr>
          <w:fldChar w:fldCharType="begin"/>
        </w:r>
        <w:r w:rsidR="007D4948" w:rsidRPr="007D1918">
          <w:rPr>
            <w:webHidden/>
          </w:rPr>
          <w:instrText xml:space="preserve"> PAGEREF _Toc23769531 \h </w:instrText>
        </w:r>
        <w:r w:rsidR="007D4948" w:rsidRPr="007D1918">
          <w:rPr>
            <w:webHidden/>
          </w:rPr>
        </w:r>
        <w:r w:rsidR="007D4948" w:rsidRPr="007D1918">
          <w:rPr>
            <w:webHidden/>
          </w:rPr>
          <w:fldChar w:fldCharType="separate"/>
        </w:r>
        <w:r w:rsidR="007D4948" w:rsidRPr="007D1918">
          <w:rPr>
            <w:webHidden/>
          </w:rPr>
          <w:t>104</w:t>
        </w:r>
        <w:r w:rsidR="007D4948" w:rsidRPr="007D1918">
          <w:rPr>
            <w:webHidden/>
          </w:rPr>
          <w:fldChar w:fldCharType="end"/>
        </w:r>
      </w:hyperlink>
    </w:p>
    <w:p w14:paraId="4B84275B" w14:textId="481C7E89" w:rsidR="007D4948" w:rsidRPr="007D1918" w:rsidRDefault="002814BF">
      <w:pPr>
        <w:pStyle w:val="TableofFigures"/>
        <w:rPr>
          <w:rFonts w:asciiTheme="minorHAnsi" w:eastAsiaTheme="minorEastAsia" w:hAnsiTheme="minorHAnsi" w:cstheme="minorBidi"/>
        </w:rPr>
      </w:pPr>
      <w:hyperlink w:anchor="_Toc23769532" w:history="1">
        <w:r w:rsidR="007D4948" w:rsidRPr="007D1918">
          <w:rPr>
            <w:rStyle w:val="Hyperlink"/>
          </w:rPr>
          <w:t>Table 45</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Number of patients needing breathing machines on either IVIg or PE maintenance (Wang et al. 2016)</w:t>
        </w:r>
        <w:r w:rsidR="007D4948" w:rsidRPr="007D1918">
          <w:rPr>
            <w:webHidden/>
          </w:rPr>
          <w:tab/>
        </w:r>
        <w:r w:rsidR="007D4948" w:rsidRPr="007D1918">
          <w:rPr>
            <w:webHidden/>
          </w:rPr>
          <w:fldChar w:fldCharType="begin"/>
        </w:r>
        <w:r w:rsidR="007D4948" w:rsidRPr="007D1918">
          <w:rPr>
            <w:webHidden/>
          </w:rPr>
          <w:instrText xml:space="preserve"> PAGEREF _Toc23769532 \h </w:instrText>
        </w:r>
        <w:r w:rsidR="007D4948" w:rsidRPr="007D1918">
          <w:rPr>
            <w:webHidden/>
          </w:rPr>
        </w:r>
        <w:r w:rsidR="007D4948" w:rsidRPr="007D1918">
          <w:rPr>
            <w:webHidden/>
          </w:rPr>
          <w:fldChar w:fldCharType="separate"/>
        </w:r>
        <w:r w:rsidR="007D4948" w:rsidRPr="007D1918">
          <w:rPr>
            <w:webHidden/>
          </w:rPr>
          <w:t>106</w:t>
        </w:r>
        <w:r w:rsidR="007D4948" w:rsidRPr="007D1918">
          <w:rPr>
            <w:webHidden/>
          </w:rPr>
          <w:fldChar w:fldCharType="end"/>
        </w:r>
      </w:hyperlink>
    </w:p>
    <w:p w14:paraId="27E6A820" w14:textId="40D52BBE" w:rsidR="007D4948" w:rsidRPr="007D1918" w:rsidRDefault="002814BF">
      <w:pPr>
        <w:pStyle w:val="TableofFigures"/>
        <w:rPr>
          <w:rFonts w:asciiTheme="minorHAnsi" w:eastAsiaTheme="minorEastAsia" w:hAnsiTheme="minorHAnsi" w:cstheme="minorBidi"/>
        </w:rPr>
      </w:pPr>
      <w:hyperlink w:anchor="_Toc23769533" w:history="1">
        <w:r w:rsidR="007D4948" w:rsidRPr="007D1918">
          <w:rPr>
            <w:rStyle w:val="Hyperlink"/>
          </w:rPr>
          <w:t>Table 46</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Change in symptoms in patients given either SCIg as maintenance (Beecher, Anderson &amp; Siddiqi 2017)</w:t>
        </w:r>
        <w:r w:rsidR="007D4948" w:rsidRPr="007D1918">
          <w:rPr>
            <w:webHidden/>
          </w:rPr>
          <w:tab/>
        </w:r>
        <w:r w:rsidR="007D4948" w:rsidRPr="007D1918">
          <w:rPr>
            <w:webHidden/>
          </w:rPr>
          <w:fldChar w:fldCharType="begin"/>
        </w:r>
        <w:r w:rsidR="007D4948" w:rsidRPr="007D1918">
          <w:rPr>
            <w:webHidden/>
          </w:rPr>
          <w:instrText xml:space="preserve"> PAGEREF _Toc23769533 \h </w:instrText>
        </w:r>
        <w:r w:rsidR="007D4948" w:rsidRPr="007D1918">
          <w:rPr>
            <w:webHidden/>
          </w:rPr>
        </w:r>
        <w:r w:rsidR="007D4948" w:rsidRPr="007D1918">
          <w:rPr>
            <w:webHidden/>
          </w:rPr>
          <w:fldChar w:fldCharType="separate"/>
        </w:r>
        <w:r w:rsidR="007D4948" w:rsidRPr="007D1918">
          <w:rPr>
            <w:webHidden/>
          </w:rPr>
          <w:t>106</w:t>
        </w:r>
        <w:r w:rsidR="007D4948" w:rsidRPr="007D1918">
          <w:rPr>
            <w:webHidden/>
          </w:rPr>
          <w:fldChar w:fldCharType="end"/>
        </w:r>
      </w:hyperlink>
    </w:p>
    <w:p w14:paraId="56CC93D6" w14:textId="4A86E381" w:rsidR="007D4948" w:rsidRPr="007D1918" w:rsidRDefault="002814BF">
      <w:pPr>
        <w:pStyle w:val="TableofFigures"/>
        <w:rPr>
          <w:rFonts w:asciiTheme="minorHAnsi" w:eastAsiaTheme="minorEastAsia" w:hAnsiTheme="minorHAnsi" w:cstheme="minorBidi"/>
        </w:rPr>
      </w:pPr>
      <w:hyperlink w:anchor="_Toc23769534" w:history="1">
        <w:r w:rsidR="007D4948" w:rsidRPr="007D1918">
          <w:rPr>
            <w:rStyle w:val="Hyperlink"/>
          </w:rPr>
          <w:t>Table 47</w:t>
        </w:r>
        <w:r w:rsidR="007D4948" w:rsidRPr="007D1918">
          <w:rPr>
            <w:rFonts w:asciiTheme="minorHAnsi" w:eastAsiaTheme="minorEastAsia" w:hAnsiTheme="minorHAnsi" w:cstheme="minorBidi"/>
          </w:rPr>
          <w:tab/>
        </w:r>
        <w:r w:rsidR="007D4948" w:rsidRPr="007D1918">
          <w:rPr>
            <w:rStyle w:val="Hyperlink"/>
            <w:rFonts w:cs="Arial"/>
            <w:snapToGrid w:val="0"/>
            <w:lang w:eastAsia="en-US"/>
          </w:rPr>
          <w:t>Change in QoL scales in patients given either SCIg as maintenance therapy</w:t>
        </w:r>
        <w:r w:rsidR="007D4948" w:rsidRPr="007D1918">
          <w:rPr>
            <w:webHidden/>
          </w:rPr>
          <w:tab/>
        </w:r>
        <w:r w:rsidR="007D4948" w:rsidRPr="007D1918">
          <w:rPr>
            <w:webHidden/>
          </w:rPr>
          <w:fldChar w:fldCharType="begin"/>
        </w:r>
        <w:r w:rsidR="007D4948" w:rsidRPr="007D1918">
          <w:rPr>
            <w:webHidden/>
          </w:rPr>
          <w:instrText xml:space="preserve"> PAGEREF _Toc23769534 \h </w:instrText>
        </w:r>
        <w:r w:rsidR="007D4948" w:rsidRPr="007D1918">
          <w:rPr>
            <w:webHidden/>
          </w:rPr>
        </w:r>
        <w:r w:rsidR="007D4948" w:rsidRPr="007D1918">
          <w:rPr>
            <w:webHidden/>
          </w:rPr>
          <w:fldChar w:fldCharType="separate"/>
        </w:r>
        <w:r w:rsidR="007D4948" w:rsidRPr="007D1918">
          <w:rPr>
            <w:webHidden/>
          </w:rPr>
          <w:t>107</w:t>
        </w:r>
        <w:r w:rsidR="007D4948" w:rsidRPr="007D1918">
          <w:rPr>
            <w:webHidden/>
          </w:rPr>
          <w:fldChar w:fldCharType="end"/>
        </w:r>
      </w:hyperlink>
    </w:p>
    <w:p w14:paraId="01506C23" w14:textId="6CC4A9E7" w:rsidR="007D4948" w:rsidRPr="007D1918" w:rsidRDefault="002814BF">
      <w:pPr>
        <w:pStyle w:val="TableofFigures"/>
        <w:rPr>
          <w:rFonts w:asciiTheme="minorHAnsi" w:eastAsiaTheme="minorEastAsia" w:hAnsiTheme="minorHAnsi" w:cstheme="minorBidi"/>
        </w:rPr>
      </w:pPr>
      <w:hyperlink w:anchor="_Toc23769535" w:history="1">
        <w:r w:rsidR="007D4948" w:rsidRPr="007D1918">
          <w:rPr>
            <w:rStyle w:val="Hyperlink"/>
          </w:rPr>
          <w:t>Table 48</w:t>
        </w:r>
        <w:r w:rsidR="007D4948" w:rsidRPr="007D1918">
          <w:rPr>
            <w:rFonts w:asciiTheme="minorHAnsi" w:eastAsiaTheme="minorEastAsia" w:hAnsiTheme="minorHAnsi" w:cstheme="minorBidi"/>
          </w:rPr>
          <w:tab/>
        </w:r>
        <w:r w:rsidR="007D4948" w:rsidRPr="007D1918">
          <w:rPr>
            <w:rStyle w:val="Hyperlink"/>
          </w:rPr>
          <w:t>Balance of clinical benefits and harms of IVIg relative to PE in MG patients in or at risk of MG crisis (</w:t>
        </w:r>
        <w:r w:rsidR="007D4948" w:rsidRPr="007D1918">
          <w:rPr>
            <w:rStyle w:val="Hyperlink"/>
            <w:i/>
          </w:rPr>
          <w:t xml:space="preserve">Criteria V3 </w:t>
        </w:r>
        <w:r w:rsidR="007D4948" w:rsidRPr="007D1918">
          <w:rPr>
            <w:rStyle w:val="Hyperlink"/>
          </w:rPr>
          <w:t>Indication 1), as measured by the critical patient relevant outcomes in the key studies</w:t>
        </w:r>
        <w:r w:rsidR="007D4948" w:rsidRPr="007D1918">
          <w:rPr>
            <w:webHidden/>
          </w:rPr>
          <w:tab/>
        </w:r>
        <w:r w:rsidR="007D4948" w:rsidRPr="007D1918">
          <w:rPr>
            <w:webHidden/>
          </w:rPr>
          <w:fldChar w:fldCharType="begin"/>
        </w:r>
        <w:r w:rsidR="007D4948" w:rsidRPr="007D1918">
          <w:rPr>
            <w:webHidden/>
          </w:rPr>
          <w:instrText xml:space="preserve"> PAGEREF _Toc23769535 \h </w:instrText>
        </w:r>
        <w:r w:rsidR="007D4948" w:rsidRPr="007D1918">
          <w:rPr>
            <w:webHidden/>
          </w:rPr>
        </w:r>
        <w:r w:rsidR="007D4948" w:rsidRPr="007D1918">
          <w:rPr>
            <w:webHidden/>
          </w:rPr>
          <w:fldChar w:fldCharType="separate"/>
        </w:r>
        <w:r w:rsidR="007D4948" w:rsidRPr="007D1918">
          <w:rPr>
            <w:webHidden/>
          </w:rPr>
          <w:t>110</w:t>
        </w:r>
        <w:r w:rsidR="007D4948" w:rsidRPr="007D1918">
          <w:rPr>
            <w:webHidden/>
          </w:rPr>
          <w:fldChar w:fldCharType="end"/>
        </w:r>
      </w:hyperlink>
    </w:p>
    <w:p w14:paraId="055123B4" w14:textId="489EB48F" w:rsidR="007D4948" w:rsidRPr="007D1918" w:rsidRDefault="002814BF">
      <w:pPr>
        <w:pStyle w:val="TableofFigures"/>
        <w:rPr>
          <w:rFonts w:asciiTheme="minorHAnsi" w:eastAsiaTheme="minorEastAsia" w:hAnsiTheme="minorHAnsi" w:cstheme="minorBidi"/>
        </w:rPr>
      </w:pPr>
      <w:hyperlink w:anchor="_Toc23769536" w:history="1">
        <w:r w:rsidR="007D4948" w:rsidRPr="007D1918">
          <w:rPr>
            <w:rStyle w:val="Hyperlink"/>
          </w:rPr>
          <w:t>Table 49</w:t>
        </w:r>
        <w:r w:rsidR="007D4948" w:rsidRPr="007D1918">
          <w:rPr>
            <w:rFonts w:asciiTheme="minorHAnsi" w:eastAsiaTheme="minorEastAsia" w:hAnsiTheme="minorHAnsi" w:cstheme="minorBidi"/>
          </w:rPr>
          <w:tab/>
        </w:r>
        <w:r w:rsidR="007D4948" w:rsidRPr="007D1918">
          <w:rPr>
            <w:rStyle w:val="Hyperlink"/>
          </w:rPr>
          <w:t>Balance of clinical benefits and harms of IVIg relative to PE in MG patients preparing for surgery (</w:t>
        </w:r>
        <w:r w:rsidR="007D4948" w:rsidRPr="007D1918">
          <w:rPr>
            <w:rStyle w:val="Hyperlink"/>
            <w:i/>
          </w:rPr>
          <w:t xml:space="preserve">Criteria V3 </w:t>
        </w:r>
        <w:r w:rsidR="007D4948" w:rsidRPr="007D1918">
          <w:rPr>
            <w:rStyle w:val="Hyperlink"/>
          </w:rPr>
          <w:t>Indication 2) as measured by the critical patient relevant outcomes in the key studies</w:t>
        </w:r>
        <w:r w:rsidR="007D4948" w:rsidRPr="007D1918">
          <w:rPr>
            <w:webHidden/>
          </w:rPr>
          <w:tab/>
        </w:r>
        <w:r w:rsidR="007D4948" w:rsidRPr="007D1918">
          <w:rPr>
            <w:webHidden/>
          </w:rPr>
          <w:fldChar w:fldCharType="begin"/>
        </w:r>
        <w:r w:rsidR="007D4948" w:rsidRPr="007D1918">
          <w:rPr>
            <w:webHidden/>
          </w:rPr>
          <w:instrText xml:space="preserve"> PAGEREF _Toc23769536 \h </w:instrText>
        </w:r>
        <w:r w:rsidR="007D4948" w:rsidRPr="007D1918">
          <w:rPr>
            <w:webHidden/>
          </w:rPr>
        </w:r>
        <w:r w:rsidR="007D4948" w:rsidRPr="007D1918">
          <w:rPr>
            <w:webHidden/>
          </w:rPr>
          <w:fldChar w:fldCharType="separate"/>
        </w:r>
        <w:r w:rsidR="007D4948" w:rsidRPr="007D1918">
          <w:rPr>
            <w:webHidden/>
          </w:rPr>
          <w:t>110</w:t>
        </w:r>
        <w:r w:rsidR="007D4948" w:rsidRPr="007D1918">
          <w:rPr>
            <w:webHidden/>
          </w:rPr>
          <w:fldChar w:fldCharType="end"/>
        </w:r>
      </w:hyperlink>
    </w:p>
    <w:p w14:paraId="14D37195" w14:textId="0DB31A28" w:rsidR="007D4948" w:rsidRPr="007D1918" w:rsidRDefault="002814BF">
      <w:pPr>
        <w:pStyle w:val="TableofFigures"/>
        <w:rPr>
          <w:rFonts w:asciiTheme="minorHAnsi" w:eastAsiaTheme="minorEastAsia" w:hAnsiTheme="minorHAnsi" w:cstheme="minorBidi"/>
        </w:rPr>
      </w:pPr>
      <w:hyperlink w:anchor="_Toc23769537" w:history="1">
        <w:r w:rsidR="007D4948" w:rsidRPr="007D1918">
          <w:rPr>
            <w:rStyle w:val="Hyperlink"/>
          </w:rPr>
          <w:t>Table 50</w:t>
        </w:r>
        <w:r w:rsidR="007D4948" w:rsidRPr="007D1918">
          <w:rPr>
            <w:rFonts w:asciiTheme="minorHAnsi" w:eastAsiaTheme="minorEastAsia" w:hAnsiTheme="minorHAnsi" w:cstheme="minorBidi"/>
          </w:rPr>
          <w:tab/>
        </w:r>
        <w:r w:rsidR="007D4948" w:rsidRPr="007D1918">
          <w:rPr>
            <w:rStyle w:val="Hyperlink"/>
          </w:rPr>
          <w:t>Balance of clinical benefits and harms of IVIg relative to comparators (therapeutics other than PE) in MG patients changing maintenance therapy (</w:t>
        </w:r>
        <w:r w:rsidR="007D4948" w:rsidRPr="007D1918">
          <w:rPr>
            <w:rStyle w:val="Hyperlink"/>
            <w:i/>
          </w:rPr>
          <w:t>Criteria V3</w:t>
        </w:r>
        <w:r w:rsidR="007D4948" w:rsidRPr="007D1918">
          <w:rPr>
            <w:rStyle w:val="Hyperlink"/>
          </w:rPr>
          <w:t xml:space="preserve"> Indication 3) as measured by the critical patient relevant outcomes in the key studies</w:t>
        </w:r>
        <w:r w:rsidR="007D4948" w:rsidRPr="007D1918">
          <w:rPr>
            <w:webHidden/>
          </w:rPr>
          <w:tab/>
        </w:r>
        <w:r w:rsidR="007D4948" w:rsidRPr="007D1918">
          <w:rPr>
            <w:webHidden/>
          </w:rPr>
          <w:fldChar w:fldCharType="begin"/>
        </w:r>
        <w:r w:rsidR="007D4948" w:rsidRPr="007D1918">
          <w:rPr>
            <w:webHidden/>
          </w:rPr>
          <w:instrText xml:space="preserve"> PAGEREF _Toc23769537 \h </w:instrText>
        </w:r>
        <w:r w:rsidR="007D4948" w:rsidRPr="007D1918">
          <w:rPr>
            <w:webHidden/>
          </w:rPr>
        </w:r>
        <w:r w:rsidR="007D4948" w:rsidRPr="007D1918">
          <w:rPr>
            <w:webHidden/>
          </w:rPr>
          <w:fldChar w:fldCharType="separate"/>
        </w:r>
        <w:r w:rsidR="007D4948" w:rsidRPr="007D1918">
          <w:rPr>
            <w:webHidden/>
          </w:rPr>
          <w:t>111</w:t>
        </w:r>
        <w:r w:rsidR="007D4948" w:rsidRPr="007D1918">
          <w:rPr>
            <w:webHidden/>
          </w:rPr>
          <w:fldChar w:fldCharType="end"/>
        </w:r>
      </w:hyperlink>
    </w:p>
    <w:p w14:paraId="0EB92127" w14:textId="0B8E3DC8" w:rsidR="007D4948" w:rsidRPr="007D1918" w:rsidRDefault="002814BF">
      <w:pPr>
        <w:pStyle w:val="TableofFigures"/>
        <w:rPr>
          <w:rFonts w:asciiTheme="minorHAnsi" w:eastAsiaTheme="minorEastAsia" w:hAnsiTheme="minorHAnsi" w:cstheme="minorBidi"/>
        </w:rPr>
      </w:pPr>
      <w:hyperlink w:anchor="_Toc23769538" w:history="1">
        <w:r w:rsidR="007D4948" w:rsidRPr="007D1918">
          <w:rPr>
            <w:rStyle w:val="Hyperlink"/>
          </w:rPr>
          <w:t>Table 51</w:t>
        </w:r>
        <w:r w:rsidR="007D4948" w:rsidRPr="007D1918">
          <w:rPr>
            <w:rFonts w:asciiTheme="minorHAnsi" w:eastAsiaTheme="minorEastAsia" w:hAnsiTheme="minorHAnsi" w:cstheme="minorBidi"/>
          </w:rPr>
          <w:tab/>
        </w:r>
        <w:r w:rsidR="007D4948" w:rsidRPr="007D1918">
          <w:rPr>
            <w:rStyle w:val="Hyperlink"/>
          </w:rPr>
          <w:t>Balance of clinical benefits and harms of IVIg relative to PE in MG patients changing maintenance therapy (</w:t>
        </w:r>
        <w:r w:rsidR="007D4948" w:rsidRPr="007D1918">
          <w:rPr>
            <w:rStyle w:val="Hyperlink"/>
            <w:i/>
          </w:rPr>
          <w:t>Criteria V3</w:t>
        </w:r>
        <w:r w:rsidR="007D4948" w:rsidRPr="007D1918">
          <w:rPr>
            <w:rStyle w:val="Hyperlink"/>
          </w:rPr>
          <w:t xml:space="preserve"> Indication 3) as measured by the critical patient relevant outcomes in the key studies</w:t>
        </w:r>
        <w:r w:rsidR="007D4948" w:rsidRPr="007D1918">
          <w:rPr>
            <w:webHidden/>
          </w:rPr>
          <w:tab/>
        </w:r>
        <w:r w:rsidR="007D4948" w:rsidRPr="007D1918">
          <w:rPr>
            <w:webHidden/>
          </w:rPr>
          <w:fldChar w:fldCharType="begin"/>
        </w:r>
        <w:r w:rsidR="007D4948" w:rsidRPr="007D1918">
          <w:rPr>
            <w:webHidden/>
          </w:rPr>
          <w:instrText xml:space="preserve"> PAGEREF _Toc23769538 \h </w:instrText>
        </w:r>
        <w:r w:rsidR="007D4948" w:rsidRPr="007D1918">
          <w:rPr>
            <w:webHidden/>
          </w:rPr>
        </w:r>
        <w:r w:rsidR="007D4948" w:rsidRPr="007D1918">
          <w:rPr>
            <w:webHidden/>
          </w:rPr>
          <w:fldChar w:fldCharType="separate"/>
        </w:r>
        <w:r w:rsidR="007D4948" w:rsidRPr="007D1918">
          <w:rPr>
            <w:webHidden/>
          </w:rPr>
          <w:t>112</w:t>
        </w:r>
        <w:r w:rsidR="007D4948" w:rsidRPr="007D1918">
          <w:rPr>
            <w:webHidden/>
          </w:rPr>
          <w:fldChar w:fldCharType="end"/>
        </w:r>
      </w:hyperlink>
    </w:p>
    <w:p w14:paraId="6F399C54" w14:textId="4E62D751" w:rsidR="007D4948" w:rsidRPr="007D1918" w:rsidRDefault="002814BF">
      <w:pPr>
        <w:pStyle w:val="TableofFigures"/>
        <w:rPr>
          <w:rFonts w:asciiTheme="minorHAnsi" w:eastAsiaTheme="minorEastAsia" w:hAnsiTheme="minorHAnsi" w:cstheme="minorBidi"/>
        </w:rPr>
      </w:pPr>
      <w:hyperlink w:anchor="_Toc23769539" w:history="1">
        <w:r w:rsidR="007D4948" w:rsidRPr="007D1918">
          <w:rPr>
            <w:rStyle w:val="Hyperlink"/>
          </w:rPr>
          <w:t>Table 52</w:t>
        </w:r>
        <w:r w:rsidR="007D4948" w:rsidRPr="007D1918">
          <w:rPr>
            <w:rFonts w:asciiTheme="minorHAnsi" w:eastAsiaTheme="minorEastAsia" w:hAnsiTheme="minorHAnsi" w:cstheme="minorBidi"/>
          </w:rPr>
          <w:tab/>
        </w:r>
        <w:r w:rsidR="007D4948" w:rsidRPr="007D1918">
          <w:rPr>
            <w:rStyle w:val="Hyperlink"/>
          </w:rPr>
          <w:t>Applicability issues comparing the RCT (Gajdos et al. 1997) to Australian practice for Indication 1</w:t>
        </w:r>
        <w:r w:rsidR="007D4948" w:rsidRPr="007D1918">
          <w:rPr>
            <w:webHidden/>
          </w:rPr>
          <w:tab/>
        </w:r>
        <w:r w:rsidR="007D4948" w:rsidRPr="007D1918">
          <w:rPr>
            <w:webHidden/>
          </w:rPr>
          <w:fldChar w:fldCharType="begin"/>
        </w:r>
        <w:r w:rsidR="007D4948" w:rsidRPr="007D1918">
          <w:rPr>
            <w:webHidden/>
          </w:rPr>
          <w:instrText xml:space="preserve"> PAGEREF _Toc23769539 \h </w:instrText>
        </w:r>
        <w:r w:rsidR="007D4948" w:rsidRPr="007D1918">
          <w:rPr>
            <w:webHidden/>
          </w:rPr>
        </w:r>
        <w:r w:rsidR="007D4948" w:rsidRPr="007D1918">
          <w:rPr>
            <w:webHidden/>
          </w:rPr>
          <w:fldChar w:fldCharType="separate"/>
        </w:r>
        <w:r w:rsidR="007D4948" w:rsidRPr="007D1918">
          <w:rPr>
            <w:webHidden/>
          </w:rPr>
          <w:t>115</w:t>
        </w:r>
        <w:r w:rsidR="007D4948" w:rsidRPr="007D1918">
          <w:rPr>
            <w:webHidden/>
          </w:rPr>
          <w:fldChar w:fldCharType="end"/>
        </w:r>
      </w:hyperlink>
    </w:p>
    <w:p w14:paraId="102F39A3" w14:textId="2AD64E56" w:rsidR="007D4948" w:rsidRPr="007D1918" w:rsidRDefault="002814BF">
      <w:pPr>
        <w:pStyle w:val="TableofFigures"/>
        <w:rPr>
          <w:rFonts w:asciiTheme="minorHAnsi" w:eastAsiaTheme="minorEastAsia" w:hAnsiTheme="minorHAnsi" w:cstheme="minorBidi"/>
        </w:rPr>
      </w:pPr>
      <w:hyperlink w:anchor="_Toc23769540" w:history="1">
        <w:r w:rsidR="007D4948" w:rsidRPr="007D1918">
          <w:rPr>
            <w:rStyle w:val="Hyperlink"/>
          </w:rPr>
          <w:t>Table 53</w:t>
        </w:r>
        <w:r w:rsidR="007D4948" w:rsidRPr="007D1918">
          <w:rPr>
            <w:rFonts w:asciiTheme="minorHAnsi" w:eastAsiaTheme="minorEastAsia" w:hAnsiTheme="minorHAnsi" w:cstheme="minorBidi"/>
          </w:rPr>
          <w:tab/>
        </w:r>
        <w:r w:rsidR="007D4948" w:rsidRPr="007D1918">
          <w:rPr>
            <w:rStyle w:val="Hyperlink"/>
          </w:rPr>
          <w:t>Applicability issues comparing (Alipour-Faz et al. 2017) to Australian practice for Indication 2</w:t>
        </w:r>
        <w:r w:rsidR="007D4948" w:rsidRPr="007D1918">
          <w:rPr>
            <w:webHidden/>
          </w:rPr>
          <w:tab/>
        </w:r>
        <w:r w:rsidR="007D4948" w:rsidRPr="007D1918">
          <w:rPr>
            <w:webHidden/>
          </w:rPr>
          <w:fldChar w:fldCharType="begin"/>
        </w:r>
        <w:r w:rsidR="007D4948" w:rsidRPr="007D1918">
          <w:rPr>
            <w:webHidden/>
          </w:rPr>
          <w:instrText xml:space="preserve"> PAGEREF _Toc23769540 \h </w:instrText>
        </w:r>
        <w:r w:rsidR="007D4948" w:rsidRPr="007D1918">
          <w:rPr>
            <w:webHidden/>
          </w:rPr>
        </w:r>
        <w:r w:rsidR="007D4948" w:rsidRPr="007D1918">
          <w:rPr>
            <w:webHidden/>
          </w:rPr>
          <w:fldChar w:fldCharType="separate"/>
        </w:r>
        <w:r w:rsidR="007D4948" w:rsidRPr="007D1918">
          <w:rPr>
            <w:webHidden/>
          </w:rPr>
          <w:t>116</w:t>
        </w:r>
        <w:r w:rsidR="007D4948" w:rsidRPr="007D1918">
          <w:rPr>
            <w:webHidden/>
          </w:rPr>
          <w:fldChar w:fldCharType="end"/>
        </w:r>
      </w:hyperlink>
    </w:p>
    <w:p w14:paraId="7EC2D649" w14:textId="7C3C5105" w:rsidR="007D4948" w:rsidRPr="007D1918" w:rsidRDefault="002814BF">
      <w:pPr>
        <w:pStyle w:val="TableofFigures"/>
        <w:rPr>
          <w:rFonts w:asciiTheme="minorHAnsi" w:eastAsiaTheme="minorEastAsia" w:hAnsiTheme="minorHAnsi" w:cstheme="minorBidi"/>
        </w:rPr>
      </w:pPr>
      <w:hyperlink w:anchor="_Toc23769541" w:history="1">
        <w:r w:rsidR="007D4948" w:rsidRPr="007D1918">
          <w:rPr>
            <w:rStyle w:val="Hyperlink"/>
          </w:rPr>
          <w:t>Table 54</w:t>
        </w:r>
        <w:r w:rsidR="007D4948" w:rsidRPr="007D1918">
          <w:rPr>
            <w:rFonts w:asciiTheme="minorHAnsi" w:eastAsiaTheme="minorEastAsia" w:hAnsiTheme="minorHAnsi" w:cstheme="minorBidi"/>
          </w:rPr>
          <w:tab/>
        </w:r>
        <w:r w:rsidR="007D4948" w:rsidRPr="007D1918">
          <w:rPr>
            <w:rStyle w:val="Hyperlink"/>
          </w:rPr>
          <w:t>Duration of IVIg used as maintenance therapy in MG</w:t>
        </w:r>
        <w:r w:rsidR="007D4948" w:rsidRPr="007D1918">
          <w:rPr>
            <w:webHidden/>
          </w:rPr>
          <w:tab/>
        </w:r>
        <w:r w:rsidR="007D4948" w:rsidRPr="007D1918">
          <w:rPr>
            <w:webHidden/>
          </w:rPr>
          <w:fldChar w:fldCharType="begin"/>
        </w:r>
        <w:r w:rsidR="007D4948" w:rsidRPr="007D1918">
          <w:rPr>
            <w:webHidden/>
          </w:rPr>
          <w:instrText xml:space="preserve"> PAGEREF _Toc23769541 \h </w:instrText>
        </w:r>
        <w:r w:rsidR="007D4948" w:rsidRPr="007D1918">
          <w:rPr>
            <w:webHidden/>
          </w:rPr>
        </w:r>
        <w:r w:rsidR="007D4948" w:rsidRPr="007D1918">
          <w:rPr>
            <w:webHidden/>
          </w:rPr>
          <w:fldChar w:fldCharType="separate"/>
        </w:r>
        <w:r w:rsidR="007D4948" w:rsidRPr="007D1918">
          <w:rPr>
            <w:webHidden/>
          </w:rPr>
          <w:t>119</w:t>
        </w:r>
        <w:r w:rsidR="007D4948" w:rsidRPr="007D1918">
          <w:rPr>
            <w:webHidden/>
          </w:rPr>
          <w:fldChar w:fldCharType="end"/>
        </w:r>
      </w:hyperlink>
    </w:p>
    <w:p w14:paraId="13A3B7F1" w14:textId="6F5FD149" w:rsidR="007D4948" w:rsidRPr="007D1918" w:rsidRDefault="002814BF">
      <w:pPr>
        <w:pStyle w:val="TableofFigures"/>
        <w:rPr>
          <w:rFonts w:asciiTheme="minorHAnsi" w:eastAsiaTheme="minorEastAsia" w:hAnsiTheme="minorHAnsi" w:cstheme="minorBidi"/>
        </w:rPr>
      </w:pPr>
      <w:hyperlink w:anchor="_Toc23769542" w:history="1">
        <w:r w:rsidR="007D4948" w:rsidRPr="007D1918">
          <w:rPr>
            <w:rStyle w:val="Hyperlink"/>
          </w:rPr>
          <w:t>Table 55: Treatment circumstances of use relevant to resource use and cost estimates</w:t>
        </w:r>
        <w:r w:rsidR="007D4948" w:rsidRPr="007D1918">
          <w:rPr>
            <w:webHidden/>
          </w:rPr>
          <w:tab/>
        </w:r>
        <w:r w:rsidR="007D4948" w:rsidRPr="007D1918">
          <w:rPr>
            <w:webHidden/>
          </w:rPr>
          <w:fldChar w:fldCharType="begin"/>
        </w:r>
        <w:r w:rsidR="007D4948" w:rsidRPr="007D1918">
          <w:rPr>
            <w:webHidden/>
          </w:rPr>
          <w:instrText xml:space="preserve"> PAGEREF _Toc23769542 \h </w:instrText>
        </w:r>
        <w:r w:rsidR="007D4948" w:rsidRPr="007D1918">
          <w:rPr>
            <w:webHidden/>
          </w:rPr>
        </w:r>
        <w:r w:rsidR="007D4948" w:rsidRPr="007D1918">
          <w:rPr>
            <w:webHidden/>
          </w:rPr>
          <w:fldChar w:fldCharType="separate"/>
        </w:r>
        <w:r w:rsidR="007D4948" w:rsidRPr="007D1918">
          <w:rPr>
            <w:webHidden/>
          </w:rPr>
          <w:t>120</w:t>
        </w:r>
        <w:r w:rsidR="007D4948" w:rsidRPr="007D1918">
          <w:rPr>
            <w:webHidden/>
          </w:rPr>
          <w:fldChar w:fldCharType="end"/>
        </w:r>
      </w:hyperlink>
    </w:p>
    <w:p w14:paraId="0AD45120" w14:textId="16707EE1" w:rsidR="007D4948" w:rsidRPr="007D1918" w:rsidRDefault="002814BF">
      <w:pPr>
        <w:pStyle w:val="TableofFigures"/>
        <w:rPr>
          <w:rFonts w:asciiTheme="minorHAnsi" w:eastAsiaTheme="minorEastAsia" w:hAnsiTheme="minorHAnsi" w:cstheme="minorBidi"/>
        </w:rPr>
      </w:pPr>
      <w:hyperlink w:anchor="_Toc23769543" w:history="1">
        <w:r w:rsidR="007D4948" w:rsidRPr="007D1918">
          <w:rPr>
            <w:rStyle w:val="Hyperlink"/>
          </w:rPr>
          <w:t>Table 56</w:t>
        </w:r>
        <w:r w:rsidR="007D4948" w:rsidRPr="007D1918">
          <w:rPr>
            <w:rFonts w:asciiTheme="minorHAnsi" w:eastAsiaTheme="minorEastAsia" w:hAnsiTheme="minorHAnsi" w:cstheme="minorBidi"/>
          </w:rPr>
          <w:tab/>
        </w:r>
        <w:r w:rsidR="007D4948" w:rsidRPr="007D1918">
          <w:rPr>
            <w:rStyle w:val="Hyperlink"/>
          </w:rPr>
          <w:t>Safety outcomes associated with PE to be considered in the economic analysis</w:t>
        </w:r>
        <w:r w:rsidR="007D4948" w:rsidRPr="007D1918">
          <w:rPr>
            <w:webHidden/>
          </w:rPr>
          <w:tab/>
        </w:r>
        <w:r w:rsidR="007D4948" w:rsidRPr="007D1918">
          <w:rPr>
            <w:webHidden/>
          </w:rPr>
          <w:fldChar w:fldCharType="begin"/>
        </w:r>
        <w:r w:rsidR="007D4948" w:rsidRPr="007D1918">
          <w:rPr>
            <w:webHidden/>
          </w:rPr>
          <w:instrText xml:space="preserve"> PAGEREF _Toc23769543 \h </w:instrText>
        </w:r>
        <w:r w:rsidR="007D4948" w:rsidRPr="007D1918">
          <w:rPr>
            <w:webHidden/>
          </w:rPr>
        </w:r>
        <w:r w:rsidR="007D4948" w:rsidRPr="007D1918">
          <w:rPr>
            <w:webHidden/>
          </w:rPr>
          <w:fldChar w:fldCharType="separate"/>
        </w:r>
        <w:r w:rsidR="007D4948" w:rsidRPr="007D1918">
          <w:rPr>
            <w:webHidden/>
          </w:rPr>
          <w:t>123</w:t>
        </w:r>
        <w:r w:rsidR="007D4948" w:rsidRPr="007D1918">
          <w:rPr>
            <w:webHidden/>
          </w:rPr>
          <w:fldChar w:fldCharType="end"/>
        </w:r>
      </w:hyperlink>
    </w:p>
    <w:p w14:paraId="0E38F16D" w14:textId="5C62209D" w:rsidR="007D4948" w:rsidRPr="007D1918" w:rsidRDefault="002814BF">
      <w:pPr>
        <w:pStyle w:val="TableofFigures"/>
        <w:rPr>
          <w:rFonts w:asciiTheme="minorHAnsi" w:eastAsiaTheme="minorEastAsia" w:hAnsiTheme="minorHAnsi" w:cstheme="minorBidi"/>
        </w:rPr>
      </w:pPr>
      <w:hyperlink w:anchor="_Toc23769544" w:history="1">
        <w:r w:rsidR="007D4948" w:rsidRPr="007D1918">
          <w:rPr>
            <w:rStyle w:val="Hyperlink"/>
          </w:rPr>
          <w:t>Table 57</w:t>
        </w:r>
        <w:r w:rsidR="007D4948" w:rsidRPr="007D1918">
          <w:rPr>
            <w:rFonts w:asciiTheme="minorHAnsi" w:eastAsiaTheme="minorEastAsia" w:hAnsiTheme="minorHAnsi" w:cstheme="minorBidi"/>
          </w:rPr>
          <w:tab/>
        </w:r>
        <w:r w:rsidR="007D4948" w:rsidRPr="007D1918">
          <w:rPr>
            <w:rStyle w:val="Hyperlink"/>
          </w:rPr>
          <w:t>Utility values associated with MG and adverse events of PE therapy, as reported in the literature</w:t>
        </w:r>
        <w:r w:rsidR="007D4948" w:rsidRPr="007D1918">
          <w:rPr>
            <w:webHidden/>
          </w:rPr>
          <w:tab/>
        </w:r>
        <w:r w:rsidR="007D4948" w:rsidRPr="007D1918">
          <w:rPr>
            <w:webHidden/>
          </w:rPr>
          <w:fldChar w:fldCharType="begin"/>
        </w:r>
        <w:r w:rsidR="007D4948" w:rsidRPr="007D1918">
          <w:rPr>
            <w:webHidden/>
          </w:rPr>
          <w:instrText xml:space="preserve"> PAGEREF _Toc23769544 \h </w:instrText>
        </w:r>
        <w:r w:rsidR="007D4948" w:rsidRPr="007D1918">
          <w:rPr>
            <w:webHidden/>
          </w:rPr>
        </w:r>
        <w:r w:rsidR="007D4948" w:rsidRPr="007D1918">
          <w:rPr>
            <w:webHidden/>
          </w:rPr>
          <w:fldChar w:fldCharType="separate"/>
        </w:r>
        <w:r w:rsidR="007D4948" w:rsidRPr="007D1918">
          <w:rPr>
            <w:webHidden/>
          </w:rPr>
          <w:t>124</w:t>
        </w:r>
        <w:r w:rsidR="007D4948" w:rsidRPr="007D1918">
          <w:rPr>
            <w:webHidden/>
          </w:rPr>
          <w:fldChar w:fldCharType="end"/>
        </w:r>
      </w:hyperlink>
    </w:p>
    <w:p w14:paraId="399289F0" w14:textId="16D19B3C" w:rsidR="007D4948" w:rsidRPr="007D1918" w:rsidRDefault="002814BF">
      <w:pPr>
        <w:pStyle w:val="TableofFigures"/>
        <w:rPr>
          <w:rFonts w:asciiTheme="minorHAnsi" w:eastAsiaTheme="minorEastAsia" w:hAnsiTheme="minorHAnsi" w:cstheme="minorBidi"/>
        </w:rPr>
      </w:pPr>
      <w:hyperlink w:anchor="_Toc23769545" w:history="1">
        <w:r w:rsidR="007D4948" w:rsidRPr="007D1918">
          <w:rPr>
            <w:rStyle w:val="Hyperlink"/>
          </w:rPr>
          <w:t>Table 58</w:t>
        </w:r>
        <w:r w:rsidR="007D4948" w:rsidRPr="007D1918">
          <w:rPr>
            <w:rFonts w:asciiTheme="minorHAnsi" w:eastAsiaTheme="minorEastAsia" w:hAnsiTheme="minorHAnsi" w:cstheme="minorBidi"/>
          </w:rPr>
          <w:tab/>
        </w:r>
        <w:r w:rsidR="007D4948" w:rsidRPr="007D1918">
          <w:rPr>
            <w:rStyle w:val="Hyperlink"/>
          </w:rPr>
          <w:t>Calculated total QALY decrement per event due to adverse events of PE therapy</w:t>
        </w:r>
        <w:r w:rsidR="007D4948" w:rsidRPr="007D1918">
          <w:rPr>
            <w:webHidden/>
          </w:rPr>
          <w:tab/>
        </w:r>
        <w:r w:rsidR="007D4948" w:rsidRPr="007D1918">
          <w:rPr>
            <w:webHidden/>
          </w:rPr>
          <w:fldChar w:fldCharType="begin"/>
        </w:r>
        <w:r w:rsidR="007D4948" w:rsidRPr="007D1918">
          <w:rPr>
            <w:webHidden/>
          </w:rPr>
          <w:instrText xml:space="preserve"> PAGEREF _Toc23769545 \h </w:instrText>
        </w:r>
        <w:r w:rsidR="007D4948" w:rsidRPr="007D1918">
          <w:rPr>
            <w:webHidden/>
          </w:rPr>
        </w:r>
        <w:r w:rsidR="007D4948" w:rsidRPr="007D1918">
          <w:rPr>
            <w:webHidden/>
          </w:rPr>
          <w:fldChar w:fldCharType="separate"/>
        </w:r>
        <w:r w:rsidR="007D4948" w:rsidRPr="007D1918">
          <w:rPr>
            <w:webHidden/>
          </w:rPr>
          <w:t>127</w:t>
        </w:r>
        <w:r w:rsidR="007D4948" w:rsidRPr="007D1918">
          <w:rPr>
            <w:webHidden/>
          </w:rPr>
          <w:fldChar w:fldCharType="end"/>
        </w:r>
      </w:hyperlink>
    </w:p>
    <w:p w14:paraId="45C27D86" w14:textId="30BDB001" w:rsidR="007D4948" w:rsidRPr="007D1918" w:rsidRDefault="002814BF">
      <w:pPr>
        <w:pStyle w:val="TableofFigures"/>
        <w:rPr>
          <w:rFonts w:asciiTheme="minorHAnsi" w:eastAsiaTheme="minorEastAsia" w:hAnsiTheme="minorHAnsi" w:cstheme="minorBidi"/>
        </w:rPr>
      </w:pPr>
      <w:hyperlink w:anchor="_Toc23769546" w:history="1">
        <w:r w:rsidR="007D4948" w:rsidRPr="007D1918">
          <w:rPr>
            <w:rStyle w:val="Hyperlink"/>
          </w:rPr>
          <w:t>Table 59</w:t>
        </w:r>
        <w:r w:rsidR="007D4948" w:rsidRPr="007D1918">
          <w:rPr>
            <w:rFonts w:asciiTheme="minorHAnsi" w:eastAsiaTheme="minorEastAsia" w:hAnsiTheme="minorHAnsi" w:cstheme="minorBidi"/>
          </w:rPr>
          <w:tab/>
        </w:r>
        <w:r w:rsidR="007D4948" w:rsidRPr="007D1918">
          <w:rPr>
            <w:rStyle w:val="Hyperlink"/>
          </w:rPr>
          <w:t>Decision algorithm for undertaking an economic evaluation in the setting of the Ig Review.</w:t>
        </w:r>
        <w:r w:rsidR="007D4948" w:rsidRPr="007D1918">
          <w:rPr>
            <w:webHidden/>
          </w:rPr>
          <w:tab/>
        </w:r>
        <w:r w:rsidR="007D4948" w:rsidRPr="007D1918">
          <w:rPr>
            <w:webHidden/>
          </w:rPr>
          <w:fldChar w:fldCharType="begin"/>
        </w:r>
        <w:r w:rsidR="007D4948" w:rsidRPr="007D1918">
          <w:rPr>
            <w:webHidden/>
          </w:rPr>
          <w:instrText xml:space="preserve"> PAGEREF _Toc23769546 \h </w:instrText>
        </w:r>
        <w:r w:rsidR="007D4948" w:rsidRPr="007D1918">
          <w:rPr>
            <w:webHidden/>
          </w:rPr>
        </w:r>
        <w:r w:rsidR="007D4948" w:rsidRPr="007D1918">
          <w:rPr>
            <w:webHidden/>
          </w:rPr>
          <w:fldChar w:fldCharType="separate"/>
        </w:r>
        <w:r w:rsidR="007D4948" w:rsidRPr="007D1918">
          <w:rPr>
            <w:webHidden/>
          </w:rPr>
          <w:t>129</w:t>
        </w:r>
        <w:r w:rsidR="007D4948" w:rsidRPr="007D1918">
          <w:rPr>
            <w:webHidden/>
          </w:rPr>
          <w:fldChar w:fldCharType="end"/>
        </w:r>
      </w:hyperlink>
    </w:p>
    <w:p w14:paraId="51566681" w14:textId="7DF4699E" w:rsidR="007D4948" w:rsidRPr="007D1918" w:rsidRDefault="002814BF">
      <w:pPr>
        <w:pStyle w:val="TableofFigures"/>
        <w:rPr>
          <w:rFonts w:asciiTheme="minorHAnsi" w:eastAsiaTheme="minorEastAsia" w:hAnsiTheme="minorHAnsi" w:cstheme="minorBidi"/>
        </w:rPr>
      </w:pPr>
      <w:hyperlink w:anchor="_Toc23769547" w:history="1">
        <w:r w:rsidR="007D4948" w:rsidRPr="007D1918">
          <w:rPr>
            <w:rStyle w:val="Hyperlink"/>
          </w:rPr>
          <w:t>Table 60</w:t>
        </w:r>
        <w:r w:rsidR="007D4948" w:rsidRPr="007D1918">
          <w:rPr>
            <w:rFonts w:asciiTheme="minorHAnsi" w:eastAsiaTheme="minorEastAsia" w:hAnsiTheme="minorHAnsi" w:cstheme="minorBidi"/>
          </w:rPr>
          <w:tab/>
        </w:r>
        <w:r w:rsidR="007D4948" w:rsidRPr="007D1918">
          <w:rPr>
            <w:rStyle w:val="Hyperlink"/>
          </w:rPr>
          <w:t>Summary of the economic evaluations</w:t>
        </w:r>
        <w:r w:rsidR="007D4948" w:rsidRPr="007D1918">
          <w:rPr>
            <w:webHidden/>
          </w:rPr>
          <w:tab/>
        </w:r>
        <w:r w:rsidR="007D4948" w:rsidRPr="007D1918">
          <w:rPr>
            <w:webHidden/>
          </w:rPr>
          <w:fldChar w:fldCharType="begin"/>
        </w:r>
        <w:r w:rsidR="007D4948" w:rsidRPr="007D1918">
          <w:rPr>
            <w:webHidden/>
          </w:rPr>
          <w:instrText xml:space="preserve"> PAGEREF _Toc23769547 \h </w:instrText>
        </w:r>
        <w:r w:rsidR="007D4948" w:rsidRPr="007D1918">
          <w:rPr>
            <w:webHidden/>
          </w:rPr>
        </w:r>
        <w:r w:rsidR="007D4948" w:rsidRPr="007D1918">
          <w:rPr>
            <w:webHidden/>
          </w:rPr>
          <w:fldChar w:fldCharType="separate"/>
        </w:r>
        <w:r w:rsidR="007D4948" w:rsidRPr="007D1918">
          <w:rPr>
            <w:webHidden/>
          </w:rPr>
          <w:t>131</w:t>
        </w:r>
        <w:r w:rsidR="007D4948" w:rsidRPr="007D1918">
          <w:rPr>
            <w:webHidden/>
          </w:rPr>
          <w:fldChar w:fldCharType="end"/>
        </w:r>
      </w:hyperlink>
    </w:p>
    <w:p w14:paraId="7AA7411F" w14:textId="5085E996" w:rsidR="007D4948" w:rsidRPr="007D1918" w:rsidRDefault="002814BF">
      <w:pPr>
        <w:pStyle w:val="TableofFigures"/>
        <w:rPr>
          <w:rFonts w:asciiTheme="minorHAnsi" w:eastAsiaTheme="minorEastAsia" w:hAnsiTheme="minorHAnsi" w:cstheme="minorBidi"/>
        </w:rPr>
      </w:pPr>
      <w:hyperlink w:anchor="_Toc23769548" w:history="1">
        <w:r w:rsidR="007D4948" w:rsidRPr="007D1918">
          <w:rPr>
            <w:rStyle w:val="Hyperlink"/>
          </w:rPr>
          <w:t>Table 61</w:t>
        </w:r>
        <w:r w:rsidR="007D4948" w:rsidRPr="007D1918">
          <w:rPr>
            <w:rFonts w:asciiTheme="minorHAnsi" w:eastAsiaTheme="minorEastAsia" w:hAnsiTheme="minorHAnsi" w:cstheme="minorBidi"/>
          </w:rPr>
          <w:tab/>
        </w:r>
        <w:r w:rsidR="007D4948" w:rsidRPr="007D1918">
          <w:rPr>
            <w:rStyle w:val="Hyperlink"/>
          </w:rPr>
          <w:t>Published economic evaluations of IVIg use in patients with myasthenic crisis (Indication 1)</w:t>
        </w:r>
        <w:r w:rsidR="007D4948" w:rsidRPr="007D1918">
          <w:rPr>
            <w:webHidden/>
          </w:rPr>
          <w:tab/>
        </w:r>
        <w:r w:rsidR="007D4948" w:rsidRPr="007D1918">
          <w:rPr>
            <w:webHidden/>
          </w:rPr>
          <w:fldChar w:fldCharType="begin"/>
        </w:r>
        <w:r w:rsidR="007D4948" w:rsidRPr="007D1918">
          <w:rPr>
            <w:webHidden/>
          </w:rPr>
          <w:instrText xml:space="preserve"> PAGEREF _Toc23769548 \h </w:instrText>
        </w:r>
        <w:r w:rsidR="007D4948" w:rsidRPr="007D1918">
          <w:rPr>
            <w:webHidden/>
          </w:rPr>
        </w:r>
        <w:r w:rsidR="007D4948" w:rsidRPr="007D1918">
          <w:rPr>
            <w:webHidden/>
          </w:rPr>
          <w:fldChar w:fldCharType="separate"/>
        </w:r>
        <w:r w:rsidR="007D4948" w:rsidRPr="007D1918">
          <w:rPr>
            <w:webHidden/>
          </w:rPr>
          <w:t>132</w:t>
        </w:r>
        <w:r w:rsidR="007D4948" w:rsidRPr="007D1918">
          <w:rPr>
            <w:webHidden/>
          </w:rPr>
          <w:fldChar w:fldCharType="end"/>
        </w:r>
      </w:hyperlink>
    </w:p>
    <w:p w14:paraId="7D7A2F6E" w14:textId="591FB39A" w:rsidR="007D4948" w:rsidRPr="007D1918" w:rsidRDefault="002814BF">
      <w:pPr>
        <w:pStyle w:val="TableofFigures"/>
        <w:rPr>
          <w:rFonts w:asciiTheme="minorHAnsi" w:eastAsiaTheme="minorEastAsia" w:hAnsiTheme="minorHAnsi" w:cstheme="minorBidi"/>
        </w:rPr>
      </w:pPr>
      <w:hyperlink w:anchor="_Toc23769549" w:history="1">
        <w:r w:rsidR="007D4948" w:rsidRPr="007D1918">
          <w:rPr>
            <w:rStyle w:val="Hyperlink"/>
          </w:rPr>
          <w:t>Table 62</w:t>
        </w:r>
        <w:r w:rsidR="007D4948" w:rsidRPr="007D1918">
          <w:rPr>
            <w:rFonts w:asciiTheme="minorHAnsi" w:eastAsiaTheme="minorEastAsia" w:hAnsiTheme="minorHAnsi" w:cstheme="minorBidi"/>
          </w:rPr>
          <w:tab/>
        </w:r>
        <w:r w:rsidR="007D4948" w:rsidRPr="007D1918">
          <w:rPr>
            <w:rStyle w:val="Hyperlink"/>
          </w:rPr>
          <w:t>Results of cost-minimisation analysis IVIg vs PE for MG exacerbation, from public healthcare insurer perspective (in 2014 Canadian dollars) (Furlan et al. 2016b)</w:t>
        </w:r>
        <w:r w:rsidR="007D4948" w:rsidRPr="007D1918">
          <w:rPr>
            <w:webHidden/>
          </w:rPr>
          <w:tab/>
        </w:r>
        <w:r w:rsidR="007D4948" w:rsidRPr="007D1918">
          <w:rPr>
            <w:webHidden/>
          </w:rPr>
          <w:fldChar w:fldCharType="begin"/>
        </w:r>
        <w:r w:rsidR="007D4948" w:rsidRPr="007D1918">
          <w:rPr>
            <w:webHidden/>
          </w:rPr>
          <w:instrText xml:space="preserve"> PAGEREF _Toc23769549 \h </w:instrText>
        </w:r>
        <w:r w:rsidR="007D4948" w:rsidRPr="007D1918">
          <w:rPr>
            <w:webHidden/>
          </w:rPr>
        </w:r>
        <w:r w:rsidR="007D4948" w:rsidRPr="007D1918">
          <w:rPr>
            <w:webHidden/>
          </w:rPr>
          <w:fldChar w:fldCharType="separate"/>
        </w:r>
        <w:r w:rsidR="007D4948" w:rsidRPr="007D1918">
          <w:rPr>
            <w:webHidden/>
          </w:rPr>
          <w:t>133</w:t>
        </w:r>
        <w:r w:rsidR="007D4948" w:rsidRPr="007D1918">
          <w:rPr>
            <w:webHidden/>
          </w:rPr>
          <w:fldChar w:fldCharType="end"/>
        </w:r>
      </w:hyperlink>
    </w:p>
    <w:p w14:paraId="537A81D3" w14:textId="6CDDA114" w:rsidR="007D4948" w:rsidRPr="007D1918" w:rsidRDefault="002814BF">
      <w:pPr>
        <w:pStyle w:val="TableofFigures"/>
        <w:rPr>
          <w:rFonts w:asciiTheme="minorHAnsi" w:eastAsiaTheme="minorEastAsia" w:hAnsiTheme="minorHAnsi" w:cstheme="minorBidi"/>
        </w:rPr>
      </w:pPr>
      <w:hyperlink w:anchor="_Toc23769550" w:history="1">
        <w:r w:rsidR="007D4948" w:rsidRPr="007D1918">
          <w:rPr>
            <w:rStyle w:val="Hyperlink"/>
          </w:rPr>
          <w:t>Table 63</w:t>
        </w:r>
        <w:r w:rsidR="007D4948" w:rsidRPr="007D1918">
          <w:rPr>
            <w:rFonts w:asciiTheme="minorHAnsi" w:eastAsiaTheme="minorEastAsia" w:hAnsiTheme="minorHAnsi" w:cstheme="minorBidi"/>
          </w:rPr>
          <w:tab/>
        </w:r>
        <w:r w:rsidR="007D4948" w:rsidRPr="007D1918">
          <w:rPr>
            <w:rStyle w:val="Hyperlink"/>
          </w:rPr>
          <w:t>Published economic evaluations in patients with moderate-severe refractory MG (Indication 3)</w:t>
        </w:r>
        <w:r w:rsidR="007D4948" w:rsidRPr="007D1918">
          <w:rPr>
            <w:webHidden/>
          </w:rPr>
          <w:tab/>
        </w:r>
        <w:r w:rsidR="007D4948" w:rsidRPr="007D1918">
          <w:rPr>
            <w:webHidden/>
          </w:rPr>
          <w:fldChar w:fldCharType="begin"/>
        </w:r>
        <w:r w:rsidR="007D4948" w:rsidRPr="007D1918">
          <w:rPr>
            <w:webHidden/>
          </w:rPr>
          <w:instrText xml:space="preserve"> PAGEREF _Toc23769550 \h </w:instrText>
        </w:r>
        <w:r w:rsidR="007D4948" w:rsidRPr="007D1918">
          <w:rPr>
            <w:webHidden/>
          </w:rPr>
        </w:r>
        <w:r w:rsidR="007D4948" w:rsidRPr="007D1918">
          <w:rPr>
            <w:webHidden/>
          </w:rPr>
          <w:fldChar w:fldCharType="separate"/>
        </w:r>
        <w:r w:rsidR="007D4948" w:rsidRPr="007D1918">
          <w:rPr>
            <w:webHidden/>
          </w:rPr>
          <w:t>134</w:t>
        </w:r>
        <w:r w:rsidR="007D4948" w:rsidRPr="007D1918">
          <w:rPr>
            <w:webHidden/>
          </w:rPr>
          <w:fldChar w:fldCharType="end"/>
        </w:r>
      </w:hyperlink>
    </w:p>
    <w:p w14:paraId="1DD36707" w14:textId="3FE8A10A" w:rsidR="007D4948" w:rsidRPr="007D1918" w:rsidRDefault="002814BF">
      <w:pPr>
        <w:pStyle w:val="TableofFigures"/>
        <w:rPr>
          <w:rFonts w:asciiTheme="minorHAnsi" w:eastAsiaTheme="minorEastAsia" w:hAnsiTheme="minorHAnsi" w:cstheme="minorBidi"/>
        </w:rPr>
      </w:pPr>
      <w:hyperlink w:anchor="_Toc23769551" w:history="1">
        <w:r w:rsidR="007D4948" w:rsidRPr="007D1918">
          <w:rPr>
            <w:rStyle w:val="Hyperlink"/>
          </w:rPr>
          <w:t>Table 64</w:t>
        </w:r>
        <w:r w:rsidR="007D4948" w:rsidRPr="007D1918">
          <w:rPr>
            <w:rFonts w:asciiTheme="minorHAnsi" w:eastAsiaTheme="minorEastAsia" w:hAnsiTheme="minorHAnsi" w:cstheme="minorBidi"/>
          </w:rPr>
          <w:tab/>
        </w:r>
        <w:r w:rsidR="007D4948" w:rsidRPr="007D1918">
          <w:rPr>
            <w:rStyle w:val="Hyperlink"/>
          </w:rPr>
          <w:t xml:space="preserve">Other published economic evaluations of Ig use in MG (not matched to BloodSTAR </w:t>
        </w:r>
        <w:r w:rsidR="007D4948" w:rsidRPr="007D1918">
          <w:rPr>
            <w:rStyle w:val="Hyperlink"/>
            <w:i/>
          </w:rPr>
          <w:t>Criteria V3</w:t>
        </w:r>
        <w:r w:rsidR="007D4948" w:rsidRPr="007D1918">
          <w:rPr>
            <w:rStyle w:val="Hyperlink"/>
          </w:rPr>
          <w:t>)</w:t>
        </w:r>
        <w:r w:rsidR="007D4948" w:rsidRPr="007D1918">
          <w:rPr>
            <w:webHidden/>
          </w:rPr>
          <w:tab/>
        </w:r>
        <w:r w:rsidR="007D4948" w:rsidRPr="007D1918">
          <w:rPr>
            <w:webHidden/>
          </w:rPr>
          <w:fldChar w:fldCharType="begin"/>
        </w:r>
        <w:r w:rsidR="007D4948" w:rsidRPr="007D1918">
          <w:rPr>
            <w:webHidden/>
          </w:rPr>
          <w:instrText xml:space="preserve"> PAGEREF _Toc23769551 \h </w:instrText>
        </w:r>
        <w:r w:rsidR="007D4948" w:rsidRPr="007D1918">
          <w:rPr>
            <w:webHidden/>
          </w:rPr>
        </w:r>
        <w:r w:rsidR="007D4948" w:rsidRPr="007D1918">
          <w:rPr>
            <w:webHidden/>
          </w:rPr>
          <w:fldChar w:fldCharType="separate"/>
        </w:r>
        <w:r w:rsidR="007D4948" w:rsidRPr="007D1918">
          <w:rPr>
            <w:webHidden/>
          </w:rPr>
          <w:t>135</w:t>
        </w:r>
        <w:r w:rsidR="007D4948" w:rsidRPr="007D1918">
          <w:rPr>
            <w:webHidden/>
          </w:rPr>
          <w:fldChar w:fldCharType="end"/>
        </w:r>
      </w:hyperlink>
    </w:p>
    <w:p w14:paraId="5224362F" w14:textId="19C257CB" w:rsidR="007D4948" w:rsidRPr="007D1918" w:rsidRDefault="002814BF">
      <w:pPr>
        <w:pStyle w:val="TableofFigures"/>
        <w:rPr>
          <w:rFonts w:asciiTheme="minorHAnsi" w:eastAsiaTheme="minorEastAsia" w:hAnsiTheme="minorHAnsi" w:cstheme="minorBidi"/>
        </w:rPr>
      </w:pPr>
      <w:hyperlink w:anchor="_Toc23769552" w:history="1">
        <w:r w:rsidR="007D4948" w:rsidRPr="007D1918">
          <w:rPr>
            <w:rStyle w:val="Hyperlink"/>
          </w:rPr>
          <w:t>Table 65</w:t>
        </w:r>
        <w:r w:rsidR="007D4948" w:rsidRPr="007D1918">
          <w:rPr>
            <w:rFonts w:asciiTheme="minorHAnsi" w:eastAsiaTheme="minorEastAsia" w:hAnsiTheme="minorHAnsi" w:cstheme="minorBidi"/>
          </w:rPr>
          <w:tab/>
        </w:r>
        <w:r w:rsidR="007D4948" w:rsidRPr="007D1918">
          <w:rPr>
            <w:rStyle w:val="Hyperlink"/>
          </w:rPr>
          <w:t>Patient population inputs</w:t>
        </w:r>
        <w:r w:rsidR="007D4948" w:rsidRPr="007D1918">
          <w:rPr>
            <w:webHidden/>
          </w:rPr>
          <w:tab/>
        </w:r>
        <w:r w:rsidR="007D4948" w:rsidRPr="007D1918">
          <w:rPr>
            <w:webHidden/>
          </w:rPr>
          <w:fldChar w:fldCharType="begin"/>
        </w:r>
        <w:r w:rsidR="007D4948" w:rsidRPr="007D1918">
          <w:rPr>
            <w:webHidden/>
          </w:rPr>
          <w:instrText xml:space="preserve"> PAGEREF _Toc23769552 \h </w:instrText>
        </w:r>
        <w:r w:rsidR="007D4948" w:rsidRPr="007D1918">
          <w:rPr>
            <w:webHidden/>
          </w:rPr>
        </w:r>
        <w:r w:rsidR="007D4948" w:rsidRPr="007D1918">
          <w:rPr>
            <w:webHidden/>
          </w:rPr>
          <w:fldChar w:fldCharType="separate"/>
        </w:r>
        <w:r w:rsidR="007D4948" w:rsidRPr="007D1918">
          <w:rPr>
            <w:webHidden/>
          </w:rPr>
          <w:t>139</w:t>
        </w:r>
        <w:r w:rsidR="007D4948" w:rsidRPr="007D1918">
          <w:rPr>
            <w:webHidden/>
          </w:rPr>
          <w:fldChar w:fldCharType="end"/>
        </w:r>
      </w:hyperlink>
    </w:p>
    <w:p w14:paraId="523F7D38" w14:textId="49FEC0AE" w:rsidR="007D4948" w:rsidRPr="007D1918" w:rsidRDefault="002814BF">
      <w:pPr>
        <w:pStyle w:val="TableofFigures"/>
        <w:rPr>
          <w:rFonts w:asciiTheme="minorHAnsi" w:eastAsiaTheme="minorEastAsia" w:hAnsiTheme="minorHAnsi" w:cstheme="minorBidi"/>
        </w:rPr>
      </w:pPr>
      <w:hyperlink w:anchor="_Toc23769553" w:history="1">
        <w:r w:rsidR="007D4948" w:rsidRPr="007D1918">
          <w:rPr>
            <w:rStyle w:val="Hyperlink"/>
          </w:rPr>
          <w:t>Table 66</w:t>
        </w:r>
        <w:r w:rsidR="007D4948" w:rsidRPr="007D1918">
          <w:rPr>
            <w:rFonts w:asciiTheme="minorHAnsi" w:eastAsiaTheme="minorEastAsia" w:hAnsiTheme="minorHAnsi" w:cstheme="minorBidi"/>
          </w:rPr>
          <w:tab/>
        </w:r>
        <w:r w:rsidR="007D4948" w:rsidRPr="007D1918">
          <w:rPr>
            <w:rStyle w:val="Hyperlink"/>
          </w:rPr>
          <w:t>Estimated usage (dose) of Ig used for each indication based on Australian usage data and estimates</w:t>
        </w:r>
        <w:r w:rsidR="007D4948" w:rsidRPr="007D1918">
          <w:rPr>
            <w:webHidden/>
          </w:rPr>
          <w:tab/>
        </w:r>
        <w:r w:rsidR="007D4948" w:rsidRPr="007D1918">
          <w:rPr>
            <w:webHidden/>
          </w:rPr>
          <w:fldChar w:fldCharType="begin"/>
        </w:r>
        <w:r w:rsidR="007D4948" w:rsidRPr="007D1918">
          <w:rPr>
            <w:webHidden/>
          </w:rPr>
          <w:instrText xml:space="preserve"> PAGEREF _Toc23769553 \h </w:instrText>
        </w:r>
        <w:r w:rsidR="007D4948" w:rsidRPr="007D1918">
          <w:rPr>
            <w:webHidden/>
          </w:rPr>
        </w:r>
        <w:r w:rsidR="007D4948" w:rsidRPr="007D1918">
          <w:rPr>
            <w:webHidden/>
          </w:rPr>
          <w:fldChar w:fldCharType="separate"/>
        </w:r>
        <w:r w:rsidR="007D4948" w:rsidRPr="007D1918">
          <w:rPr>
            <w:webHidden/>
          </w:rPr>
          <w:t>139</w:t>
        </w:r>
        <w:r w:rsidR="007D4948" w:rsidRPr="007D1918">
          <w:rPr>
            <w:webHidden/>
          </w:rPr>
          <w:fldChar w:fldCharType="end"/>
        </w:r>
      </w:hyperlink>
    </w:p>
    <w:p w14:paraId="68B3A682" w14:textId="7324ACD1" w:rsidR="007D4948" w:rsidRPr="007D1918" w:rsidRDefault="002814BF">
      <w:pPr>
        <w:pStyle w:val="TableofFigures"/>
        <w:rPr>
          <w:rFonts w:asciiTheme="minorHAnsi" w:eastAsiaTheme="minorEastAsia" w:hAnsiTheme="minorHAnsi" w:cstheme="minorBidi"/>
        </w:rPr>
      </w:pPr>
      <w:hyperlink w:anchor="_Toc23769554" w:history="1">
        <w:r w:rsidR="007D4948" w:rsidRPr="007D1918">
          <w:rPr>
            <w:rStyle w:val="Hyperlink"/>
          </w:rPr>
          <w:t>Table 67</w:t>
        </w:r>
        <w:r w:rsidR="007D4948" w:rsidRPr="007D1918">
          <w:rPr>
            <w:rFonts w:asciiTheme="minorHAnsi" w:eastAsiaTheme="minorEastAsia" w:hAnsiTheme="minorHAnsi" w:cstheme="minorBidi"/>
          </w:rPr>
          <w:tab/>
        </w:r>
        <w:r w:rsidR="007D4948" w:rsidRPr="007D1918">
          <w:rPr>
            <w:rStyle w:val="Hyperlink"/>
          </w:rPr>
          <w:t>Therapy dose, duration and use-related inputs for Indication 1 management of MG crisis</w:t>
        </w:r>
        <w:r w:rsidR="007D4948" w:rsidRPr="007D1918">
          <w:rPr>
            <w:webHidden/>
          </w:rPr>
          <w:tab/>
        </w:r>
        <w:r w:rsidR="007D4948" w:rsidRPr="007D1918">
          <w:rPr>
            <w:webHidden/>
          </w:rPr>
          <w:fldChar w:fldCharType="begin"/>
        </w:r>
        <w:r w:rsidR="007D4948" w:rsidRPr="007D1918">
          <w:rPr>
            <w:webHidden/>
          </w:rPr>
          <w:instrText xml:space="preserve"> PAGEREF _Toc23769554 \h </w:instrText>
        </w:r>
        <w:r w:rsidR="007D4948" w:rsidRPr="007D1918">
          <w:rPr>
            <w:webHidden/>
          </w:rPr>
        </w:r>
        <w:r w:rsidR="007D4948" w:rsidRPr="007D1918">
          <w:rPr>
            <w:webHidden/>
          </w:rPr>
          <w:fldChar w:fldCharType="separate"/>
        </w:r>
        <w:r w:rsidR="007D4948" w:rsidRPr="007D1918">
          <w:rPr>
            <w:webHidden/>
          </w:rPr>
          <w:t>140</w:t>
        </w:r>
        <w:r w:rsidR="007D4948" w:rsidRPr="007D1918">
          <w:rPr>
            <w:webHidden/>
          </w:rPr>
          <w:fldChar w:fldCharType="end"/>
        </w:r>
      </w:hyperlink>
    </w:p>
    <w:p w14:paraId="4F07A8E9" w14:textId="2A30D8DA" w:rsidR="007D4948" w:rsidRPr="007D1918" w:rsidRDefault="002814BF">
      <w:pPr>
        <w:pStyle w:val="TableofFigures"/>
        <w:rPr>
          <w:rFonts w:asciiTheme="minorHAnsi" w:eastAsiaTheme="minorEastAsia" w:hAnsiTheme="minorHAnsi" w:cstheme="minorBidi"/>
        </w:rPr>
      </w:pPr>
      <w:hyperlink w:anchor="_Toc23769555" w:history="1">
        <w:r w:rsidR="007D4948" w:rsidRPr="007D1918">
          <w:rPr>
            <w:rStyle w:val="Hyperlink"/>
          </w:rPr>
          <w:t>Table 68</w:t>
        </w:r>
        <w:r w:rsidR="007D4948" w:rsidRPr="007D1918">
          <w:rPr>
            <w:rFonts w:asciiTheme="minorHAnsi" w:eastAsiaTheme="minorEastAsia" w:hAnsiTheme="minorHAnsi" w:cstheme="minorBidi"/>
          </w:rPr>
          <w:tab/>
        </w:r>
        <w:r w:rsidR="007D4948" w:rsidRPr="007D1918">
          <w:rPr>
            <w:rStyle w:val="Hyperlink"/>
          </w:rPr>
          <w:t>Therapy dose, duration and use-related inputs for Indication 2, management of MG prior to surgery</w:t>
        </w:r>
        <w:r w:rsidR="007D4948" w:rsidRPr="007D1918">
          <w:rPr>
            <w:webHidden/>
          </w:rPr>
          <w:tab/>
        </w:r>
        <w:r w:rsidR="007D4948" w:rsidRPr="007D1918">
          <w:rPr>
            <w:webHidden/>
          </w:rPr>
          <w:fldChar w:fldCharType="begin"/>
        </w:r>
        <w:r w:rsidR="007D4948" w:rsidRPr="007D1918">
          <w:rPr>
            <w:webHidden/>
          </w:rPr>
          <w:instrText xml:space="preserve"> PAGEREF _Toc23769555 \h </w:instrText>
        </w:r>
        <w:r w:rsidR="007D4948" w:rsidRPr="007D1918">
          <w:rPr>
            <w:webHidden/>
          </w:rPr>
        </w:r>
        <w:r w:rsidR="007D4948" w:rsidRPr="007D1918">
          <w:rPr>
            <w:webHidden/>
          </w:rPr>
          <w:fldChar w:fldCharType="separate"/>
        </w:r>
        <w:r w:rsidR="007D4948" w:rsidRPr="007D1918">
          <w:rPr>
            <w:webHidden/>
          </w:rPr>
          <w:t>141</w:t>
        </w:r>
        <w:r w:rsidR="007D4948" w:rsidRPr="007D1918">
          <w:rPr>
            <w:webHidden/>
          </w:rPr>
          <w:fldChar w:fldCharType="end"/>
        </w:r>
      </w:hyperlink>
    </w:p>
    <w:p w14:paraId="73E7CAC2" w14:textId="761E48B7" w:rsidR="007D4948" w:rsidRPr="007D1918" w:rsidRDefault="002814BF">
      <w:pPr>
        <w:pStyle w:val="TableofFigures"/>
        <w:rPr>
          <w:rFonts w:asciiTheme="minorHAnsi" w:eastAsiaTheme="minorEastAsia" w:hAnsiTheme="minorHAnsi" w:cstheme="minorBidi"/>
        </w:rPr>
      </w:pPr>
      <w:hyperlink w:anchor="_Toc23769556" w:history="1">
        <w:r w:rsidR="007D4948" w:rsidRPr="007D1918">
          <w:rPr>
            <w:rStyle w:val="Hyperlink"/>
          </w:rPr>
          <w:t>Table 69: Therapy dose, duration and use-related inputs for Indication 3, ongoing management of refractory MG</w:t>
        </w:r>
        <w:r w:rsidR="007D4948" w:rsidRPr="007D1918">
          <w:rPr>
            <w:webHidden/>
          </w:rPr>
          <w:tab/>
        </w:r>
        <w:r w:rsidR="007D4948" w:rsidRPr="007D1918">
          <w:rPr>
            <w:webHidden/>
          </w:rPr>
          <w:fldChar w:fldCharType="begin"/>
        </w:r>
        <w:r w:rsidR="007D4948" w:rsidRPr="007D1918">
          <w:rPr>
            <w:webHidden/>
          </w:rPr>
          <w:instrText xml:space="preserve"> PAGEREF _Toc23769556 \h </w:instrText>
        </w:r>
        <w:r w:rsidR="007D4948" w:rsidRPr="007D1918">
          <w:rPr>
            <w:webHidden/>
          </w:rPr>
        </w:r>
        <w:r w:rsidR="007D4948" w:rsidRPr="007D1918">
          <w:rPr>
            <w:webHidden/>
          </w:rPr>
          <w:fldChar w:fldCharType="separate"/>
        </w:r>
        <w:r w:rsidR="007D4948" w:rsidRPr="007D1918">
          <w:rPr>
            <w:webHidden/>
          </w:rPr>
          <w:t>141</w:t>
        </w:r>
        <w:r w:rsidR="007D4948" w:rsidRPr="007D1918">
          <w:rPr>
            <w:webHidden/>
          </w:rPr>
          <w:fldChar w:fldCharType="end"/>
        </w:r>
      </w:hyperlink>
    </w:p>
    <w:p w14:paraId="1E5A65B2" w14:textId="3E6ADD87" w:rsidR="007D4948" w:rsidRPr="007D1918" w:rsidRDefault="002814BF">
      <w:pPr>
        <w:pStyle w:val="TableofFigures"/>
        <w:rPr>
          <w:rFonts w:asciiTheme="minorHAnsi" w:eastAsiaTheme="minorEastAsia" w:hAnsiTheme="minorHAnsi" w:cstheme="minorBidi"/>
        </w:rPr>
      </w:pPr>
      <w:hyperlink w:anchor="_Toc23769557" w:history="1">
        <w:r w:rsidR="007D4948" w:rsidRPr="007D1918">
          <w:rPr>
            <w:rStyle w:val="Hyperlink"/>
          </w:rPr>
          <w:t>Table 70: Clinical differences identified in the RCTs or additional literature with resource use implications</w:t>
        </w:r>
        <w:r w:rsidR="007D4948" w:rsidRPr="007D1918">
          <w:rPr>
            <w:webHidden/>
          </w:rPr>
          <w:tab/>
        </w:r>
        <w:r w:rsidR="007D4948" w:rsidRPr="007D1918">
          <w:rPr>
            <w:webHidden/>
          </w:rPr>
          <w:fldChar w:fldCharType="begin"/>
        </w:r>
        <w:r w:rsidR="007D4948" w:rsidRPr="007D1918">
          <w:rPr>
            <w:webHidden/>
          </w:rPr>
          <w:instrText xml:space="preserve"> PAGEREF _Toc23769557 \h </w:instrText>
        </w:r>
        <w:r w:rsidR="007D4948" w:rsidRPr="007D1918">
          <w:rPr>
            <w:webHidden/>
          </w:rPr>
        </w:r>
        <w:r w:rsidR="007D4948" w:rsidRPr="007D1918">
          <w:rPr>
            <w:webHidden/>
          </w:rPr>
          <w:fldChar w:fldCharType="separate"/>
        </w:r>
        <w:r w:rsidR="007D4948" w:rsidRPr="007D1918">
          <w:rPr>
            <w:webHidden/>
          </w:rPr>
          <w:t>143</w:t>
        </w:r>
        <w:r w:rsidR="007D4948" w:rsidRPr="007D1918">
          <w:rPr>
            <w:webHidden/>
          </w:rPr>
          <w:fldChar w:fldCharType="end"/>
        </w:r>
      </w:hyperlink>
    </w:p>
    <w:p w14:paraId="0CFC22D4" w14:textId="1D613339" w:rsidR="007D4948" w:rsidRPr="007D1918" w:rsidRDefault="002814BF">
      <w:pPr>
        <w:pStyle w:val="TableofFigures"/>
        <w:rPr>
          <w:rFonts w:asciiTheme="minorHAnsi" w:eastAsiaTheme="minorEastAsia" w:hAnsiTheme="minorHAnsi" w:cstheme="minorBidi"/>
        </w:rPr>
      </w:pPr>
      <w:hyperlink w:anchor="_Toc23769558" w:history="1">
        <w:r w:rsidR="007D4948" w:rsidRPr="007D1918">
          <w:rPr>
            <w:rStyle w:val="Hyperlink"/>
          </w:rPr>
          <w:t>Table 71: IVIg prices</w:t>
        </w:r>
        <w:r w:rsidR="007D4948" w:rsidRPr="007D1918">
          <w:rPr>
            <w:webHidden/>
          </w:rPr>
          <w:tab/>
        </w:r>
        <w:r w:rsidR="007D4948" w:rsidRPr="007D1918">
          <w:rPr>
            <w:webHidden/>
          </w:rPr>
          <w:fldChar w:fldCharType="begin"/>
        </w:r>
        <w:r w:rsidR="007D4948" w:rsidRPr="007D1918">
          <w:rPr>
            <w:webHidden/>
          </w:rPr>
          <w:instrText xml:space="preserve"> PAGEREF _Toc23769558 \h </w:instrText>
        </w:r>
        <w:r w:rsidR="007D4948" w:rsidRPr="007D1918">
          <w:rPr>
            <w:webHidden/>
          </w:rPr>
        </w:r>
        <w:r w:rsidR="007D4948" w:rsidRPr="007D1918">
          <w:rPr>
            <w:webHidden/>
          </w:rPr>
          <w:fldChar w:fldCharType="separate"/>
        </w:r>
        <w:r w:rsidR="007D4948" w:rsidRPr="007D1918">
          <w:rPr>
            <w:webHidden/>
          </w:rPr>
          <w:t>144</w:t>
        </w:r>
        <w:r w:rsidR="007D4948" w:rsidRPr="007D1918">
          <w:rPr>
            <w:webHidden/>
          </w:rPr>
          <w:fldChar w:fldCharType="end"/>
        </w:r>
      </w:hyperlink>
    </w:p>
    <w:p w14:paraId="3FD0C53B" w14:textId="19B15100" w:rsidR="007D4948" w:rsidRPr="007D1918" w:rsidRDefault="002814BF">
      <w:pPr>
        <w:pStyle w:val="TableofFigures"/>
        <w:rPr>
          <w:rFonts w:asciiTheme="minorHAnsi" w:eastAsiaTheme="minorEastAsia" w:hAnsiTheme="minorHAnsi" w:cstheme="minorBidi"/>
        </w:rPr>
      </w:pPr>
      <w:hyperlink w:anchor="_Toc23769559" w:history="1">
        <w:r w:rsidR="007D4948" w:rsidRPr="007D1918">
          <w:rPr>
            <w:rStyle w:val="Hyperlink"/>
          </w:rPr>
          <w:t>Table 72: Resource prices associated with PE (used in Indication 1, 2 and 3 analyses)</w:t>
        </w:r>
        <w:r w:rsidR="007D4948" w:rsidRPr="007D1918">
          <w:rPr>
            <w:webHidden/>
          </w:rPr>
          <w:tab/>
        </w:r>
        <w:r w:rsidR="007D4948" w:rsidRPr="007D1918">
          <w:rPr>
            <w:webHidden/>
          </w:rPr>
          <w:fldChar w:fldCharType="begin"/>
        </w:r>
        <w:r w:rsidR="007D4948" w:rsidRPr="007D1918">
          <w:rPr>
            <w:webHidden/>
          </w:rPr>
          <w:instrText xml:space="preserve"> PAGEREF _Toc23769559 \h </w:instrText>
        </w:r>
        <w:r w:rsidR="007D4948" w:rsidRPr="007D1918">
          <w:rPr>
            <w:webHidden/>
          </w:rPr>
        </w:r>
        <w:r w:rsidR="007D4948" w:rsidRPr="007D1918">
          <w:rPr>
            <w:webHidden/>
          </w:rPr>
          <w:fldChar w:fldCharType="separate"/>
        </w:r>
        <w:r w:rsidR="007D4948" w:rsidRPr="007D1918">
          <w:rPr>
            <w:webHidden/>
          </w:rPr>
          <w:t>145</w:t>
        </w:r>
        <w:r w:rsidR="007D4948" w:rsidRPr="007D1918">
          <w:rPr>
            <w:webHidden/>
          </w:rPr>
          <w:fldChar w:fldCharType="end"/>
        </w:r>
      </w:hyperlink>
    </w:p>
    <w:p w14:paraId="472B3456" w14:textId="5E2982D8" w:rsidR="007D4948" w:rsidRPr="007D1918" w:rsidRDefault="002814BF">
      <w:pPr>
        <w:pStyle w:val="TableofFigures"/>
        <w:rPr>
          <w:rFonts w:asciiTheme="minorHAnsi" w:eastAsiaTheme="minorEastAsia" w:hAnsiTheme="minorHAnsi" w:cstheme="minorBidi"/>
        </w:rPr>
      </w:pPr>
      <w:hyperlink w:anchor="_Toc23769560" w:history="1">
        <w:r w:rsidR="007D4948" w:rsidRPr="007D1918">
          <w:rPr>
            <w:rStyle w:val="Hyperlink"/>
          </w:rPr>
          <w:t>Table 73</w:t>
        </w:r>
        <w:r w:rsidR="007D4948" w:rsidRPr="007D1918">
          <w:rPr>
            <w:rFonts w:asciiTheme="minorHAnsi" w:eastAsiaTheme="minorEastAsia" w:hAnsiTheme="minorHAnsi" w:cstheme="minorBidi"/>
          </w:rPr>
          <w:tab/>
        </w:r>
        <w:r w:rsidR="007D4948" w:rsidRPr="007D1918">
          <w:rPr>
            <w:rStyle w:val="Hyperlink"/>
          </w:rPr>
          <w:t>Hospital, administration and adverse event associated resources and cost sources</w:t>
        </w:r>
        <w:r w:rsidR="007D4948" w:rsidRPr="007D1918">
          <w:rPr>
            <w:webHidden/>
          </w:rPr>
          <w:tab/>
        </w:r>
        <w:r w:rsidR="007D4948" w:rsidRPr="007D1918">
          <w:rPr>
            <w:webHidden/>
          </w:rPr>
          <w:fldChar w:fldCharType="begin"/>
        </w:r>
        <w:r w:rsidR="007D4948" w:rsidRPr="007D1918">
          <w:rPr>
            <w:webHidden/>
          </w:rPr>
          <w:instrText xml:space="preserve"> PAGEREF _Toc23769560 \h </w:instrText>
        </w:r>
        <w:r w:rsidR="007D4948" w:rsidRPr="007D1918">
          <w:rPr>
            <w:webHidden/>
          </w:rPr>
        </w:r>
        <w:r w:rsidR="007D4948" w:rsidRPr="007D1918">
          <w:rPr>
            <w:webHidden/>
          </w:rPr>
          <w:fldChar w:fldCharType="separate"/>
        </w:r>
        <w:r w:rsidR="007D4948" w:rsidRPr="007D1918">
          <w:rPr>
            <w:webHidden/>
          </w:rPr>
          <w:t>146</w:t>
        </w:r>
        <w:r w:rsidR="007D4948" w:rsidRPr="007D1918">
          <w:rPr>
            <w:webHidden/>
          </w:rPr>
          <w:fldChar w:fldCharType="end"/>
        </w:r>
      </w:hyperlink>
    </w:p>
    <w:p w14:paraId="5F83A128" w14:textId="0CB5324E" w:rsidR="007D4948" w:rsidRPr="007D1918" w:rsidRDefault="002814BF">
      <w:pPr>
        <w:pStyle w:val="TableofFigures"/>
        <w:rPr>
          <w:rFonts w:asciiTheme="minorHAnsi" w:eastAsiaTheme="minorEastAsia" w:hAnsiTheme="minorHAnsi" w:cstheme="minorBidi"/>
        </w:rPr>
      </w:pPr>
      <w:hyperlink w:anchor="_Toc23769561" w:history="1">
        <w:r w:rsidR="007D4948" w:rsidRPr="007D1918">
          <w:rPr>
            <w:rStyle w:val="Hyperlink"/>
          </w:rPr>
          <w:t>Table 74</w:t>
        </w:r>
        <w:r w:rsidR="007D4948" w:rsidRPr="007D1918">
          <w:rPr>
            <w:rFonts w:asciiTheme="minorHAnsi" w:eastAsiaTheme="minorEastAsia" w:hAnsiTheme="minorHAnsi" w:cstheme="minorBidi"/>
          </w:rPr>
          <w:tab/>
        </w:r>
        <w:r w:rsidR="007D4948" w:rsidRPr="007D1918">
          <w:rPr>
            <w:rStyle w:val="Hyperlink"/>
          </w:rPr>
          <w:t>Resource use per patient for management of adverse events associated with PE in Indication 1</w:t>
        </w:r>
        <w:r w:rsidR="007D4948" w:rsidRPr="007D1918">
          <w:rPr>
            <w:webHidden/>
          </w:rPr>
          <w:tab/>
        </w:r>
        <w:r w:rsidR="007D4948" w:rsidRPr="007D1918">
          <w:rPr>
            <w:webHidden/>
          </w:rPr>
          <w:fldChar w:fldCharType="begin"/>
        </w:r>
        <w:r w:rsidR="007D4948" w:rsidRPr="007D1918">
          <w:rPr>
            <w:webHidden/>
          </w:rPr>
          <w:instrText xml:space="preserve"> PAGEREF _Toc23769561 \h </w:instrText>
        </w:r>
        <w:r w:rsidR="007D4948" w:rsidRPr="007D1918">
          <w:rPr>
            <w:webHidden/>
          </w:rPr>
        </w:r>
        <w:r w:rsidR="007D4948" w:rsidRPr="007D1918">
          <w:rPr>
            <w:webHidden/>
          </w:rPr>
          <w:fldChar w:fldCharType="separate"/>
        </w:r>
        <w:r w:rsidR="007D4948" w:rsidRPr="007D1918">
          <w:rPr>
            <w:webHidden/>
          </w:rPr>
          <w:t>147</w:t>
        </w:r>
        <w:r w:rsidR="007D4948" w:rsidRPr="007D1918">
          <w:rPr>
            <w:webHidden/>
          </w:rPr>
          <w:fldChar w:fldCharType="end"/>
        </w:r>
      </w:hyperlink>
    </w:p>
    <w:p w14:paraId="57CA542C" w14:textId="1377E1EE" w:rsidR="007D4948" w:rsidRPr="007D1918" w:rsidRDefault="002814BF">
      <w:pPr>
        <w:pStyle w:val="TableofFigures"/>
        <w:rPr>
          <w:rFonts w:asciiTheme="minorHAnsi" w:eastAsiaTheme="minorEastAsia" w:hAnsiTheme="minorHAnsi" w:cstheme="minorBidi"/>
        </w:rPr>
      </w:pPr>
      <w:hyperlink w:anchor="_Toc23769562" w:history="1">
        <w:r w:rsidR="007D4948" w:rsidRPr="007D1918">
          <w:rPr>
            <w:rStyle w:val="Hyperlink"/>
          </w:rPr>
          <w:t>Table 75: Resource use associated with surgery in Indication 2</w:t>
        </w:r>
        <w:r w:rsidR="007D4948" w:rsidRPr="007D1918">
          <w:rPr>
            <w:webHidden/>
          </w:rPr>
          <w:tab/>
        </w:r>
        <w:r w:rsidR="007D4948" w:rsidRPr="007D1918">
          <w:rPr>
            <w:webHidden/>
          </w:rPr>
          <w:fldChar w:fldCharType="begin"/>
        </w:r>
        <w:r w:rsidR="007D4948" w:rsidRPr="007D1918">
          <w:rPr>
            <w:webHidden/>
          </w:rPr>
          <w:instrText xml:space="preserve"> PAGEREF _Toc23769562 \h </w:instrText>
        </w:r>
        <w:r w:rsidR="007D4948" w:rsidRPr="007D1918">
          <w:rPr>
            <w:webHidden/>
          </w:rPr>
        </w:r>
        <w:r w:rsidR="007D4948" w:rsidRPr="007D1918">
          <w:rPr>
            <w:webHidden/>
          </w:rPr>
          <w:fldChar w:fldCharType="separate"/>
        </w:r>
        <w:r w:rsidR="007D4948" w:rsidRPr="007D1918">
          <w:rPr>
            <w:webHidden/>
          </w:rPr>
          <w:t>147</w:t>
        </w:r>
        <w:r w:rsidR="007D4948" w:rsidRPr="007D1918">
          <w:rPr>
            <w:webHidden/>
          </w:rPr>
          <w:fldChar w:fldCharType="end"/>
        </w:r>
      </w:hyperlink>
    </w:p>
    <w:p w14:paraId="080BF142" w14:textId="208C4FB2" w:rsidR="007D4948" w:rsidRPr="007D1918" w:rsidRDefault="002814BF">
      <w:pPr>
        <w:pStyle w:val="TableofFigures"/>
        <w:rPr>
          <w:rFonts w:asciiTheme="minorHAnsi" w:eastAsiaTheme="minorEastAsia" w:hAnsiTheme="minorHAnsi" w:cstheme="minorBidi"/>
        </w:rPr>
      </w:pPr>
      <w:hyperlink w:anchor="_Toc23769563" w:history="1">
        <w:r w:rsidR="007D4948" w:rsidRPr="007D1918">
          <w:rPr>
            <w:rStyle w:val="Hyperlink"/>
          </w:rPr>
          <w:t>Table 76: Resource prices associated with other pharmaceutical and surgical therapy comparators to Ig for MG, supplied under Indication 3</w:t>
        </w:r>
        <w:r w:rsidR="007D4948" w:rsidRPr="007D1918">
          <w:rPr>
            <w:webHidden/>
          </w:rPr>
          <w:tab/>
        </w:r>
        <w:r w:rsidR="007D4948" w:rsidRPr="007D1918">
          <w:rPr>
            <w:webHidden/>
          </w:rPr>
          <w:fldChar w:fldCharType="begin"/>
        </w:r>
        <w:r w:rsidR="007D4948" w:rsidRPr="007D1918">
          <w:rPr>
            <w:webHidden/>
          </w:rPr>
          <w:instrText xml:space="preserve"> PAGEREF _Toc23769563 \h </w:instrText>
        </w:r>
        <w:r w:rsidR="007D4948" w:rsidRPr="007D1918">
          <w:rPr>
            <w:webHidden/>
          </w:rPr>
        </w:r>
        <w:r w:rsidR="007D4948" w:rsidRPr="007D1918">
          <w:rPr>
            <w:webHidden/>
          </w:rPr>
          <w:fldChar w:fldCharType="separate"/>
        </w:r>
        <w:r w:rsidR="007D4948" w:rsidRPr="007D1918">
          <w:rPr>
            <w:webHidden/>
          </w:rPr>
          <w:t>148</w:t>
        </w:r>
        <w:r w:rsidR="007D4948" w:rsidRPr="007D1918">
          <w:rPr>
            <w:webHidden/>
          </w:rPr>
          <w:fldChar w:fldCharType="end"/>
        </w:r>
      </w:hyperlink>
    </w:p>
    <w:p w14:paraId="4D331936" w14:textId="21D746B2" w:rsidR="007D4948" w:rsidRPr="007D1918" w:rsidRDefault="002814BF">
      <w:pPr>
        <w:pStyle w:val="TableofFigures"/>
        <w:rPr>
          <w:rFonts w:asciiTheme="minorHAnsi" w:eastAsiaTheme="minorEastAsia" w:hAnsiTheme="minorHAnsi" w:cstheme="minorBidi"/>
        </w:rPr>
      </w:pPr>
      <w:hyperlink w:anchor="_Toc23769564" w:history="1">
        <w:r w:rsidR="007D4948" w:rsidRPr="007D1918">
          <w:rPr>
            <w:rStyle w:val="Hyperlink"/>
          </w:rPr>
          <w:t>Table 77</w:t>
        </w:r>
        <w:r w:rsidR="007D4948" w:rsidRPr="007D1918">
          <w:rPr>
            <w:rFonts w:asciiTheme="minorHAnsi" w:eastAsiaTheme="minorEastAsia" w:hAnsiTheme="minorHAnsi" w:cstheme="minorBidi"/>
          </w:rPr>
          <w:tab/>
        </w:r>
        <w:r w:rsidR="007D4948" w:rsidRPr="007D1918">
          <w:rPr>
            <w:rStyle w:val="Hyperlink"/>
          </w:rPr>
          <w:t>Total QALY decrement calculations per adverse event in the cost-utility analyses</w:t>
        </w:r>
        <w:r w:rsidR="007D4948" w:rsidRPr="007D1918">
          <w:rPr>
            <w:webHidden/>
          </w:rPr>
          <w:tab/>
        </w:r>
        <w:r w:rsidR="007D4948" w:rsidRPr="007D1918">
          <w:rPr>
            <w:webHidden/>
          </w:rPr>
          <w:fldChar w:fldCharType="begin"/>
        </w:r>
        <w:r w:rsidR="007D4948" w:rsidRPr="007D1918">
          <w:rPr>
            <w:webHidden/>
          </w:rPr>
          <w:instrText xml:space="preserve"> PAGEREF _Toc23769564 \h </w:instrText>
        </w:r>
        <w:r w:rsidR="007D4948" w:rsidRPr="007D1918">
          <w:rPr>
            <w:webHidden/>
          </w:rPr>
        </w:r>
        <w:r w:rsidR="007D4948" w:rsidRPr="007D1918">
          <w:rPr>
            <w:webHidden/>
          </w:rPr>
          <w:fldChar w:fldCharType="separate"/>
        </w:r>
        <w:r w:rsidR="007D4948" w:rsidRPr="007D1918">
          <w:rPr>
            <w:webHidden/>
          </w:rPr>
          <w:t>149</w:t>
        </w:r>
        <w:r w:rsidR="007D4948" w:rsidRPr="007D1918">
          <w:rPr>
            <w:webHidden/>
          </w:rPr>
          <w:fldChar w:fldCharType="end"/>
        </w:r>
      </w:hyperlink>
    </w:p>
    <w:p w14:paraId="3C5B1B36" w14:textId="5025FEA6" w:rsidR="007D4948" w:rsidRPr="007D1918" w:rsidRDefault="002814BF">
      <w:pPr>
        <w:pStyle w:val="TableofFigures"/>
        <w:rPr>
          <w:rFonts w:asciiTheme="minorHAnsi" w:eastAsiaTheme="minorEastAsia" w:hAnsiTheme="minorHAnsi" w:cstheme="minorBidi"/>
        </w:rPr>
      </w:pPr>
      <w:hyperlink w:anchor="_Toc23769565" w:history="1">
        <w:r w:rsidR="007D4948" w:rsidRPr="007D1918">
          <w:rPr>
            <w:rStyle w:val="Hyperlink"/>
          </w:rPr>
          <w:t xml:space="preserve">Table 78 </w:t>
        </w:r>
        <w:r w:rsidR="007D4948" w:rsidRPr="007D1918">
          <w:rPr>
            <w:rFonts w:asciiTheme="minorHAnsi" w:eastAsiaTheme="minorEastAsia" w:hAnsiTheme="minorHAnsi" w:cstheme="minorBidi"/>
          </w:rPr>
          <w:tab/>
        </w:r>
        <w:r w:rsidR="007D4948" w:rsidRPr="007D1918">
          <w:rPr>
            <w:rStyle w:val="Hyperlink"/>
          </w:rPr>
          <w:t>Indication 1 Trial based cost consequences analysis (Gajdos 1997)</w:t>
        </w:r>
        <w:r w:rsidR="007D4948" w:rsidRPr="007D1918">
          <w:rPr>
            <w:webHidden/>
          </w:rPr>
          <w:tab/>
        </w:r>
        <w:r w:rsidR="007D4948" w:rsidRPr="007D1918">
          <w:rPr>
            <w:webHidden/>
          </w:rPr>
          <w:fldChar w:fldCharType="begin"/>
        </w:r>
        <w:r w:rsidR="007D4948" w:rsidRPr="007D1918">
          <w:rPr>
            <w:webHidden/>
          </w:rPr>
          <w:instrText xml:space="preserve"> PAGEREF _Toc23769565 \h </w:instrText>
        </w:r>
        <w:r w:rsidR="007D4948" w:rsidRPr="007D1918">
          <w:rPr>
            <w:webHidden/>
          </w:rPr>
        </w:r>
        <w:r w:rsidR="007D4948" w:rsidRPr="007D1918">
          <w:rPr>
            <w:webHidden/>
          </w:rPr>
          <w:fldChar w:fldCharType="separate"/>
        </w:r>
        <w:r w:rsidR="007D4948" w:rsidRPr="007D1918">
          <w:rPr>
            <w:webHidden/>
          </w:rPr>
          <w:t>150</w:t>
        </w:r>
        <w:r w:rsidR="007D4948" w:rsidRPr="007D1918">
          <w:rPr>
            <w:webHidden/>
          </w:rPr>
          <w:fldChar w:fldCharType="end"/>
        </w:r>
      </w:hyperlink>
    </w:p>
    <w:p w14:paraId="0E2FC45B" w14:textId="78C70E59" w:rsidR="007D4948" w:rsidRPr="007D1918" w:rsidRDefault="002814BF">
      <w:pPr>
        <w:pStyle w:val="TableofFigures"/>
        <w:rPr>
          <w:rFonts w:asciiTheme="minorHAnsi" w:eastAsiaTheme="minorEastAsia" w:hAnsiTheme="minorHAnsi" w:cstheme="minorBidi"/>
        </w:rPr>
      </w:pPr>
      <w:hyperlink w:anchor="_Toc23769566" w:history="1">
        <w:r w:rsidR="007D4948" w:rsidRPr="007D1918">
          <w:rPr>
            <w:rStyle w:val="Hyperlink"/>
          </w:rPr>
          <w:t xml:space="preserve">Table 79 </w:t>
        </w:r>
        <w:r w:rsidR="007D4948" w:rsidRPr="007D1918">
          <w:rPr>
            <w:rFonts w:asciiTheme="minorHAnsi" w:eastAsiaTheme="minorEastAsia" w:hAnsiTheme="minorHAnsi" w:cstheme="minorBidi"/>
          </w:rPr>
          <w:tab/>
        </w:r>
        <w:r w:rsidR="007D4948" w:rsidRPr="007D1918">
          <w:rPr>
            <w:rStyle w:val="Hyperlink"/>
          </w:rPr>
          <w:t>Indication 1 Stepped cost consequences analysis to replicate Australian practice</w:t>
        </w:r>
        <w:r w:rsidR="007D4948" w:rsidRPr="007D1918">
          <w:rPr>
            <w:webHidden/>
          </w:rPr>
          <w:tab/>
        </w:r>
        <w:r w:rsidR="007D4948" w:rsidRPr="007D1918">
          <w:rPr>
            <w:webHidden/>
          </w:rPr>
          <w:fldChar w:fldCharType="begin"/>
        </w:r>
        <w:r w:rsidR="007D4948" w:rsidRPr="007D1918">
          <w:rPr>
            <w:webHidden/>
          </w:rPr>
          <w:instrText xml:space="preserve"> PAGEREF _Toc23769566 \h </w:instrText>
        </w:r>
        <w:r w:rsidR="007D4948" w:rsidRPr="007D1918">
          <w:rPr>
            <w:webHidden/>
          </w:rPr>
        </w:r>
        <w:r w:rsidR="007D4948" w:rsidRPr="007D1918">
          <w:rPr>
            <w:webHidden/>
          </w:rPr>
          <w:fldChar w:fldCharType="separate"/>
        </w:r>
        <w:r w:rsidR="007D4948" w:rsidRPr="007D1918">
          <w:rPr>
            <w:webHidden/>
          </w:rPr>
          <w:t>152</w:t>
        </w:r>
        <w:r w:rsidR="007D4948" w:rsidRPr="007D1918">
          <w:rPr>
            <w:webHidden/>
          </w:rPr>
          <w:fldChar w:fldCharType="end"/>
        </w:r>
      </w:hyperlink>
    </w:p>
    <w:p w14:paraId="598C9373" w14:textId="40C241D0" w:rsidR="007D4948" w:rsidRPr="007D1918" w:rsidRDefault="002814BF">
      <w:pPr>
        <w:pStyle w:val="TableofFigures"/>
        <w:rPr>
          <w:rFonts w:asciiTheme="minorHAnsi" w:eastAsiaTheme="minorEastAsia" w:hAnsiTheme="minorHAnsi" w:cstheme="minorBidi"/>
        </w:rPr>
      </w:pPr>
      <w:hyperlink w:anchor="_Toc23769567" w:history="1">
        <w:r w:rsidR="007D4948" w:rsidRPr="007D1918">
          <w:rPr>
            <w:rStyle w:val="Hyperlink"/>
          </w:rPr>
          <w:t>Table 80</w:t>
        </w:r>
        <w:r w:rsidR="007D4948" w:rsidRPr="007D1918">
          <w:rPr>
            <w:rFonts w:asciiTheme="minorHAnsi" w:eastAsiaTheme="minorEastAsia" w:hAnsiTheme="minorHAnsi" w:cstheme="minorBidi"/>
          </w:rPr>
          <w:tab/>
        </w:r>
        <w:r w:rsidR="007D4948" w:rsidRPr="007D1918">
          <w:rPr>
            <w:rStyle w:val="Hyperlink"/>
          </w:rPr>
          <w:t>Sensitivity analyses: Alternative IVIg prices or PE resource use (Indication 1)</w:t>
        </w:r>
        <w:r w:rsidR="007D4948" w:rsidRPr="007D1918">
          <w:rPr>
            <w:webHidden/>
          </w:rPr>
          <w:tab/>
        </w:r>
        <w:r w:rsidR="007D4948" w:rsidRPr="007D1918">
          <w:rPr>
            <w:webHidden/>
          </w:rPr>
          <w:fldChar w:fldCharType="begin"/>
        </w:r>
        <w:r w:rsidR="007D4948" w:rsidRPr="007D1918">
          <w:rPr>
            <w:webHidden/>
          </w:rPr>
          <w:instrText xml:space="preserve"> PAGEREF _Toc23769567 \h </w:instrText>
        </w:r>
        <w:r w:rsidR="007D4948" w:rsidRPr="007D1918">
          <w:rPr>
            <w:webHidden/>
          </w:rPr>
        </w:r>
        <w:r w:rsidR="007D4948" w:rsidRPr="007D1918">
          <w:rPr>
            <w:webHidden/>
          </w:rPr>
          <w:fldChar w:fldCharType="separate"/>
        </w:r>
        <w:r w:rsidR="007D4948" w:rsidRPr="007D1918">
          <w:rPr>
            <w:webHidden/>
          </w:rPr>
          <w:t>153</w:t>
        </w:r>
        <w:r w:rsidR="007D4948" w:rsidRPr="007D1918">
          <w:rPr>
            <w:webHidden/>
          </w:rPr>
          <w:fldChar w:fldCharType="end"/>
        </w:r>
      </w:hyperlink>
    </w:p>
    <w:p w14:paraId="01018C0E" w14:textId="092B9F92" w:rsidR="007D4948" w:rsidRPr="007D1918" w:rsidRDefault="002814BF">
      <w:pPr>
        <w:pStyle w:val="TableofFigures"/>
        <w:rPr>
          <w:rFonts w:asciiTheme="minorHAnsi" w:eastAsiaTheme="minorEastAsia" w:hAnsiTheme="minorHAnsi" w:cstheme="minorBidi"/>
        </w:rPr>
      </w:pPr>
      <w:hyperlink w:anchor="_Toc23769568" w:history="1">
        <w:r w:rsidR="007D4948" w:rsidRPr="007D1918">
          <w:rPr>
            <w:rStyle w:val="Hyperlink"/>
          </w:rPr>
          <w:t>Table 81</w:t>
        </w:r>
        <w:r w:rsidR="007D4948" w:rsidRPr="007D1918">
          <w:rPr>
            <w:rFonts w:asciiTheme="minorHAnsi" w:eastAsiaTheme="minorEastAsia" w:hAnsiTheme="minorHAnsi" w:cstheme="minorBidi"/>
          </w:rPr>
          <w:tab/>
        </w:r>
        <w:r w:rsidR="007D4948" w:rsidRPr="007D1918">
          <w:rPr>
            <w:rStyle w:val="Hyperlink"/>
          </w:rPr>
          <w:t>Scenario analyses: alternative sepsis incidence and mortality rates in steps 6 and 7</w:t>
        </w:r>
        <w:r w:rsidR="007D4948" w:rsidRPr="007D1918">
          <w:rPr>
            <w:webHidden/>
          </w:rPr>
          <w:tab/>
        </w:r>
        <w:r w:rsidR="007D4948" w:rsidRPr="007D1918">
          <w:rPr>
            <w:webHidden/>
          </w:rPr>
          <w:fldChar w:fldCharType="begin"/>
        </w:r>
        <w:r w:rsidR="007D4948" w:rsidRPr="007D1918">
          <w:rPr>
            <w:webHidden/>
          </w:rPr>
          <w:instrText xml:space="preserve"> PAGEREF _Toc23769568 \h </w:instrText>
        </w:r>
        <w:r w:rsidR="007D4948" w:rsidRPr="007D1918">
          <w:rPr>
            <w:webHidden/>
          </w:rPr>
        </w:r>
        <w:r w:rsidR="007D4948" w:rsidRPr="007D1918">
          <w:rPr>
            <w:webHidden/>
          </w:rPr>
          <w:fldChar w:fldCharType="separate"/>
        </w:r>
        <w:r w:rsidR="007D4948" w:rsidRPr="007D1918">
          <w:rPr>
            <w:webHidden/>
          </w:rPr>
          <w:t>153</w:t>
        </w:r>
        <w:r w:rsidR="007D4948" w:rsidRPr="007D1918">
          <w:rPr>
            <w:webHidden/>
          </w:rPr>
          <w:fldChar w:fldCharType="end"/>
        </w:r>
      </w:hyperlink>
    </w:p>
    <w:p w14:paraId="3366B06E" w14:textId="09F62DFD" w:rsidR="007D4948" w:rsidRPr="007D1918" w:rsidRDefault="002814BF">
      <w:pPr>
        <w:pStyle w:val="TableofFigures"/>
        <w:rPr>
          <w:rFonts w:asciiTheme="minorHAnsi" w:eastAsiaTheme="minorEastAsia" w:hAnsiTheme="minorHAnsi" w:cstheme="minorBidi"/>
        </w:rPr>
      </w:pPr>
      <w:hyperlink w:anchor="_Toc23769569" w:history="1">
        <w:r w:rsidR="007D4948" w:rsidRPr="007D1918">
          <w:rPr>
            <w:rStyle w:val="Hyperlink"/>
          </w:rPr>
          <w:t xml:space="preserve">Table 82 </w:t>
        </w:r>
        <w:r w:rsidR="007D4948" w:rsidRPr="007D1918">
          <w:rPr>
            <w:rFonts w:asciiTheme="minorHAnsi" w:eastAsiaTheme="minorEastAsia" w:hAnsiTheme="minorHAnsi" w:cstheme="minorBidi"/>
          </w:rPr>
          <w:tab/>
        </w:r>
        <w:r w:rsidR="007D4948" w:rsidRPr="007D1918">
          <w:rPr>
            <w:rStyle w:val="Hyperlink"/>
          </w:rPr>
          <w:t>Indication 2 Trial-based cost analysis (Alipour-Faz, 2017)</w:t>
        </w:r>
        <w:r w:rsidR="007D4948" w:rsidRPr="007D1918">
          <w:rPr>
            <w:webHidden/>
          </w:rPr>
          <w:tab/>
        </w:r>
        <w:r w:rsidR="007D4948" w:rsidRPr="007D1918">
          <w:rPr>
            <w:webHidden/>
          </w:rPr>
          <w:fldChar w:fldCharType="begin"/>
        </w:r>
        <w:r w:rsidR="007D4948" w:rsidRPr="007D1918">
          <w:rPr>
            <w:webHidden/>
          </w:rPr>
          <w:instrText xml:space="preserve"> PAGEREF _Toc23769569 \h </w:instrText>
        </w:r>
        <w:r w:rsidR="007D4948" w:rsidRPr="007D1918">
          <w:rPr>
            <w:webHidden/>
          </w:rPr>
        </w:r>
        <w:r w:rsidR="007D4948" w:rsidRPr="007D1918">
          <w:rPr>
            <w:webHidden/>
          </w:rPr>
          <w:fldChar w:fldCharType="separate"/>
        </w:r>
        <w:r w:rsidR="007D4948" w:rsidRPr="007D1918">
          <w:rPr>
            <w:webHidden/>
          </w:rPr>
          <w:t>154</w:t>
        </w:r>
        <w:r w:rsidR="007D4948" w:rsidRPr="007D1918">
          <w:rPr>
            <w:webHidden/>
          </w:rPr>
          <w:fldChar w:fldCharType="end"/>
        </w:r>
      </w:hyperlink>
    </w:p>
    <w:p w14:paraId="058B4069" w14:textId="70AEE153" w:rsidR="007D4948" w:rsidRPr="007D1918" w:rsidRDefault="002814BF">
      <w:pPr>
        <w:pStyle w:val="TableofFigures"/>
        <w:rPr>
          <w:rFonts w:asciiTheme="minorHAnsi" w:eastAsiaTheme="minorEastAsia" w:hAnsiTheme="minorHAnsi" w:cstheme="minorBidi"/>
        </w:rPr>
      </w:pPr>
      <w:hyperlink w:anchor="_Toc23769570" w:history="1">
        <w:r w:rsidR="007D4948" w:rsidRPr="007D1918">
          <w:rPr>
            <w:rStyle w:val="Hyperlink"/>
          </w:rPr>
          <w:t xml:space="preserve">Table 83 </w:t>
        </w:r>
        <w:r w:rsidR="007D4948" w:rsidRPr="007D1918">
          <w:rPr>
            <w:rFonts w:asciiTheme="minorHAnsi" w:eastAsiaTheme="minorEastAsia" w:hAnsiTheme="minorHAnsi" w:cstheme="minorBidi"/>
          </w:rPr>
          <w:tab/>
        </w:r>
        <w:r w:rsidR="007D4948" w:rsidRPr="007D1918">
          <w:rPr>
            <w:rStyle w:val="Hyperlink"/>
          </w:rPr>
          <w:t>Indication 2 Stepped analysis to replicate Australian practice (base case)</w:t>
        </w:r>
        <w:r w:rsidR="007D4948" w:rsidRPr="007D1918">
          <w:rPr>
            <w:webHidden/>
          </w:rPr>
          <w:tab/>
        </w:r>
        <w:r w:rsidR="007D4948" w:rsidRPr="007D1918">
          <w:rPr>
            <w:webHidden/>
          </w:rPr>
          <w:fldChar w:fldCharType="begin"/>
        </w:r>
        <w:r w:rsidR="007D4948" w:rsidRPr="007D1918">
          <w:rPr>
            <w:webHidden/>
          </w:rPr>
          <w:instrText xml:space="preserve"> PAGEREF _Toc23769570 \h </w:instrText>
        </w:r>
        <w:r w:rsidR="007D4948" w:rsidRPr="007D1918">
          <w:rPr>
            <w:webHidden/>
          </w:rPr>
        </w:r>
        <w:r w:rsidR="007D4948" w:rsidRPr="007D1918">
          <w:rPr>
            <w:webHidden/>
          </w:rPr>
          <w:fldChar w:fldCharType="separate"/>
        </w:r>
        <w:r w:rsidR="007D4948" w:rsidRPr="007D1918">
          <w:rPr>
            <w:webHidden/>
          </w:rPr>
          <w:t>154</w:t>
        </w:r>
        <w:r w:rsidR="007D4948" w:rsidRPr="007D1918">
          <w:rPr>
            <w:webHidden/>
          </w:rPr>
          <w:fldChar w:fldCharType="end"/>
        </w:r>
      </w:hyperlink>
    </w:p>
    <w:p w14:paraId="4A32AFF5" w14:textId="1EB4DB09" w:rsidR="007D4948" w:rsidRPr="007D1918" w:rsidRDefault="002814BF">
      <w:pPr>
        <w:pStyle w:val="TableofFigures"/>
        <w:rPr>
          <w:rFonts w:asciiTheme="minorHAnsi" w:eastAsiaTheme="minorEastAsia" w:hAnsiTheme="minorHAnsi" w:cstheme="minorBidi"/>
        </w:rPr>
      </w:pPr>
      <w:hyperlink w:anchor="_Toc23769571" w:history="1">
        <w:r w:rsidR="007D4948" w:rsidRPr="007D1918">
          <w:rPr>
            <w:rStyle w:val="Hyperlink"/>
          </w:rPr>
          <w:t>Table 84</w:t>
        </w:r>
        <w:r w:rsidR="007D4948" w:rsidRPr="007D1918">
          <w:rPr>
            <w:rFonts w:asciiTheme="minorHAnsi" w:eastAsiaTheme="minorEastAsia" w:hAnsiTheme="minorHAnsi" w:cstheme="minorBidi"/>
          </w:rPr>
          <w:tab/>
        </w:r>
        <w:r w:rsidR="007D4948" w:rsidRPr="007D1918">
          <w:rPr>
            <w:rStyle w:val="Hyperlink"/>
          </w:rPr>
          <w:t>Sensitivity analyses around alternative IVIg pricing and PE dosing in Indication 2</w:t>
        </w:r>
        <w:r w:rsidR="007D4948" w:rsidRPr="007D1918">
          <w:rPr>
            <w:webHidden/>
          </w:rPr>
          <w:tab/>
        </w:r>
        <w:r w:rsidR="007D4948" w:rsidRPr="007D1918">
          <w:rPr>
            <w:webHidden/>
          </w:rPr>
          <w:fldChar w:fldCharType="begin"/>
        </w:r>
        <w:r w:rsidR="007D4948" w:rsidRPr="007D1918">
          <w:rPr>
            <w:webHidden/>
          </w:rPr>
          <w:instrText xml:space="preserve"> PAGEREF _Toc23769571 \h </w:instrText>
        </w:r>
        <w:r w:rsidR="007D4948" w:rsidRPr="007D1918">
          <w:rPr>
            <w:webHidden/>
          </w:rPr>
        </w:r>
        <w:r w:rsidR="007D4948" w:rsidRPr="007D1918">
          <w:rPr>
            <w:webHidden/>
          </w:rPr>
          <w:fldChar w:fldCharType="separate"/>
        </w:r>
        <w:r w:rsidR="007D4948" w:rsidRPr="007D1918">
          <w:rPr>
            <w:webHidden/>
          </w:rPr>
          <w:t>155</w:t>
        </w:r>
        <w:r w:rsidR="007D4948" w:rsidRPr="007D1918">
          <w:rPr>
            <w:webHidden/>
          </w:rPr>
          <w:fldChar w:fldCharType="end"/>
        </w:r>
      </w:hyperlink>
    </w:p>
    <w:p w14:paraId="159527DB" w14:textId="1C698BB5" w:rsidR="007D4948" w:rsidRPr="007D1918" w:rsidRDefault="002814BF">
      <w:pPr>
        <w:pStyle w:val="TableofFigures"/>
        <w:rPr>
          <w:rFonts w:asciiTheme="minorHAnsi" w:eastAsiaTheme="minorEastAsia" w:hAnsiTheme="minorHAnsi" w:cstheme="minorBidi"/>
        </w:rPr>
      </w:pPr>
      <w:hyperlink w:anchor="_Toc23769572" w:history="1">
        <w:r w:rsidR="007D4948" w:rsidRPr="007D1918">
          <w:rPr>
            <w:rStyle w:val="Hyperlink"/>
          </w:rPr>
          <w:t xml:space="preserve">Table 85 </w:t>
        </w:r>
        <w:r w:rsidR="007D4948" w:rsidRPr="007D1918">
          <w:rPr>
            <w:rFonts w:asciiTheme="minorHAnsi" w:eastAsiaTheme="minorEastAsia" w:hAnsiTheme="minorHAnsi" w:cstheme="minorBidi"/>
          </w:rPr>
          <w:tab/>
        </w:r>
        <w:r w:rsidR="007D4948" w:rsidRPr="007D1918">
          <w:rPr>
            <w:rStyle w:val="Hyperlink"/>
          </w:rPr>
          <w:t>Scenario analysis Indication 2, assuming no difference in theatre costs</w:t>
        </w:r>
        <w:r w:rsidR="007D4948" w:rsidRPr="007D1918">
          <w:rPr>
            <w:webHidden/>
          </w:rPr>
          <w:tab/>
        </w:r>
        <w:r w:rsidR="007D4948" w:rsidRPr="007D1918">
          <w:rPr>
            <w:webHidden/>
          </w:rPr>
          <w:fldChar w:fldCharType="begin"/>
        </w:r>
        <w:r w:rsidR="007D4948" w:rsidRPr="007D1918">
          <w:rPr>
            <w:webHidden/>
          </w:rPr>
          <w:instrText xml:space="preserve"> PAGEREF _Toc23769572 \h </w:instrText>
        </w:r>
        <w:r w:rsidR="007D4948" w:rsidRPr="007D1918">
          <w:rPr>
            <w:webHidden/>
          </w:rPr>
        </w:r>
        <w:r w:rsidR="007D4948" w:rsidRPr="007D1918">
          <w:rPr>
            <w:webHidden/>
          </w:rPr>
          <w:fldChar w:fldCharType="separate"/>
        </w:r>
        <w:r w:rsidR="007D4948" w:rsidRPr="007D1918">
          <w:rPr>
            <w:webHidden/>
          </w:rPr>
          <w:t>155</w:t>
        </w:r>
        <w:r w:rsidR="007D4948" w:rsidRPr="007D1918">
          <w:rPr>
            <w:webHidden/>
          </w:rPr>
          <w:fldChar w:fldCharType="end"/>
        </w:r>
      </w:hyperlink>
    </w:p>
    <w:p w14:paraId="1626B043" w14:textId="50B4057B" w:rsidR="007D4948" w:rsidRPr="007D1918" w:rsidRDefault="002814BF">
      <w:pPr>
        <w:pStyle w:val="TableofFigures"/>
        <w:rPr>
          <w:rFonts w:asciiTheme="minorHAnsi" w:eastAsiaTheme="minorEastAsia" w:hAnsiTheme="minorHAnsi" w:cstheme="minorBidi"/>
        </w:rPr>
      </w:pPr>
      <w:hyperlink w:anchor="_Toc23769573" w:history="1">
        <w:r w:rsidR="007D4948" w:rsidRPr="007D1918">
          <w:rPr>
            <w:rStyle w:val="Hyperlink"/>
          </w:rPr>
          <w:t xml:space="preserve">Table 86 </w:t>
        </w:r>
        <w:r w:rsidR="007D4948" w:rsidRPr="007D1918">
          <w:rPr>
            <w:rFonts w:asciiTheme="minorHAnsi" w:eastAsiaTheme="minorEastAsia" w:hAnsiTheme="minorHAnsi" w:cstheme="minorBidi"/>
          </w:rPr>
          <w:tab/>
        </w:r>
        <w:r w:rsidR="007D4948" w:rsidRPr="007D1918">
          <w:rPr>
            <w:rStyle w:val="Hyperlink"/>
          </w:rPr>
          <w:t>Cost comparison for IVIg vs PE over varying time doses and time horizons in Indication 3 (base case – no adverse event costs), undiscounted and discounted.</w:t>
        </w:r>
        <w:r w:rsidR="007D4948" w:rsidRPr="007D1918">
          <w:rPr>
            <w:webHidden/>
          </w:rPr>
          <w:tab/>
        </w:r>
        <w:r w:rsidR="007D4948" w:rsidRPr="007D1918">
          <w:rPr>
            <w:webHidden/>
          </w:rPr>
          <w:fldChar w:fldCharType="begin"/>
        </w:r>
        <w:r w:rsidR="007D4948" w:rsidRPr="007D1918">
          <w:rPr>
            <w:webHidden/>
          </w:rPr>
          <w:instrText xml:space="preserve"> PAGEREF _Toc23769573 \h </w:instrText>
        </w:r>
        <w:r w:rsidR="007D4948" w:rsidRPr="007D1918">
          <w:rPr>
            <w:webHidden/>
          </w:rPr>
        </w:r>
        <w:r w:rsidR="007D4948" w:rsidRPr="007D1918">
          <w:rPr>
            <w:webHidden/>
          </w:rPr>
          <w:fldChar w:fldCharType="separate"/>
        </w:r>
        <w:r w:rsidR="007D4948" w:rsidRPr="007D1918">
          <w:rPr>
            <w:webHidden/>
          </w:rPr>
          <w:t>157</w:t>
        </w:r>
        <w:r w:rsidR="007D4948" w:rsidRPr="007D1918">
          <w:rPr>
            <w:webHidden/>
          </w:rPr>
          <w:fldChar w:fldCharType="end"/>
        </w:r>
      </w:hyperlink>
    </w:p>
    <w:p w14:paraId="6544BA8D" w14:textId="0DF2A1FD" w:rsidR="007D4948" w:rsidRPr="007D1918" w:rsidRDefault="002814BF">
      <w:pPr>
        <w:pStyle w:val="TableofFigures"/>
        <w:rPr>
          <w:rFonts w:asciiTheme="minorHAnsi" w:eastAsiaTheme="minorEastAsia" w:hAnsiTheme="minorHAnsi" w:cstheme="minorBidi"/>
        </w:rPr>
      </w:pPr>
      <w:hyperlink w:anchor="_Toc23769574" w:history="1">
        <w:r w:rsidR="007D4948" w:rsidRPr="007D1918">
          <w:rPr>
            <w:rStyle w:val="Hyperlink"/>
          </w:rPr>
          <w:t xml:space="preserve">Table 87 </w:t>
        </w:r>
        <w:r w:rsidR="007D4948" w:rsidRPr="007D1918">
          <w:rPr>
            <w:rFonts w:asciiTheme="minorHAnsi" w:eastAsiaTheme="minorEastAsia" w:hAnsiTheme="minorHAnsi" w:cstheme="minorBidi"/>
          </w:rPr>
          <w:tab/>
        </w:r>
        <w:r w:rsidR="007D4948" w:rsidRPr="007D1918">
          <w:rPr>
            <w:rStyle w:val="Hyperlink"/>
          </w:rPr>
          <w:t>Exploratory cost-utility analysis for IVIg vs PE over varying time doses and time horizons, incorporating costs and QALY impacts associated with sepsis in Indication 3, discounted.</w:t>
        </w:r>
        <w:r w:rsidR="007D4948" w:rsidRPr="007D1918">
          <w:rPr>
            <w:webHidden/>
          </w:rPr>
          <w:tab/>
        </w:r>
        <w:r w:rsidR="007D4948" w:rsidRPr="007D1918">
          <w:rPr>
            <w:webHidden/>
          </w:rPr>
          <w:fldChar w:fldCharType="begin"/>
        </w:r>
        <w:r w:rsidR="007D4948" w:rsidRPr="007D1918">
          <w:rPr>
            <w:webHidden/>
          </w:rPr>
          <w:instrText xml:space="preserve"> PAGEREF _Toc23769574 \h </w:instrText>
        </w:r>
        <w:r w:rsidR="007D4948" w:rsidRPr="007D1918">
          <w:rPr>
            <w:webHidden/>
          </w:rPr>
        </w:r>
        <w:r w:rsidR="007D4948" w:rsidRPr="007D1918">
          <w:rPr>
            <w:webHidden/>
          </w:rPr>
          <w:fldChar w:fldCharType="separate"/>
        </w:r>
        <w:r w:rsidR="007D4948" w:rsidRPr="007D1918">
          <w:rPr>
            <w:webHidden/>
          </w:rPr>
          <w:t>159</w:t>
        </w:r>
        <w:r w:rsidR="007D4948" w:rsidRPr="007D1918">
          <w:rPr>
            <w:webHidden/>
          </w:rPr>
          <w:fldChar w:fldCharType="end"/>
        </w:r>
      </w:hyperlink>
    </w:p>
    <w:p w14:paraId="18B5A69D" w14:textId="7B9A7244" w:rsidR="007D4948" w:rsidRPr="007D1918" w:rsidRDefault="002814BF">
      <w:pPr>
        <w:pStyle w:val="TableofFigures"/>
        <w:rPr>
          <w:rFonts w:asciiTheme="minorHAnsi" w:eastAsiaTheme="minorEastAsia" w:hAnsiTheme="minorHAnsi" w:cstheme="minorBidi"/>
        </w:rPr>
      </w:pPr>
      <w:hyperlink w:anchor="_Toc23769575" w:history="1">
        <w:r w:rsidR="007D4948" w:rsidRPr="007D1918">
          <w:rPr>
            <w:rStyle w:val="Hyperlink"/>
          </w:rPr>
          <w:t xml:space="preserve">Table 88 </w:t>
        </w:r>
        <w:r w:rsidR="007D4948" w:rsidRPr="007D1918">
          <w:rPr>
            <w:rFonts w:asciiTheme="minorHAnsi" w:eastAsiaTheme="minorEastAsia" w:hAnsiTheme="minorHAnsi" w:cstheme="minorBidi"/>
          </w:rPr>
          <w:tab/>
        </w:r>
        <w:r w:rsidR="007D4948" w:rsidRPr="007D1918">
          <w:rPr>
            <w:rStyle w:val="Hyperlink"/>
          </w:rPr>
          <w:t>Costs of other potential comparators for Indication 3 over varying time horizons (undiscounted and discounted at 5%pa</w:t>
        </w:r>
        <w:r w:rsidR="007D4948" w:rsidRPr="007D1918">
          <w:rPr>
            <w:webHidden/>
          </w:rPr>
          <w:tab/>
        </w:r>
        <w:r w:rsidR="007D4948" w:rsidRPr="007D1918">
          <w:rPr>
            <w:webHidden/>
          </w:rPr>
          <w:fldChar w:fldCharType="begin"/>
        </w:r>
        <w:r w:rsidR="007D4948" w:rsidRPr="007D1918">
          <w:rPr>
            <w:webHidden/>
          </w:rPr>
          <w:instrText xml:space="preserve"> PAGEREF _Toc23769575 \h </w:instrText>
        </w:r>
        <w:r w:rsidR="007D4948" w:rsidRPr="007D1918">
          <w:rPr>
            <w:webHidden/>
          </w:rPr>
        </w:r>
        <w:r w:rsidR="007D4948" w:rsidRPr="007D1918">
          <w:rPr>
            <w:webHidden/>
          </w:rPr>
          <w:fldChar w:fldCharType="separate"/>
        </w:r>
        <w:r w:rsidR="007D4948" w:rsidRPr="007D1918">
          <w:rPr>
            <w:webHidden/>
          </w:rPr>
          <w:t>160</w:t>
        </w:r>
        <w:r w:rsidR="007D4948" w:rsidRPr="007D1918">
          <w:rPr>
            <w:webHidden/>
          </w:rPr>
          <w:fldChar w:fldCharType="end"/>
        </w:r>
      </w:hyperlink>
    </w:p>
    <w:p w14:paraId="0BC5A463" w14:textId="013DDE71" w:rsidR="007D4948" w:rsidRPr="007D1918" w:rsidRDefault="002814BF">
      <w:pPr>
        <w:pStyle w:val="TableofFigures"/>
        <w:rPr>
          <w:rFonts w:asciiTheme="minorHAnsi" w:eastAsiaTheme="minorEastAsia" w:hAnsiTheme="minorHAnsi" w:cstheme="minorBidi"/>
        </w:rPr>
      </w:pPr>
      <w:hyperlink w:anchor="_Toc23769576" w:history="1">
        <w:r w:rsidR="007D4948" w:rsidRPr="007D1918">
          <w:rPr>
            <w:rStyle w:val="Hyperlink"/>
          </w:rPr>
          <w:t>Table 89</w:t>
        </w:r>
        <w:r w:rsidR="007D4948" w:rsidRPr="007D1918">
          <w:rPr>
            <w:rFonts w:asciiTheme="minorHAnsi" w:eastAsiaTheme="minorEastAsia" w:hAnsiTheme="minorHAnsi" w:cstheme="minorBidi"/>
          </w:rPr>
          <w:tab/>
        </w:r>
        <w:r w:rsidR="007D4948" w:rsidRPr="007D1918">
          <w:rPr>
            <w:rStyle w:val="Hyperlink"/>
          </w:rPr>
          <w:t>Indication 3 Sensitivity analyses; IVIg costs with alternate IVIg prices (discounted analysis)</w:t>
        </w:r>
        <w:r w:rsidR="007D4948" w:rsidRPr="007D1918">
          <w:rPr>
            <w:webHidden/>
          </w:rPr>
          <w:tab/>
        </w:r>
        <w:r w:rsidR="007D4948" w:rsidRPr="007D1918">
          <w:rPr>
            <w:webHidden/>
          </w:rPr>
          <w:fldChar w:fldCharType="begin"/>
        </w:r>
        <w:r w:rsidR="007D4948" w:rsidRPr="007D1918">
          <w:rPr>
            <w:webHidden/>
          </w:rPr>
          <w:instrText xml:space="preserve"> PAGEREF _Toc23769576 \h </w:instrText>
        </w:r>
        <w:r w:rsidR="007D4948" w:rsidRPr="007D1918">
          <w:rPr>
            <w:webHidden/>
          </w:rPr>
        </w:r>
        <w:r w:rsidR="007D4948" w:rsidRPr="007D1918">
          <w:rPr>
            <w:webHidden/>
          </w:rPr>
          <w:fldChar w:fldCharType="separate"/>
        </w:r>
        <w:r w:rsidR="007D4948" w:rsidRPr="007D1918">
          <w:rPr>
            <w:webHidden/>
          </w:rPr>
          <w:t>161</w:t>
        </w:r>
        <w:r w:rsidR="007D4948" w:rsidRPr="007D1918">
          <w:rPr>
            <w:webHidden/>
          </w:rPr>
          <w:fldChar w:fldCharType="end"/>
        </w:r>
      </w:hyperlink>
    </w:p>
    <w:p w14:paraId="38402B27" w14:textId="347D23FD" w:rsidR="007D4948" w:rsidRPr="007D1918" w:rsidRDefault="002814BF">
      <w:pPr>
        <w:pStyle w:val="TableofFigures"/>
        <w:rPr>
          <w:rFonts w:asciiTheme="minorHAnsi" w:eastAsiaTheme="minorEastAsia" w:hAnsiTheme="minorHAnsi" w:cstheme="minorBidi"/>
        </w:rPr>
      </w:pPr>
      <w:hyperlink w:anchor="_Toc23769577" w:history="1">
        <w:r w:rsidR="007D4948" w:rsidRPr="007D1918">
          <w:rPr>
            <w:rStyle w:val="Hyperlink"/>
          </w:rPr>
          <w:t>Table 90</w:t>
        </w:r>
        <w:r w:rsidR="007D4948" w:rsidRPr="007D1918">
          <w:rPr>
            <w:rFonts w:asciiTheme="minorHAnsi" w:eastAsiaTheme="minorEastAsia" w:hAnsiTheme="minorHAnsi" w:cstheme="minorBidi"/>
          </w:rPr>
          <w:tab/>
        </w:r>
        <w:r w:rsidR="007D4948" w:rsidRPr="007D1918">
          <w:rPr>
            <w:rStyle w:val="Hyperlink"/>
          </w:rPr>
          <w:t>Number of patients and grams issued for MG patients who received Ig, 2011-12 to 2017-18</w:t>
        </w:r>
        <w:r w:rsidR="007D4948" w:rsidRPr="007D1918">
          <w:rPr>
            <w:webHidden/>
          </w:rPr>
          <w:tab/>
        </w:r>
        <w:r w:rsidR="007D4948" w:rsidRPr="007D1918">
          <w:rPr>
            <w:webHidden/>
          </w:rPr>
          <w:fldChar w:fldCharType="begin"/>
        </w:r>
        <w:r w:rsidR="007D4948" w:rsidRPr="007D1918">
          <w:rPr>
            <w:webHidden/>
          </w:rPr>
          <w:instrText xml:space="preserve"> PAGEREF _Toc23769577 \h </w:instrText>
        </w:r>
        <w:r w:rsidR="007D4948" w:rsidRPr="007D1918">
          <w:rPr>
            <w:webHidden/>
          </w:rPr>
        </w:r>
        <w:r w:rsidR="007D4948" w:rsidRPr="007D1918">
          <w:rPr>
            <w:webHidden/>
          </w:rPr>
          <w:fldChar w:fldCharType="separate"/>
        </w:r>
        <w:r w:rsidR="007D4948" w:rsidRPr="007D1918">
          <w:rPr>
            <w:webHidden/>
          </w:rPr>
          <w:t>162</w:t>
        </w:r>
        <w:r w:rsidR="007D4948" w:rsidRPr="007D1918">
          <w:rPr>
            <w:webHidden/>
          </w:rPr>
          <w:fldChar w:fldCharType="end"/>
        </w:r>
      </w:hyperlink>
    </w:p>
    <w:p w14:paraId="10C4520F" w14:textId="74F84B8D" w:rsidR="007D4948" w:rsidRPr="007D1918" w:rsidRDefault="002814BF">
      <w:pPr>
        <w:pStyle w:val="TableofFigures"/>
        <w:rPr>
          <w:rFonts w:asciiTheme="minorHAnsi" w:eastAsiaTheme="minorEastAsia" w:hAnsiTheme="minorHAnsi" w:cstheme="minorBidi"/>
        </w:rPr>
      </w:pPr>
      <w:hyperlink w:anchor="_Toc23769578" w:history="1">
        <w:r w:rsidR="007D4948" w:rsidRPr="007D1918">
          <w:rPr>
            <w:rStyle w:val="Hyperlink"/>
          </w:rPr>
          <w:t>Table 91</w:t>
        </w:r>
        <w:r w:rsidR="007D4948" w:rsidRPr="007D1918">
          <w:rPr>
            <w:rFonts w:asciiTheme="minorHAnsi" w:eastAsiaTheme="minorEastAsia" w:hAnsiTheme="minorHAnsi" w:cstheme="minorBidi"/>
          </w:rPr>
          <w:tab/>
        </w:r>
        <w:r w:rsidR="007D4948" w:rsidRPr="007D1918">
          <w:rPr>
            <w:rStyle w:val="Hyperlink"/>
          </w:rPr>
          <w:t>Number of MG patients projected to receive Ig by indication, 2019-20 to 2023-24</w:t>
        </w:r>
        <w:r w:rsidR="007D4948" w:rsidRPr="007D1918">
          <w:rPr>
            <w:webHidden/>
          </w:rPr>
          <w:tab/>
        </w:r>
        <w:r w:rsidR="007D4948" w:rsidRPr="007D1918">
          <w:rPr>
            <w:webHidden/>
          </w:rPr>
          <w:fldChar w:fldCharType="begin"/>
        </w:r>
        <w:r w:rsidR="007D4948" w:rsidRPr="007D1918">
          <w:rPr>
            <w:webHidden/>
          </w:rPr>
          <w:instrText xml:space="preserve"> PAGEREF _Toc23769578 \h </w:instrText>
        </w:r>
        <w:r w:rsidR="007D4948" w:rsidRPr="007D1918">
          <w:rPr>
            <w:webHidden/>
          </w:rPr>
        </w:r>
        <w:r w:rsidR="007D4948" w:rsidRPr="007D1918">
          <w:rPr>
            <w:webHidden/>
          </w:rPr>
          <w:fldChar w:fldCharType="separate"/>
        </w:r>
        <w:r w:rsidR="007D4948" w:rsidRPr="007D1918">
          <w:rPr>
            <w:webHidden/>
          </w:rPr>
          <w:t>163</w:t>
        </w:r>
        <w:r w:rsidR="007D4948" w:rsidRPr="007D1918">
          <w:rPr>
            <w:webHidden/>
          </w:rPr>
          <w:fldChar w:fldCharType="end"/>
        </w:r>
      </w:hyperlink>
    </w:p>
    <w:p w14:paraId="568CC996" w14:textId="155612B0" w:rsidR="007D4948" w:rsidRPr="007D1918" w:rsidRDefault="002814BF">
      <w:pPr>
        <w:pStyle w:val="TableofFigures"/>
        <w:rPr>
          <w:rFonts w:asciiTheme="minorHAnsi" w:eastAsiaTheme="minorEastAsia" w:hAnsiTheme="minorHAnsi" w:cstheme="minorBidi"/>
        </w:rPr>
      </w:pPr>
      <w:hyperlink w:anchor="_Toc23769579" w:history="1">
        <w:r w:rsidR="007D4948" w:rsidRPr="007D1918">
          <w:rPr>
            <w:rStyle w:val="Hyperlink"/>
          </w:rPr>
          <w:t>Table 92</w:t>
        </w:r>
        <w:r w:rsidR="007D4948" w:rsidRPr="007D1918">
          <w:rPr>
            <w:rFonts w:asciiTheme="minorHAnsi" w:eastAsiaTheme="minorEastAsia" w:hAnsiTheme="minorHAnsi" w:cstheme="minorBidi"/>
          </w:rPr>
          <w:tab/>
        </w:r>
        <w:r w:rsidR="007D4948" w:rsidRPr="007D1918">
          <w:rPr>
            <w:rStyle w:val="Hyperlink"/>
          </w:rPr>
          <w:t>Projected number of Ig grams issued by indication, 2019-20 to 2023-24</w:t>
        </w:r>
        <w:r w:rsidR="007D4948" w:rsidRPr="007D1918">
          <w:rPr>
            <w:webHidden/>
          </w:rPr>
          <w:tab/>
        </w:r>
        <w:r w:rsidR="007D4948" w:rsidRPr="007D1918">
          <w:rPr>
            <w:webHidden/>
          </w:rPr>
          <w:fldChar w:fldCharType="begin"/>
        </w:r>
        <w:r w:rsidR="007D4948" w:rsidRPr="007D1918">
          <w:rPr>
            <w:webHidden/>
          </w:rPr>
          <w:instrText xml:space="preserve"> PAGEREF _Toc23769579 \h </w:instrText>
        </w:r>
        <w:r w:rsidR="007D4948" w:rsidRPr="007D1918">
          <w:rPr>
            <w:webHidden/>
          </w:rPr>
        </w:r>
        <w:r w:rsidR="007D4948" w:rsidRPr="007D1918">
          <w:rPr>
            <w:webHidden/>
          </w:rPr>
          <w:fldChar w:fldCharType="separate"/>
        </w:r>
        <w:r w:rsidR="007D4948" w:rsidRPr="007D1918">
          <w:rPr>
            <w:webHidden/>
          </w:rPr>
          <w:t>164</w:t>
        </w:r>
        <w:r w:rsidR="007D4948" w:rsidRPr="007D1918">
          <w:rPr>
            <w:webHidden/>
          </w:rPr>
          <w:fldChar w:fldCharType="end"/>
        </w:r>
      </w:hyperlink>
    </w:p>
    <w:p w14:paraId="721E6BE9" w14:textId="4A473BF8" w:rsidR="007D4948" w:rsidRPr="007D1918" w:rsidRDefault="002814BF">
      <w:pPr>
        <w:pStyle w:val="TableofFigures"/>
        <w:rPr>
          <w:rFonts w:asciiTheme="minorHAnsi" w:eastAsiaTheme="minorEastAsia" w:hAnsiTheme="minorHAnsi" w:cstheme="minorBidi"/>
        </w:rPr>
      </w:pPr>
      <w:hyperlink w:anchor="_Toc23769580" w:history="1">
        <w:r w:rsidR="007D4948" w:rsidRPr="007D1918">
          <w:rPr>
            <w:rStyle w:val="Hyperlink"/>
          </w:rPr>
          <w:t>Table 93</w:t>
        </w:r>
        <w:r w:rsidR="007D4948" w:rsidRPr="007D1918">
          <w:rPr>
            <w:rFonts w:asciiTheme="minorHAnsi" w:eastAsiaTheme="minorEastAsia" w:hAnsiTheme="minorHAnsi" w:cstheme="minorBidi"/>
          </w:rPr>
          <w:tab/>
        </w:r>
        <w:r w:rsidR="007D4948" w:rsidRPr="007D1918">
          <w:rPr>
            <w:rStyle w:val="Hyperlink"/>
          </w:rPr>
          <w:t>Average Ig use (g) per patient per year</w:t>
        </w:r>
        <w:r w:rsidR="007D4948" w:rsidRPr="007D1918">
          <w:rPr>
            <w:webHidden/>
          </w:rPr>
          <w:tab/>
        </w:r>
        <w:r w:rsidR="007D4948" w:rsidRPr="007D1918">
          <w:rPr>
            <w:webHidden/>
          </w:rPr>
          <w:fldChar w:fldCharType="begin"/>
        </w:r>
        <w:r w:rsidR="007D4948" w:rsidRPr="007D1918">
          <w:rPr>
            <w:webHidden/>
          </w:rPr>
          <w:instrText xml:space="preserve"> PAGEREF _Toc23769580 \h </w:instrText>
        </w:r>
        <w:r w:rsidR="007D4948" w:rsidRPr="007D1918">
          <w:rPr>
            <w:webHidden/>
          </w:rPr>
        </w:r>
        <w:r w:rsidR="007D4948" w:rsidRPr="007D1918">
          <w:rPr>
            <w:webHidden/>
          </w:rPr>
          <w:fldChar w:fldCharType="separate"/>
        </w:r>
        <w:r w:rsidR="007D4948" w:rsidRPr="007D1918">
          <w:rPr>
            <w:webHidden/>
          </w:rPr>
          <w:t>165</w:t>
        </w:r>
        <w:r w:rsidR="007D4948" w:rsidRPr="007D1918">
          <w:rPr>
            <w:webHidden/>
          </w:rPr>
          <w:fldChar w:fldCharType="end"/>
        </w:r>
      </w:hyperlink>
    </w:p>
    <w:p w14:paraId="141EC37B" w14:textId="20462373" w:rsidR="007D4948" w:rsidRPr="007D1918" w:rsidRDefault="002814BF">
      <w:pPr>
        <w:pStyle w:val="TableofFigures"/>
        <w:rPr>
          <w:rFonts w:asciiTheme="minorHAnsi" w:eastAsiaTheme="minorEastAsia" w:hAnsiTheme="minorHAnsi" w:cstheme="minorBidi"/>
        </w:rPr>
      </w:pPr>
      <w:hyperlink w:anchor="_Toc23769581" w:history="1">
        <w:r w:rsidR="007D4948" w:rsidRPr="007D1918">
          <w:rPr>
            <w:rStyle w:val="Hyperlink"/>
          </w:rPr>
          <w:t>Table 94</w:t>
        </w:r>
        <w:r w:rsidR="007D4948" w:rsidRPr="007D1918">
          <w:rPr>
            <w:rFonts w:asciiTheme="minorHAnsi" w:eastAsiaTheme="minorEastAsia" w:hAnsiTheme="minorHAnsi" w:cstheme="minorBidi"/>
          </w:rPr>
          <w:tab/>
        </w:r>
        <w:r w:rsidR="007D4948" w:rsidRPr="007D1918">
          <w:rPr>
            <w:rStyle w:val="Hyperlink"/>
          </w:rPr>
          <w:t>Cost of Ig for MG, 2019-20 to 2023-24</w:t>
        </w:r>
        <w:r w:rsidR="007D4948" w:rsidRPr="007D1918">
          <w:rPr>
            <w:webHidden/>
          </w:rPr>
          <w:tab/>
        </w:r>
        <w:r w:rsidR="007D4948" w:rsidRPr="007D1918">
          <w:rPr>
            <w:webHidden/>
          </w:rPr>
          <w:fldChar w:fldCharType="begin"/>
        </w:r>
        <w:r w:rsidR="007D4948" w:rsidRPr="007D1918">
          <w:rPr>
            <w:webHidden/>
          </w:rPr>
          <w:instrText xml:space="preserve"> PAGEREF _Toc23769581 \h </w:instrText>
        </w:r>
        <w:r w:rsidR="007D4948" w:rsidRPr="007D1918">
          <w:rPr>
            <w:webHidden/>
          </w:rPr>
        </w:r>
        <w:r w:rsidR="007D4948" w:rsidRPr="007D1918">
          <w:rPr>
            <w:webHidden/>
          </w:rPr>
          <w:fldChar w:fldCharType="separate"/>
        </w:r>
        <w:r w:rsidR="007D4948" w:rsidRPr="007D1918">
          <w:rPr>
            <w:webHidden/>
          </w:rPr>
          <w:t>166</w:t>
        </w:r>
        <w:r w:rsidR="007D4948" w:rsidRPr="007D1918">
          <w:rPr>
            <w:webHidden/>
          </w:rPr>
          <w:fldChar w:fldCharType="end"/>
        </w:r>
      </w:hyperlink>
    </w:p>
    <w:p w14:paraId="7B3E06A5" w14:textId="44333213" w:rsidR="007D4948" w:rsidRPr="007D1918" w:rsidRDefault="002814BF">
      <w:pPr>
        <w:pStyle w:val="TableofFigures"/>
        <w:rPr>
          <w:rFonts w:asciiTheme="minorHAnsi" w:eastAsiaTheme="minorEastAsia" w:hAnsiTheme="minorHAnsi" w:cstheme="minorBidi"/>
        </w:rPr>
      </w:pPr>
      <w:hyperlink w:anchor="_Toc23769582" w:history="1">
        <w:r w:rsidR="007D4948" w:rsidRPr="007D1918">
          <w:rPr>
            <w:rStyle w:val="Hyperlink"/>
          </w:rPr>
          <w:t>Table 95</w:t>
        </w:r>
        <w:r w:rsidR="007D4948" w:rsidRPr="007D1918">
          <w:rPr>
            <w:rFonts w:asciiTheme="minorHAnsi" w:eastAsiaTheme="minorEastAsia" w:hAnsiTheme="minorHAnsi" w:cstheme="minorBidi"/>
          </w:rPr>
          <w:tab/>
        </w:r>
        <w:r w:rsidR="007D4948" w:rsidRPr="007D1918">
          <w:rPr>
            <w:rStyle w:val="Hyperlink"/>
          </w:rPr>
          <w:t>Additional costs associated with IVIg use (administration costs) for Indications 2 and 3</w:t>
        </w:r>
        <w:r w:rsidR="007D4948" w:rsidRPr="007D1918">
          <w:rPr>
            <w:webHidden/>
          </w:rPr>
          <w:tab/>
        </w:r>
        <w:r w:rsidR="007D4948" w:rsidRPr="007D1918">
          <w:rPr>
            <w:webHidden/>
          </w:rPr>
          <w:fldChar w:fldCharType="begin"/>
        </w:r>
        <w:r w:rsidR="007D4948" w:rsidRPr="007D1918">
          <w:rPr>
            <w:webHidden/>
          </w:rPr>
          <w:instrText xml:space="preserve"> PAGEREF _Toc23769582 \h </w:instrText>
        </w:r>
        <w:r w:rsidR="007D4948" w:rsidRPr="007D1918">
          <w:rPr>
            <w:webHidden/>
          </w:rPr>
        </w:r>
        <w:r w:rsidR="007D4948" w:rsidRPr="007D1918">
          <w:rPr>
            <w:webHidden/>
          </w:rPr>
          <w:fldChar w:fldCharType="separate"/>
        </w:r>
        <w:r w:rsidR="007D4948" w:rsidRPr="007D1918">
          <w:rPr>
            <w:webHidden/>
          </w:rPr>
          <w:t>167</w:t>
        </w:r>
        <w:r w:rsidR="007D4948" w:rsidRPr="007D1918">
          <w:rPr>
            <w:webHidden/>
          </w:rPr>
          <w:fldChar w:fldCharType="end"/>
        </w:r>
      </w:hyperlink>
    </w:p>
    <w:p w14:paraId="1591D44A" w14:textId="465BA23A" w:rsidR="007D4948" w:rsidRPr="007D1918" w:rsidRDefault="002814BF">
      <w:pPr>
        <w:pStyle w:val="TableofFigures"/>
        <w:rPr>
          <w:rFonts w:asciiTheme="minorHAnsi" w:eastAsiaTheme="minorEastAsia" w:hAnsiTheme="minorHAnsi" w:cstheme="minorBidi"/>
        </w:rPr>
      </w:pPr>
      <w:hyperlink w:anchor="_Toc23769583" w:history="1">
        <w:r w:rsidR="007D4948" w:rsidRPr="007D1918">
          <w:rPr>
            <w:rStyle w:val="Hyperlink"/>
          </w:rPr>
          <w:t>Table 96</w:t>
        </w:r>
        <w:r w:rsidR="007D4948" w:rsidRPr="007D1918">
          <w:rPr>
            <w:rFonts w:asciiTheme="minorHAnsi" w:eastAsiaTheme="minorEastAsia" w:hAnsiTheme="minorHAnsi" w:cstheme="minorBidi"/>
          </w:rPr>
          <w:tab/>
        </w:r>
        <w:r w:rsidR="007D4948" w:rsidRPr="007D1918">
          <w:rPr>
            <w:rStyle w:val="Hyperlink"/>
          </w:rPr>
          <w:t>Cost offsets due to IVIg use (reduced use of PE for Indications 1 and 2, other comparators for Indication 3.</w:t>
        </w:r>
        <w:r w:rsidR="007D4948" w:rsidRPr="007D1918">
          <w:rPr>
            <w:webHidden/>
          </w:rPr>
          <w:tab/>
        </w:r>
        <w:r w:rsidR="007D4948" w:rsidRPr="007D1918">
          <w:rPr>
            <w:webHidden/>
          </w:rPr>
          <w:fldChar w:fldCharType="begin"/>
        </w:r>
        <w:r w:rsidR="007D4948" w:rsidRPr="007D1918">
          <w:rPr>
            <w:webHidden/>
          </w:rPr>
          <w:instrText xml:space="preserve"> PAGEREF _Toc23769583 \h </w:instrText>
        </w:r>
        <w:r w:rsidR="007D4948" w:rsidRPr="007D1918">
          <w:rPr>
            <w:webHidden/>
          </w:rPr>
        </w:r>
        <w:r w:rsidR="007D4948" w:rsidRPr="007D1918">
          <w:rPr>
            <w:webHidden/>
          </w:rPr>
          <w:fldChar w:fldCharType="separate"/>
        </w:r>
        <w:r w:rsidR="007D4948" w:rsidRPr="007D1918">
          <w:rPr>
            <w:webHidden/>
          </w:rPr>
          <w:t>168</w:t>
        </w:r>
        <w:r w:rsidR="007D4948" w:rsidRPr="007D1918">
          <w:rPr>
            <w:webHidden/>
          </w:rPr>
          <w:fldChar w:fldCharType="end"/>
        </w:r>
      </w:hyperlink>
    </w:p>
    <w:p w14:paraId="1689E78A" w14:textId="4A5EF549" w:rsidR="007D4948" w:rsidRPr="007D1918" w:rsidRDefault="002814BF">
      <w:pPr>
        <w:pStyle w:val="TableofFigures"/>
        <w:rPr>
          <w:rFonts w:asciiTheme="minorHAnsi" w:eastAsiaTheme="minorEastAsia" w:hAnsiTheme="minorHAnsi" w:cstheme="minorBidi"/>
        </w:rPr>
      </w:pPr>
      <w:hyperlink w:anchor="_Toc23769584" w:history="1">
        <w:r w:rsidR="007D4948" w:rsidRPr="007D1918">
          <w:rPr>
            <w:rStyle w:val="Hyperlink"/>
          </w:rPr>
          <w:t>Table 97</w:t>
        </w:r>
        <w:r w:rsidR="007D4948" w:rsidRPr="007D1918">
          <w:rPr>
            <w:rFonts w:asciiTheme="minorHAnsi" w:eastAsiaTheme="minorEastAsia" w:hAnsiTheme="minorHAnsi" w:cstheme="minorBidi"/>
          </w:rPr>
          <w:tab/>
        </w:r>
        <w:r w:rsidR="007D4948" w:rsidRPr="007D1918">
          <w:rPr>
            <w:rStyle w:val="Hyperlink"/>
          </w:rPr>
          <w:t>Net financial implications to government associated with Ig for MG</w:t>
        </w:r>
        <w:r w:rsidR="007D4948" w:rsidRPr="007D1918">
          <w:rPr>
            <w:webHidden/>
          </w:rPr>
          <w:tab/>
        </w:r>
        <w:r w:rsidR="007D4948" w:rsidRPr="007D1918">
          <w:rPr>
            <w:webHidden/>
          </w:rPr>
          <w:fldChar w:fldCharType="begin"/>
        </w:r>
        <w:r w:rsidR="007D4948" w:rsidRPr="007D1918">
          <w:rPr>
            <w:webHidden/>
          </w:rPr>
          <w:instrText xml:space="preserve"> PAGEREF _Toc23769584 \h </w:instrText>
        </w:r>
        <w:r w:rsidR="007D4948" w:rsidRPr="007D1918">
          <w:rPr>
            <w:webHidden/>
          </w:rPr>
        </w:r>
        <w:r w:rsidR="007D4948" w:rsidRPr="007D1918">
          <w:rPr>
            <w:webHidden/>
          </w:rPr>
          <w:fldChar w:fldCharType="separate"/>
        </w:r>
        <w:r w:rsidR="007D4948" w:rsidRPr="007D1918">
          <w:rPr>
            <w:webHidden/>
          </w:rPr>
          <w:t>169</w:t>
        </w:r>
        <w:r w:rsidR="007D4948" w:rsidRPr="007D1918">
          <w:rPr>
            <w:webHidden/>
          </w:rPr>
          <w:fldChar w:fldCharType="end"/>
        </w:r>
      </w:hyperlink>
    </w:p>
    <w:p w14:paraId="438445A4" w14:textId="32896205" w:rsidR="007D4948" w:rsidRPr="007D1918" w:rsidRDefault="002814BF">
      <w:pPr>
        <w:pStyle w:val="TableofFigures"/>
        <w:rPr>
          <w:rFonts w:asciiTheme="minorHAnsi" w:eastAsiaTheme="minorEastAsia" w:hAnsiTheme="minorHAnsi" w:cstheme="minorBidi"/>
        </w:rPr>
      </w:pPr>
      <w:hyperlink w:anchor="_Toc23769585" w:history="1">
        <w:r w:rsidR="007D4948" w:rsidRPr="007D1918">
          <w:rPr>
            <w:rStyle w:val="Hyperlink"/>
          </w:rPr>
          <w:t>Table 98</w:t>
        </w:r>
        <w:r w:rsidR="007D4948" w:rsidRPr="007D1918">
          <w:rPr>
            <w:rFonts w:asciiTheme="minorHAnsi" w:eastAsiaTheme="minorEastAsia" w:hAnsiTheme="minorHAnsi" w:cstheme="minorBidi"/>
          </w:rPr>
          <w:tab/>
        </w:r>
        <w:r w:rsidR="007D4948" w:rsidRPr="007D1918">
          <w:rPr>
            <w:rStyle w:val="Hyperlink"/>
          </w:rPr>
          <w:t>Sensitivity analyses around the financial implication estimates, net cost (Commonwealth and states)</w:t>
        </w:r>
        <w:r w:rsidR="007D4948" w:rsidRPr="007D1918">
          <w:rPr>
            <w:webHidden/>
          </w:rPr>
          <w:tab/>
        </w:r>
        <w:r w:rsidR="007D4948" w:rsidRPr="007D1918">
          <w:rPr>
            <w:webHidden/>
          </w:rPr>
          <w:fldChar w:fldCharType="begin"/>
        </w:r>
        <w:r w:rsidR="007D4948" w:rsidRPr="007D1918">
          <w:rPr>
            <w:webHidden/>
          </w:rPr>
          <w:instrText xml:space="preserve"> PAGEREF _Toc23769585 \h </w:instrText>
        </w:r>
        <w:r w:rsidR="007D4948" w:rsidRPr="007D1918">
          <w:rPr>
            <w:webHidden/>
          </w:rPr>
        </w:r>
        <w:r w:rsidR="007D4948" w:rsidRPr="007D1918">
          <w:rPr>
            <w:webHidden/>
          </w:rPr>
          <w:fldChar w:fldCharType="separate"/>
        </w:r>
        <w:r w:rsidR="007D4948" w:rsidRPr="007D1918">
          <w:rPr>
            <w:webHidden/>
          </w:rPr>
          <w:t>169</w:t>
        </w:r>
        <w:r w:rsidR="007D4948" w:rsidRPr="007D1918">
          <w:rPr>
            <w:webHidden/>
          </w:rPr>
          <w:fldChar w:fldCharType="end"/>
        </w:r>
      </w:hyperlink>
    </w:p>
    <w:p w14:paraId="44707A5F" w14:textId="642C8049" w:rsidR="007D4948" w:rsidRPr="007D1918" w:rsidRDefault="002814BF">
      <w:pPr>
        <w:pStyle w:val="TableofFigures"/>
        <w:rPr>
          <w:rFonts w:asciiTheme="minorHAnsi" w:eastAsiaTheme="minorEastAsia" w:hAnsiTheme="minorHAnsi" w:cstheme="minorBidi"/>
        </w:rPr>
      </w:pPr>
      <w:hyperlink w:anchor="_Toc23769586" w:history="1">
        <w:r w:rsidR="007D4948" w:rsidRPr="007D1918">
          <w:rPr>
            <w:rStyle w:val="Hyperlink"/>
          </w:rPr>
          <w:t>Table 99</w:t>
        </w:r>
        <w:r w:rsidR="007D4948" w:rsidRPr="007D1918">
          <w:rPr>
            <w:rFonts w:asciiTheme="minorHAnsi" w:eastAsiaTheme="minorEastAsia" w:hAnsiTheme="minorHAnsi" w:cstheme="minorBidi"/>
          </w:rPr>
          <w:tab/>
        </w:r>
        <w:r w:rsidR="007D4948" w:rsidRPr="007D1918">
          <w:rPr>
            <w:rStyle w:val="Hyperlink"/>
          </w:rPr>
          <w:t>Improvement following rituximab in patients with MG (Tandan et al. 2017)</w:t>
        </w:r>
        <w:r w:rsidR="007D4948" w:rsidRPr="007D1918">
          <w:rPr>
            <w:webHidden/>
          </w:rPr>
          <w:tab/>
        </w:r>
        <w:r w:rsidR="007D4948" w:rsidRPr="007D1918">
          <w:rPr>
            <w:webHidden/>
          </w:rPr>
          <w:fldChar w:fldCharType="begin"/>
        </w:r>
        <w:r w:rsidR="007D4948" w:rsidRPr="007D1918">
          <w:rPr>
            <w:webHidden/>
          </w:rPr>
          <w:instrText xml:space="preserve"> PAGEREF _Toc23769586 \h </w:instrText>
        </w:r>
        <w:r w:rsidR="007D4948" w:rsidRPr="007D1918">
          <w:rPr>
            <w:webHidden/>
          </w:rPr>
        </w:r>
        <w:r w:rsidR="007D4948" w:rsidRPr="007D1918">
          <w:rPr>
            <w:webHidden/>
          </w:rPr>
          <w:fldChar w:fldCharType="separate"/>
        </w:r>
        <w:r w:rsidR="007D4948" w:rsidRPr="007D1918">
          <w:rPr>
            <w:webHidden/>
          </w:rPr>
          <w:t>171</w:t>
        </w:r>
        <w:r w:rsidR="007D4948" w:rsidRPr="007D1918">
          <w:rPr>
            <w:webHidden/>
          </w:rPr>
          <w:fldChar w:fldCharType="end"/>
        </w:r>
      </w:hyperlink>
    </w:p>
    <w:p w14:paraId="2A136787" w14:textId="73C3CB7A" w:rsidR="007D4948" w:rsidRPr="007D1918" w:rsidRDefault="002814BF">
      <w:pPr>
        <w:pStyle w:val="TableofFigures"/>
        <w:rPr>
          <w:rFonts w:asciiTheme="minorHAnsi" w:eastAsiaTheme="minorEastAsia" w:hAnsiTheme="minorHAnsi" w:cstheme="minorBidi"/>
        </w:rPr>
      </w:pPr>
      <w:hyperlink w:anchor="_Toc23769587" w:history="1">
        <w:r w:rsidR="007D4948" w:rsidRPr="007D1918">
          <w:rPr>
            <w:rStyle w:val="Hyperlink"/>
          </w:rPr>
          <w:t>Table 100</w:t>
        </w:r>
        <w:r w:rsidR="007D4948" w:rsidRPr="007D1918">
          <w:rPr>
            <w:rFonts w:asciiTheme="minorHAnsi" w:eastAsiaTheme="minorEastAsia" w:hAnsiTheme="minorHAnsi" w:cstheme="minorBidi"/>
          </w:rPr>
          <w:tab/>
        </w:r>
        <w:r w:rsidR="007D4948" w:rsidRPr="007D1918">
          <w:rPr>
            <w:rStyle w:val="Hyperlink"/>
          </w:rPr>
          <w:t>Rate of clinical improvement in response to treatment in MuSK-MG patients</w:t>
        </w:r>
        <w:r w:rsidR="007D4948" w:rsidRPr="007D1918">
          <w:rPr>
            <w:webHidden/>
          </w:rPr>
          <w:tab/>
        </w:r>
        <w:r w:rsidR="007D4948" w:rsidRPr="007D1918">
          <w:rPr>
            <w:webHidden/>
          </w:rPr>
          <w:fldChar w:fldCharType="begin"/>
        </w:r>
        <w:r w:rsidR="007D4948" w:rsidRPr="007D1918">
          <w:rPr>
            <w:webHidden/>
          </w:rPr>
          <w:instrText xml:space="preserve"> PAGEREF _Toc23769587 \h </w:instrText>
        </w:r>
        <w:r w:rsidR="007D4948" w:rsidRPr="007D1918">
          <w:rPr>
            <w:webHidden/>
          </w:rPr>
        </w:r>
        <w:r w:rsidR="007D4948" w:rsidRPr="007D1918">
          <w:rPr>
            <w:webHidden/>
          </w:rPr>
          <w:fldChar w:fldCharType="separate"/>
        </w:r>
        <w:r w:rsidR="007D4948" w:rsidRPr="007D1918">
          <w:rPr>
            <w:webHidden/>
          </w:rPr>
          <w:t>174</w:t>
        </w:r>
        <w:r w:rsidR="007D4948" w:rsidRPr="007D1918">
          <w:rPr>
            <w:webHidden/>
          </w:rPr>
          <w:fldChar w:fldCharType="end"/>
        </w:r>
      </w:hyperlink>
    </w:p>
    <w:p w14:paraId="457777CA" w14:textId="18679378" w:rsidR="007D4948" w:rsidRPr="007D1918" w:rsidRDefault="002814BF">
      <w:pPr>
        <w:pStyle w:val="TableofFigures"/>
        <w:rPr>
          <w:rFonts w:asciiTheme="minorHAnsi" w:eastAsiaTheme="minorEastAsia" w:hAnsiTheme="minorHAnsi" w:cstheme="minorBidi"/>
        </w:rPr>
      </w:pPr>
      <w:hyperlink w:anchor="_Toc23769588" w:history="1">
        <w:r w:rsidR="007D4948" w:rsidRPr="007D1918">
          <w:rPr>
            <w:rStyle w:val="Hyperlink"/>
          </w:rPr>
          <w:t>Table 101</w:t>
        </w:r>
        <w:r w:rsidR="007D4948" w:rsidRPr="007D1918">
          <w:rPr>
            <w:rFonts w:asciiTheme="minorHAnsi" w:eastAsiaTheme="minorEastAsia" w:hAnsiTheme="minorHAnsi" w:cstheme="minorBidi"/>
          </w:rPr>
          <w:tab/>
        </w:r>
        <w:r w:rsidR="007D4948" w:rsidRPr="007D1918">
          <w:rPr>
            <w:rStyle w:val="Hyperlink"/>
          </w:rPr>
          <w:t>Systematic reviews comparing immunoglobulin with plasma exchange or other therapies for myasthenia gravis included in the assessment</w:t>
        </w:r>
        <w:r w:rsidR="007D4948" w:rsidRPr="007D1918">
          <w:rPr>
            <w:webHidden/>
          </w:rPr>
          <w:tab/>
        </w:r>
        <w:r w:rsidR="007D4948" w:rsidRPr="007D1918">
          <w:rPr>
            <w:webHidden/>
          </w:rPr>
          <w:fldChar w:fldCharType="begin"/>
        </w:r>
        <w:r w:rsidR="007D4948" w:rsidRPr="007D1918">
          <w:rPr>
            <w:webHidden/>
          </w:rPr>
          <w:instrText xml:space="preserve"> PAGEREF _Toc23769588 \h </w:instrText>
        </w:r>
        <w:r w:rsidR="007D4948" w:rsidRPr="007D1918">
          <w:rPr>
            <w:webHidden/>
          </w:rPr>
        </w:r>
        <w:r w:rsidR="007D4948" w:rsidRPr="007D1918">
          <w:rPr>
            <w:webHidden/>
          </w:rPr>
          <w:fldChar w:fldCharType="separate"/>
        </w:r>
        <w:r w:rsidR="007D4948" w:rsidRPr="007D1918">
          <w:rPr>
            <w:webHidden/>
          </w:rPr>
          <w:t>178</w:t>
        </w:r>
        <w:r w:rsidR="007D4948" w:rsidRPr="007D1918">
          <w:rPr>
            <w:webHidden/>
          </w:rPr>
          <w:fldChar w:fldCharType="end"/>
        </w:r>
      </w:hyperlink>
    </w:p>
    <w:p w14:paraId="133B60BE" w14:textId="7B400FC4" w:rsidR="007D4948" w:rsidRPr="007D1918" w:rsidRDefault="002814BF">
      <w:pPr>
        <w:pStyle w:val="TableofFigures"/>
        <w:rPr>
          <w:rFonts w:asciiTheme="minorHAnsi" w:eastAsiaTheme="minorEastAsia" w:hAnsiTheme="minorHAnsi" w:cstheme="minorBidi"/>
        </w:rPr>
      </w:pPr>
      <w:hyperlink w:anchor="_Toc23769589" w:history="1">
        <w:r w:rsidR="007D4948" w:rsidRPr="007D1918">
          <w:rPr>
            <w:rStyle w:val="Hyperlink"/>
          </w:rPr>
          <w:t>Table 102</w:t>
        </w:r>
        <w:r w:rsidR="007D4948" w:rsidRPr="007D1918">
          <w:rPr>
            <w:rFonts w:asciiTheme="minorHAnsi" w:eastAsiaTheme="minorEastAsia" w:hAnsiTheme="minorHAnsi" w:cstheme="minorBidi"/>
          </w:rPr>
          <w:tab/>
        </w:r>
        <w:r w:rsidR="007D4948" w:rsidRPr="007D1918">
          <w:rPr>
            <w:rStyle w:val="Hyperlink"/>
          </w:rPr>
          <w:t>Profiles of primary studies on immunoglobulin for myasthenia gravis included in the assessment</w:t>
        </w:r>
        <w:r w:rsidR="007D4948" w:rsidRPr="007D1918">
          <w:rPr>
            <w:webHidden/>
          </w:rPr>
          <w:tab/>
        </w:r>
        <w:r w:rsidR="007D4948" w:rsidRPr="007D1918">
          <w:rPr>
            <w:webHidden/>
          </w:rPr>
          <w:fldChar w:fldCharType="begin"/>
        </w:r>
        <w:r w:rsidR="007D4948" w:rsidRPr="007D1918">
          <w:rPr>
            <w:webHidden/>
          </w:rPr>
          <w:instrText xml:space="preserve"> PAGEREF _Toc23769589 \h </w:instrText>
        </w:r>
        <w:r w:rsidR="007D4948" w:rsidRPr="007D1918">
          <w:rPr>
            <w:webHidden/>
          </w:rPr>
        </w:r>
        <w:r w:rsidR="007D4948" w:rsidRPr="007D1918">
          <w:rPr>
            <w:webHidden/>
          </w:rPr>
          <w:fldChar w:fldCharType="separate"/>
        </w:r>
        <w:r w:rsidR="007D4948" w:rsidRPr="007D1918">
          <w:rPr>
            <w:webHidden/>
          </w:rPr>
          <w:t>182</w:t>
        </w:r>
        <w:r w:rsidR="007D4948" w:rsidRPr="007D1918">
          <w:rPr>
            <w:webHidden/>
          </w:rPr>
          <w:fldChar w:fldCharType="end"/>
        </w:r>
      </w:hyperlink>
    </w:p>
    <w:p w14:paraId="67FB2320" w14:textId="2C3A7D51" w:rsidR="007D4948" w:rsidRPr="007D1918" w:rsidRDefault="002814BF">
      <w:pPr>
        <w:pStyle w:val="TableofFigures"/>
        <w:rPr>
          <w:rFonts w:asciiTheme="minorHAnsi" w:eastAsiaTheme="minorEastAsia" w:hAnsiTheme="minorHAnsi" w:cstheme="minorBidi"/>
        </w:rPr>
      </w:pPr>
      <w:hyperlink w:anchor="_Toc23769590" w:history="1">
        <w:r w:rsidR="007D4948" w:rsidRPr="007D1918">
          <w:rPr>
            <w:rStyle w:val="Hyperlink"/>
          </w:rPr>
          <w:t>Table 103</w:t>
        </w:r>
        <w:r w:rsidR="007D4948" w:rsidRPr="007D1918">
          <w:rPr>
            <w:rFonts w:asciiTheme="minorHAnsi" w:eastAsiaTheme="minorEastAsia" w:hAnsiTheme="minorHAnsi" w:cstheme="minorBidi"/>
          </w:rPr>
          <w:tab/>
        </w:r>
        <w:r w:rsidR="007D4948" w:rsidRPr="007D1918">
          <w:rPr>
            <w:rStyle w:val="Hyperlink"/>
          </w:rPr>
          <w:t>Safety evidence profile table for IVIg in MG patients in or at risk of crisis (</w:t>
        </w:r>
        <w:r w:rsidR="007D4948" w:rsidRPr="007D1918">
          <w:rPr>
            <w:rStyle w:val="Hyperlink"/>
            <w:i/>
          </w:rPr>
          <w:t>Criteria V3</w:t>
        </w:r>
        <w:r w:rsidR="007D4948" w:rsidRPr="007D1918">
          <w:rPr>
            <w:rStyle w:val="Hyperlink"/>
          </w:rPr>
          <w:t xml:space="preserve"> Indication 1)</w:t>
        </w:r>
        <w:r w:rsidR="007D4948" w:rsidRPr="007D1918">
          <w:rPr>
            <w:webHidden/>
          </w:rPr>
          <w:tab/>
        </w:r>
        <w:r w:rsidR="007D4948" w:rsidRPr="007D1918">
          <w:rPr>
            <w:webHidden/>
          </w:rPr>
          <w:fldChar w:fldCharType="begin"/>
        </w:r>
        <w:r w:rsidR="007D4948" w:rsidRPr="007D1918">
          <w:rPr>
            <w:webHidden/>
          </w:rPr>
          <w:instrText xml:space="preserve"> PAGEREF _Toc23769590 \h </w:instrText>
        </w:r>
        <w:r w:rsidR="007D4948" w:rsidRPr="007D1918">
          <w:rPr>
            <w:webHidden/>
          </w:rPr>
        </w:r>
        <w:r w:rsidR="007D4948" w:rsidRPr="007D1918">
          <w:rPr>
            <w:webHidden/>
          </w:rPr>
          <w:fldChar w:fldCharType="separate"/>
        </w:r>
        <w:r w:rsidR="007D4948" w:rsidRPr="007D1918">
          <w:rPr>
            <w:webHidden/>
          </w:rPr>
          <w:t>194</w:t>
        </w:r>
        <w:r w:rsidR="007D4948" w:rsidRPr="007D1918">
          <w:rPr>
            <w:webHidden/>
          </w:rPr>
          <w:fldChar w:fldCharType="end"/>
        </w:r>
      </w:hyperlink>
    </w:p>
    <w:p w14:paraId="287F751E" w14:textId="0A245B56" w:rsidR="007D4948" w:rsidRPr="007D1918" w:rsidRDefault="002814BF">
      <w:pPr>
        <w:pStyle w:val="TableofFigures"/>
        <w:rPr>
          <w:rFonts w:asciiTheme="minorHAnsi" w:eastAsiaTheme="minorEastAsia" w:hAnsiTheme="minorHAnsi" w:cstheme="minorBidi"/>
        </w:rPr>
      </w:pPr>
      <w:hyperlink w:anchor="_Toc23769591" w:history="1">
        <w:r w:rsidR="007D4948" w:rsidRPr="007D1918">
          <w:rPr>
            <w:rStyle w:val="Hyperlink"/>
          </w:rPr>
          <w:t>Table 104</w:t>
        </w:r>
        <w:r w:rsidR="007D4948" w:rsidRPr="007D1918">
          <w:rPr>
            <w:rFonts w:asciiTheme="minorHAnsi" w:eastAsiaTheme="minorEastAsia" w:hAnsiTheme="minorHAnsi" w:cstheme="minorBidi"/>
          </w:rPr>
          <w:tab/>
        </w:r>
        <w:r w:rsidR="007D4948" w:rsidRPr="007D1918">
          <w:rPr>
            <w:rStyle w:val="Hyperlink"/>
          </w:rPr>
          <w:t>Safety evidence profile table for IVIg in MG patients preparing for surgery (</w:t>
        </w:r>
        <w:r w:rsidR="007D4948" w:rsidRPr="007D1918">
          <w:rPr>
            <w:rStyle w:val="Hyperlink"/>
            <w:i/>
          </w:rPr>
          <w:t>Criteria V3</w:t>
        </w:r>
        <w:r w:rsidR="007D4948" w:rsidRPr="007D1918">
          <w:rPr>
            <w:rStyle w:val="Hyperlink"/>
          </w:rPr>
          <w:t xml:space="preserve"> Indication 2)</w:t>
        </w:r>
        <w:r w:rsidR="007D4948" w:rsidRPr="007D1918">
          <w:rPr>
            <w:webHidden/>
          </w:rPr>
          <w:tab/>
        </w:r>
        <w:r w:rsidR="007D4948" w:rsidRPr="007D1918">
          <w:rPr>
            <w:webHidden/>
          </w:rPr>
          <w:fldChar w:fldCharType="begin"/>
        </w:r>
        <w:r w:rsidR="007D4948" w:rsidRPr="007D1918">
          <w:rPr>
            <w:webHidden/>
          </w:rPr>
          <w:instrText xml:space="preserve"> PAGEREF _Toc23769591 \h </w:instrText>
        </w:r>
        <w:r w:rsidR="007D4948" w:rsidRPr="007D1918">
          <w:rPr>
            <w:webHidden/>
          </w:rPr>
        </w:r>
        <w:r w:rsidR="007D4948" w:rsidRPr="007D1918">
          <w:rPr>
            <w:webHidden/>
          </w:rPr>
          <w:fldChar w:fldCharType="separate"/>
        </w:r>
        <w:r w:rsidR="007D4948" w:rsidRPr="007D1918">
          <w:rPr>
            <w:webHidden/>
          </w:rPr>
          <w:t>195</w:t>
        </w:r>
        <w:r w:rsidR="007D4948" w:rsidRPr="007D1918">
          <w:rPr>
            <w:webHidden/>
          </w:rPr>
          <w:fldChar w:fldCharType="end"/>
        </w:r>
      </w:hyperlink>
    </w:p>
    <w:p w14:paraId="3CBCC85B" w14:textId="0D8E1BD8" w:rsidR="007D4948" w:rsidRPr="007D1918" w:rsidRDefault="002814BF">
      <w:pPr>
        <w:pStyle w:val="TableofFigures"/>
        <w:rPr>
          <w:rFonts w:asciiTheme="minorHAnsi" w:eastAsiaTheme="minorEastAsia" w:hAnsiTheme="minorHAnsi" w:cstheme="minorBidi"/>
        </w:rPr>
      </w:pPr>
      <w:hyperlink w:anchor="_Toc23769592" w:history="1">
        <w:r w:rsidR="007D4948" w:rsidRPr="007D1918">
          <w:rPr>
            <w:rStyle w:val="Hyperlink"/>
          </w:rPr>
          <w:t>Table 105</w:t>
        </w:r>
        <w:r w:rsidR="007D4948" w:rsidRPr="007D1918">
          <w:rPr>
            <w:rFonts w:asciiTheme="minorHAnsi" w:eastAsiaTheme="minorEastAsia" w:hAnsiTheme="minorHAnsi" w:cstheme="minorBidi"/>
          </w:rPr>
          <w:tab/>
        </w:r>
        <w:r w:rsidR="007D4948" w:rsidRPr="007D1918">
          <w:rPr>
            <w:rStyle w:val="Hyperlink"/>
          </w:rPr>
          <w:t>Safety evidence profile table for IVIg in MG patients on maintenance therapy (</w:t>
        </w:r>
        <w:r w:rsidR="007D4948" w:rsidRPr="007D1918">
          <w:rPr>
            <w:rStyle w:val="Hyperlink"/>
            <w:i/>
          </w:rPr>
          <w:t>Criteria V3</w:t>
        </w:r>
        <w:r w:rsidR="007D4948" w:rsidRPr="007D1918">
          <w:rPr>
            <w:rStyle w:val="Hyperlink"/>
          </w:rPr>
          <w:t xml:space="preserve"> Indication 3)</w:t>
        </w:r>
        <w:r w:rsidR="007D4948" w:rsidRPr="007D1918">
          <w:rPr>
            <w:webHidden/>
          </w:rPr>
          <w:tab/>
        </w:r>
        <w:r w:rsidR="007D4948" w:rsidRPr="007D1918">
          <w:rPr>
            <w:webHidden/>
          </w:rPr>
          <w:fldChar w:fldCharType="begin"/>
        </w:r>
        <w:r w:rsidR="007D4948" w:rsidRPr="007D1918">
          <w:rPr>
            <w:webHidden/>
          </w:rPr>
          <w:instrText xml:space="preserve"> PAGEREF _Toc23769592 \h </w:instrText>
        </w:r>
        <w:r w:rsidR="007D4948" w:rsidRPr="007D1918">
          <w:rPr>
            <w:webHidden/>
          </w:rPr>
        </w:r>
        <w:r w:rsidR="007D4948" w:rsidRPr="007D1918">
          <w:rPr>
            <w:webHidden/>
          </w:rPr>
          <w:fldChar w:fldCharType="separate"/>
        </w:r>
        <w:r w:rsidR="007D4948" w:rsidRPr="007D1918">
          <w:rPr>
            <w:webHidden/>
          </w:rPr>
          <w:t>196</w:t>
        </w:r>
        <w:r w:rsidR="007D4948" w:rsidRPr="007D1918">
          <w:rPr>
            <w:webHidden/>
          </w:rPr>
          <w:fldChar w:fldCharType="end"/>
        </w:r>
      </w:hyperlink>
    </w:p>
    <w:p w14:paraId="315F1756" w14:textId="6263C3EF" w:rsidR="007D4948" w:rsidRPr="007D1918" w:rsidRDefault="002814BF">
      <w:pPr>
        <w:pStyle w:val="TableofFigures"/>
        <w:rPr>
          <w:rFonts w:asciiTheme="minorHAnsi" w:eastAsiaTheme="minorEastAsia" w:hAnsiTheme="minorHAnsi" w:cstheme="minorBidi"/>
        </w:rPr>
      </w:pPr>
      <w:hyperlink w:anchor="_Toc23769593" w:history="1">
        <w:r w:rsidR="007D4948" w:rsidRPr="007D1918">
          <w:rPr>
            <w:rStyle w:val="Hyperlink"/>
          </w:rPr>
          <w:t>Table 106</w:t>
        </w:r>
        <w:r w:rsidR="007D4948" w:rsidRPr="007D1918">
          <w:rPr>
            <w:rFonts w:asciiTheme="minorHAnsi" w:eastAsiaTheme="minorEastAsia" w:hAnsiTheme="minorHAnsi" w:cstheme="minorBidi"/>
          </w:rPr>
          <w:tab/>
        </w:r>
        <w:r w:rsidR="007D4948" w:rsidRPr="007D1918">
          <w:rPr>
            <w:rStyle w:val="Hyperlink"/>
          </w:rPr>
          <w:t>Effectiveness evidence profile table for IVIg in MG patients in or at risk of crisis (</w:t>
        </w:r>
        <w:r w:rsidR="007D4948" w:rsidRPr="007D1918">
          <w:rPr>
            <w:rStyle w:val="Hyperlink"/>
            <w:i/>
          </w:rPr>
          <w:t>Criteria V3</w:t>
        </w:r>
        <w:r w:rsidR="007D4948" w:rsidRPr="007D1918">
          <w:rPr>
            <w:rStyle w:val="Hyperlink"/>
          </w:rPr>
          <w:t xml:space="preserve"> Indication 1)</w:t>
        </w:r>
        <w:r w:rsidR="007D4948" w:rsidRPr="007D1918">
          <w:rPr>
            <w:webHidden/>
          </w:rPr>
          <w:tab/>
        </w:r>
        <w:r w:rsidR="007D4948" w:rsidRPr="007D1918">
          <w:rPr>
            <w:webHidden/>
          </w:rPr>
          <w:fldChar w:fldCharType="begin"/>
        </w:r>
        <w:r w:rsidR="007D4948" w:rsidRPr="007D1918">
          <w:rPr>
            <w:webHidden/>
          </w:rPr>
          <w:instrText xml:space="preserve"> PAGEREF _Toc23769593 \h </w:instrText>
        </w:r>
        <w:r w:rsidR="007D4948" w:rsidRPr="007D1918">
          <w:rPr>
            <w:webHidden/>
          </w:rPr>
        </w:r>
        <w:r w:rsidR="007D4948" w:rsidRPr="007D1918">
          <w:rPr>
            <w:webHidden/>
          </w:rPr>
          <w:fldChar w:fldCharType="separate"/>
        </w:r>
        <w:r w:rsidR="007D4948" w:rsidRPr="007D1918">
          <w:rPr>
            <w:webHidden/>
          </w:rPr>
          <w:t>197</w:t>
        </w:r>
        <w:r w:rsidR="007D4948" w:rsidRPr="007D1918">
          <w:rPr>
            <w:webHidden/>
          </w:rPr>
          <w:fldChar w:fldCharType="end"/>
        </w:r>
      </w:hyperlink>
    </w:p>
    <w:p w14:paraId="280F14A3" w14:textId="682E54E5" w:rsidR="007D4948" w:rsidRPr="007D1918" w:rsidRDefault="002814BF">
      <w:pPr>
        <w:pStyle w:val="TableofFigures"/>
        <w:rPr>
          <w:rFonts w:asciiTheme="minorHAnsi" w:eastAsiaTheme="minorEastAsia" w:hAnsiTheme="minorHAnsi" w:cstheme="minorBidi"/>
        </w:rPr>
      </w:pPr>
      <w:hyperlink w:anchor="_Toc23769594" w:history="1">
        <w:r w:rsidR="007D4948" w:rsidRPr="007D1918">
          <w:rPr>
            <w:rStyle w:val="Hyperlink"/>
          </w:rPr>
          <w:t>Table 107</w:t>
        </w:r>
        <w:r w:rsidR="007D4948" w:rsidRPr="007D1918">
          <w:rPr>
            <w:rFonts w:asciiTheme="minorHAnsi" w:eastAsiaTheme="minorEastAsia" w:hAnsiTheme="minorHAnsi" w:cstheme="minorBidi"/>
          </w:rPr>
          <w:tab/>
        </w:r>
        <w:r w:rsidR="007D4948" w:rsidRPr="007D1918">
          <w:rPr>
            <w:rStyle w:val="Hyperlink"/>
          </w:rPr>
          <w:t>Effectiveness evidence profile table for IVIg in MG patients preparing for surgery (</w:t>
        </w:r>
        <w:r w:rsidR="007D4948" w:rsidRPr="007D1918">
          <w:rPr>
            <w:rStyle w:val="Hyperlink"/>
            <w:i/>
          </w:rPr>
          <w:t>Criteria V3</w:t>
        </w:r>
        <w:r w:rsidR="007D4948" w:rsidRPr="007D1918">
          <w:rPr>
            <w:rStyle w:val="Hyperlink"/>
          </w:rPr>
          <w:t xml:space="preserve"> Indication 2)</w:t>
        </w:r>
        <w:r w:rsidR="007D4948" w:rsidRPr="007D1918">
          <w:rPr>
            <w:webHidden/>
          </w:rPr>
          <w:tab/>
        </w:r>
        <w:r w:rsidR="007D4948" w:rsidRPr="007D1918">
          <w:rPr>
            <w:webHidden/>
          </w:rPr>
          <w:fldChar w:fldCharType="begin"/>
        </w:r>
        <w:r w:rsidR="007D4948" w:rsidRPr="007D1918">
          <w:rPr>
            <w:webHidden/>
          </w:rPr>
          <w:instrText xml:space="preserve"> PAGEREF _Toc23769594 \h </w:instrText>
        </w:r>
        <w:r w:rsidR="007D4948" w:rsidRPr="007D1918">
          <w:rPr>
            <w:webHidden/>
          </w:rPr>
        </w:r>
        <w:r w:rsidR="007D4948" w:rsidRPr="007D1918">
          <w:rPr>
            <w:webHidden/>
          </w:rPr>
          <w:fldChar w:fldCharType="separate"/>
        </w:r>
        <w:r w:rsidR="007D4948" w:rsidRPr="007D1918">
          <w:rPr>
            <w:webHidden/>
          </w:rPr>
          <w:t>199</w:t>
        </w:r>
        <w:r w:rsidR="007D4948" w:rsidRPr="007D1918">
          <w:rPr>
            <w:webHidden/>
          </w:rPr>
          <w:fldChar w:fldCharType="end"/>
        </w:r>
      </w:hyperlink>
    </w:p>
    <w:p w14:paraId="6597753F" w14:textId="1CD28A21" w:rsidR="007D4948" w:rsidRPr="007D1918" w:rsidRDefault="002814BF">
      <w:pPr>
        <w:pStyle w:val="TableofFigures"/>
        <w:rPr>
          <w:rFonts w:asciiTheme="minorHAnsi" w:eastAsiaTheme="minorEastAsia" w:hAnsiTheme="minorHAnsi" w:cstheme="minorBidi"/>
        </w:rPr>
      </w:pPr>
      <w:hyperlink w:anchor="_Toc23769595" w:history="1">
        <w:r w:rsidR="007D4948" w:rsidRPr="007D1918">
          <w:rPr>
            <w:rStyle w:val="Hyperlink"/>
          </w:rPr>
          <w:t>Table 108</w:t>
        </w:r>
        <w:r w:rsidR="007D4948" w:rsidRPr="007D1918">
          <w:rPr>
            <w:rFonts w:asciiTheme="minorHAnsi" w:eastAsiaTheme="minorEastAsia" w:hAnsiTheme="minorHAnsi" w:cstheme="minorBidi"/>
          </w:rPr>
          <w:tab/>
        </w:r>
        <w:r w:rsidR="007D4948" w:rsidRPr="007D1918">
          <w:rPr>
            <w:rStyle w:val="Hyperlink"/>
          </w:rPr>
          <w:t>Effectiveness evidence profile table for IVIg in MG patients on maintenance therapy (</w:t>
        </w:r>
        <w:r w:rsidR="007D4948" w:rsidRPr="007D1918">
          <w:rPr>
            <w:rStyle w:val="Hyperlink"/>
            <w:i/>
          </w:rPr>
          <w:t>Criteria V3</w:t>
        </w:r>
        <w:r w:rsidR="007D4948" w:rsidRPr="007D1918">
          <w:rPr>
            <w:rStyle w:val="Hyperlink"/>
          </w:rPr>
          <w:t xml:space="preserve"> Indication 3)</w:t>
        </w:r>
        <w:r w:rsidR="007D4948" w:rsidRPr="007D1918">
          <w:rPr>
            <w:webHidden/>
          </w:rPr>
          <w:tab/>
        </w:r>
        <w:r w:rsidR="007D4948" w:rsidRPr="007D1918">
          <w:rPr>
            <w:webHidden/>
          </w:rPr>
          <w:fldChar w:fldCharType="begin"/>
        </w:r>
        <w:r w:rsidR="007D4948" w:rsidRPr="007D1918">
          <w:rPr>
            <w:webHidden/>
          </w:rPr>
          <w:instrText xml:space="preserve"> PAGEREF _Toc23769595 \h </w:instrText>
        </w:r>
        <w:r w:rsidR="007D4948" w:rsidRPr="007D1918">
          <w:rPr>
            <w:webHidden/>
          </w:rPr>
        </w:r>
        <w:r w:rsidR="007D4948" w:rsidRPr="007D1918">
          <w:rPr>
            <w:webHidden/>
          </w:rPr>
          <w:fldChar w:fldCharType="separate"/>
        </w:r>
        <w:r w:rsidR="007D4948" w:rsidRPr="007D1918">
          <w:rPr>
            <w:webHidden/>
          </w:rPr>
          <w:t>200</w:t>
        </w:r>
        <w:r w:rsidR="007D4948" w:rsidRPr="007D1918">
          <w:rPr>
            <w:webHidden/>
          </w:rPr>
          <w:fldChar w:fldCharType="end"/>
        </w:r>
      </w:hyperlink>
    </w:p>
    <w:p w14:paraId="7E79EF63" w14:textId="6950DFF5" w:rsidR="007D4948" w:rsidRPr="007D1918" w:rsidRDefault="002814BF">
      <w:pPr>
        <w:pStyle w:val="TableofFigures"/>
        <w:rPr>
          <w:rFonts w:asciiTheme="minorHAnsi" w:eastAsiaTheme="minorEastAsia" w:hAnsiTheme="minorHAnsi" w:cstheme="minorBidi"/>
        </w:rPr>
      </w:pPr>
      <w:hyperlink w:anchor="_Toc23769596" w:history="1">
        <w:r w:rsidR="007D4948" w:rsidRPr="007D1918">
          <w:rPr>
            <w:rStyle w:val="Hyperlink"/>
          </w:rPr>
          <w:t>Table 109</w:t>
        </w:r>
        <w:r w:rsidR="007D4948" w:rsidRPr="007D1918">
          <w:rPr>
            <w:rFonts w:asciiTheme="minorHAnsi" w:eastAsiaTheme="minorEastAsia" w:hAnsiTheme="minorHAnsi" w:cstheme="minorBidi"/>
          </w:rPr>
          <w:tab/>
        </w:r>
        <w:r w:rsidR="007D4948" w:rsidRPr="007D1918">
          <w:rPr>
            <w:rStyle w:val="Hyperlink"/>
          </w:rPr>
          <w:t>Estimation of Ig costs</w:t>
        </w:r>
        <w:r w:rsidR="007D4948" w:rsidRPr="007D1918">
          <w:rPr>
            <w:webHidden/>
          </w:rPr>
          <w:tab/>
        </w:r>
        <w:r w:rsidR="007D4948" w:rsidRPr="007D1918">
          <w:rPr>
            <w:webHidden/>
          </w:rPr>
          <w:fldChar w:fldCharType="begin"/>
        </w:r>
        <w:r w:rsidR="007D4948" w:rsidRPr="007D1918">
          <w:rPr>
            <w:webHidden/>
          </w:rPr>
          <w:instrText xml:space="preserve"> PAGEREF _Toc23769596 \h </w:instrText>
        </w:r>
        <w:r w:rsidR="007D4948" w:rsidRPr="007D1918">
          <w:rPr>
            <w:webHidden/>
          </w:rPr>
        </w:r>
        <w:r w:rsidR="007D4948" w:rsidRPr="007D1918">
          <w:rPr>
            <w:webHidden/>
          </w:rPr>
          <w:fldChar w:fldCharType="separate"/>
        </w:r>
        <w:r w:rsidR="007D4948" w:rsidRPr="007D1918">
          <w:rPr>
            <w:webHidden/>
          </w:rPr>
          <w:t>209</w:t>
        </w:r>
        <w:r w:rsidR="007D4948" w:rsidRPr="007D1918">
          <w:rPr>
            <w:webHidden/>
          </w:rPr>
          <w:fldChar w:fldCharType="end"/>
        </w:r>
      </w:hyperlink>
    </w:p>
    <w:p w14:paraId="26E1B2AF" w14:textId="4CD2241C" w:rsidR="007D4948" w:rsidRPr="007D1918" w:rsidRDefault="002814BF">
      <w:pPr>
        <w:pStyle w:val="TableofFigures"/>
        <w:rPr>
          <w:rFonts w:asciiTheme="minorHAnsi" w:eastAsiaTheme="minorEastAsia" w:hAnsiTheme="minorHAnsi" w:cstheme="minorBidi"/>
        </w:rPr>
      </w:pPr>
      <w:hyperlink w:anchor="_Toc23769597" w:history="1">
        <w:r w:rsidR="007D4948" w:rsidRPr="007D1918">
          <w:rPr>
            <w:rStyle w:val="Hyperlink"/>
          </w:rPr>
          <w:t xml:space="preserve">Table 110 </w:t>
        </w:r>
        <w:r w:rsidR="007D4948" w:rsidRPr="007D1918">
          <w:rPr>
            <w:rFonts w:asciiTheme="minorHAnsi" w:eastAsiaTheme="minorEastAsia" w:hAnsiTheme="minorHAnsi" w:cstheme="minorBidi"/>
          </w:rPr>
          <w:tab/>
        </w:r>
        <w:r w:rsidR="007D4948" w:rsidRPr="007D1918">
          <w:rPr>
            <w:rStyle w:val="Hyperlink"/>
          </w:rPr>
          <w:t>Indication 1 Trial based resource use (Gajdos 1997)</w:t>
        </w:r>
        <w:r w:rsidR="007D4948" w:rsidRPr="007D1918">
          <w:rPr>
            <w:webHidden/>
          </w:rPr>
          <w:tab/>
        </w:r>
        <w:r w:rsidR="007D4948" w:rsidRPr="007D1918">
          <w:rPr>
            <w:webHidden/>
          </w:rPr>
          <w:fldChar w:fldCharType="begin"/>
        </w:r>
        <w:r w:rsidR="007D4948" w:rsidRPr="007D1918">
          <w:rPr>
            <w:webHidden/>
          </w:rPr>
          <w:instrText xml:space="preserve"> PAGEREF _Toc23769597 \h </w:instrText>
        </w:r>
        <w:r w:rsidR="007D4948" w:rsidRPr="007D1918">
          <w:rPr>
            <w:webHidden/>
          </w:rPr>
        </w:r>
        <w:r w:rsidR="007D4948" w:rsidRPr="007D1918">
          <w:rPr>
            <w:webHidden/>
          </w:rPr>
          <w:fldChar w:fldCharType="separate"/>
        </w:r>
        <w:r w:rsidR="007D4948" w:rsidRPr="007D1918">
          <w:rPr>
            <w:webHidden/>
          </w:rPr>
          <w:t>209</w:t>
        </w:r>
        <w:r w:rsidR="007D4948" w:rsidRPr="007D1918">
          <w:rPr>
            <w:webHidden/>
          </w:rPr>
          <w:fldChar w:fldCharType="end"/>
        </w:r>
      </w:hyperlink>
    </w:p>
    <w:p w14:paraId="3B90B805" w14:textId="5DE2303E" w:rsidR="007D4948" w:rsidRPr="007D1918" w:rsidRDefault="002814BF">
      <w:pPr>
        <w:pStyle w:val="TableofFigures"/>
        <w:rPr>
          <w:rFonts w:asciiTheme="minorHAnsi" w:eastAsiaTheme="minorEastAsia" w:hAnsiTheme="minorHAnsi" w:cstheme="minorBidi"/>
        </w:rPr>
      </w:pPr>
      <w:hyperlink w:anchor="_Toc23769598" w:history="1">
        <w:r w:rsidR="007D4948" w:rsidRPr="007D1918">
          <w:rPr>
            <w:rStyle w:val="Hyperlink"/>
          </w:rPr>
          <w:t xml:space="preserve">Table 111 </w:t>
        </w:r>
        <w:r w:rsidR="007D4948" w:rsidRPr="007D1918">
          <w:rPr>
            <w:rFonts w:asciiTheme="minorHAnsi" w:eastAsiaTheme="minorEastAsia" w:hAnsiTheme="minorHAnsi" w:cstheme="minorBidi"/>
          </w:rPr>
          <w:tab/>
        </w:r>
        <w:r w:rsidR="007D4948" w:rsidRPr="007D1918">
          <w:rPr>
            <w:rStyle w:val="Hyperlink"/>
          </w:rPr>
          <w:t>Indication 1 Stepped resource use to replicate Australian practice</w:t>
        </w:r>
        <w:r w:rsidR="007D4948" w:rsidRPr="007D1918">
          <w:rPr>
            <w:webHidden/>
          </w:rPr>
          <w:tab/>
        </w:r>
        <w:r w:rsidR="007D4948" w:rsidRPr="007D1918">
          <w:rPr>
            <w:webHidden/>
          </w:rPr>
          <w:fldChar w:fldCharType="begin"/>
        </w:r>
        <w:r w:rsidR="007D4948" w:rsidRPr="007D1918">
          <w:rPr>
            <w:webHidden/>
          </w:rPr>
          <w:instrText xml:space="preserve"> PAGEREF _Toc23769598 \h </w:instrText>
        </w:r>
        <w:r w:rsidR="007D4948" w:rsidRPr="007D1918">
          <w:rPr>
            <w:webHidden/>
          </w:rPr>
        </w:r>
        <w:r w:rsidR="007D4948" w:rsidRPr="007D1918">
          <w:rPr>
            <w:webHidden/>
          </w:rPr>
          <w:fldChar w:fldCharType="separate"/>
        </w:r>
        <w:r w:rsidR="007D4948" w:rsidRPr="007D1918">
          <w:rPr>
            <w:webHidden/>
          </w:rPr>
          <w:t>210</w:t>
        </w:r>
        <w:r w:rsidR="007D4948" w:rsidRPr="007D1918">
          <w:rPr>
            <w:webHidden/>
          </w:rPr>
          <w:fldChar w:fldCharType="end"/>
        </w:r>
      </w:hyperlink>
    </w:p>
    <w:p w14:paraId="39F0667E" w14:textId="5293F689" w:rsidR="007D4948" w:rsidRPr="007D1918" w:rsidRDefault="002814BF">
      <w:pPr>
        <w:pStyle w:val="TableofFigures"/>
        <w:rPr>
          <w:rFonts w:asciiTheme="minorHAnsi" w:eastAsiaTheme="minorEastAsia" w:hAnsiTheme="minorHAnsi" w:cstheme="minorBidi"/>
        </w:rPr>
      </w:pPr>
      <w:hyperlink w:anchor="_Toc23769599" w:history="1">
        <w:r w:rsidR="007D4948" w:rsidRPr="007D1918">
          <w:rPr>
            <w:rStyle w:val="Hyperlink"/>
          </w:rPr>
          <w:t xml:space="preserve">Table 112 </w:t>
        </w:r>
        <w:r w:rsidR="007D4948" w:rsidRPr="007D1918">
          <w:rPr>
            <w:rFonts w:asciiTheme="minorHAnsi" w:eastAsiaTheme="minorEastAsia" w:hAnsiTheme="minorHAnsi" w:cstheme="minorBidi"/>
          </w:rPr>
          <w:tab/>
        </w:r>
        <w:r w:rsidR="007D4948" w:rsidRPr="007D1918">
          <w:rPr>
            <w:rStyle w:val="Hyperlink"/>
          </w:rPr>
          <w:t>Indication 2 Trial-based resource use (Alipour-Faz, 2017)</w:t>
        </w:r>
        <w:r w:rsidR="007D4948" w:rsidRPr="007D1918">
          <w:rPr>
            <w:webHidden/>
          </w:rPr>
          <w:tab/>
        </w:r>
        <w:r w:rsidR="007D4948" w:rsidRPr="007D1918">
          <w:rPr>
            <w:webHidden/>
          </w:rPr>
          <w:fldChar w:fldCharType="begin"/>
        </w:r>
        <w:r w:rsidR="007D4948" w:rsidRPr="007D1918">
          <w:rPr>
            <w:webHidden/>
          </w:rPr>
          <w:instrText xml:space="preserve"> PAGEREF _Toc23769599 \h </w:instrText>
        </w:r>
        <w:r w:rsidR="007D4948" w:rsidRPr="007D1918">
          <w:rPr>
            <w:webHidden/>
          </w:rPr>
        </w:r>
        <w:r w:rsidR="007D4948" w:rsidRPr="007D1918">
          <w:rPr>
            <w:webHidden/>
          </w:rPr>
          <w:fldChar w:fldCharType="separate"/>
        </w:r>
        <w:r w:rsidR="007D4948" w:rsidRPr="007D1918">
          <w:rPr>
            <w:webHidden/>
          </w:rPr>
          <w:t>210</w:t>
        </w:r>
        <w:r w:rsidR="007D4948" w:rsidRPr="007D1918">
          <w:rPr>
            <w:webHidden/>
          </w:rPr>
          <w:fldChar w:fldCharType="end"/>
        </w:r>
      </w:hyperlink>
    </w:p>
    <w:p w14:paraId="5698BEF9" w14:textId="78C60ACE" w:rsidR="007D4948" w:rsidRPr="007D1918" w:rsidRDefault="002814BF">
      <w:pPr>
        <w:pStyle w:val="TableofFigures"/>
        <w:rPr>
          <w:rFonts w:asciiTheme="minorHAnsi" w:eastAsiaTheme="minorEastAsia" w:hAnsiTheme="minorHAnsi" w:cstheme="minorBidi"/>
        </w:rPr>
      </w:pPr>
      <w:hyperlink w:anchor="_Toc23769600" w:history="1">
        <w:r w:rsidR="007D4948" w:rsidRPr="007D1918">
          <w:rPr>
            <w:rStyle w:val="Hyperlink"/>
          </w:rPr>
          <w:t xml:space="preserve">Table 113 </w:t>
        </w:r>
        <w:r w:rsidR="007D4948" w:rsidRPr="007D1918">
          <w:rPr>
            <w:rFonts w:asciiTheme="minorHAnsi" w:eastAsiaTheme="minorEastAsia" w:hAnsiTheme="minorHAnsi" w:cstheme="minorBidi"/>
          </w:rPr>
          <w:tab/>
        </w:r>
        <w:r w:rsidR="007D4948" w:rsidRPr="007D1918">
          <w:rPr>
            <w:rStyle w:val="Hyperlink"/>
          </w:rPr>
          <w:t>Indication 2 Stepped analysis resource use (base case)</w:t>
        </w:r>
        <w:r w:rsidR="007D4948" w:rsidRPr="007D1918">
          <w:rPr>
            <w:webHidden/>
          </w:rPr>
          <w:tab/>
        </w:r>
        <w:r w:rsidR="007D4948" w:rsidRPr="007D1918">
          <w:rPr>
            <w:webHidden/>
          </w:rPr>
          <w:fldChar w:fldCharType="begin"/>
        </w:r>
        <w:r w:rsidR="007D4948" w:rsidRPr="007D1918">
          <w:rPr>
            <w:webHidden/>
          </w:rPr>
          <w:instrText xml:space="preserve"> PAGEREF _Toc23769600 \h </w:instrText>
        </w:r>
        <w:r w:rsidR="007D4948" w:rsidRPr="007D1918">
          <w:rPr>
            <w:webHidden/>
          </w:rPr>
        </w:r>
        <w:r w:rsidR="007D4948" w:rsidRPr="007D1918">
          <w:rPr>
            <w:webHidden/>
          </w:rPr>
          <w:fldChar w:fldCharType="separate"/>
        </w:r>
        <w:r w:rsidR="007D4948" w:rsidRPr="007D1918">
          <w:rPr>
            <w:webHidden/>
          </w:rPr>
          <w:t>210</w:t>
        </w:r>
        <w:r w:rsidR="007D4948" w:rsidRPr="007D1918">
          <w:rPr>
            <w:webHidden/>
          </w:rPr>
          <w:fldChar w:fldCharType="end"/>
        </w:r>
      </w:hyperlink>
    </w:p>
    <w:p w14:paraId="3CE33012" w14:textId="76C4FE4C" w:rsidR="007D4948" w:rsidRPr="007D1918" w:rsidRDefault="002814BF">
      <w:pPr>
        <w:pStyle w:val="TableofFigures"/>
        <w:rPr>
          <w:rFonts w:asciiTheme="minorHAnsi" w:eastAsiaTheme="minorEastAsia" w:hAnsiTheme="minorHAnsi" w:cstheme="minorBidi"/>
        </w:rPr>
      </w:pPr>
      <w:hyperlink w:anchor="_Toc23769601" w:history="1">
        <w:r w:rsidR="007D4948" w:rsidRPr="007D1918">
          <w:rPr>
            <w:rStyle w:val="Hyperlink"/>
          </w:rPr>
          <w:t xml:space="preserve">Table 114 </w:t>
        </w:r>
        <w:r w:rsidR="007D4948" w:rsidRPr="007D1918">
          <w:rPr>
            <w:rFonts w:asciiTheme="minorHAnsi" w:eastAsiaTheme="minorEastAsia" w:hAnsiTheme="minorHAnsi" w:cstheme="minorBidi"/>
          </w:rPr>
          <w:tab/>
        </w:r>
        <w:r w:rsidR="007D4948" w:rsidRPr="007D1918">
          <w:rPr>
            <w:rStyle w:val="Hyperlink"/>
          </w:rPr>
          <w:t>Indication 3 Stepped analysis resource use (base case)</w:t>
        </w:r>
        <w:r w:rsidR="007D4948" w:rsidRPr="007D1918">
          <w:rPr>
            <w:webHidden/>
          </w:rPr>
          <w:tab/>
        </w:r>
        <w:r w:rsidR="007D4948" w:rsidRPr="007D1918">
          <w:rPr>
            <w:webHidden/>
          </w:rPr>
          <w:fldChar w:fldCharType="begin"/>
        </w:r>
        <w:r w:rsidR="007D4948" w:rsidRPr="007D1918">
          <w:rPr>
            <w:webHidden/>
          </w:rPr>
          <w:instrText xml:space="preserve"> PAGEREF _Toc23769601 \h </w:instrText>
        </w:r>
        <w:r w:rsidR="007D4948" w:rsidRPr="007D1918">
          <w:rPr>
            <w:webHidden/>
          </w:rPr>
        </w:r>
        <w:r w:rsidR="007D4948" w:rsidRPr="007D1918">
          <w:rPr>
            <w:webHidden/>
          </w:rPr>
          <w:fldChar w:fldCharType="separate"/>
        </w:r>
        <w:r w:rsidR="007D4948" w:rsidRPr="007D1918">
          <w:rPr>
            <w:webHidden/>
          </w:rPr>
          <w:t>211</w:t>
        </w:r>
        <w:r w:rsidR="007D4948" w:rsidRPr="007D1918">
          <w:rPr>
            <w:webHidden/>
          </w:rPr>
          <w:fldChar w:fldCharType="end"/>
        </w:r>
      </w:hyperlink>
    </w:p>
    <w:p w14:paraId="72B805AB" w14:textId="1B6C52A4" w:rsidR="007D4948" w:rsidRPr="007D1918" w:rsidRDefault="002814BF">
      <w:pPr>
        <w:pStyle w:val="TableofFigures"/>
        <w:rPr>
          <w:rFonts w:asciiTheme="minorHAnsi" w:eastAsiaTheme="minorEastAsia" w:hAnsiTheme="minorHAnsi" w:cstheme="minorBidi"/>
        </w:rPr>
      </w:pPr>
      <w:hyperlink w:anchor="_Toc23769602" w:history="1">
        <w:r w:rsidR="007D4948" w:rsidRPr="007D1918">
          <w:rPr>
            <w:rStyle w:val="Hyperlink"/>
          </w:rPr>
          <w:t xml:space="preserve">Table 115 </w:t>
        </w:r>
        <w:r w:rsidR="007D4948" w:rsidRPr="007D1918">
          <w:rPr>
            <w:rFonts w:asciiTheme="minorHAnsi" w:eastAsiaTheme="minorEastAsia" w:hAnsiTheme="minorHAnsi" w:cstheme="minorBidi"/>
          </w:rPr>
          <w:tab/>
        </w:r>
        <w:r w:rsidR="007D4948" w:rsidRPr="007D1918">
          <w:rPr>
            <w:rStyle w:val="Hyperlink"/>
          </w:rPr>
          <w:t>Indication 3 Stepped analysis resource costs (base case)</w:t>
        </w:r>
        <w:r w:rsidR="007D4948" w:rsidRPr="007D1918">
          <w:rPr>
            <w:webHidden/>
          </w:rPr>
          <w:tab/>
        </w:r>
        <w:r w:rsidR="007D4948" w:rsidRPr="007D1918">
          <w:rPr>
            <w:webHidden/>
          </w:rPr>
          <w:fldChar w:fldCharType="begin"/>
        </w:r>
        <w:r w:rsidR="007D4948" w:rsidRPr="007D1918">
          <w:rPr>
            <w:webHidden/>
          </w:rPr>
          <w:instrText xml:space="preserve"> PAGEREF _Toc23769602 \h </w:instrText>
        </w:r>
        <w:r w:rsidR="007D4948" w:rsidRPr="007D1918">
          <w:rPr>
            <w:webHidden/>
          </w:rPr>
        </w:r>
        <w:r w:rsidR="007D4948" w:rsidRPr="007D1918">
          <w:rPr>
            <w:webHidden/>
          </w:rPr>
          <w:fldChar w:fldCharType="separate"/>
        </w:r>
        <w:r w:rsidR="007D4948" w:rsidRPr="007D1918">
          <w:rPr>
            <w:webHidden/>
          </w:rPr>
          <w:t>212</w:t>
        </w:r>
        <w:r w:rsidR="007D4948" w:rsidRPr="007D1918">
          <w:rPr>
            <w:webHidden/>
          </w:rPr>
          <w:fldChar w:fldCharType="end"/>
        </w:r>
      </w:hyperlink>
    </w:p>
    <w:p w14:paraId="58C15209" w14:textId="4DD9EB37" w:rsidR="00114B52" w:rsidRPr="007D1918" w:rsidRDefault="00503C5B" w:rsidP="009A4D6B">
      <w:pPr>
        <w:rPr>
          <w:rFonts w:eastAsiaTheme="minorEastAsia"/>
          <w:noProof/>
        </w:rPr>
      </w:pPr>
      <w:r w:rsidRPr="007D1918">
        <w:rPr>
          <w:rFonts w:eastAsiaTheme="minorEastAsia"/>
          <w:noProof/>
        </w:rPr>
        <w:fldChar w:fldCharType="end"/>
      </w:r>
      <w:bookmarkStart w:id="25" w:name="_Toc399247192"/>
      <w:bookmarkStart w:id="26" w:name="_Toc402884711"/>
    </w:p>
    <w:p w14:paraId="49735B48" w14:textId="0B750102" w:rsidR="00310008" w:rsidRPr="007D1918" w:rsidRDefault="00310008" w:rsidP="00A27881">
      <w:pPr>
        <w:pStyle w:val="Heading2"/>
        <w:tabs>
          <w:tab w:val="left" w:pos="1276"/>
        </w:tabs>
        <w:ind w:left="1276" w:hanging="1276"/>
        <w:jc w:val="both"/>
      </w:pPr>
      <w:bookmarkStart w:id="27" w:name="_Toc23766915"/>
      <w:r w:rsidRPr="007D1918">
        <w:t>Boxes</w:t>
      </w:r>
      <w:bookmarkEnd w:id="23"/>
      <w:bookmarkEnd w:id="24"/>
      <w:bookmarkEnd w:id="25"/>
      <w:bookmarkEnd w:id="26"/>
      <w:bookmarkEnd w:id="27"/>
    </w:p>
    <w:p w14:paraId="07DBD8FD" w14:textId="54F44411" w:rsidR="007D4948" w:rsidRPr="007D1918" w:rsidRDefault="0086593E">
      <w:pPr>
        <w:pStyle w:val="TableofFigures"/>
        <w:rPr>
          <w:rFonts w:asciiTheme="minorHAnsi" w:eastAsiaTheme="minorEastAsia" w:hAnsiTheme="minorHAnsi" w:cstheme="minorBidi"/>
        </w:rPr>
      </w:pPr>
      <w:r w:rsidRPr="007D1918">
        <w:rPr>
          <w:rFonts w:asciiTheme="minorHAnsi" w:eastAsiaTheme="minorEastAsia" w:hAnsiTheme="minorHAnsi" w:cstheme="minorBidi"/>
        </w:rPr>
        <w:fldChar w:fldCharType="begin"/>
      </w:r>
      <w:r w:rsidR="008A46A4" w:rsidRPr="007D1918">
        <w:rPr>
          <w:rFonts w:asciiTheme="minorHAnsi" w:eastAsiaTheme="minorEastAsia" w:hAnsiTheme="minorHAnsi" w:cstheme="minorBidi"/>
        </w:rPr>
        <w:instrText xml:space="preserve"> TOC \h \z \c "Box" </w:instrText>
      </w:r>
      <w:r w:rsidRPr="007D1918">
        <w:rPr>
          <w:rFonts w:asciiTheme="minorHAnsi" w:eastAsiaTheme="minorEastAsia" w:hAnsiTheme="minorHAnsi" w:cstheme="minorBidi"/>
        </w:rPr>
        <w:fldChar w:fldCharType="separate"/>
      </w:r>
      <w:hyperlink w:anchor="_Toc23769603" w:history="1">
        <w:r w:rsidR="007D4948" w:rsidRPr="007D1918">
          <w:rPr>
            <w:rStyle w:val="Hyperlink"/>
          </w:rPr>
          <w:t>Box 1</w:t>
        </w:r>
        <w:r w:rsidR="007D4948" w:rsidRPr="007D1918">
          <w:rPr>
            <w:rFonts w:asciiTheme="minorHAnsi" w:eastAsiaTheme="minorEastAsia" w:hAnsiTheme="minorHAnsi" w:cstheme="minorBidi"/>
          </w:rPr>
          <w:tab/>
        </w:r>
        <w:r w:rsidR="007D4948" w:rsidRPr="007D1918">
          <w:rPr>
            <w:rStyle w:val="Hyperlink"/>
          </w:rPr>
          <w:t>PICO criteria for assessing IVIg for the treatment of myasthenic crisis (Indication 1)</w:t>
        </w:r>
        <w:r w:rsidR="007D4948" w:rsidRPr="007D1918">
          <w:rPr>
            <w:webHidden/>
          </w:rPr>
          <w:tab/>
        </w:r>
        <w:r w:rsidR="007D4948" w:rsidRPr="007D1918">
          <w:rPr>
            <w:webHidden/>
          </w:rPr>
          <w:fldChar w:fldCharType="begin"/>
        </w:r>
        <w:r w:rsidR="007D4948" w:rsidRPr="007D1918">
          <w:rPr>
            <w:webHidden/>
          </w:rPr>
          <w:instrText xml:space="preserve"> PAGEREF _Toc23769603 \h </w:instrText>
        </w:r>
        <w:r w:rsidR="007D4948" w:rsidRPr="007D1918">
          <w:rPr>
            <w:webHidden/>
          </w:rPr>
        </w:r>
        <w:r w:rsidR="007D4948" w:rsidRPr="007D1918">
          <w:rPr>
            <w:webHidden/>
          </w:rPr>
          <w:fldChar w:fldCharType="separate"/>
        </w:r>
        <w:r w:rsidR="007D4948" w:rsidRPr="007D1918">
          <w:rPr>
            <w:webHidden/>
          </w:rPr>
          <w:t>49</w:t>
        </w:r>
        <w:r w:rsidR="007D4948" w:rsidRPr="007D1918">
          <w:rPr>
            <w:webHidden/>
          </w:rPr>
          <w:fldChar w:fldCharType="end"/>
        </w:r>
      </w:hyperlink>
    </w:p>
    <w:p w14:paraId="182010BE" w14:textId="759CA1D8" w:rsidR="007D4948" w:rsidRPr="007D1918" w:rsidRDefault="002814BF">
      <w:pPr>
        <w:pStyle w:val="TableofFigures"/>
        <w:rPr>
          <w:rFonts w:asciiTheme="minorHAnsi" w:eastAsiaTheme="minorEastAsia" w:hAnsiTheme="minorHAnsi" w:cstheme="minorBidi"/>
        </w:rPr>
      </w:pPr>
      <w:hyperlink w:anchor="_Toc23769604" w:history="1">
        <w:r w:rsidR="007D4948" w:rsidRPr="007D1918">
          <w:rPr>
            <w:rStyle w:val="Hyperlink"/>
          </w:rPr>
          <w:t>Box 2</w:t>
        </w:r>
        <w:r w:rsidR="007D4948" w:rsidRPr="007D1918">
          <w:rPr>
            <w:rFonts w:asciiTheme="minorHAnsi" w:eastAsiaTheme="minorEastAsia" w:hAnsiTheme="minorHAnsi" w:cstheme="minorBidi"/>
          </w:rPr>
          <w:tab/>
        </w:r>
        <w:r w:rsidR="007D4948" w:rsidRPr="007D1918">
          <w:rPr>
            <w:rStyle w:val="Hyperlink"/>
          </w:rPr>
          <w:t>PICO criteria for assessing IVIg treatment in patients with planned surgery or thymectomy (Indication 2)</w:t>
        </w:r>
        <w:r w:rsidR="007D4948" w:rsidRPr="007D1918">
          <w:rPr>
            <w:webHidden/>
          </w:rPr>
          <w:tab/>
        </w:r>
        <w:r w:rsidR="007D4948" w:rsidRPr="007D1918">
          <w:rPr>
            <w:webHidden/>
          </w:rPr>
          <w:fldChar w:fldCharType="begin"/>
        </w:r>
        <w:r w:rsidR="007D4948" w:rsidRPr="007D1918">
          <w:rPr>
            <w:webHidden/>
          </w:rPr>
          <w:instrText xml:space="preserve"> PAGEREF _Toc23769604 \h </w:instrText>
        </w:r>
        <w:r w:rsidR="007D4948" w:rsidRPr="007D1918">
          <w:rPr>
            <w:webHidden/>
          </w:rPr>
        </w:r>
        <w:r w:rsidR="007D4948" w:rsidRPr="007D1918">
          <w:rPr>
            <w:webHidden/>
          </w:rPr>
          <w:fldChar w:fldCharType="separate"/>
        </w:r>
        <w:r w:rsidR="007D4948" w:rsidRPr="007D1918">
          <w:rPr>
            <w:webHidden/>
          </w:rPr>
          <w:t>50</w:t>
        </w:r>
        <w:r w:rsidR="007D4948" w:rsidRPr="007D1918">
          <w:rPr>
            <w:webHidden/>
          </w:rPr>
          <w:fldChar w:fldCharType="end"/>
        </w:r>
      </w:hyperlink>
    </w:p>
    <w:p w14:paraId="212F10A8" w14:textId="66137B17" w:rsidR="007D4948" w:rsidRPr="007D1918" w:rsidRDefault="002814BF">
      <w:pPr>
        <w:pStyle w:val="TableofFigures"/>
        <w:rPr>
          <w:rFonts w:asciiTheme="minorHAnsi" w:eastAsiaTheme="minorEastAsia" w:hAnsiTheme="minorHAnsi" w:cstheme="minorBidi"/>
        </w:rPr>
      </w:pPr>
      <w:hyperlink w:anchor="_Toc23769605" w:history="1">
        <w:r w:rsidR="007D4948" w:rsidRPr="007D1918">
          <w:rPr>
            <w:rStyle w:val="Hyperlink"/>
          </w:rPr>
          <w:t>Box 3</w:t>
        </w:r>
        <w:r w:rsidR="007D4948" w:rsidRPr="007D1918">
          <w:rPr>
            <w:rFonts w:asciiTheme="minorHAnsi" w:eastAsiaTheme="minorEastAsia" w:hAnsiTheme="minorHAnsi" w:cstheme="minorBidi"/>
          </w:rPr>
          <w:tab/>
        </w:r>
        <w:r w:rsidR="007D4948" w:rsidRPr="007D1918">
          <w:rPr>
            <w:rStyle w:val="Hyperlink"/>
          </w:rPr>
          <w:t>PICO criteria for assessing IVIg treatment for maintenance therapy in patients with moderate to severe MG (Indication 3)</w:t>
        </w:r>
        <w:r w:rsidR="007D4948" w:rsidRPr="007D1918">
          <w:rPr>
            <w:webHidden/>
          </w:rPr>
          <w:tab/>
        </w:r>
        <w:r w:rsidR="007D4948" w:rsidRPr="007D1918">
          <w:rPr>
            <w:webHidden/>
          </w:rPr>
          <w:fldChar w:fldCharType="begin"/>
        </w:r>
        <w:r w:rsidR="007D4948" w:rsidRPr="007D1918">
          <w:rPr>
            <w:webHidden/>
          </w:rPr>
          <w:instrText xml:space="preserve"> PAGEREF _Toc23769605 \h </w:instrText>
        </w:r>
        <w:r w:rsidR="007D4948" w:rsidRPr="007D1918">
          <w:rPr>
            <w:webHidden/>
          </w:rPr>
        </w:r>
        <w:r w:rsidR="007D4948" w:rsidRPr="007D1918">
          <w:rPr>
            <w:webHidden/>
          </w:rPr>
          <w:fldChar w:fldCharType="separate"/>
        </w:r>
        <w:r w:rsidR="007D4948" w:rsidRPr="007D1918">
          <w:rPr>
            <w:webHidden/>
          </w:rPr>
          <w:t>51</w:t>
        </w:r>
        <w:r w:rsidR="007D4948" w:rsidRPr="007D1918">
          <w:rPr>
            <w:webHidden/>
          </w:rPr>
          <w:fldChar w:fldCharType="end"/>
        </w:r>
      </w:hyperlink>
    </w:p>
    <w:p w14:paraId="4FD666EA" w14:textId="07955B4A" w:rsidR="008A46A4" w:rsidRPr="007D1918" w:rsidRDefault="0086593E" w:rsidP="00A27881">
      <w:pPr>
        <w:pStyle w:val="TableofFigures"/>
        <w:tabs>
          <w:tab w:val="clear" w:pos="1800"/>
          <w:tab w:val="left" w:pos="1276"/>
        </w:tabs>
        <w:ind w:left="1276" w:hanging="1276"/>
        <w:jc w:val="both"/>
        <w:rPr>
          <w:rFonts w:asciiTheme="minorHAnsi" w:eastAsiaTheme="minorEastAsia" w:hAnsiTheme="minorHAnsi" w:cstheme="minorBidi"/>
        </w:rPr>
      </w:pPr>
      <w:r w:rsidRPr="007D1918">
        <w:rPr>
          <w:rFonts w:asciiTheme="minorHAnsi" w:eastAsiaTheme="minorEastAsia" w:hAnsiTheme="minorHAnsi" w:cstheme="minorBidi"/>
        </w:rPr>
        <w:fldChar w:fldCharType="end"/>
      </w:r>
    </w:p>
    <w:p w14:paraId="6F36EE81" w14:textId="77777777" w:rsidR="00452F32" w:rsidRPr="007D1918" w:rsidRDefault="008F59A8" w:rsidP="00DF343F">
      <w:pPr>
        <w:pStyle w:val="Heading2"/>
        <w:jc w:val="both"/>
      </w:pPr>
      <w:bookmarkStart w:id="28" w:name="_Toc381796427"/>
      <w:bookmarkStart w:id="29" w:name="_Toc395200738"/>
      <w:bookmarkStart w:id="30" w:name="_Toc399247193"/>
      <w:bookmarkStart w:id="31" w:name="_Toc402884712"/>
      <w:bookmarkStart w:id="32" w:name="_Toc23766916"/>
      <w:r w:rsidRPr="007D1918">
        <w:t>Figures</w:t>
      </w:r>
      <w:bookmarkEnd w:id="28"/>
      <w:bookmarkEnd w:id="29"/>
      <w:bookmarkEnd w:id="30"/>
      <w:bookmarkEnd w:id="31"/>
      <w:bookmarkEnd w:id="32"/>
    </w:p>
    <w:p w14:paraId="6E05ADD1" w14:textId="3A61E15C" w:rsidR="007D4948" w:rsidRPr="007D1918" w:rsidRDefault="0086593E">
      <w:pPr>
        <w:pStyle w:val="TableofFigures"/>
        <w:rPr>
          <w:rFonts w:asciiTheme="minorHAnsi" w:eastAsiaTheme="minorEastAsia" w:hAnsiTheme="minorHAnsi" w:cstheme="minorBidi"/>
        </w:rPr>
      </w:pPr>
      <w:r w:rsidRPr="007D1918">
        <w:rPr>
          <w:szCs w:val="24"/>
        </w:rPr>
        <w:fldChar w:fldCharType="begin"/>
      </w:r>
      <w:r w:rsidR="00452F32" w:rsidRPr="007D1918">
        <w:rPr>
          <w:szCs w:val="24"/>
        </w:rPr>
        <w:instrText xml:space="preserve"> TOC \h \z \c "Figure" </w:instrText>
      </w:r>
      <w:r w:rsidRPr="007D1918">
        <w:rPr>
          <w:szCs w:val="24"/>
        </w:rPr>
        <w:fldChar w:fldCharType="separate"/>
      </w:r>
      <w:hyperlink w:anchor="_Toc23769606" w:history="1">
        <w:r w:rsidR="007D4948" w:rsidRPr="007D1918">
          <w:rPr>
            <w:rStyle w:val="Hyperlink"/>
          </w:rPr>
          <w:t>Figure 1</w:t>
        </w:r>
        <w:r w:rsidR="007D4948" w:rsidRPr="007D1918">
          <w:rPr>
            <w:rFonts w:asciiTheme="minorHAnsi" w:eastAsiaTheme="minorEastAsia" w:hAnsiTheme="minorHAnsi" w:cstheme="minorBidi"/>
          </w:rPr>
          <w:tab/>
        </w:r>
        <w:r w:rsidR="007D4948" w:rsidRPr="007D1918">
          <w:rPr>
            <w:rStyle w:val="Hyperlink"/>
          </w:rPr>
          <w:t>Clinical management pathway for patients with, or at risk of, myasthenic crisis</w:t>
        </w:r>
        <w:r w:rsidR="007D4948" w:rsidRPr="007D1918">
          <w:rPr>
            <w:webHidden/>
          </w:rPr>
          <w:tab/>
        </w:r>
        <w:r w:rsidR="007D4948" w:rsidRPr="007D1918">
          <w:rPr>
            <w:webHidden/>
          </w:rPr>
          <w:fldChar w:fldCharType="begin"/>
        </w:r>
        <w:r w:rsidR="007D4948" w:rsidRPr="007D1918">
          <w:rPr>
            <w:webHidden/>
          </w:rPr>
          <w:instrText xml:space="preserve"> PAGEREF _Toc23769606 \h </w:instrText>
        </w:r>
        <w:r w:rsidR="007D4948" w:rsidRPr="007D1918">
          <w:rPr>
            <w:webHidden/>
          </w:rPr>
        </w:r>
        <w:r w:rsidR="007D4948" w:rsidRPr="007D1918">
          <w:rPr>
            <w:webHidden/>
          </w:rPr>
          <w:fldChar w:fldCharType="separate"/>
        </w:r>
        <w:r w:rsidR="007D4948" w:rsidRPr="007D1918">
          <w:rPr>
            <w:webHidden/>
          </w:rPr>
          <w:t>46</w:t>
        </w:r>
        <w:r w:rsidR="007D4948" w:rsidRPr="007D1918">
          <w:rPr>
            <w:webHidden/>
          </w:rPr>
          <w:fldChar w:fldCharType="end"/>
        </w:r>
      </w:hyperlink>
    </w:p>
    <w:p w14:paraId="6AEA12ED" w14:textId="1C08D16F" w:rsidR="007D4948" w:rsidRPr="007D1918" w:rsidRDefault="002814BF">
      <w:pPr>
        <w:pStyle w:val="TableofFigures"/>
        <w:rPr>
          <w:rFonts w:asciiTheme="minorHAnsi" w:eastAsiaTheme="minorEastAsia" w:hAnsiTheme="minorHAnsi" w:cstheme="minorBidi"/>
        </w:rPr>
      </w:pPr>
      <w:hyperlink w:anchor="_Toc23769607" w:history="1">
        <w:r w:rsidR="007D4948" w:rsidRPr="007D1918">
          <w:rPr>
            <w:rStyle w:val="Hyperlink"/>
          </w:rPr>
          <w:t>Figure 2</w:t>
        </w:r>
        <w:r w:rsidR="007D4948" w:rsidRPr="007D1918">
          <w:rPr>
            <w:rFonts w:asciiTheme="minorHAnsi" w:eastAsiaTheme="minorEastAsia" w:hAnsiTheme="minorHAnsi" w:cstheme="minorBidi"/>
          </w:rPr>
          <w:tab/>
        </w:r>
        <w:r w:rsidR="007D4948" w:rsidRPr="007D1918">
          <w:rPr>
            <w:rStyle w:val="Hyperlink"/>
          </w:rPr>
          <w:t>Clinical management pathway for patients with MG awaiting surgery and/or thymectomy</w:t>
        </w:r>
        <w:r w:rsidR="007D4948" w:rsidRPr="007D1918">
          <w:rPr>
            <w:webHidden/>
          </w:rPr>
          <w:tab/>
        </w:r>
        <w:r w:rsidR="007D4948" w:rsidRPr="007D1918">
          <w:rPr>
            <w:webHidden/>
          </w:rPr>
          <w:fldChar w:fldCharType="begin"/>
        </w:r>
        <w:r w:rsidR="007D4948" w:rsidRPr="007D1918">
          <w:rPr>
            <w:webHidden/>
          </w:rPr>
          <w:instrText xml:space="preserve"> PAGEREF _Toc23769607 \h </w:instrText>
        </w:r>
        <w:r w:rsidR="007D4948" w:rsidRPr="007D1918">
          <w:rPr>
            <w:webHidden/>
          </w:rPr>
        </w:r>
        <w:r w:rsidR="007D4948" w:rsidRPr="007D1918">
          <w:rPr>
            <w:webHidden/>
          </w:rPr>
          <w:fldChar w:fldCharType="separate"/>
        </w:r>
        <w:r w:rsidR="007D4948" w:rsidRPr="007D1918">
          <w:rPr>
            <w:webHidden/>
          </w:rPr>
          <w:t>46</w:t>
        </w:r>
        <w:r w:rsidR="007D4948" w:rsidRPr="007D1918">
          <w:rPr>
            <w:webHidden/>
          </w:rPr>
          <w:fldChar w:fldCharType="end"/>
        </w:r>
      </w:hyperlink>
    </w:p>
    <w:p w14:paraId="30E50383" w14:textId="152C2FBB" w:rsidR="007D4948" w:rsidRPr="007D1918" w:rsidRDefault="002814BF">
      <w:pPr>
        <w:pStyle w:val="TableofFigures"/>
        <w:rPr>
          <w:rFonts w:asciiTheme="minorHAnsi" w:eastAsiaTheme="minorEastAsia" w:hAnsiTheme="minorHAnsi" w:cstheme="minorBidi"/>
        </w:rPr>
      </w:pPr>
      <w:hyperlink w:anchor="_Toc23769608" w:history="1">
        <w:r w:rsidR="007D4948" w:rsidRPr="007D1918">
          <w:rPr>
            <w:rStyle w:val="Hyperlink"/>
          </w:rPr>
          <w:t>Figure 3</w:t>
        </w:r>
        <w:r w:rsidR="007D4948" w:rsidRPr="007D1918">
          <w:rPr>
            <w:rFonts w:asciiTheme="minorHAnsi" w:eastAsiaTheme="minorEastAsia" w:hAnsiTheme="minorHAnsi" w:cstheme="minorBidi"/>
          </w:rPr>
          <w:tab/>
        </w:r>
        <w:r w:rsidR="007D4948" w:rsidRPr="007D1918">
          <w:rPr>
            <w:rStyle w:val="Hyperlink"/>
          </w:rPr>
          <w:t>Clinical management pathway for patients with moderate to severe MG on maintenance therapy</w:t>
        </w:r>
        <w:r w:rsidR="007D4948" w:rsidRPr="007D1918">
          <w:rPr>
            <w:webHidden/>
          </w:rPr>
          <w:tab/>
        </w:r>
        <w:r w:rsidR="007D4948" w:rsidRPr="007D1918">
          <w:rPr>
            <w:webHidden/>
          </w:rPr>
          <w:fldChar w:fldCharType="begin"/>
        </w:r>
        <w:r w:rsidR="007D4948" w:rsidRPr="007D1918">
          <w:rPr>
            <w:webHidden/>
          </w:rPr>
          <w:instrText xml:space="preserve"> PAGEREF _Toc23769608 \h </w:instrText>
        </w:r>
        <w:r w:rsidR="007D4948" w:rsidRPr="007D1918">
          <w:rPr>
            <w:webHidden/>
          </w:rPr>
        </w:r>
        <w:r w:rsidR="007D4948" w:rsidRPr="007D1918">
          <w:rPr>
            <w:webHidden/>
          </w:rPr>
          <w:fldChar w:fldCharType="separate"/>
        </w:r>
        <w:r w:rsidR="007D4948" w:rsidRPr="007D1918">
          <w:rPr>
            <w:webHidden/>
          </w:rPr>
          <w:t>47</w:t>
        </w:r>
        <w:r w:rsidR="007D4948" w:rsidRPr="007D1918">
          <w:rPr>
            <w:webHidden/>
          </w:rPr>
          <w:fldChar w:fldCharType="end"/>
        </w:r>
      </w:hyperlink>
    </w:p>
    <w:p w14:paraId="5CC48457" w14:textId="63F9FE3E" w:rsidR="007D4948" w:rsidRPr="007D1918" w:rsidRDefault="002814BF">
      <w:pPr>
        <w:pStyle w:val="TableofFigures"/>
        <w:rPr>
          <w:rFonts w:asciiTheme="minorHAnsi" w:eastAsiaTheme="minorEastAsia" w:hAnsiTheme="minorHAnsi" w:cstheme="minorBidi"/>
        </w:rPr>
      </w:pPr>
      <w:hyperlink w:anchor="_Toc23769609" w:history="1">
        <w:r w:rsidR="007D4948" w:rsidRPr="007D1918">
          <w:rPr>
            <w:rStyle w:val="Hyperlink"/>
          </w:rPr>
          <w:t xml:space="preserve">Figure 4 </w:t>
        </w:r>
        <w:r w:rsidR="007D4948" w:rsidRPr="007D1918">
          <w:rPr>
            <w:rFonts w:asciiTheme="minorHAnsi" w:eastAsiaTheme="minorEastAsia" w:hAnsiTheme="minorHAnsi" w:cstheme="minorBidi"/>
          </w:rPr>
          <w:tab/>
        </w:r>
        <w:r w:rsidR="007D4948" w:rsidRPr="007D1918">
          <w:rPr>
            <w:rStyle w:val="Hyperlink"/>
          </w:rPr>
          <w:t>PRISMA flowchart: summary of the process used to identify and select studies for the assessment</w:t>
        </w:r>
        <w:r w:rsidR="007D4948" w:rsidRPr="007D1918">
          <w:rPr>
            <w:webHidden/>
          </w:rPr>
          <w:tab/>
        </w:r>
        <w:r w:rsidR="007D4948" w:rsidRPr="007D1918">
          <w:rPr>
            <w:webHidden/>
          </w:rPr>
          <w:fldChar w:fldCharType="begin"/>
        </w:r>
        <w:r w:rsidR="007D4948" w:rsidRPr="007D1918">
          <w:rPr>
            <w:webHidden/>
          </w:rPr>
          <w:instrText xml:space="preserve"> PAGEREF _Toc23769609 \h </w:instrText>
        </w:r>
        <w:r w:rsidR="007D4948" w:rsidRPr="007D1918">
          <w:rPr>
            <w:webHidden/>
          </w:rPr>
        </w:r>
        <w:r w:rsidR="007D4948" w:rsidRPr="007D1918">
          <w:rPr>
            <w:webHidden/>
          </w:rPr>
          <w:fldChar w:fldCharType="separate"/>
        </w:r>
        <w:r w:rsidR="007D4948" w:rsidRPr="007D1918">
          <w:rPr>
            <w:webHidden/>
          </w:rPr>
          <w:t>57</w:t>
        </w:r>
        <w:r w:rsidR="007D4948" w:rsidRPr="007D1918">
          <w:rPr>
            <w:webHidden/>
          </w:rPr>
          <w:fldChar w:fldCharType="end"/>
        </w:r>
      </w:hyperlink>
    </w:p>
    <w:p w14:paraId="7A15EFF1" w14:textId="204F7D29" w:rsidR="007D4948" w:rsidRPr="007D1918" w:rsidRDefault="002814BF">
      <w:pPr>
        <w:pStyle w:val="TableofFigures"/>
        <w:rPr>
          <w:rFonts w:asciiTheme="minorHAnsi" w:eastAsiaTheme="minorEastAsia" w:hAnsiTheme="minorHAnsi" w:cstheme="minorBidi"/>
        </w:rPr>
      </w:pPr>
      <w:hyperlink w:anchor="_Toc23769610" w:history="1">
        <w:r w:rsidR="007D4948" w:rsidRPr="007D1918">
          <w:rPr>
            <w:rStyle w:val="Hyperlink"/>
          </w:rPr>
          <w:t>Figure 5</w:t>
        </w:r>
        <w:r w:rsidR="007D4948" w:rsidRPr="007D1918">
          <w:rPr>
            <w:rFonts w:asciiTheme="minorHAnsi" w:eastAsiaTheme="minorEastAsia" w:hAnsiTheme="minorHAnsi" w:cstheme="minorBidi"/>
          </w:rPr>
          <w:tab/>
        </w:r>
        <w:r w:rsidR="007D4948" w:rsidRPr="007D1918">
          <w:rPr>
            <w:rStyle w:val="Hyperlink"/>
          </w:rPr>
          <w:t>Comparison of adverse effects for IVIg versus PE in clinical trials (Ortiz-Salas et al. 2016)</w:t>
        </w:r>
        <w:r w:rsidR="007D4948" w:rsidRPr="007D1918">
          <w:rPr>
            <w:webHidden/>
          </w:rPr>
          <w:tab/>
        </w:r>
        <w:r w:rsidR="007D4948" w:rsidRPr="007D1918">
          <w:rPr>
            <w:webHidden/>
          </w:rPr>
          <w:fldChar w:fldCharType="begin"/>
        </w:r>
        <w:r w:rsidR="007D4948" w:rsidRPr="007D1918">
          <w:rPr>
            <w:webHidden/>
          </w:rPr>
          <w:instrText xml:space="preserve"> PAGEREF _Toc23769610 \h </w:instrText>
        </w:r>
        <w:r w:rsidR="007D4948" w:rsidRPr="007D1918">
          <w:rPr>
            <w:webHidden/>
          </w:rPr>
        </w:r>
        <w:r w:rsidR="007D4948" w:rsidRPr="007D1918">
          <w:rPr>
            <w:webHidden/>
          </w:rPr>
          <w:fldChar w:fldCharType="separate"/>
        </w:r>
        <w:r w:rsidR="007D4948" w:rsidRPr="007D1918">
          <w:rPr>
            <w:webHidden/>
          </w:rPr>
          <w:t>71</w:t>
        </w:r>
        <w:r w:rsidR="007D4948" w:rsidRPr="007D1918">
          <w:rPr>
            <w:webHidden/>
          </w:rPr>
          <w:fldChar w:fldCharType="end"/>
        </w:r>
      </w:hyperlink>
    </w:p>
    <w:p w14:paraId="36A2F7CC" w14:textId="770448F4" w:rsidR="007D4948" w:rsidRPr="007D1918" w:rsidRDefault="002814BF">
      <w:pPr>
        <w:pStyle w:val="TableofFigures"/>
        <w:rPr>
          <w:rFonts w:asciiTheme="minorHAnsi" w:eastAsiaTheme="minorEastAsia" w:hAnsiTheme="minorHAnsi" w:cstheme="minorBidi"/>
        </w:rPr>
      </w:pPr>
      <w:hyperlink w:anchor="_Toc23769611" w:history="1">
        <w:r w:rsidR="007D4948" w:rsidRPr="007D1918">
          <w:rPr>
            <w:rStyle w:val="Hyperlink"/>
          </w:rPr>
          <w:t>Figure 6</w:t>
        </w:r>
        <w:r w:rsidR="007D4948" w:rsidRPr="007D1918">
          <w:rPr>
            <w:rFonts w:asciiTheme="minorHAnsi" w:eastAsiaTheme="minorEastAsia" w:hAnsiTheme="minorHAnsi" w:cstheme="minorBidi"/>
          </w:rPr>
          <w:tab/>
        </w:r>
        <w:r w:rsidR="007D4948" w:rsidRPr="007D1918">
          <w:rPr>
            <w:rStyle w:val="Hyperlink"/>
          </w:rPr>
          <w:t>Change in QMGS from baseline to 16 weeks (Rønager et al. 2001)</w:t>
        </w:r>
        <w:r w:rsidR="007D4948" w:rsidRPr="007D1918">
          <w:rPr>
            <w:webHidden/>
          </w:rPr>
          <w:tab/>
        </w:r>
        <w:r w:rsidR="007D4948" w:rsidRPr="007D1918">
          <w:rPr>
            <w:webHidden/>
          </w:rPr>
          <w:fldChar w:fldCharType="begin"/>
        </w:r>
        <w:r w:rsidR="007D4948" w:rsidRPr="007D1918">
          <w:rPr>
            <w:webHidden/>
          </w:rPr>
          <w:instrText xml:space="preserve"> PAGEREF _Toc23769611 \h </w:instrText>
        </w:r>
        <w:r w:rsidR="007D4948" w:rsidRPr="007D1918">
          <w:rPr>
            <w:webHidden/>
          </w:rPr>
        </w:r>
        <w:r w:rsidR="007D4948" w:rsidRPr="007D1918">
          <w:rPr>
            <w:webHidden/>
          </w:rPr>
          <w:fldChar w:fldCharType="separate"/>
        </w:r>
        <w:r w:rsidR="007D4948" w:rsidRPr="007D1918">
          <w:rPr>
            <w:webHidden/>
          </w:rPr>
          <w:t>97</w:t>
        </w:r>
        <w:r w:rsidR="007D4948" w:rsidRPr="007D1918">
          <w:rPr>
            <w:webHidden/>
          </w:rPr>
          <w:fldChar w:fldCharType="end"/>
        </w:r>
      </w:hyperlink>
    </w:p>
    <w:p w14:paraId="250921B5" w14:textId="37D350FC" w:rsidR="007D4948" w:rsidRPr="007D1918" w:rsidRDefault="002814BF">
      <w:pPr>
        <w:pStyle w:val="TableofFigures"/>
        <w:rPr>
          <w:rFonts w:asciiTheme="minorHAnsi" w:eastAsiaTheme="minorEastAsia" w:hAnsiTheme="minorHAnsi" w:cstheme="minorBidi"/>
        </w:rPr>
      </w:pPr>
      <w:hyperlink w:anchor="_Toc23769612" w:history="1">
        <w:r w:rsidR="007D4948" w:rsidRPr="007D1918">
          <w:rPr>
            <w:rStyle w:val="Hyperlink"/>
          </w:rPr>
          <w:t>Figure 7</w:t>
        </w:r>
        <w:r w:rsidR="007D4948" w:rsidRPr="007D1918">
          <w:rPr>
            <w:rFonts w:asciiTheme="minorHAnsi" w:eastAsiaTheme="minorEastAsia" w:hAnsiTheme="minorHAnsi" w:cstheme="minorBidi"/>
          </w:rPr>
          <w:tab/>
        </w:r>
        <w:r w:rsidR="007D4948" w:rsidRPr="007D1918">
          <w:rPr>
            <w:rStyle w:val="Hyperlink"/>
          </w:rPr>
          <w:t>Mean change in QMGS score in patients with moderate to severe disease  (QMGS &gt; 10.5 at baseline) (Zinman, Ng &amp; Bril 2007)</w:t>
        </w:r>
        <w:r w:rsidR="007D4948" w:rsidRPr="007D1918">
          <w:rPr>
            <w:webHidden/>
          </w:rPr>
          <w:tab/>
        </w:r>
        <w:r w:rsidR="007D4948" w:rsidRPr="007D1918">
          <w:rPr>
            <w:webHidden/>
          </w:rPr>
          <w:fldChar w:fldCharType="begin"/>
        </w:r>
        <w:r w:rsidR="007D4948" w:rsidRPr="007D1918">
          <w:rPr>
            <w:webHidden/>
          </w:rPr>
          <w:instrText xml:space="preserve"> PAGEREF _Toc23769612 \h </w:instrText>
        </w:r>
        <w:r w:rsidR="007D4948" w:rsidRPr="007D1918">
          <w:rPr>
            <w:webHidden/>
          </w:rPr>
        </w:r>
        <w:r w:rsidR="007D4948" w:rsidRPr="007D1918">
          <w:rPr>
            <w:webHidden/>
          </w:rPr>
          <w:fldChar w:fldCharType="separate"/>
        </w:r>
        <w:r w:rsidR="007D4948" w:rsidRPr="007D1918">
          <w:rPr>
            <w:webHidden/>
          </w:rPr>
          <w:t>100</w:t>
        </w:r>
        <w:r w:rsidR="007D4948" w:rsidRPr="007D1918">
          <w:rPr>
            <w:webHidden/>
          </w:rPr>
          <w:fldChar w:fldCharType="end"/>
        </w:r>
      </w:hyperlink>
    </w:p>
    <w:p w14:paraId="6A5ED300" w14:textId="03445164" w:rsidR="007D4948" w:rsidRPr="007D1918" w:rsidRDefault="002814BF">
      <w:pPr>
        <w:pStyle w:val="TableofFigures"/>
        <w:rPr>
          <w:rFonts w:asciiTheme="minorHAnsi" w:eastAsiaTheme="minorEastAsia" w:hAnsiTheme="minorHAnsi" w:cstheme="minorBidi"/>
        </w:rPr>
      </w:pPr>
      <w:hyperlink w:anchor="_Toc23769613" w:history="1">
        <w:r w:rsidR="007D4948" w:rsidRPr="007D1918">
          <w:rPr>
            <w:rStyle w:val="Hyperlink"/>
          </w:rPr>
          <w:t>Figure 8</w:t>
        </w:r>
        <w:r w:rsidR="007D4948" w:rsidRPr="007D1918">
          <w:rPr>
            <w:rFonts w:asciiTheme="minorHAnsi" w:eastAsiaTheme="minorEastAsia" w:hAnsiTheme="minorHAnsi" w:cstheme="minorBidi"/>
          </w:rPr>
          <w:tab/>
        </w:r>
        <w:r w:rsidR="007D4948" w:rsidRPr="007D1918">
          <w:rPr>
            <w:rStyle w:val="Hyperlink"/>
          </w:rPr>
          <w:t>Change in modified Rankin Scale in children from the acute phase of disease  (before IVIg administration) to last follow-up (Nosadini et al. 2016)</w:t>
        </w:r>
        <w:r w:rsidR="007D4948" w:rsidRPr="007D1918">
          <w:rPr>
            <w:webHidden/>
          </w:rPr>
          <w:tab/>
        </w:r>
        <w:r w:rsidR="007D4948" w:rsidRPr="007D1918">
          <w:rPr>
            <w:webHidden/>
          </w:rPr>
          <w:fldChar w:fldCharType="begin"/>
        </w:r>
        <w:r w:rsidR="007D4948" w:rsidRPr="007D1918">
          <w:rPr>
            <w:webHidden/>
          </w:rPr>
          <w:instrText xml:space="preserve"> PAGEREF _Toc23769613 \h </w:instrText>
        </w:r>
        <w:r w:rsidR="007D4948" w:rsidRPr="007D1918">
          <w:rPr>
            <w:webHidden/>
          </w:rPr>
        </w:r>
        <w:r w:rsidR="007D4948" w:rsidRPr="007D1918">
          <w:rPr>
            <w:webHidden/>
          </w:rPr>
          <w:fldChar w:fldCharType="separate"/>
        </w:r>
        <w:r w:rsidR="007D4948" w:rsidRPr="007D1918">
          <w:rPr>
            <w:webHidden/>
          </w:rPr>
          <w:t>105</w:t>
        </w:r>
        <w:r w:rsidR="007D4948" w:rsidRPr="007D1918">
          <w:rPr>
            <w:webHidden/>
          </w:rPr>
          <w:fldChar w:fldCharType="end"/>
        </w:r>
      </w:hyperlink>
    </w:p>
    <w:p w14:paraId="52D19452" w14:textId="0A46A8D5" w:rsidR="007D4948" w:rsidRPr="007D1918" w:rsidRDefault="002814BF">
      <w:pPr>
        <w:pStyle w:val="TableofFigures"/>
        <w:rPr>
          <w:rFonts w:asciiTheme="minorHAnsi" w:eastAsiaTheme="minorEastAsia" w:hAnsiTheme="minorHAnsi" w:cstheme="minorBidi"/>
        </w:rPr>
      </w:pPr>
      <w:hyperlink w:anchor="_Toc23769614" w:history="1">
        <w:r w:rsidR="007D4948" w:rsidRPr="007D1918">
          <w:rPr>
            <w:rStyle w:val="Hyperlink"/>
          </w:rPr>
          <w:t>Figure 9</w:t>
        </w:r>
        <w:r w:rsidR="007D4948" w:rsidRPr="007D1918">
          <w:rPr>
            <w:rFonts w:asciiTheme="minorHAnsi" w:eastAsiaTheme="minorEastAsia" w:hAnsiTheme="minorHAnsi" w:cstheme="minorBidi"/>
          </w:rPr>
          <w:tab/>
        </w:r>
        <w:r w:rsidR="007D4948" w:rsidRPr="007D1918">
          <w:rPr>
            <w:rStyle w:val="Hyperlink"/>
          </w:rPr>
          <w:t>Total MG Patients requiring IVIg; projected patient numbers to 2022-2023</w:t>
        </w:r>
        <w:r w:rsidR="007D4948" w:rsidRPr="007D1918">
          <w:rPr>
            <w:webHidden/>
          </w:rPr>
          <w:tab/>
        </w:r>
        <w:r w:rsidR="007D4948" w:rsidRPr="007D1918">
          <w:rPr>
            <w:webHidden/>
          </w:rPr>
          <w:fldChar w:fldCharType="begin"/>
        </w:r>
        <w:r w:rsidR="007D4948" w:rsidRPr="007D1918">
          <w:rPr>
            <w:webHidden/>
          </w:rPr>
          <w:instrText xml:space="preserve"> PAGEREF _Toc23769614 \h </w:instrText>
        </w:r>
        <w:r w:rsidR="007D4948" w:rsidRPr="007D1918">
          <w:rPr>
            <w:webHidden/>
          </w:rPr>
        </w:r>
        <w:r w:rsidR="007D4948" w:rsidRPr="007D1918">
          <w:rPr>
            <w:webHidden/>
          </w:rPr>
          <w:fldChar w:fldCharType="separate"/>
        </w:r>
        <w:r w:rsidR="007D4948" w:rsidRPr="007D1918">
          <w:rPr>
            <w:webHidden/>
          </w:rPr>
          <w:t>163</w:t>
        </w:r>
        <w:r w:rsidR="007D4948" w:rsidRPr="007D1918">
          <w:rPr>
            <w:webHidden/>
          </w:rPr>
          <w:fldChar w:fldCharType="end"/>
        </w:r>
      </w:hyperlink>
    </w:p>
    <w:p w14:paraId="4D33E827" w14:textId="00C2F282" w:rsidR="007D4948" w:rsidRPr="007D1918" w:rsidRDefault="002814BF">
      <w:pPr>
        <w:pStyle w:val="TableofFigures"/>
        <w:rPr>
          <w:rFonts w:asciiTheme="minorHAnsi" w:eastAsiaTheme="minorEastAsia" w:hAnsiTheme="minorHAnsi" w:cstheme="minorBidi"/>
        </w:rPr>
      </w:pPr>
      <w:hyperlink w:anchor="_Toc23769615" w:history="1">
        <w:r w:rsidR="007D4948" w:rsidRPr="007D1918">
          <w:rPr>
            <w:rStyle w:val="Hyperlink"/>
          </w:rPr>
          <w:t>Figure 10</w:t>
        </w:r>
        <w:r w:rsidR="007D4948" w:rsidRPr="007D1918">
          <w:rPr>
            <w:rFonts w:asciiTheme="minorHAnsi" w:eastAsiaTheme="minorEastAsia" w:hAnsiTheme="minorHAnsi" w:cstheme="minorBidi"/>
          </w:rPr>
          <w:tab/>
        </w:r>
        <w:r w:rsidR="007D4948" w:rsidRPr="007D1918">
          <w:rPr>
            <w:rStyle w:val="Hyperlink"/>
          </w:rPr>
          <w:t>IVIg for MG, use projections to 2023-24</w:t>
        </w:r>
        <w:r w:rsidR="007D4948" w:rsidRPr="007D1918">
          <w:rPr>
            <w:webHidden/>
          </w:rPr>
          <w:tab/>
        </w:r>
        <w:r w:rsidR="007D4948" w:rsidRPr="007D1918">
          <w:rPr>
            <w:webHidden/>
          </w:rPr>
          <w:fldChar w:fldCharType="begin"/>
        </w:r>
        <w:r w:rsidR="007D4948" w:rsidRPr="007D1918">
          <w:rPr>
            <w:webHidden/>
          </w:rPr>
          <w:instrText xml:space="preserve"> PAGEREF _Toc23769615 \h </w:instrText>
        </w:r>
        <w:r w:rsidR="007D4948" w:rsidRPr="007D1918">
          <w:rPr>
            <w:webHidden/>
          </w:rPr>
        </w:r>
        <w:r w:rsidR="007D4948" w:rsidRPr="007D1918">
          <w:rPr>
            <w:webHidden/>
          </w:rPr>
          <w:fldChar w:fldCharType="separate"/>
        </w:r>
        <w:r w:rsidR="007D4948" w:rsidRPr="007D1918">
          <w:rPr>
            <w:webHidden/>
          </w:rPr>
          <w:t>164</w:t>
        </w:r>
        <w:r w:rsidR="007D4948" w:rsidRPr="007D1918">
          <w:rPr>
            <w:webHidden/>
          </w:rPr>
          <w:fldChar w:fldCharType="end"/>
        </w:r>
      </w:hyperlink>
    </w:p>
    <w:p w14:paraId="5B5DFC41" w14:textId="7749A8D0" w:rsidR="007D4948" w:rsidRPr="007D1918" w:rsidRDefault="002814BF">
      <w:pPr>
        <w:pStyle w:val="TableofFigures"/>
        <w:rPr>
          <w:rFonts w:asciiTheme="minorHAnsi" w:eastAsiaTheme="minorEastAsia" w:hAnsiTheme="minorHAnsi" w:cstheme="minorBidi"/>
        </w:rPr>
      </w:pPr>
      <w:hyperlink w:anchor="_Toc23769616" w:history="1">
        <w:r w:rsidR="007D4948" w:rsidRPr="007D1918">
          <w:rPr>
            <w:rStyle w:val="Hyperlink"/>
          </w:rPr>
          <w:t>Figure 11</w:t>
        </w:r>
        <w:r w:rsidR="007D4948" w:rsidRPr="007D1918">
          <w:rPr>
            <w:rFonts w:asciiTheme="minorHAnsi" w:eastAsiaTheme="minorEastAsia" w:hAnsiTheme="minorHAnsi" w:cstheme="minorBidi"/>
          </w:rPr>
          <w:tab/>
        </w:r>
        <w:r w:rsidR="007D4948" w:rsidRPr="007D1918">
          <w:rPr>
            <w:rStyle w:val="Hyperlink"/>
          </w:rPr>
          <w:t>MGFA scores (1-5 and dead) at the time of initial rituximab therapy and last follow-up (Chan et al. 2018)</w:t>
        </w:r>
        <w:r w:rsidR="007D4948" w:rsidRPr="007D1918">
          <w:rPr>
            <w:webHidden/>
          </w:rPr>
          <w:tab/>
        </w:r>
        <w:r w:rsidR="007D4948" w:rsidRPr="007D1918">
          <w:rPr>
            <w:webHidden/>
          </w:rPr>
          <w:fldChar w:fldCharType="begin"/>
        </w:r>
        <w:r w:rsidR="007D4948" w:rsidRPr="007D1918">
          <w:rPr>
            <w:webHidden/>
          </w:rPr>
          <w:instrText xml:space="preserve"> PAGEREF _Toc23769616 \h </w:instrText>
        </w:r>
        <w:r w:rsidR="007D4948" w:rsidRPr="007D1918">
          <w:rPr>
            <w:webHidden/>
          </w:rPr>
        </w:r>
        <w:r w:rsidR="007D4948" w:rsidRPr="007D1918">
          <w:rPr>
            <w:webHidden/>
          </w:rPr>
          <w:fldChar w:fldCharType="separate"/>
        </w:r>
        <w:r w:rsidR="007D4948" w:rsidRPr="007D1918">
          <w:rPr>
            <w:webHidden/>
          </w:rPr>
          <w:t>173</w:t>
        </w:r>
        <w:r w:rsidR="007D4948" w:rsidRPr="007D1918">
          <w:rPr>
            <w:webHidden/>
          </w:rPr>
          <w:fldChar w:fldCharType="end"/>
        </w:r>
      </w:hyperlink>
    </w:p>
    <w:p w14:paraId="5740ADEF" w14:textId="02AE2673" w:rsidR="00452F32" w:rsidRPr="007D1918" w:rsidRDefault="0086593E" w:rsidP="00A27881">
      <w:pPr>
        <w:tabs>
          <w:tab w:val="left" w:pos="1276"/>
        </w:tabs>
        <w:ind w:left="1276" w:hanging="1276"/>
        <w:jc w:val="both"/>
      </w:pPr>
      <w:r w:rsidRPr="007D1918">
        <w:rPr>
          <w:szCs w:val="24"/>
        </w:rPr>
        <w:fldChar w:fldCharType="end"/>
      </w:r>
    </w:p>
    <w:p w14:paraId="675DA0E2" w14:textId="77777777" w:rsidR="008F59A8" w:rsidRPr="007D1918" w:rsidRDefault="008F59A8" w:rsidP="00DF343F">
      <w:pPr>
        <w:jc w:val="both"/>
        <w:sectPr w:rsidR="008F59A8" w:rsidRPr="007D1918" w:rsidSect="00945DB8">
          <w:headerReference w:type="even" r:id="rId19"/>
          <w:headerReference w:type="default" r:id="rId20"/>
          <w:footerReference w:type="even" r:id="rId21"/>
          <w:footerReference w:type="default" r:id="rId22"/>
          <w:headerReference w:type="first" r:id="rId23"/>
          <w:type w:val="oddPage"/>
          <w:pgSz w:w="11906" w:h="16838"/>
          <w:pgMar w:top="1440" w:right="1440" w:bottom="1440" w:left="1440" w:header="720" w:footer="720" w:gutter="0"/>
          <w:paperSrc w:first="2" w:other="2"/>
          <w:pgNumType w:fmt="lowerRoman"/>
          <w:cols w:space="720"/>
          <w:docGrid w:linePitch="299"/>
        </w:sectPr>
      </w:pPr>
    </w:p>
    <w:p w14:paraId="0DF1EFFF" w14:textId="77777777" w:rsidR="002F5F9B" w:rsidRPr="007D1918" w:rsidRDefault="000D1300" w:rsidP="00DF343F">
      <w:pPr>
        <w:pStyle w:val="Heading1"/>
        <w:jc w:val="both"/>
      </w:pPr>
      <w:bookmarkStart w:id="33" w:name="_Toc236559502"/>
      <w:bookmarkStart w:id="34" w:name="_Toc379118056"/>
      <w:bookmarkStart w:id="35" w:name="_Toc381796428"/>
      <w:bookmarkStart w:id="36" w:name="_Toc23766917"/>
      <w:r w:rsidRPr="007D1918">
        <w:lastRenderedPageBreak/>
        <w:t>Executive S</w:t>
      </w:r>
      <w:r w:rsidR="002F5F9B" w:rsidRPr="007D1918">
        <w:t>ummary</w:t>
      </w:r>
      <w:bookmarkEnd w:id="33"/>
      <w:bookmarkEnd w:id="34"/>
      <w:bookmarkEnd w:id="35"/>
      <w:bookmarkEnd w:id="36"/>
    </w:p>
    <w:tbl>
      <w:tblPr>
        <w:tblStyle w:val="TableGrid"/>
        <w:tblW w:w="0" w:type="auto"/>
        <w:tblLook w:val="04A0" w:firstRow="1" w:lastRow="0" w:firstColumn="1" w:lastColumn="0" w:noHBand="0" w:noVBand="1"/>
        <w:tblCaption w:val="Main issues for MSAC consideration"/>
        <w:tblDescription w:val="This box should quickly summarise for MSAC what things are most important when considering this SBA. "/>
      </w:tblPr>
      <w:tblGrid>
        <w:gridCol w:w="9016"/>
      </w:tblGrid>
      <w:tr w:rsidR="0085259E" w:rsidRPr="007D1918" w14:paraId="76EE4C64" w14:textId="77777777" w:rsidTr="00153891">
        <w:trPr>
          <w:tblHeader/>
        </w:trPr>
        <w:tc>
          <w:tcPr>
            <w:tcW w:w="9016" w:type="dxa"/>
            <w:tcBorders>
              <w:top w:val="single" w:sz="4" w:space="0" w:color="auto"/>
              <w:left w:val="single" w:sz="4" w:space="0" w:color="auto"/>
              <w:bottom w:val="nil"/>
              <w:right w:val="single" w:sz="4" w:space="0" w:color="auto"/>
            </w:tcBorders>
            <w:hideMark/>
          </w:tcPr>
          <w:p w14:paraId="6D3DCCFF" w14:textId="44262C76" w:rsidR="0085259E" w:rsidRPr="007D1918" w:rsidRDefault="0085259E" w:rsidP="00F47B9E">
            <w:pPr>
              <w:pStyle w:val="Heading5"/>
              <w:outlineLvl w:val="4"/>
            </w:pPr>
            <w:bookmarkStart w:id="37" w:name="_Toc381796429"/>
            <w:r w:rsidRPr="007D1918">
              <w:t>Main issues for MSAC consideration</w:t>
            </w:r>
          </w:p>
        </w:tc>
      </w:tr>
      <w:tr w:rsidR="0085259E" w:rsidRPr="007D1918" w14:paraId="4224D196" w14:textId="77777777" w:rsidTr="00153891">
        <w:tc>
          <w:tcPr>
            <w:tcW w:w="9016" w:type="dxa"/>
            <w:tcBorders>
              <w:top w:val="nil"/>
              <w:left w:val="single" w:sz="4" w:space="0" w:color="auto"/>
              <w:bottom w:val="single" w:sz="4" w:space="0" w:color="auto"/>
              <w:right w:val="single" w:sz="4" w:space="0" w:color="auto"/>
            </w:tcBorders>
            <w:hideMark/>
          </w:tcPr>
          <w:p w14:paraId="2EF59EFA" w14:textId="276B3A47" w:rsidR="0085259E" w:rsidRPr="007D1918" w:rsidRDefault="00153891" w:rsidP="00153891">
            <w:pPr>
              <w:pStyle w:val="ListParagraph"/>
              <w:numPr>
                <w:ilvl w:val="0"/>
                <w:numId w:val="14"/>
              </w:numPr>
              <w:rPr>
                <w:i/>
              </w:rPr>
            </w:pPr>
            <w:r w:rsidRPr="007D1918">
              <w:rPr>
                <w:i/>
              </w:rPr>
              <w:t xml:space="preserve">Overall the evidence was of poor quality. Several relevant RCTs were identified but they were generally </w:t>
            </w:r>
            <w:r w:rsidR="006A4ED6" w:rsidRPr="007D1918">
              <w:rPr>
                <w:i/>
              </w:rPr>
              <w:t xml:space="preserve">in </w:t>
            </w:r>
            <w:r w:rsidRPr="007D1918">
              <w:rPr>
                <w:i/>
              </w:rPr>
              <w:t>small populations. Lower level evidence was likely to be confounded by the</w:t>
            </w:r>
            <w:r w:rsidR="00C85F71" w:rsidRPr="007D1918">
              <w:rPr>
                <w:i/>
              </w:rPr>
              <w:t xml:space="preserve"> preference to use PE over IVIg</w:t>
            </w:r>
            <w:r w:rsidR="00805633" w:rsidRPr="007D1918">
              <w:rPr>
                <w:i/>
              </w:rPr>
              <w:t xml:space="preserve"> in patients who were sicker</w:t>
            </w:r>
            <w:r w:rsidR="00C85F71" w:rsidRPr="007D1918">
              <w:rPr>
                <w:i/>
              </w:rPr>
              <w:t>, and other baseline patient characteristics.</w:t>
            </w:r>
          </w:p>
          <w:p w14:paraId="19F3AB3C" w14:textId="0035B891" w:rsidR="007B4A8C" w:rsidRPr="007D1918" w:rsidRDefault="00397772" w:rsidP="007B4A8C">
            <w:pPr>
              <w:pStyle w:val="ListParagraph"/>
              <w:numPr>
                <w:ilvl w:val="0"/>
                <w:numId w:val="14"/>
              </w:numPr>
              <w:rPr>
                <w:i/>
              </w:rPr>
            </w:pPr>
            <w:r w:rsidRPr="007D1918">
              <w:rPr>
                <w:i/>
              </w:rPr>
              <w:t xml:space="preserve">IVIg is </w:t>
            </w:r>
            <w:r w:rsidR="00C85F71" w:rsidRPr="007D1918">
              <w:rPr>
                <w:i/>
              </w:rPr>
              <w:t xml:space="preserve">usually </w:t>
            </w:r>
            <w:r w:rsidRPr="007D1918">
              <w:rPr>
                <w:i/>
              </w:rPr>
              <w:t>given when other treatments (including PE) are no longer effective. By denying IVIg for MG patients, access to another treatment option is denied, which may be a matter of life and death.</w:t>
            </w:r>
          </w:p>
          <w:p w14:paraId="6B8A1293" w14:textId="79FC526E" w:rsidR="00555EAA" w:rsidRPr="007D1918" w:rsidRDefault="00555EAA" w:rsidP="007B4A8C">
            <w:pPr>
              <w:pStyle w:val="ListParagraph"/>
              <w:numPr>
                <w:ilvl w:val="0"/>
                <w:numId w:val="14"/>
              </w:numPr>
              <w:rPr>
                <w:i/>
              </w:rPr>
            </w:pPr>
            <w:r w:rsidRPr="007D1918">
              <w:rPr>
                <w:i/>
              </w:rPr>
              <w:t>Access to PE is limited for patients in Australia,</w:t>
            </w:r>
            <w:r w:rsidR="00912619" w:rsidRPr="007D1918">
              <w:rPr>
                <w:i/>
              </w:rPr>
              <w:t xml:space="preserve"> particularly those outside major metropolitan hospitals</w:t>
            </w:r>
            <w:r w:rsidRPr="007D1918">
              <w:rPr>
                <w:i/>
              </w:rPr>
              <w:t xml:space="preserve"> and in some cases IVIg may be given instead of PE </w:t>
            </w:r>
            <w:r w:rsidR="00912619" w:rsidRPr="007D1918">
              <w:rPr>
                <w:i/>
              </w:rPr>
              <w:t>due t</w:t>
            </w:r>
            <w:r w:rsidR="00D320AF" w:rsidRPr="007D1918">
              <w:rPr>
                <w:i/>
              </w:rPr>
              <w:t>o</w:t>
            </w:r>
            <w:r w:rsidRPr="007D1918">
              <w:rPr>
                <w:i/>
              </w:rPr>
              <w:t xml:space="preserve"> access</w:t>
            </w:r>
            <w:r w:rsidR="00912619" w:rsidRPr="007D1918">
              <w:rPr>
                <w:i/>
              </w:rPr>
              <w:t xml:space="preserve"> issues</w:t>
            </w:r>
            <w:r w:rsidRPr="007D1918">
              <w:rPr>
                <w:i/>
              </w:rPr>
              <w:t>.</w:t>
            </w:r>
          </w:p>
          <w:p w14:paraId="0C2149EC" w14:textId="5966AD0A" w:rsidR="002853A8" w:rsidRPr="007D1918" w:rsidRDefault="002853A8" w:rsidP="007B4A8C">
            <w:pPr>
              <w:pStyle w:val="ListParagraph"/>
              <w:numPr>
                <w:ilvl w:val="0"/>
                <w:numId w:val="14"/>
              </w:numPr>
              <w:rPr>
                <w:i/>
              </w:rPr>
            </w:pPr>
            <w:r w:rsidRPr="007D1918">
              <w:rPr>
                <w:i/>
              </w:rPr>
              <w:t xml:space="preserve">Pending </w:t>
            </w:r>
            <w:r w:rsidR="00290AC3" w:rsidRPr="007D1918">
              <w:rPr>
                <w:i/>
              </w:rPr>
              <w:t>RCTs</w:t>
            </w:r>
            <w:r w:rsidRPr="007D1918">
              <w:rPr>
                <w:i/>
              </w:rPr>
              <w:t xml:space="preserve"> </w:t>
            </w:r>
            <w:r w:rsidR="00290AC3" w:rsidRPr="007D1918">
              <w:rPr>
                <w:i/>
              </w:rPr>
              <w:t xml:space="preserve">comparing IVIg with placebo </w:t>
            </w:r>
            <w:r w:rsidR="00805633" w:rsidRPr="007D1918">
              <w:rPr>
                <w:i/>
              </w:rPr>
              <w:t xml:space="preserve">in patients also using other medications </w:t>
            </w:r>
            <w:r w:rsidR="00290AC3" w:rsidRPr="007D1918">
              <w:rPr>
                <w:i/>
              </w:rPr>
              <w:t>may provide evidence on the incremental safety and effectiveness of IVIg (NCT02473952</w:t>
            </w:r>
            <w:r w:rsidR="00AA4709" w:rsidRPr="007D1918">
              <w:rPr>
                <w:i/>
              </w:rPr>
              <w:t xml:space="preserve"> Indication 3</w:t>
            </w:r>
            <w:r w:rsidR="00290AC3" w:rsidRPr="007D1918">
              <w:rPr>
                <w:i/>
              </w:rPr>
              <w:t xml:space="preserve"> and NCT024135</w:t>
            </w:r>
            <w:r w:rsidR="00AA4709" w:rsidRPr="007D1918">
              <w:rPr>
                <w:i/>
              </w:rPr>
              <w:t>8</w:t>
            </w:r>
            <w:r w:rsidR="00290AC3" w:rsidRPr="007D1918">
              <w:rPr>
                <w:i/>
              </w:rPr>
              <w:t>0</w:t>
            </w:r>
            <w:r w:rsidR="00AA4709" w:rsidRPr="007D1918">
              <w:rPr>
                <w:i/>
              </w:rPr>
              <w:t xml:space="preserve"> Iindication 1</w:t>
            </w:r>
            <w:r w:rsidR="00290AC3" w:rsidRPr="007D1918">
              <w:rPr>
                <w:i/>
              </w:rPr>
              <w:t>)</w:t>
            </w:r>
          </w:p>
          <w:p w14:paraId="198B4822" w14:textId="59A2CAE6" w:rsidR="00F47B9E" w:rsidRPr="007D1918" w:rsidRDefault="00F47B9E" w:rsidP="00D320AF">
            <w:pPr>
              <w:pStyle w:val="Heading5"/>
              <w:outlineLvl w:val="4"/>
            </w:pPr>
            <w:r w:rsidRPr="007D1918">
              <w:t>Indication 1</w:t>
            </w:r>
          </w:p>
          <w:p w14:paraId="1FE0A009" w14:textId="416D4F62" w:rsidR="0085259E" w:rsidRPr="007D1918" w:rsidRDefault="00C85F71" w:rsidP="00C85F71">
            <w:pPr>
              <w:pStyle w:val="ListParagraph"/>
              <w:numPr>
                <w:ilvl w:val="0"/>
                <w:numId w:val="14"/>
              </w:numPr>
              <w:rPr>
                <w:i/>
              </w:rPr>
            </w:pPr>
            <w:r w:rsidRPr="007D1918">
              <w:rPr>
                <w:i/>
              </w:rPr>
              <w:t>There are adverse events associated with both PE and IVIg, although the</w:t>
            </w:r>
            <w:r w:rsidR="00E953C1" w:rsidRPr="007D1918">
              <w:rPr>
                <w:i/>
              </w:rPr>
              <w:t xml:space="preserve">re was evidence that the </w:t>
            </w:r>
            <w:r w:rsidRPr="007D1918">
              <w:rPr>
                <w:i/>
              </w:rPr>
              <w:t>frequency</w:t>
            </w:r>
            <w:r w:rsidR="00E52FD2" w:rsidRPr="007D1918">
              <w:rPr>
                <w:i/>
              </w:rPr>
              <w:t xml:space="preserve"> of events</w:t>
            </w:r>
            <w:r w:rsidRPr="007D1918">
              <w:rPr>
                <w:i/>
              </w:rPr>
              <w:t xml:space="preserve"> </w:t>
            </w:r>
            <w:r w:rsidR="00E953C1" w:rsidRPr="007D1918">
              <w:rPr>
                <w:i/>
              </w:rPr>
              <w:t>is</w:t>
            </w:r>
            <w:r w:rsidRPr="007D1918">
              <w:rPr>
                <w:i/>
              </w:rPr>
              <w:t xml:space="preserve"> lower with IVIg for patients in crisis</w:t>
            </w:r>
            <w:r w:rsidR="00E953C1" w:rsidRPr="007D1918">
              <w:rPr>
                <w:i/>
              </w:rPr>
              <w:t xml:space="preserve"> (</w:t>
            </w:r>
            <w:r w:rsidR="0088065E" w:rsidRPr="007D1918">
              <w:t>Criteria V3</w:t>
            </w:r>
            <w:r w:rsidR="0088065E" w:rsidRPr="007D1918">
              <w:rPr>
                <w:i/>
              </w:rPr>
              <w:t xml:space="preserve"> </w:t>
            </w:r>
            <w:r w:rsidR="00E953C1" w:rsidRPr="007D1918">
              <w:rPr>
                <w:i/>
              </w:rPr>
              <w:t>Indication 1)</w:t>
            </w:r>
            <w:r w:rsidRPr="007D1918">
              <w:rPr>
                <w:i/>
              </w:rPr>
              <w:t xml:space="preserve">. </w:t>
            </w:r>
          </w:p>
          <w:p w14:paraId="303B3BB7" w14:textId="77777777" w:rsidR="00235223" w:rsidRPr="007D1918" w:rsidRDefault="00235223" w:rsidP="00235223">
            <w:pPr>
              <w:pStyle w:val="ListParagraph"/>
              <w:numPr>
                <w:ilvl w:val="0"/>
                <w:numId w:val="14"/>
              </w:numPr>
              <w:rPr>
                <w:color w:val="000000" w:themeColor="text1"/>
              </w:rPr>
            </w:pPr>
            <w:r w:rsidRPr="007D1918">
              <w:rPr>
                <w:i/>
              </w:rPr>
              <w:t xml:space="preserve">The economic implications of the ‘adverse events avoided’ in patients who receive IVIg for MG crisis </w:t>
            </w:r>
            <w:r w:rsidRPr="007D1918">
              <w:rPr>
                <w:i/>
                <w:color w:val="000000" w:themeColor="text1"/>
              </w:rPr>
              <w:t>(</w:t>
            </w:r>
            <w:r w:rsidRPr="007D1918">
              <w:rPr>
                <w:color w:val="000000" w:themeColor="text1"/>
              </w:rPr>
              <w:t>Criteria V3</w:t>
            </w:r>
            <w:r w:rsidRPr="007D1918">
              <w:rPr>
                <w:i/>
                <w:color w:val="000000" w:themeColor="text1"/>
              </w:rPr>
              <w:t xml:space="preserve"> Indication 1) are based on a small comparative study; it is unknown whether the estimates accurately represent what would occur across a large population where a broader adverse event profile may be expected.</w:t>
            </w:r>
          </w:p>
          <w:p w14:paraId="6B6EBB76" w14:textId="77777777" w:rsidR="00235223" w:rsidRPr="007D1918" w:rsidRDefault="00235223" w:rsidP="00235223">
            <w:pPr>
              <w:pStyle w:val="ListParagraph"/>
              <w:numPr>
                <w:ilvl w:val="0"/>
                <w:numId w:val="14"/>
              </w:numPr>
              <w:rPr>
                <w:color w:val="000000" w:themeColor="text1"/>
              </w:rPr>
            </w:pPr>
            <w:r w:rsidRPr="007D1918">
              <w:rPr>
                <w:i/>
              </w:rPr>
              <w:t>The cost-effectiveness of IVIg for Indication 1 is dependent on the modelling of PE-associated sepsis with long-term outcomes (mortality and morbidity); this reduces the ICER from over $7 million/QALY to $45,776/QALY.</w:t>
            </w:r>
          </w:p>
          <w:p w14:paraId="3CC925EE" w14:textId="0F5FBAFF" w:rsidR="00F47B9E" w:rsidRPr="007D1918" w:rsidRDefault="00F47B9E" w:rsidP="00D320AF">
            <w:pPr>
              <w:pStyle w:val="Heading5"/>
              <w:outlineLvl w:val="4"/>
            </w:pPr>
            <w:r w:rsidRPr="007D1918">
              <w:t>Indication 2</w:t>
            </w:r>
          </w:p>
          <w:p w14:paraId="4239975C" w14:textId="2936F7B2" w:rsidR="00E953C1" w:rsidRPr="007D1918" w:rsidRDefault="00E953C1" w:rsidP="00C85F71">
            <w:pPr>
              <w:pStyle w:val="ListParagraph"/>
              <w:numPr>
                <w:ilvl w:val="0"/>
                <w:numId w:val="14"/>
              </w:numPr>
              <w:rPr>
                <w:i/>
              </w:rPr>
            </w:pPr>
            <w:r w:rsidRPr="007D1918">
              <w:rPr>
                <w:i/>
              </w:rPr>
              <w:t xml:space="preserve">For </w:t>
            </w:r>
            <w:r w:rsidR="005D2112" w:rsidRPr="007D1918">
              <w:rPr>
                <w:i/>
              </w:rPr>
              <w:t xml:space="preserve">patients </w:t>
            </w:r>
            <w:r w:rsidRPr="007D1918">
              <w:rPr>
                <w:i/>
              </w:rPr>
              <w:t>preparing for surgery (</w:t>
            </w:r>
            <w:r w:rsidR="0088065E" w:rsidRPr="007D1918">
              <w:t>Criteria V3</w:t>
            </w:r>
            <w:r w:rsidRPr="007D1918">
              <w:rPr>
                <w:i/>
              </w:rPr>
              <w:t xml:space="preserve"> Indication 2) the evidence was </w:t>
            </w:r>
            <w:r w:rsidR="00FE7CC2" w:rsidRPr="007D1918">
              <w:rPr>
                <w:i/>
              </w:rPr>
              <w:t xml:space="preserve">underpowered or </w:t>
            </w:r>
            <w:r w:rsidRPr="007D1918">
              <w:rPr>
                <w:i/>
              </w:rPr>
              <w:t>too low quality to determine a</w:t>
            </w:r>
            <w:r w:rsidR="00805633" w:rsidRPr="007D1918">
              <w:rPr>
                <w:i/>
              </w:rPr>
              <w:t>n</w:t>
            </w:r>
            <w:r w:rsidRPr="007D1918">
              <w:rPr>
                <w:i/>
              </w:rPr>
              <w:t xml:space="preserve">y differences between IVIg </w:t>
            </w:r>
            <w:r w:rsidR="00805633" w:rsidRPr="007D1918">
              <w:rPr>
                <w:i/>
              </w:rPr>
              <w:t xml:space="preserve">and PE on </w:t>
            </w:r>
            <w:r w:rsidRPr="007D1918">
              <w:rPr>
                <w:i/>
              </w:rPr>
              <w:t>safety or effectiveness.</w:t>
            </w:r>
          </w:p>
          <w:p w14:paraId="5FA28408" w14:textId="77777777" w:rsidR="00235223" w:rsidRPr="007D1918" w:rsidRDefault="00235223" w:rsidP="00235223">
            <w:pPr>
              <w:pStyle w:val="ListParagraph"/>
              <w:numPr>
                <w:ilvl w:val="0"/>
                <w:numId w:val="14"/>
              </w:numPr>
              <w:rPr>
                <w:i/>
              </w:rPr>
            </w:pPr>
            <w:r w:rsidRPr="007D1918">
              <w:rPr>
                <w:i/>
              </w:rPr>
              <w:lastRenderedPageBreak/>
              <w:t xml:space="preserve">The cost analysis of surgery or pharmaceutical treatments as comparators to IVIg </w:t>
            </w:r>
            <w:r w:rsidRPr="007D1918">
              <w:rPr>
                <w:i/>
                <w:color w:val="000000" w:themeColor="text1"/>
              </w:rPr>
              <w:t>(</w:t>
            </w:r>
            <w:r w:rsidRPr="007D1918">
              <w:rPr>
                <w:color w:val="000000" w:themeColor="text1"/>
              </w:rPr>
              <w:t>Criteria V3</w:t>
            </w:r>
            <w:r w:rsidRPr="007D1918">
              <w:rPr>
                <w:i/>
                <w:color w:val="000000" w:themeColor="text1"/>
              </w:rPr>
              <w:t xml:space="preserve"> Indication 3)</w:t>
            </w:r>
            <w:r w:rsidRPr="007D1918">
              <w:rPr>
                <w:i/>
              </w:rPr>
              <w:t xml:space="preserve"> cannot be interpreted with an assumption of equivalent safety or effectiveness.</w:t>
            </w:r>
          </w:p>
          <w:p w14:paraId="633B6BBF" w14:textId="11BC55A2" w:rsidR="00F47B9E" w:rsidRPr="007D1918" w:rsidRDefault="00F47B9E" w:rsidP="00D320AF">
            <w:pPr>
              <w:pStyle w:val="Heading5"/>
              <w:outlineLvl w:val="4"/>
            </w:pPr>
            <w:r w:rsidRPr="007D1918">
              <w:t>Indication 3</w:t>
            </w:r>
          </w:p>
          <w:p w14:paraId="10A2FB54" w14:textId="597471B7" w:rsidR="00AA4709" w:rsidRPr="007D1918" w:rsidRDefault="009A62C0" w:rsidP="00C85F71">
            <w:pPr>
              <w:pStyle w:val="ListParagraph"/>
              <w:numPr>
                <w:ilvl w:val="0"/>
                <w:numId w:val="14"/>
              </w:numPr>
              <w:rPr>
                <w:i/>
              </w:rPr>
            </w:pPr>
            <w:r w:rsidRPr="007D1918">
              <w:rPr>
                <w:i/>
              </w:rPr>
              <w:t>For patients requiring a change in maintenance therapy (</w:t>
            </w:r>
            <w:r w:rsidRPr="007D1918">
              <w:t>Criteria V3</w:t>
            </w:r>
            <w:r w:rsidRPr="007D1918">
              <w:rPr>
                <w:i/>
              </w:rPr>
              <w:t xml:space="preserve"> Indication 3) there was </w:t>
            </w:r>
            <w:r w:rsidR="00D06E72" w:rsidRPr="007D1918">
              <w:rPr>
                <w:i/>
              </w:rPr>
              <w:t>no evidence comparing IVIg with oral steroids, cholinesterase inhibitors</w:t>
            </w:r>
            <w:r w:rsidR="00ED72D4" w:rsidRPr="007D1918">
              <w:rPr>
                <w:i/>
              </w:rPr>
              <w:t xml:space="preserve"> (anticholinesterases)</w:t>
            </w:r>
            <w:r w:rsidR="00D06E72" w:rsidRPr="007D1918">
              <w:rPr>
                <w:i/>
              </w:rPr>
              <w:t xml:space="preserve">, immunosuppressants, immunomodulatory drugs or thymectomy. </w:t>
            </w:r>
          </w:p>
          <w:p w14:paraId="248E2E49" w14:textId="33692F44" w:rsidR="007C3241" w:rsidRPr="007D1918" w:rsidRDefault="00D06E72" w:rsidP="00C85F71">
            <w:pPr>
              <w:pStyle w:val="ListParagraph"/>
              <w:numPr>
                <w:ilvl w:val="0"/>
                <w:numId w:val="14"/>
              </w:numPr>
              <w:rPr>
                <w:i/>
              </w:rPr>
            </w:pPr>
            <w:r w:rsidRPr="007D1918">
              <w:rPr>
                <w:i/>
              </w:rPr>
              <w:t xml:space="preserve">There was </w:t>
            </w:r>
            <w:r w:rsidR="00892356" w:rsidRPr="007D1918">
              <w:rPr>
                <w:i/>
              </w:rPr>
              <w:t>inconclusive</w:t>
            </w:r>
            <w:r w:rsidR="009A62C0" w:rsidRPr="007D1918">
              <w:rPr>
                <w:i/>
              </w:rPr>
              <w:t xml:space="preserve"> evidence </w:t>
            </w:r>
            <w:r w:rsidR="00892356" w:rsidRPr="007D1918">
              <w:rPr>
                <w:i/>
              </w:rPr>
              <w:t xml:space="preserve">suggesting </w:t>
            </w:r>
            <w:r w:rsidR="009A62C0" w:rsidRPr="007D1918">
              <w:rPr>
                <w:i/>
              </w:rPr>
              <w:t xml:space="preserve">that adults given PE had greater symptom improvement than those given IVIg. </w:t>
            </w:r>
            <w:r w:rsidR="00AA4709" w:rsidRPr="007D1918">
              <w:rPr>
                <w:i/>
              </w:rPr>
              <w:t>For indication 3</w:t>
            </w:r>
            <w:r w:rsidR="00D320AF" w:rsidRPr="007D1918">
              <w:rPr>
                <w:i/>
              </w:rPr>
              <w:t>,</w:t>
            </w:r>
            <w:r w:rsidR="00AA4709" w:rsidRPr="007D1918">
              <w:rPr>
                <w:i/>
              </w:rPr>
              <w:t xml:space="preserve"> </w:t>
            </w:r>
            <w:r w:rsidR="00D320AF" w:rsidRPr="007D1918">
              <w:rPr>
                <w:i/>
              </w:rPr>
              <w:t>i</w:t>
            </w:r>
            <w:r w:rsidR="009A62C0" w:rsidRPr="007D1918">
              <w:rPr>
                <w:i/>
              </w:rPr>
              <w:t xml:space="preserve">mprovement declined over four weeks for both treatments. </w:t>
            </w:r>
            <w:r w:rsidR="00AA4709" w:rsidRPr="007D1918">
              <w:rPr>
                <w:i/>
              </w:rPr>
              <w:t>Studies with l</w:t>
            </w:r>
            <w:r w:rsidR="009A62C0" w:rsidRPr="007D1918">
              <w:rPr>
                <w:i/>
              </w:rPr>
              <w:t xml:space="preserve">onger term follow-up data may give further insight into effectiveness.  </w:t>
            </w:r>
          </w:p>
          <w:p w14:paraId="3DE5B747" w14:textId="14BD3498" w:rsidR="0095124C" w:rsidRPr="007D1918" w:rsidRDefault="0095124C" w:rsidP="0095124C">
            <w:pPr>
              <w:pStyle w:val="ListParagraph"/>
              <w:numPr>
                <w:ilvl w:val="0"/>
                <w:numId w:val="14"/>
              </w:numPr>
              <w:rPr>
                <w:i/>
              </w:rPr>
            </w:pPr>
            <w:r w:rsidRPr="007D1918">
              <w:rPr>
                <w:i/>
              </w:rPr>
              <w:t xml:space="preserve">The cost difference between IVIg and PE for maintenance therapy </w:t>
            </w:r>
            <w:r w:rsidR="000F29C9" w:rsidRPr="007D1918">
              <w:rPr>
                <w:i/>
              </w:rPr>
              <w:t xml:space="preserve">is dependent on the doses used; the use of immunoglobulin per person at average doses is more expensive than low intensity (4 weekly) PE, but </w:t>
            </w:r>
            <w:r w:rsidR="006B5E47" w:rsidRPr="007D1918">
              <w:rPr>
                <w:i/>
              </w:rPr>
              <w:t>less</w:t>
            </w:r>
            <w:r w:rsidR="000F29C9" w:rsidRPr="007D1918">
              <w:rPr>
                <w:i/>
              </w:rPr>
              <w:t xml:space="preserve"> expensive than high intensity (weekly) PE. Where low doses or high doses of each therapy are compared, immunoglobulin is less expensive than plasma exchange</w:t>
            </w:r>
            <w:r w:rsidRPr="007D1918">
              <w:rPr>
                <w:i/>
              </w:rPr>
              <w:t>.</w:t>
            </w:r>
          </w:p>
          <w:p w14:paraId="07682A20" w14:textId="350132E0" w:rsidR="0085259E" w:rsidRPr="007D1918" w:rsidRDefault="00A00522" w:rsidP="00A00522">
            <w:pPr>
              <w:pStyle w:val="ListParagraph"/>
              <w:numPr>
                <w:ilvl w:val="0"/>
                <w:numId w:val="14"/>
              </w:numPr>
            </w:pPr>
            <w:r w:rsidRPr="007D1918">
              <w:rPr>
                <w:i/>
              </w:rPr>
              <w:t>The financial analysis does not include cost-offsets associated with reductions in PE, surgery or pharmaceuticals which may be reduced in (Criteria V3 Indication 3) patients.</w:t>
            </w:r>
          </w:p>
        </w:tc>
      </w:tr>
    </w:tbl>
    <w:p w14:paraId="0DC43DB8" w14:textId="77777777" w:rsidR="008C7152" w:rsidRPr="007D1918" w:rsidRDefault="007C4C79" w:rsidP="00DF343F">
      <w:pPr>
        <w:pStyle w:val="Heading2"/>
        <w:jc w:val="both"/>
        <w:rPr>
          <w:smallCaps w:val="0"/>
        </w:rPr>
      </w:pPr>
      <w:bookmarkStart w:id="38" w:name="_Toc23766918"/>
      <w:bookmarkEnd w:id="37"/>
      <w:r w:rsidRPr="007D1918">
        <w:rPr>
          <w:smallCaps w:val="0"/>
        </w:rPr>
        <w:lastRenderedPageBreak/>
        <w:t>Immunoglobulin therapy for Myasthenia Gravis</w:t>
      </w:r>
      <w:bookmarkEnd w:id="38"/>
    </w:p>
    <w:p w14:paraId="3C80801B" w14:textId="7CEF2063" w:rsidR="00EB4DCD" w:rsidRPr="007D1918" w:rsidRDefault="00EB4DCD" w:rsidP="00EB4DCD">
      <w:pPr>
        <w:jc w:val="both"/>
      </w:pPr>
      <w:r w:rsidRPr="007D1918">
        <w:t>This contracted assessment</w:t>
      </w:r>
      <w:r w:rsidR="00795607" w:rsidRPr="007D1918">
        <w:t xml:space="preserve"> (CA)</w:t>
      </w:r>
      <w:r w:rsidRPr="007D1918">
        <w:t xml:space="preserve"> examines the evidence to support </w:t>
      </w:r>
      <w:r w:rsidR="00397772" w:rsidRPr="007D1918">
        <w:t>funding</w:t>
      </w:r>
      <w:r w:rsidRPr="007D1918">
        <w:t xml:space="preserve"> of </w:t>
      </w:r>
      <w:r w:rsidR="00795607" w:rsidRPr="007D1918">
        <w:t xml:space="preserve">immunoglobulin therapy </w:t>
      </w:r>
      <w:r w:rsidR="00397772" w:rsidRPr="007D1918">
        <w:t>(Ig) by the National Blood Authority</w:t>
      </w:r>
      <w:r w:rsidRPr="007D1918">
        <w:t xml:space="preserve"> (</w:t>
      </w:r>
      <w:r w:rsidR="00397772" w:rsidRPr="007D1918">
        <w:t>NBA</w:t>
      </w:r>
      <w:r w:rsidRPr="007D1918">
        <w:t xml:space="preserve">). The service </w:t>
      </w:r>
      <w:r w:rsidR="00805633" w:rsidRPr="007D1918">
        <w:t>is</w:t>
      </w:r>
      <w:r w:rsidRPr="007D1918">
        <w:t xml:space="preserve"> used in the </w:t>
      </w:r>
      <w:r w:rsidR="00795607" w:rsidRPr="007D1918">
        <w:t>hospital</w:t>
      </w:r>
      <w:r w:rsidR="00805633" w:rsidRPr="007D1918">
        <w:t xml:space="preserve"> setting</w:t>
      </w:r>
      <w:r w:rsidR="00795607" w:rsidRPr="007D1918">
        <w:t xml:space="preserve"> </w:t>
      </w:r>
      <w:r w:rsidR="00805633" w:rsidRPr="007D1918">
        <w:t xml:space="preserve">(and potentially the </w:t>
      </w:r>
      <w:r w:rsidR="00795607" w:rsidRPr="007D1918">
        <w:t>home setting</w:t>
      </w:r>
      <w:r w:rsidR="00805633" w:rsidRPr="007D1918">
        <w:t>)</w:t>
      </w:r>
      <w:r w:rsidR="00795607" w:rsidRPr="007D1918">
        <w:t xml:space="preserve"> </w:t>
      </w:r>
      <w:r w:rsidRPr="007D1918">
        <w:t xml:space="preserve">for the treatment </w:t>
      </w:r>
      <w:r w:rsidR="00795607" w:rsidRPr="007D1918">
        <w:t xml:space="preserve">or management </w:t>
      </w:r>
      <w:r w:rsidR="00805633" w:rsidRPr="007D1918">
        <w:t>of</w:t>
      </w:r>
      <w:r w:rsidR="00795607" w:rsidRPr="007D1918">
        <w:t xml:space="preserve"> people with myasthenia gravis (MG)</w:t>
      </w:r>
      <w:r w:rsidRPr="007D1918">
        <w:t xml:space="preserve">. The target population are people with </w:t>
      </w:r>
      <w:r w:rsidR="00795607" w:rsidRPr="007D1918">
        <w:t>MG who</w:t>
      </w:r>
      <w:r w:rsidR="00F747CD" w:rsidRPr="007D1918">
        <w:t>:</w:t>
      </w:r>
      <w:r w:rsidR="00795607" w:rsidRPr="007D1918">
        <w:t xml:space="preserve"> 1. are at risk of or are in myasthenic crisis</w:t>
      </w:r>
      <w:r w:rsidR="00F747CD" w:rsidRPr="007D1918">
        <w:t>;</w:t>
      </w:r>
      <w:r w:rsidR="004C30A6" w:rsidRPr="007D1918">
        <w:t xml:space="preserve"> 2. </w:t>
      </w:r>
      <w:r w:rsidR="00795607" w:rsidRPr="007D1918">
        <w:t>have advanced MG and are to undergo surgery</w:t>
      </w:r>
      <w:r w:rsidR="00F747CD" w:rsidRPr="007D1918">
        <w:t>;</w:t>
      </w:r>
      <w:r w:rsidR="00795607" w:rsidRPr="007D1918">
        <w:t xml:space="preserve"> or 3. have moderate or severe MG and other maintenance treatments have failed or have intolerable side effects.</w:t>
      </w:r>
      <w:r w:rsidRPr="007D1918">
        <w:t xml:space="preserve"> The </w:t>
      </w:r>
      <w:r w:rsidR="00397772" w:rsidRPr="007D1918">
        <w:t>NBA</w:t>
      </w:r>
      <w:r w:rsidR="0073300B" w:rsidRPr="007D1918">
        <w:t>’s intention for the review is to ensure that Ig is directed to those who need it most.</w:t>
      </w:r>
      <w:r w:rsidRPr="007D1918">
        <w:t xml:space="preserve"> </w:t>
      </w:r>
    </w:p>
    <w:p w14:paraId="28BF517E" w14:textId="77777777" w:rsidR="007D7A19" w:rsidRPr="007D1918" w:rsidRDefault="007D7A19" w:rsidP="00AA2C7A">
      <w:pPr>
        <w:pStyle w:val="ESNumberedSectionHeading"/>
        <w:numPr>
          <w:ilvl w:val="0"/>
          <w:numId w:val="0"/>
        </w:numPr>
        <w:ind w:left="1134" w:hanging="1134"/>
      </w:pPr>
      <w:bookmarkStart w:id="39" w:name="_Toc23766919"/>
      <w:r w:rsidRPr="007D1918">
        <w:lastRenderedPageBreak/>
        <w:t xml:space="preserve">Alignment with agreed </w:t>
      </w:r>
      <w:r w:rsidR="0088661A" w:rsidRPr="007D1918">
        <w:t>PICO Confirmation</w:t>
      </w:r>
      <w:bookmarkEnd w:id="39"/>
    </w:p>
    <w:p w14:paraId="4EA625C4" w14:textId="141DF324" w:rsidR="00E7626F" w:rsidRPr="007D1918" w:rsidRDefault="008A6152" w:rsidP="00017E8D">
      <w:pPr>
        <w:jc w:val="both"/>
      </w:pPr>
      <w:r w:rsidRPr="007D1918">
        <w:t xml:space="preserve">This </w:t>
      </w:r>
      <w:r w:rsidR="00EB4DCD" w:rsidRPr="007D1918">
        <w:t>contracted</w:t>
      </w:r>
      <w:r w:rsidRPr="007D1918">
        <w:t xml:space="preserve"> assessment </w:t>
      </w:r>
      <w:r w:rsidR="00B313E2" w:rsidRPr="007D1918">
        <w:t xml:space="preserve">of </w:t>
      </w:r>
      <w:r w:rsidR="00F747CD" w:rsidRPr="007D1918">
        <w:t>Ig for MG (CA 1566)</w:t>
      </w:r>
      <w:r w:rsidR="00B313E2" w:rsidRPr="007D1918">
        <w:t xml:space="preserve"> </w:t>
      </w:r>
      <w:r w:rsidRPr="007D1918">
        <w:t>addresses most of the PICO</w:t>
      </w:r>
      <w:r w:rsidR="00B313E2" w:rsidRPr="007D1918">
        <w:rPr>
          <w:rStyle w:val="FootnoteReference"/>
        </w:rPr>
        <w:footnoteReference w:id="2"/>
      </w:r>
      <w:r w:rsidRPr="007D1918">
        <w:t xml:space="preserve"> elements </w:t>
      </w:r>
      <w:r w:rsidR="00B313E2" w:rsidRPr="007D1918">
        <w:t xml:space="preserve">that were </w:t>
      </w:r>
      <w:r w:rsidR="00593423" w:rsidRPr="007D1918">
        <w:t>pre-</w:t>
      </w:r>
      <w:r w:rsidRPr="007D1918">
        <w:t xml:space="preserve">specified in the </w:t>
      </w:r>
      <w:r w:rsidR="0088661A" w:rsidRPr="007D1918">
        <w:t>PICO Confirmation</w:t>
      </w:r>
      <w:r w:rsidRPr="007D1918">
        <w:t xml:space="preserve"> </w:t>
      </w:r>
      <w:r w:rsidR="00C47764" w:rsidRPr="007D1918">
        <w:t>ratified</w:t>
      </w:r>
      <w:r w:rsidR="00593423" w:rsidRPr="007D1918">
        <w:t xml:space="preserve"> </w:t>
      </w:r>
      <w:r w:rsidR="00B313E2" w:rsidRPr="007D1918">
        <w:t xml:space="preserve">by the </w:t>
      </w:r>
      <w:r w:rsidR="00D443ED" w:rsidRPr="007D1918">
        <w:t xml:space="preserve">Ig Review Reference Group, which performed the function of the </w:t>
      </w:r>
      <w:r w:rsidR="00B313E2" w:rsidRPr="007D1918">
        <w:t>P</w:t>
      </w:r>
      <w:r w:rsidR="005743A7" w:rsidRPr="007D1918">
        <w:t>ICO</w:t>
      </w:r>
      <w:r w:rsidR="00B313E2" w:rsidRPr="007D1918">
        <w:t xml:space="preserve"> Advisory Sub</w:t>
      </w:r>
      <w:r w:rsidR="004C30A6" w:rsidRPr="007D1918">
        <w:t>-</w:t>
      </w:r>
      <w:r w:rsidR="00B313E2" w:rsidRPr="007D1918">
        <w:t>Committee (PASC)</w:t>
      </w:r>
      <w:r w:rsidRPr="007D1918">
        <w:t>.</w:t>
      </w:r>
      <w:r w:rsidR="00B313E2" w:rsidRPr="007D1918">
        <w:t xml:space="preserve"> </w:t>
      </w:r>
      <w:r w:rsidR="00F747CD" w:rsidRPr="007D1918">
        <w:t xml:space="preserve">This application </w:t>
      </w:r>
      <w:r w:rsidR="00017E8D" w:rsidRPr="007D1918">
        <w:t>followed</w:t>
      </w:r>
      <w:r w:rsidR="00F747CD" w:rsidRPr="007D1918">
        <w:t xml:space="preserve"> a fit-for-purpose pathway, in which the PICO Confirmation was presented to and approved by the Ig Review </w:t>
      </w:r>
      <w:r w:rsidR="0098702F" w:rsidRPr="007D1918">
        <w:t>Reference Group</w:t>
      </w:r>
      <w:r w:rsidR="00805633" w:rsidRPr="007D1918">
        <w:t>,</w:t>
      </w:r>
      <w:r w:rsidR="00F747CD" w:rsidRPr="007D1918">
        <w:t xml:space="preserve"> which was </w:t>
      </w:r>
      <w:r w:rsidR="0030481F" w:rsidRPr="007D1918">
        <w:t xml:space="preserve">convened </w:t>
      </w:r>
      <w:r w:rsidR="00F747CD" w:rsidRPr="007D1918">
        <w:t>for the purpose of reviewing the usage of Ig</w:t>
      </w:r>
      <w:r w:rsidR="00017E8D" w:rsidRPr="007D1918">
        <w:t xml:space="preserve"> in Australia.</w:t>
      </w:r>
    </w:p>
    <w:p w14:paraId="5FAEFA44" w14:textId="29A39890" w:rsidR="0030481F" w:rsidRPr="007D1918" w:rsidRDefault="0030481F" w:rsidP="00017E8D">
      <w:pPr>
        <w:jc w:val="both"/>
      </w:pPr>
      <w:r w:rsidRPr="007D1918">
        <w:t>The MGC score was specified</w:t>
      </w:r>
      <w:r w:rsidR="00805633" w:rsidRPr="007D1918">
        <w:t xml:space="preserve"> as an outcome measure</w:t>
      </w:r>
      <w:r w:rsidRPr="007D1918">
        <w:t xml:space="preserve"> in the PICO a</w:t>
      </w:r>
      <w:r w:rsidR="00017E8D" w:rsidRPr="007D1918">
        <w:t>s it</w:t>
      </w:r>
      <w:r w:rsidRPr="007D1918">
        <w:t xml:space="preserve"> is the score used by the NBA to assess patients for Ig eligibility</w:t>
      </w:r>
      <w:r w:rsidR="00805633" w:rsidRPr="007D1918">
        <w:t>. H</w:t>
      </w:r>
      <w:r w:rsidRPr="007D1918">
        <w:t>owever</w:t>
      </w:r>
      <w:r w:rsidR="00805633" w:rsidRPr="007D1918">
        <w:t>,</w:t>
      </w:r>
      <w:r w:rsidRPr="007D1918">
        <w:t xml:space="preserve"> it was rarely used in the literature identified in the systematic </w:t>
      </w:r>
      <w:r w:rsidR="00F10254" w:rsidRPr="007D1918">
        <w:t>literature search</w:t>
      </w:r>
      <w:r w:rsidRPr="007D1918">
        <w:t xml:space="preserve">. Studies using other assessment scores and scales were therefore included, and a comparison to the MGC score made to make the data relevant to the Australian setting. See </w:t>
      </w:r>
      <w:r w:rsidRPr="007D1918">
        <w:rPr>
          <w:i/>
        </w:rPr>
        <w:t>Section B.5 Outcome measures and analysis</w:t>
      </w:r>
      <w:r w:rsidRPr="007D1918">
        <w:t xml:space="preserve"> for a full comparison of relevant MG t</w:t>
      </w:r>
      <w:r w:rsidR="00017E8D" w:rsidRPr="007D1918">
        <w:t>ools.</w:t>
      </w:r>
    </w:p>
    <w:p w14:paraId="4238713B" w14:textId="5A882BAB" w:rsidR="0030481F" w:rsidRPr="007D1918" w:rsidRDefault="0030481F" w:rsidP="00017E8D">
      <w:pPr>
        <w:jc w:val="both"/>
      </w:pPr>
      <w:r w:rsidRPr="007D1918">
        <w:t xml:space="preserve">Small sub-populations of MG </w:t>
      </w:r>
      <w:r w:rsidR="00553845" w:rsidRPr="007D1918">
        <w:t>-</w:t>
      </w:r>
      <w:r w:rsidRPr="007D1918">
        <w:t xml:space="preserve"> muscle Tyrosine kinase (MuSK) antibody positive MG, MG in pregnancy and MG in juvenile patients</w:t>
      </w:r>
      <w:r w:rsidR="00017E8D" w:rsidRPr="007D1918">
        <w:t xml:space="preserve"> </w:t>
      </w:r>
      <w:r w:rsidR="00553845" w:rsidRPr="007D1918">
        <w:t>-</w:t>
      </w:r>
      <w:r w:rsidR="00017E8D" w:rsidRPr="007D1918">
        <w:t xml:space="preserve"> </w:t>
      </w:r>
      <w:r w:rsidR="00115EC2" w:rsidRPr="007D1918">
        <w:t>were not well represented in the literature</w:t>
      </w:r>
      <w:r w:rsidRPr="007D1918">
        <w:t xml:space="preserve">. </w:t>
      </w:r>
      <w:r w:rsidR="00115EC2" w:rsidRPr="007D1918">
        <w:t xml:space="preserve">These populations </w:t>
      </w:r>
      <w:r w:rsidR="009F38E5" w:rsidRPr="007D1918">
        <w:t xml:space="preserve">are </w:t>
      </w:r>
      <w:r w:rsidR="00115EC2" w:rsidRPr="007D1918">
        <w:t xml:space="preserve">discussed briefly in </w:t>
      </w:r>
      <w:r w:rsidR="00115EC2" w:rsidRPr="007D1918">
        <w:rPr>
          <w:i/>
        </w:rPr>
        <w:t>Section F Other relevant considerations</w:t>
      </w:r>
      <w:r w:rsidR="00115EC2" w:rsidRPr="007D1918">
        <w:t>.</w:t>
      </w:r>
      <w:r w:rsidRPr="007D1918">
        <w:t xml:space="preserve"> Evidence was not found comparing IVIg for MG to all of the comparators listed for Indication 3. The majority of patients with moderate to severe MG were </w:t>
      </w:r>
      <w:r w:rsidR="00115EC2" w:rsidRPr="007D1918">
        <w:t>taking</w:t>
      </w:r>
      <w:r w:rsidRPr="007D1918">
        <w:t xml:space="preserve"> oral steroids or </w:t>
      </w:r>
      <w:r w:rsidR="00115EC2" w:rsidRPr="007D1918">
        <w:t>immunosuppressant therapy</w:t>
      </w:r>
      <w:r w:rsidRPr="007D1918">
        <w:t xml:space="preserve"> </w:t>
      </w:r>
      <w:r w:rsidR="00115EC2" w:rsidRPr="007D1918">
        <w:t>including when participating in trials of IVIg and/or PE, but results were not reported separately.</w:t>
      </w:r>
    </w:p>
    <w:p w14:paraId="6B8AEBE8" w14:textId="77777777" w:rsidR="008F1D1C" w:rsidRPr="007D1918" w:rsidRDefault="008F1D1C" w:rsidP="008F1D1C">
      <w:pPr>
        <w:pStyle w:val="Heading3"/>
      </w:pPr>
      <w:bookmarkStart w:id="40" w:name="_Toc23766920"/>
      <w:bookmarkStart w:id="41" w:name="_Toc379118248"/>
      <w:bookmarkStart w:id="42" w:name="_Toc381796432"/>
      <w:bookmarkStart w:id="43" w:name="_Toc395200743"/>
      <w:r w:rsidRPr="007D1918">
        <w:t>Proposal for Public Funding</w:t>
      </w:r>
      <w:bookmarkEnd w:id="40"/>
    </w:p>
    <w:p w14:paraId="20ACF847" w14:textId="749041AA" w:rsidR="00601BAA" w:rsidRPr="007D1918" w:rsidDel="00A134DA" w:rsidRDefault="00601BAA" w:rsidP="00601BAA">
      <w:r w:rsidRPr="007D1918">
        <w:t xml:space="preserve">The </w:t>
      </w:r>
      <w:r w:rsidR="00644CF2" w:rsidRPr="007D1918">
        <w:t>application</w:t>
      </w:r>
      <w:r w:rsidRPr="007D1918">
        <w:t xml:space="preserve"> for this CA has followed a </w:t>
      </w:r>
      <w:r w:rsidR="00644CF2" w:rsidRPr="007D1918">
        <w:t>fit-for-purpose pathway</w:t>
      </w:r>
      <w:r w:rsidR="0098702F" w:rsidRPr="007D1918">
        <w:t xml:space="preserve">. </w:t>
      </w:r>
      <w:r w:rsidR="00644CF2" w:rsidRPr="007D1918">
        <w:t xml:space="preserve"> </w:t>
      </w:r>
      <w:r w:rsidR="0098702F" w:rsidRPr="007D1918">
        <w:t>An</w:t>
      </w:r>
      <w:r w:rsidR="00644CF2" w:rsidRPr="007D1918">
        <w:t xml:space="preserve"> MBS item descriptor </w:t>
      </w:r>
      <w:r w:rsidR="00464A4D" w:rsidRPr="007D1918">
        <w:t xml:space="preserve">is not required as </w:t>
      </w:r>
      <w:r w:rsidR="0098702F" w:rsidRPr="007D1918">
        <w:t>r</w:t>
      </w:r>
      <w:r w:rsidRPr="007D1918">
        <w:t>ecommended therapies will be supplied through the National Blood Agreement and accessed through the NBA Criteria for MG (</w:t>
      </w:r>
      <w:r w:rsidR="00EC09DA" w:rsidRPr="007D1918">
        <w:rPr>
          <w:i/>
        </w:rPr>
        <w:t>Criteria V3</w:t>
      </w:r>
      <w:r w:rsidRPr="007D1918">
        <w:t xml:space="preserve">). </w:t>
      </w:r>
    </w:p>
    <w:p w14:paraId="4C029450" w14:textId="77777777" w:rsidR="008F1D1C" w:rsidRPr="007D1918" w:rsidRDefault="008F1D1C" w:rsidP="005C061E">
      <w:pPr>
        <w:pStyle w:val="Heading3"/>
      </w:pPr>
      <w:bookmarkStart w:id="44" w:name="_Toc23766921"/>
      <w:r w:rsidRPr="007D1918">
        <w:t>Population</w:t>
      </w:r>
      <w:bookmarkEnd w:id="44"/>
    </w:p>
    <w:p w14:paraId="5EC98C02" w14:textId="339C4285" w:rsidR="00B015A0" w:rsidRPr="007D1918" w:rsidRDefault="00B015A0" w:rsidP="00B015A0">
      <w:pPr>
        <w:widowControl w:val="0"/>
        <w:autoSpaceDE w:val="0"/>
        <w:autoSpaceDN w:val="0"/>
        <w:adjustRightInd w:val="0"/>
        <w:jc w:val="both"/>
        <w:rPr>
          <w:rFonts w:cstheme="minorHAnsi"/>
        </w:rPr>
      </w:pPr>
      <w:r w:rsidRPr="007D1918">
        <w:rPr>
          <w:rFonts w:cstheme="minorHAnsi"/>
        </w:rPr>
        <w:t xml:space="preserve">MG is a debilitating autoimmune disease associated in the majority of patients (85%) with the presence of antibodies to the acetylcholine receptors of the neuromuscular junction affecting the nervous system and causing muscle weakness. In a smaller proportion of cases, MG is associated with other antibodies, or patients may be seronegative. </w:t>
      </w:r>
    </w:p>
    <w:p w14:paraId="0485D3FE" w14:textId="12F0B1A1" w:rsidR="00B015A0" w:rsidRPr="007D1918" w:rsidRDefault="00B015A0" w:rsidP="00B015A0">
      <w:pPr>
        <w:jc w:val="both"/>
        <w:rPr>
          <w:rFonts w:cstheme="minorHAnsi"/>
        </w:rPr>
      </w:pPr>
      <w:r w:rsidRPr="007D1918">
        <w:rPr>
          <w:rFonts w:cstheme="minorHAnsi"/>
        </w:rPr>
        <w:t xml:space="preserve">Symptoms of muscle weakness are a </w:t>
      </w:r>
      <w:r w:rsidR="009F38E5" w:rsidRPr="007D1918">
        <w:rPr>
          <w:rFonts w:cstheme="minorHAnsi"/>
        </w:rPr>
        <w:t xml:space="preserve">typical </w:t>
      </w:r>
      <w:r w:rsidRPr="007D1918">
        <w:rPr>
          <w:rFonts w:cstheme="minorHAnsi"/>
        </w:rPr>
        <w:t xml:space="preserve">pattern in MG, most commonly causing unilateral or bilateral drooping of the eyelid (ptosis), double vision (diplopia), difficulty swallowing (dysphagia), </w:t>
      </w:r>
      <w:r w:rsidR="009F38E5" w:rsidRPr="007D1918">
        <w:rPr>
          <w:rFonts w:cstheme="minorHAnsi"/>
        </w:rPr>
        <w:t xml:space="preserve">and </w:t>
      </w:r>
      <w:r w:rsidRPr="007D1918">
        <w:rPr>
          <w:rFonts w:cstheme="minorHAnsi"/>
        </w:rPr>
        <w:t xml:space="preserve">weakness of the proximal muscles and respiratory system. Severity worsens over </w:t>
      </w:r>
      <w:r w:rsidR="0045633F" w:rsidRPr="007D1918">
        <w:rPr>
          <w:rFonts w:cstheme="minorHAnsi"/>
        </w:rPr>
        <w:t xml:space="preserve">1 </w:t>
      </w:r>
      <w:r w:rsidRPr="007D1918">
        <w:rPr>
          <w:rFonts w:cstheme="minorHAnsi"/>
        </w:rPr>
        <w:t xml:space="preserve">to </w:t>
      </w:r>
      <w:r w:rsidR="0045633F" w:rsidRPr="007D1918">
        <w:rPr>
          <w:rFonts w:cstheme="minorHAnsi"/>
        </w:rPr>
        <w:t xml:space="preserve">3 </w:t>
      </w:r>
      <w:r w:rsidRPr="007D1918">
        <w:rPr>
          <w:rFonts w:cstheme="minorHAnsi"/>
        </w:rPr>
        <w:t>years to its maximum degree</w:t>
      </w:r>
      <w:r w:rsidR="009F38E5" w:rsidRPr="007D1918">
        <w:rPr>
          <w:rFonts w:cstheme="minorHAnsi"/>
        </w:rPr>
        <w:t>.</w:t>
      </w:r>
      <w:r w:rsidRPr="007D1918">
        <w:rPr>
          <w:rFonts w:cstheme="minorHAnsi"/>
        </w:rPr>
        <w:t xml:space="preserve"> </w:t>
      </w:r>
      <w:r w:rsidR="00D55F1E" w:rsidRPr="007D1918">
        <w:rPr>
          <w:rFonts w:cstheme="minorHAnsi"/>
        </w:rPr>
        <w:t xml:space="preserve">In </w:t>
      </w:r>
      <w:r w:rsidR="009A680B" w:rsidRPr="007D1918">
        <w:rPr>
          <w:rFonts w:cstheme="minorHAnsi"/>
        </w:rPr>
        <w:t xml:space="preserve">some </w:t>
      </w:r>
      <w:r w:rsidR="00D55F1E" w:rsidRPr="007D1918">
        <w:rPr>
          <w:rFonts w:cstheme="minorHAnsi"/>
        </w:rPr>
        <w:t>cases MG is driven by a thymic tumour or hyperplastic thym</w:t>
      </w:r>
      <w:r w:rsidR="009A680B" w:rsidRPr="007D1918">
        <w:rPr>
          <w:rFonts w:cstheme="minorHAnsi"/>
        </w:rPr>
        <w:t xml:space="preserve">us. </w:t>
      </w:r>
      <w:r w:rsidRPr="007D1918">
        <w:rPr>
          <w:rFonts w:cstheme="minorHAnsi"/>
        </w:rPr>
        <w:t xml:space="preserve">Disease onset is on average earlier in women at 28 years, </w:t>
      </w:r>
      <w:r w:rsidR="009F38E5" w:rsidRPr="007D1918">
        <w:rPr>
          <w:rFonts w:cstheme="minorHAnsi"/>
        </w:rPr>
        <w:t xml:space="preserve">compared to 42 years in </w:t>
      </w:r>
      <w:r w:rsidRPr="007D1918">
        <w:rPr>
          <w:rFonts w:cstheme="minorHAnsi"/>
        </w:rPr>
        <w:t xml:space="preserve">men. </w:t>
      </w:r>
      <w:r w:rsidR="0098702F" w:rsidRPr="007D1918">
        <w:rPr>
          <w:rFonts w:cstheme="minorHAnsi"/>
        </w:rPr>
        <w:t xml:space="preserve">Prevalence is </w:t>
      </w:r>
      <w:r w:rsidRPr="007D1918">
        <w:rPr>
          <w:rFonts w:cstheme="minorHAnsi"/>
        </w:rPr>
        <w:t xml:space="preserve">50% </w:t>
      </w:r>
      <w:r w:rsidR="0098702F" w:rsidRPr="007D1918">
        <w:rPr>
          <w:rFonts w:cstheme="minorHAnsi"/>
        </w:rPr>
        <w:lastRenderedPageBreak/>
        <w:t xml:space="preserve">greater in women </w:t>
      </w:r>
      <w:r w:rsidRPr="007D1918">
        <w:rPr>
          <w:rFonts w:cstheme="minorHAnsi"/>
        </w:rPr>
        <w:t>than men</w:t>
      </w:r>
      <w:r w:rsidR="0098702F" w:rsidRPr="007D1918">
        <w:rPr>
          <w:rFonts w:cstheme="minorHAnsi"/>
        </w:rPr>
        <w:t>, as women tend to be affected earlier and their cumulative years of disease are greater</w:t>
      </w:r>
      <w:r w:rsidRPr="007D1918">
        <w:rPr>
          <w:rFonts w:cstheme="minorHAnsi"/>
        </w:rPr>
        <w:t>. For a summary</w:t>
      </w:r>
      <w:r w:rsidR="006A3C25" w:rsidRPr="007D1918">
        <w:rPr>
          <w:rFonts w:cstheme="minorHAnsi"/>
        </w:rPr>
        <w:t xml:space="preserve"> of patient number </w:t>
      </w:r>
      <w:r w:rsidRPr="007D1918">
        <w:rPr>
          <w:rFonts w:cstheme="minorHAnsi"/>
        </w:rPr>
        <w:t xml:space="preserve">and IVIg usage in Australia, see </w:t>
      </w:r>
      <w:r w:rsidRPr="007D1918">
        <w:rPr>
          <w:rFonts w:cstheme="minorHAnsi"/>
        </w:rPr>
        <w:fldChar w:fldCharType="begin"/>
      </w:r>
      <w:r w:rsidRPr="007D1918">
        <w:rPr>
          <w:rFonts w:cstheme="minorHAnsi"/>
        </w:rPr>
        <w:instrText xml:space="preserve"> REF _Ref9859342 \h </w:instrText>
      </w:r>
      <w:r w:rsidR="00E07567" w:rsidRPr="007D1918">
        <w:rPr>
          <w:rFonts w:cstheme="minorHAnsi"/>
        </w:rPr>
        <w:instrText xml:space="preserve"> \* MERGEFORMAT </w:instrText>
      </w:r>
      <w:r w:rsidRPr="007D1918">
        <w:rPr>
          <w:rFonts w:cstheme="minorHAnsi"/>
        </w:rPr>
      </w:r>
      <w:r w:rsidRPr="007D1918">
        <w:rPr>
          <w:rFonts w:cstheme="minorHAnsi"/>
        </w:rPr>
        <w:fldChar w:fldCharType="separate"/>
      </w:r>
      <w:r w:rsidR="007C33AD" w:rsidRPr="007D1918">
        <w:t xml:space="preserve">Table </w:t>
      </w:r>
      <w:r w:rsidR="007C33AD" w:rsidRPr="007D1918">
        <w:rPr>
          <w:noProof/>
        </w:rPr>
        <w:t>8</w:t>
      </w:r>
      <w:r w:rsidRPr="007D1918">
        <w:rPr>
          <w:rFonts w:cstheme="minorHAnsi"/>
        </w:rPr>
        <w:fldChar w:fldCharType="end"/>
      </w:r>
      <w:r w:rsidRPr="007D1918">
        <w:rPr>
          <w:rFonts w:cstheme="minorHAnsi"/>
        </w:rPr>
        <w:t>.</w:t>
      </w:r>
    </w:p>
    <w:p w14:paraId="4EAB2A90" w14:textId="1CFF8CB0" w:rsidR="00B015A0" w:rsidRPr="007D1918" w:rsidRDefault="00B015A0" w:rsidP="00B015A0">
      <w:pPr>
        <w:jc w:val="both"/>
        <w:rPr>
          <w:rFonts w:cstheme="minorHAnsi"/>
        </w:rPr>
      </w:pPr>
      <w:r w:rsidRPr="007D1918">
        <w:rPr>
          <w:rFonts w:cstheme="minorHAnsi"/>
        </w:rPr>
        <w:t>There are three indication</w:t>
      </w:r>
      <w:r w:rsidR="009F38E5" w:rsidRPr="007D1918">
        <w:rPr>
          <w:rFonts w:cstheme="minorHAnsi"/>
        </w:rPr>
        <w:t>s</w:t>
      </w:r>
      <w:r w:rsidRPr="007D1918">
        <w:rPr>
          <w:rFonts w:cstheme="minorHAnsi"/>
        </w:rPr>
        <w:t xml:space="preserve"> </w:t>
      </w:r>
      <w:r w:rsidR="009F38E5" w:rsidRPr="007D1918">
        <w:rPr>
          <w:rFonts w:cstheme="minorHAnsi"/>
        </w:rPr>
        <w:t xml:space="preserve">for which patients </w:t>
      </w:r>
      <w:r w:rsidR="006A4ED6" w:rsidRPr="007D1918">
        <w:rPr>
          <w:rFonts w:cstheme="minorHAnsi"/>
        </w:rPr>
        <w:t xml:space="preserve">with MG </w:t>
      </w:r>
      <w:r w:rsidRPr="007D1918">
        <w:rPr>
          <w:rFonts w:cstheme="minorHAnsi"/>
        </w:rPr>
        <w:t xml:space="preserve">may be </w:t>
      </w:r>
      <w:r w:rsidR="00C85F71" w:rsidRPr="007D1918">
        <w:rPr>
          <w:rFonts w:cstheme="minorHAnsi"/>
        </w:rPr>
        <w:t>eligible</w:t>
      </w:r>
      <w:r w:rsidRPr="007D1918">
        <w:rPr>
          <w:rFonts w:cstheme="minorHAnsi"/>
        </w:rPr>
        <w:t xml:space="preserve"> </w:t>
      </w:r>
      <w:r w:rsidR="00C85F71" w:rsidRPr="007D1918">
        <w:rPr>
          <w:rFonts w:cstheme="minorHAnsi"/>
        </w:rPr>
        <w:t>for</w:t>
      </w:r>
      <w:r w:rsidRPr="007D1918">
        <w:rPr>
          <w:rFonts w:cstheme="minorHAnsi"/>
        </w:rPr>
        <w:t xml:space="preserve"> IVIg therapy under the NBA regulations. Full criteria can be seen in </w:t>
      </w:r>
      <w:r w:rsidRPr="007D1918">
        <w:rPr>
          <w:rFonts w:cstheme="minorHAnsi"/>
          <w:i/>
        </w:rPr>
        <w:t>Appendix F</w:t>
      </w:r>
      <w:r w:rsidRPr="007D1918">
        <w:rPr>
          <w:rFonts w:cstheme="minorHAnsi"/>
        </w:rPr>
        <w:t>, but in summary MG patients may be eligible if:</w:t>
      </w:r>
    </w:p>
    <w:p w14:paraId="17133325" w14:textId="290A5CB5" w:rsidR="00B015A0" w:rsidRPr="007D1918" w:rsidRDefault="006A4ED6" w:rsidP="006A3C25">
      <w:pPr>
        <w:pStyle w:val="ListParagraph"/>
        <w:numPr>
          <w:ilvl w:val="0"/>
          <w:numId w:val="24"/>
        </w:numPr>
      </w:pPr>
      <w:r w:rsidRPr="007D1918">
        <w:t>The patient</w:t>
      </w:r>
      <w:r w:rsidR="006A3C25" w:rsidRPr="007D1918">
        <w:t xml:space="preserve"> is in m</w:t>
      </w:r>
      <w:r w:rsidR="00B015A0" w:rsidRPr="007D1918">
        <w:t xml:space="preserve">yasthenic crisis with respiratory insufficiency requiring intubation </w:t>
      </w:r>
      <w:r w:rsidR="006A3C25" w:rsidRPr="007D1918">
        <w:t xml:space="preserve">and assisted ventilation </w:t>
      </w:r>
      <w:r w:rsidR="00B015A0" w:rsidRPr="007D1918">
        <w:t>OR</w:t>
      </w:r>
      <w:r w:rsidR="006A3C25" w:rsidRPr="007D1918">
        <w:t xml:space="preserve"> </w:t>
      </w:r>
      <w:r w:rsidR="009F38E5" w:rsidRPr="007D1918">
        <w:t xml:space="preserve">at </w:t>
      </w:r>
      <w:r w:rsidR="006A3C25" w:rsidRPr="007D1918">
        <w:t>r</w:t>
      </w:r>
      <w:r w:rsidR="00B015A0" w:rsidRPr="007D1918">
        <w:t>isk of myasthenic crisis displaying symptoms of respiratory insufficiency such as persistent difficulty with speech, difficulty chewing or swallowing and/or shortnes</w:t>
      </w:r>
      <w:r w:rsidR="006A3C25" w:rsidRPr="007D1918">
        <w:t xml:space="preserve">s of breath on minimal activity </w:t>
      </w:r>
      <w:r w:rsidR="00B015A0" w:rsidRPr="007D1918">
        <w:t>AND</w:t>
      </w:r>
      <w:r w:rsidR="006A3C25" w:rsidRPr="007D1918">
        <w:t xml:space="preserve"> c</w:t>
      </w:r>
      <w:r w:rsidR="00B015A0" w:rsidRPr="007D1918">
        <w:t>linical assessment confirms severe disability as measured by a Myasthenia Gravis Composite (MGC) score of at least four points.</w:t>
      </w:r>
    </w:p>
    <w:p w14:paraId="30C01865" w14:textId="72FBA4BD" w:rsidR="00B015A0" w:rsidRPr="007D1918" w:rsidRDefault="006A3C25" w:rsidP="006A3C25">
      <w:pPr>
        <w:pStyle w:val="ListParagraph"/>
        <w:numPr>
          <w:ilvl w:val="0"/>
          <w:numId w:val="24"/>
        </w:numPr>
      </w:pPr>
      <w:r w:rsidRPr="007D1918">
        <w:t>Surgery is planned AND the patient has advanced MG disease, bulbar symptoms and/or respiratory involvement.</w:t>
      </w:r>
    </w:p>
    <w:p w14:paraId="3AEBEB6F" w14:textId="52CEF323" w:rsidR="006A3C25" w:rsidRPr="007D1918" w:rsidRDefault="006A3C25" w:rsidP="006A3C25">
      <w:pPr>
        <w:pStyle w:val="ListParagraph"/>
        <w:numPr>
          <w:ilvl w:val="0"/>
          <w:numId w:val="24"/>
        </w:numPr>
      </w:pPr>
      <w:r w:rsidRPr="007D1918">
        <w:t>The patient has moderate to severe MG as assessed by a Myasthenia Gravis Composite (MGC) score of at least four points AND at least two other treatments are ineffective, are contraindicated, unavailable or caused intolerable side effects.</w:t>
      </w:r>
    </w:p>
    <w:p w14:paraId="6F26A6C2" w14:textId="04EF3C21" w:rsidR="009A680B" w:rsidRPr="007D1918" w:rsidRDefault="009A680B" w:rsidP="009C2C7B">
      <w:pPr>
        <w:widowControl w:val="0"/>
        <w:shd w:val="clear" w:color="auto" w:fill="FFFFFF"/>
        <w:autoSpaceDE w:val="0"/>
        <w:autoSpaceDN w:val="0"/>
        <w:adjustRightInd w:val="0"/>
        <w:spacing w:before="240"/>
        <w:ind w:right="86"/>
        <w:jc w:val="both"/>
        <w:rPr>
          <w:rFonts w:eastAsia="Arial Narrow" w:cs="Calibri"/>
          <w:lang w:val="en-US" w:eastAsia="en-US"/>
        </w:rPr>
      </w:pPr>
      <w:r w:rsidRPr="007D1918">
        <w:rPr>
          <w:rFonts w:eastAsia="Arial Narrow" w:cs="Calibri"/>
          <w:lang w:val="en-US" w:eastAsia="en-US"/>
        </w:rPr>
        <w:t xml:space="preserve">It </w:t>
      </w:r>
      <w:r w:rsidR="002F471D" w:rsidRPr="007D1918">
        <w:rPr>
          <w:rFonts w:eastAsia="Arial Narrow" w:cs="Calibri"/>
          <w:lang w:val="en-US" w:eastAsia="en-US"/>
        </w:rPr>
        <w:t>was</w:t>
      </w:r>
      <w:r w:rsidRPr="007D1918">
        <w:rPr>
          <w:rFonts w:eastAsia="Arial Narrow" w:cs="Calibri"/>
          <w:lang w:val="en-US" w:eastAsia="en-US"/>
        </w:rPr>
        <w:t xml:space="preserve"> noted from clinical input, that patients are likely to be on two other t</w:t>
      </w:r>
      <w:r w:rsidR="002F471D" w:rsidRPr="007D1918">
        <w:rPr>
          <w:rFonts w:eastAsia="Arial Narrow" w:cs="Calibri"/>
          <w:lang w:val="en-US" w:eastAsia="en-US"/>
        </w:rPr>
        <w:t>herapeutics</w:t>
      </w:r>
      <w:r w:rsidRPr="007D1918">
        <w:rPr>
          <w:rFonts w:eastAsia="Arial Narrow" w:cs="Calibri"/>
          <w:lang w:val="en-US" w:eastAsia="en-US"/>
        </w:rPr>
        <w:t xml:space="preserve"> when they receive Ig therapy. </w:t>
      </w:r>
      <w:r w:rsidR="002F471D" w:rsidRPr="007D1918">
        <w:rPr>
          <w:rFonts w:eastAsia="Arial Narrow" w:cs="Calibri"/>
          <w:lang w:val="en-US" w:eastAsia="en-US"/>
        </w:rPr>
        <w:t xml:space="preserve">When starting a different </w:t>
      </w:r>
      <w:r w:rsidRPr="007D1918">
        <w:rPr>
          <w:rFonts w:eastAsia="Arial Narrow" w:cs="Calibri"/>
          <w:lang w:val="en-US" w:eastAsia="en-US"/>
        </w:rPr>
        <w:t>therap</w:t>
      </w:r>
      <w:r w:rsidR="002F471D" w:rsidRPr="007D1918">
        <w:rPr>
          <w:rFonts w:eastAsia="Arial Narrow" w:cs="Calibri"/>
          <w:lang w:val="en-US" w:eastAsia="en-US"/>
        </w:rPr>
        <w:t>y</w:t>
      </w:r>
      <w:r w:rsidRPr="007D1918">
        <w:rPr>
          <w:rFonts w:eastAsia="Arial Narrow" w:cs="Calibri"/>
          <w:lang w:val="en-US" w:eastAsia="en-US"/>
        </w:rPr>
        <w:t xml:space="preserve"> (other than IVIg and PE)</w:t>
      </w:r>
      <w:r w:rsidR="002F471D" w:rsidRPr="007D1918">
        <w:rPr>
          <w:rFonts w:eastAsia="Arial Narrow" w:cs="Calibri"/>
          <w:lang w:val="en-US" w:eastAsia="en-US"/>
        </w:rPr>
        <w:t xml:space="preserve"> </w:t>
      </w:r>
      <w:r w:rsidR="00E15C62" w:rsidRPr="007D1918">
        <w:rPr>
          <w:rFonts w:eastAsia="Arial Narrow" w:cs="Calibri"/>
          <w:lang w:val="en-US" w:eastAsia="en-US"/>
        </w:rPr>
        <w:t>immunosupression can</w:t>
      </w:r>
      <w:r w:rsidRPr="007D1918">
        <w:rPr>
          <w:rFonts w:eastAsia="Arial Narrow" w:cs="Calibri"/>
          <w:lang w:val="en-US" w:eastAsia="en-US"/>
        </w:rPr>
        <w:t xml:space="preserve"> take a considerable time to </w:t>
      </w:r>
      <w:r w:rsidR="002F471D" w:rsidRPr="007D1918">
        <w:rPr>
          <w:rFonts w:eastAsia="Arial Narrow" w:cs="Calibri"/>
          <w:lang w:val="en-US" w:eastAsia="en-US"/>
        </w:rPr>
        <w:t xml:space="preserve">reach its </w:t>
      </w:r>
      <w:r w:rsidRPr="007D1918">
        <w:rPr>
          <w:rFonts w:eastAsia="Arial Narrow" w:cs="Calibri"/>
          <w:lang w:val="en-US" w:eastAsia="en-US"/>
        </w:rPr>
        <w:t xml:space="preserve">full effect, with latency periods </w:t>
      </w:r>
      <w:r w:rsidR="002F471D" w:rsidRPr="007D1918">
        <w:rPr>
          <w:rFonts w:eastAsia="Arial Narrow" w:cs="Calibri"/>
          <w:lang w:val="en-US" w:eastAsia="en-US"/>
        </w:rPr>
        <w:t xml:space="preserve">often as long as 12 to </w:t>
      </w:r>
      <w:r w:rsidR="007B6363" w:rsidRPr="007D1918">
        <w:rPr>
          <w:rFonts w:eastAsia="Arial Narrow" w:cs="Calibri"/>
          <w:lang w:val="en-US" w:eastAsia="en-US"/>
        </w:rPr>
        <w:t xml:space="preserve">18 </w:t>
      </w:r>
      <w:r w:rsidR="002F471D" w:rsidRPr="007D1918">
        <w:rPr>
          <w:rFonts w:eastAsia="Arial Narrow" w:cs="Calibri"/>
          <w:lang w:val="en-US" w:eastAsia="en-US"/>
        </w:rPr>
        <w:t>months in patients with MG.</w:t>
      </w:r>
      <w:r w:rsidRPr="007D1918">
        <w:rPr>
          <w:rFonts w:eastAsia="Arial Narrow" w:cs="Calibri"/>
          <w:lang w:val="en-US" w:eastAsia="en-US"/>
        </w:rPr>
        <w:t xml:space="preserve"> </w:t>
      </w:r>
    </w:p>
    <w:p w14:paraId="6255F06D" w14:textId="5C3EC60C" w:rsidR="006A3C25" w:rsidRPr="007D1918" w:rsidRDefault="00816750" w:rsidP="009C2C7B">
      <w:pPr>
        <w:widowControl w:val="0"/>
        <w:shd w:val="clear" w:color="auto" w:fill="FFFFFF"/>
        <w:autoSpaceDE w:val="0"/>
        <w:autoSpaceDN w:val="0"/>
        <w:adjustRightInd w:val="0"/>
        <w:spacing w:before="240"/>
        <w:ind w:right="86"/>
        <w:jc w:val="both"/>
        <w:rPr>
          <w:rFonts w:eastAsia="Arial Narrow" w:cs="Calibri"/>
          <w:lang w:val="en-US" w:eastAsia="en-US"/>
        </w:rPr>
      </w:pPr>
      <w:r w:rsidRPr="007D1918">
        <w:rPr>
          <w:rFonts w:eastAsia="Arial Narrow" w:cs="Calibri"/>
          <w:lang w:val="en-US" w:eastAsia="en-US"/>
        </w:rPr>
        <w:t>For I</w:t>
      </w:r>
      <w:r w:rsidR="006A3C25" w:rsidRPr="007D1918">
        <w:rPr>
          <w:rFonts w:eastAsia="Arial Narrow" w:cs="Calibri"/>
          <w:lang w:val="en-US" w:eastAsia="en-US"/>
        </w:rPr>
        <w:t>ndications 1 and 3, a clinical assessment must confirm a moderate to severe disability</w:t>
      </w:r>
      <w:r w:rsidR="006A4ED6" w:rsidRPr="007D1918">
        <w:rPr>
          <w:rFonts w:eastAsia="Arial Narrow" w:cs="Calibri"/>
          <w:lang w:val="en-US" w:eastAsia="en-US"/>
        </w:rPr>
        <w:t>,</w:t>
      </w:r>
      <w:r w:rsidR="006A3C25" w:rsidRPr="007D1918">
        <w:rPr>
          <w:rFonts w:eastAsia="Arial Narrow" w:cs="Calibri"/>
          <w:lang w:val="en-US" w:eastAsia="en-US"/>
        </w:rPr>
        <w:t xml:space="preserve"> using the Myasthenia Gravis Composite (MGC) score, of at least four points. The MGC score is calculated from a 10 question clinical assessment questionnaire (seen Appendix F). </w:t>
      </w:r>
    </w:p>
    <w:p w14:paraId="15F563DC" w14:textId="6F75424F" w:rsidR="006A3C25" w:rsidRPr="007D1918" w:rsidRDefault="006A3C25" w:rsidP="009C2C7B">
      <w:pPr>
        <w:widowControl w:val="0"/>
        <w:autoSpaceDE w:val="0"/>
        <w:autoSpaceDN w:val="0"/>
        <w:adjustRightInd w:val="0"/>
        <w:spacing w:after="0"/>
        <w:ind w:right="86"/>
        <w:jc w:val="both"/>
        <w:rPr>
          <w:rFonts w:eastAsia="Arial Narrow" w:cs="Calibri"/>
          <w:lang w:val="en-US" w:eastAsia="en-US"/>
        </w:rPr>
      </w:pPr>
      <w:r w:rsidRPr="007D1918">
        <w:rPr>
          <w:rFonts w:eastAsia="Arial Narrow" w:cs="Calibri"/>
          <w:lang w:val="en-US" w:eastAsia="en-US"/>
        </w:rPr>
        <w:t>For access to ongoing Ig treatment for patients using it as maintena</w:t>
      </w:r>
      <w:r w:rsidR="00F51265" w:rsidRPr="007D1918">
        <w:rPr>
          <w:rFonts w:eastAsia="Arial Narrow" w:cs="Calibri"/>
          <w:lang w:val="en-US" w:eastAsia="en-US"/>
        </w:rPr>
        <w:t>nce therapy (I</w:t>
      </w:r>
      <w:r w:rsidRPr="007D1918">
        <w:rPr>
          <w:rFonts w:eastAsia="Arial Narrow" w:cs="Calibri"/>
          <w:lang w:val="en-US" w:eastAsia="en-US"/>
        </w:rPr>
        <w:t>ndication 3), there are further criteria (listed in Appendix F).</w:t>
      </w:r>
    </w:p>
    <w:p w14:paraId="77D83B0F" w14:textId="255F1368" w:rsidR="006A3C25" w:rsidRPr="007D1918" w:rsidRDefault="006A3C25" w:rsidP="006A3C25">
      <w:pPr>
        <w:ind w:left="360"/>
      </w:pPr>
    </w:p>
    <w:p w14:paraId="60B10750" w14:textId="77777777" w:rsidR="00CF3E0D" w:rsidRPr="007D1918" w:rsidRDefault="00CF3E0D" w:rsidP="00CF3E0D">
      <w:pPr>
        <w:pStyle w:val="Heading3"/>
      </w:pPr>
      <w:bookmarkStart w:id="45" w:name="_Toc23766922"/>
      <w:bookmarkStart w:id="46" w:name="_Toc395200744"/>
      <w:bookmarkStart w:id="47" w:name="_Toc379118249"/>
      <w:bookmarkStart w:id="48" w:name="_Toc381796433"/>
      <w:bookmarkEnd w:id="41"/>
      <w:bookmarkEnd w:id="42"/>
      <w:bookmarkEnd w:id="43"/>
      <w:r w:rsidRPr="007D1918">
        <w:t>Proposed Medical Service</w:t>
      </w:r>
      <w:bookmarkEnd w:id="45"/>
    </w:p>
    <w:p w14:paraId="02727C35" w14:textId="2C6242DE" w:rsidR="00CF3E0D" w:rsidRPr="007D1918" w:rsidRDefault="00CF3E0D" w:rsidP="00CF3E0D">
      <w:pPr>
        <w:jc w:val="both"/>
      </w:pPr>
      <w:r w:rsidRPr="007D1918">
        <w:t xml:space="preserve">Ig delivered intravenously (IVIg) has become an alternative therapy option for MG over the last 10 to 15 years. It is currently accessed and funded through the NBA. Although the exact mechanism of action that IVIg has on MG patients is not known, it acts as an immune modulator, reducing the abnormal immune response and the neuromuscular symptoms. It is useful for patients who need urgent treatment due to myasthenic crisis or impending crisis, or have worsening symptoms on other therapies, and need a change in treatment </w:t>
      </w:r>
      <w:r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Pr="007D1918">
        <w:instrText xml:space="preserve"> ADDIN EN.CITE </w:instrText>
      </w:r>
      <w:r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Pr="007D1918">
        <w:instrText xml:space="preserve"> ADDIN EN.CITE.DATA </w:instrText>
      </w:r>
      <w:r w:rsidRPr="007D1918">
        <w:fldChar w:fldCharType="end"/>
      </w:r>
      <w:r w:rsidRPr="007D1918">
        <w:fldChar w:fldCharType="separate"/>
      </w:r>
      <w:r w:rsidRPr="007D1918">
        <w:rPr>
          <w:noProof/>
        </w:rPr>
        <w:t>(</w:t>
      </w:r>
      <w:hyperlink w:anchor="_ENREF_2" w:tooltip="Alabdali, 2014 #4" w:history="1">
        <w:r w:rsidR="007D4948" w:rsidRPr="007D1918">
          <w:rPr>
            <w:noProof/>
          </w:rPr>
          <w:t>Alabdali et al. 2014</w:t>
        </w:r>
      </w:hyperlink>
      <w:r w:rsidRPr="007D1918">
        <w:rPr>
          <w:noProof/>
        </w:rPr>
        <w:t>)</w:t>
      </w:r>
      <w:r w:rsidRPr="007D1918">
        <w:fldChar w:fldCharType="end"/>
      </w:r>
      <w:r w:rsidRPr="007D1918">
        <w:t>. Due to its high cost, IVIg is usually given as a short term therapy, although some patients remain on IVIg maintenance therapy longer term.</w:t>
      </w:r>
    </w:p>
    <w:p w14:paraId="7D139F31" w14:textId="77777777" w:rsidR="00CF3E0D" w:rsidRPr="007D1918" w:rsidRDefault="00CF3E0D" w:rsidP="00CF3E0D">
      <w:pPr>
        <w:spacing w:after="120"/>
        <w:jc w:val="both"/>
        <w:rPr>
          <w:rFonts w:cstheme="minorHAnsi"/>
        </w:rPr>
      </w:pPr>
      <w:r w:rsidRPr="007D1918">
        <w:rPr>
          <w:rFonts w:cstheme="minorHAnsi"/>
        </w:rPr>
        <w:lastRenderedPageBreak/>
        <w:t xml:space="preserve">MG patients are primarily in the care of a neurologist, although ongoing care may be additionally provided by a general medicine physician, immunologist or rheumatologist if access is limited. </w:t>
      </w:r>
      <w:r w:rsidRPr="007D1918">
        <w:t xml:space="preserve">Access to IVIg requires an Australian Health Practitioner Regulation Agency (AHPRA) registered neurologist to diagnose MG in the patient initially, and to carry out patient reviews. </w:t>
      </w:r>
    </w:p>
    <w:p w14:paraId="74CF25DE" w14:textId="69E69D8F" w:rsidR="00CF3E0D" w:rsidRPr="007D1918" w:rsidRDefault="00CF3E0D" w:rsidP="00CF3E0D">
      <w:pPr>
        <w:spacing w:after="120"/>
        <w:jc w:val="both"/>
        <w:rPr>
          <w:rFonts w:cstheme="minorHAnsi"/>
        </w:rPr>
      </w:pPr>
      <w:r w:rsidRPr="007D1918">
        <w:rPr>
          <w:rFonts w:cstheme="minorHAnsi"/>
        </w:rPr>
        <w:t>Intravenous administration of Ig requires a treating doctor to determine the dose</w:t>
      </w:r>
      <w:r w:rsidR="006A4ED6" w:rsidRPr="007D1918">
        <w:rPr>
          <w:rFonts w:cstheme="minorHAnsi"/>
        </w:rPr>
        <w:t>.</w:t>
      </w:r>
      <w:r w:rsidRPr="007D1918">
        <w:rPr>
          <w:rFonts w:cstheme="minorHAnsi"/>
        </w:rPr>
        <w:t xml:space="preserve"> </w:t>
      </w:r>
      <w:r w:rsidR="006A4ED6" w:rsidRPr="007D1918">
        <w:rPr>
          <w:rFonts w:cstheme="minorHAnsi"/>
        </w:rPr>
        <w:t>T</w:t>
      </w:r>
      <w:r w:rsidRPr="007D1918">
        <w:rPr>
          <w:rFonts w:cstheme="minorHAnsi"/>
        </w:rPr>
        <w:t>he intravenous infusion is overseen by the hospital medical staff with overarching responsibility held by the treating clinician. Normally, an IV infusion of Ig would be delivered by a registered nurse in a hospital in-patient or outpatient setting. Patients or their carers can deliver SCIg in an out of hospital setting, where clinically appropriate.</w:t>
      </w:r>
    </w:p>
    <w:p w14:paraId="49ECAB5C" w14:textId="354C77E6" w:rsidR="00CF3E0D" w:rsidRPr="007D1918" w:rsidRDefault="00CF3E0D" w:rsidP="00CF3E0D">
      <w:pPr>
        <w:jc w:val="both"/>
        <w:rPr>
          <w:vanish/>
        </w:rPr>
      </w:pPr>
      <w:r w:rsidRPr="007D1918">
        <w:rPr>
          <w:rFonts w:cstheme="minorHAnsi"/>
        </w:rPr>
        <w:t xml:space="preserve">SCIg is not currently available for MG under the arrangements described above. The </w:t>
      </w:r>
      <w:r w:rsidR="00D54DA4" w:rsidRPr="007D1918">
        <w:rPr>
          <w:rFonts w:cstheme="minorHAnsi"/>
        </w:rPr>
        <w:t>Applicant</w:t>
      </w:r>
      <w:r w:rsidRPr="007D1918">
        <w:rPr>
          <w:rFonts w:cstheme="minorHAnsi"/>
        </w:rPr>
        <w:t xml:space="preserve"> </w:t>
      </w:r>
      <w:r w:rsidR="00AF002A" w:rsidRPr="007D1918">
        <w:rPr>
          <w:rFonts w:cstheme="minorHAnsi"/>
        </w:rPr>
        <w:t>anticipates</w:t>
      </w:r>
      <w:r w:rsidRPr="007D1918">
        <w:rPr>
          <w:rFonts w:cstheme="minorHAnsi"/>
        </w:rPr>
        <w:t xml:space="preserve"> that a Schedule 4 submission is likely to be made in the near future for the use of SCIg in MG. On this basis, SCIg has been in</w:t>
      </w:r>
      <w:r w:rsidR="00F51265" w:rsidRPr="007D1918">
        <w:rPr>
          <w:rFonts w:cstheme="minorHAnsi"/>
        </w:rPr>
        <w:t>cluded in this assessment, for I</w:t>
      </w:r>
      <w:r w:rsidRPr="007D1918">
        <w:rPr>
          <w:rFonts w:cstheme="minorHAnsi"/>
        </w:rPr>
        <w:t xml:space="preserve">ndication 3. IVIg and SCIg are noted as intervention subgroups in the PICO due to likely differences in response to treatment. </w:t>
      </w:r>
    </w:p>
    <w:p w14:paraId="23F00558" w14:textId="77777777" w:rsidR="00753141" w:rsidRPr="007D1918" w:rsidRDefault="005602D3" w:rsidP="009F7373">
      <w:pPr>
        <w:pStyle w:val="Heading3"/>
      </w:pPr>
      <w:bookmarkStart w:id="49" w:name="_Toc23766923"/>
      <w:r w:rsidRPr="007D1918">
        <w:t xml:space="preserve">Comparator </w:t>
      </w:r>
      <w:r w:rsidR="00630910" w:rsidRPr="007D1918">
        <w:t>D</w:t>
      </w:r>
      <w:r w:rsidRPr="007D1918">
        <w:t>etail</w:t>
      </w:r>
      <w:r w:rsidR="00753141" w:rsidRPr="007D1918">
        <w:t>s</w:t>
      </w:r>
      <w:bookmarkEnd w:id="46"/>
      <w:bookmarkEnd w:id="49"/>
      <w:r w:rsidRPr="007D1918">
        <w:t xml:space="preserve"> </w:t>
      </w:r>
    </w:p>
    <w:p w14:paraId="1C0D326C" w14:textId="69C379BF" w:rsidR="006644A2" w:rsidRPr="007D1918" w:rsidRDefault="00816750" w:rsidP="006644A2">
      <w:pPr>
        <w:spacing w:after="120"/>
        <w:jc w:val="both"/>
        <w:rPr>
          <w:rFonts w:cstheme="minorHAnsi"/>
        </w:rPr>
      </w:pPr>
      <w:r w:rsidRPr="007D1918">
        <w:rPr>
          <w:rFonts w:cstheme="minorHAnsi"/>
        </w:rPr>
        <w:t>The comparator for I</w:t>
      </w:r>
      <w:r w:rsidR="006644A2" w:rsidRPr="007D1918">
        <w:rPr>
          <w:rFonts w:cstheme="minorHAnsi"/>
        </w:rPr>
        <w:t>ndications 1 and 2 is plasma exchange</w:t>
      </w:r>
      <w:r w:rsidR="006A4ED6" w:rsidRPr="007D1918">
        <w:rPr>
          <w:rFonts w:cstheme="minorHAnsi"/>
        </w:rPr>
        <w:t xml:space="preserve"> (PE). Plasma is a</w:t>
      </w:r>
      <w:r w:rsidR="006644A2" w:rsidRPr="007D1918">
        <w:rPr>
          <w:rFonts w:cstheme="minorHAnsi"/>
        </w:rPr>
        <w:t xml:space="preserve"> blood product which is supplied through the NBA</w:t>
      </w:r>
      <w:r w:rsidR="0073359A" w:rsidRPr="007D1918">
        <w:rPr>
          <w:rFonts w:cstheme="minorHAnsi"/>
        </w:rPr>
        <w:t>,</w:t>
      </w:r>
      <w:r w:rsidR="006644A2" w:rsidRPr="007D1918">
        <w:rPr>
          <w:rFonts w:cstheme="minorHAnsi"/>
        </w:rPr>
        <w:t xml:space="preserve"> not through the MBS. </w:t>
      </w:r>
      <w:r w:rsidR="00B31885" w:rsidRPr="007D1918">
        <w:rPr>
          <w:rFonts w:cstheme="minorHAnsi"/>
        </w:rPr>
        <w:t>According to the Applicant, b</w:t>
      </w:r>
      <w:r w:rsidR="006644A2" w:rsidRPr="007D1918">
        <w:rPr>
          <w:rFonts w:cstheme="minorHAnsi"/>
        </w:rPr>
        <w:t xml:space="preserve">oth IVIg and PE are </w:t>
      </w:r>
      <w:r w:rsidR="00B31885" w:rsidRPr="007D1918">
        <w:rPr>
          <w:rFonts w:cstheme="minorHAnsi"/>
        </w:rPr>
        <w:t xml:space="preserve">preferentially used </w:t>
      </w:r>
      <w:r w:rsidR="006644A2" w:rsidRPr="007D1918">
        <w:rPr>
          <w:rFonts w:cstheme="minorHAnsi"/>
        </w:rPr>
        <w:t>as short term therapies to stabilise a patient whilst waiting for other therapies to become effective</w:t>
      </w:r>
      <w:r w:rsidR="00B31885" w:rsidRPr="007D1918">
        <w:rPr>
          <w:rFonts w:cstheme="minorHAnsi"/>
        </w:rPr>
        <w:t xml:space="preserve"> </w:t>
      </w:r>
      <w:r w:rsidR="003736AC" w:rsidRPr="007D1918">
        <w:rPr>
          <w:rFonts w:cstheme="minorHAnsi"/>
        </w:rPr>
        <w:fldChar w:fldCharType="begin"/>
      </w:r>
      <w:r w:rsidR="003736AC" w:rsidRPr="007D1918">
        <w:rPr>
          <w:rFonts w:cstheme="minorHAnsi"/>
        </w:rPr>
        <w:instrText xml:space="preserve"> ADDIN EN.CITE &lt;EndNote&gt;&lt;Cite&gt;&lt;Author&gt;MSAC&lt;/Author&gt;&lt;Year&gt;2019&lt;/Year&gt;&lt;RecNum&gt;35&lt;/RecNum&gt;&lt;DisplayText&gt;(MSAC 2019)&lt;/DisplayText&gt;&lt;record&gt;&lt;rec-number&gt;35&lt;/rec-number&gt;&lt;foreign-keys&gt;&lt;key app="EN" db-id="2aevrx2slsts5ve9sdavatf125dsx0av2v9d" timestamp="1561425723"&gt;35&lt;/key&gt;&lt;key app="ENWeb" db-id=""&gt;0&lt;/key&gt;&lt;/foreign-keys&gt;&lt;ref-type name="Report"&gt;27&lt;/ref-type&gt;&lt;contributors&gt;&lt;authors&gt;&lt;author&gt;MSAC&lt;/author&gt;&lt;/authors&gt;&lt;secondary-authors&gt;&lt;author&gt;Medical Servoces Advisory Committee&lt;/author&gt;&lt;/secondary-authors&gt;&lt;/contributors&gt;&lt;titles&gt;&lt;title&gt;PICO Confirmtaion 1566: Immunoglobulin for myasthenia gravis­_FINAL Ratified&lt;/title&gt;&lt;secondary-title&gt;PICO confirmation&lt;/secondary-title&gt;&lt;/titles&gt;&lt;dates&gt;&lt;year&gt;2019&lt;/year&gt;&lt;/dates&gt;&lt;pub-location&gt;Canberra&lt;/pub-location&gt;&lt;publisher&gt;Department of Health&lt;/publisher&gt;&lt;urls&gt;&lt;/urls&gt;&lt;/record&gt;&lt;/Cite&gt;&lt;/EndNote&gt;</w:instrText>
      </w:r>
      <w:r w:rsidR="003736AC" w:rsidRPr="007D1918">
        <w:rPr>
          <w:rFonts w:cstheme="minorHAnsi"/>
        </w:rPr>
        <w:fldChar w:fldCharType="separate"/>
      </w:r>
      <w:r w:rsidR="003736AC" w:rsidRPr="007D1918">
        <w:rPr>
          <w:rFonts w:cstheme="minorHAnsi"/>
          <w:noProof/>
        </w:rPr>
        <w:t>(</w:t>
      </w:r>
      <w:hyperlink w:anchor="_ENREF_66" w:tooltip="MSAC, 2019 #35" w:history="1">
        <w:r w:rsidR="007D4948" w:rsidRPr="007D1918">
          <w:rPr>
            <w:rFonts w:cstheme="minorHAnsi"/>
            <w:noProof/>
          </w:rPr>
          <w:t>MSAC 2019</w:t>
        </w:r>
      </w:hyperlink>
      <w:r w:rsidR="003736AC" w:rsidRPr="007D1918">
        <w:rPr>
          <w:rFonts w:cstheme="minorHAnsi"/>
          <w:noProof/>
        </w:rPr>
        <w:t>)</w:t>
      </w:r>
      <w:r w:rsidR="003736AC" w:rsidRPr="007D1918">
        <w:rPr>
          <w:rFonts w:cstheme="minorHAnsi"/>
        </w:rPr>
        <w:fldChar w:fldCharType="end"/>
      </w:r>
      <w:r w:rsidR="006644A2" w:rsidRPr="007D1918">
        <w:rPr>
          <w:rFonts w:cstheme="minorHAnsi"/>
        </w:rPr>
        <w:t xml:space="preserve">. </w:t>
      </w:r>
      <w:r w:rsidR="00DF4B4F" w:rsidRPr="007D1918">
        <w:rPr>
          <w:rFonts w:cstheme="minorHAnsi"/>
        </w:rPr>
        <w:t>Apart from</w:t>
      </w:r>
      <w:r w:rsidR="006644A2" w:rsidRPr="007D1918">
        <w:rPr>
          <w:rFonts w:cstheme="minorHAnsi"/>
        </w:rPr>
        <w:t xml:space="preserve"> the choice of </w:t>
      </w:r>
      <w:r w:rsidR="00893582" w:rsidRPr="007D1918">
        <w:rPr>
          <w:rFonts w:cstheme="minorHAnsi"/>
        </w:rPr>
        <w:t>IVIg or PE</w:t>
      </w:r>
      <w:r w:rsidR="006644A2" w:rsidRPr="007D1918">
        <w:rPr>
          <w:rFonts w:cstheme="minorHAnsi"/>
        </w:rPr>
        <w:t>, other treatment</w:t>
      </w:r>
      <w:r w:rsidR="00893582" w:rsidRPr="007D1918">
        <w:rPr>
          <w:rFonts w:cstheme="minorHAnsi"/>
        </w:rPr>
        <w:t>s</w:t>
      </w:r>
      <w:r w:rsidR="006644A2" w:rsidRPr="007D1918">
        <w:rPr>
          <w:rFonts w:cstheme="minorHAnsi"/>
        </w:rPr>
        <w:t xml:space="preserve"> </w:t>
      </w:r>
      <w:r w:rsidR="00893582" w:rsidRPr="007D1918">
        <w:rPr>
          <w:rFonts w:cstheme="minorHAnsi"/>
        </w:rPr>
        <w:t xml:space="preserve">are </w:t>
      </w:r>
      <w:r w:rsidR="006644A2" w:rsidRPr="007D1918">
        <w:rPr>
          <w:rFonts w:cstheme="minorHAnsi"/>
        </w:rPr>
        <w:t xml:space="preserve">expected to be the same for both intervention and </w:t>
      </w:r>
      <w:r w:rsidR="006A4ED6" w:rsidRPr="007D1918">
        <w:rPr>
          <w:rFonts w:cstheme="minorHAnsi"/>
        </w:rPr>
        <w:t>comparator recipients</w:t>
      </w:r>
      <w:r w:rsidR="006644A2" w:rsidRPr="007D1918">
        <w:rPr>
          <w:rFonts w:cstheme="minorHAnsi"/>
        </w:rPr>
        <w:t>.</w:t>
      </w:r>
    </w:p>
    <w:p w14:paraId="41540B96" w14:textId="2F8E6C1B" w:rsidR="006644A2" w:rsidRPr="007D1918" w:rsidRDefault="009F38E5" w:rsidP="006644A2">
      <w:pPr>
        <w:spacing w:after="120"/>
        <w:jc w:val="both"/>
        <w:rPr>
          <w:rFonts w:cstheme="minorHAnsi"/>
        </w:rPr>
      </w:pPr>
      <w:r w:rsidRPr="007D1918">
        <w:rPr>
          <w:rFonts w:cstheme="minorHAnsi"/>
        </w:rPr>
        <w:t>The s</w:t>
      </w:r>
      <w:r w:rsidR="006644A2" w:rsidRPr="007D1918">
        <w:rPr>
          <w:rFonts w:cstheme="minorHAnsi"/>
        </w:rPr>
        <w:t>afety and effectiveness of PE are likely to differ based on how it is delivered (via central or peripheral venous access)</w:t>
      </w:r>
      <w:r w:rsidR="00893582" w:rsidRPr="007D1918">
        <w:rPr>
          <w:rFonts w:cstheme="minorHAnsi"/>
        </w:rPr>
        <w:t xml:space="preserve">. In particular, access lines in central venous delivery can be a source of infection, when they are not handled with care </w:t>
      </w:r>
      <w:r w:rsidR="00702BE6" w:rsidRPr="007D1918">
        <w:rPr>
          <w:rFonts w:cstheme="minorHAnsi"/>
        </w:rPr>
        <w:fldChar w:fldCharType="begin"/>
      </w:r>
      <w:r w:rsidR="007F4CDE" w:rsidRPr="007D1918">
        <w:rPr>
          <w:rFonts w:cstheme="minorHAnsi"/>
        </w:rPr>
        <w:instrText xml:space="preserve"> ADDIN EN.CITE &lt;EndNote&gt;&lt;Cite&gt;&lt;Author&gt;Vucic&lt;/Author&gt;&lt;Year&gt;1998&lt;/Year&gt;&lt;RecNum&gt;36&lt;/RecNum&gt;&lt;DisplayText&gt;(Vucic &amp;amp; Davies 1998)&lt;/DisplayText&gt;&lt;record&gt;&lt;rec-number&gt;36&lt;/rec-number&gt;&lt;foreign-keys&gt;&lt;key app="EN" db-id="2aevrx2slsts5ve9sdavatf125dsx0av2v9d" timestamp="1561528498"&gt;36&lt;/key&gt;&lt;/foreign-keys&gt;&lt;ref-type name="Journal Article"&gt;17&lt;/ref-type&gt;&lt;contributors&gt;&lt;authors&gt;&lt;author&gt;Vucic, S.&lt;/author&gt;&lt;author&gt;Davies, L.&lt;/author&gt;&lt;/authors&gt;&lt;/contributors&gt;&lt;auth-address&gt;Department of Neurology, Royal Prince Alfred Hospital, Sydney, NSW.&lt;/auth-address&gt;&lt;titles&gt;&lt;title&gt;Safety of plasmapheresis in the treatment of neurological disease&lt;/title&gt;&lt;secondary-title&gt;Aust N Z J Med&lt;/secondary-title&gt;&lt;/titles&gt;&lt;periodical&gt;&lt;full-title&gt;Aust N Z J Med&lt;/full-title&gt;&lt;/periodical&gt;&lt;pages&gt;301-5&lt;/pages&gt;&lt;volume&gt;28&lt;/volume&gt;&lt;number&gt;3&lt;/number&gt;&lt;edition&gt;1998/07/23&lt;/edition&gt;&lt;keywords&gt;&lt;keyword&gt;Adult&lt;/keyword&gt;&lt;keyword&gt;Aged&lt;/keyword&gt;&lt;keyword&gt;Aged, 80 and over&lt;/keyword&gt;&lt;keyword&gt;Blood-Borne Pathogens&lt;/keyword&gt;&lt;keyword&gt;Catheterization, Peripheral/instrumentation&lt;/keyword&gt;&lt;keyword&gt;Equipment Failure Analysis&lt;/keyword&gt;&lt;keyword&gt;Female&lt;/keyword&gt;&lt;keyword&gt;Humans&lt;/keyword&gt;&lt;keyword&gt;Male&lt;/keyword&gt;&lt;keyword&gt;Middle Aged&lt;/keyword&gt;&lt;keyword&gt;Nervous System Diseases/ therapy&lt;/keyword&gt;&lt;keyword&gt;New South Wales&lt;/keyword&gt;&lt;keyword&gt;Plasmapheresis/ adverse effects/instrumentation&lt;/keyword&gt;&lt;keyword&gt;Retrospective Studies&lt;/keyword&gt;&lt;keyword&gt;Risk Factors&lt;/keyword&gt;&lt;keyword&gt;Sepsis/etiology&lt;/keyword&gt;&lt;/keywords&gt;&lt;dates&gt;&lt;year&gt;1998&lt;/year&gt;&lt;pub-dates&gt;&lt;date&gt;Jun&lt;/date&gt;&lt;/pub-dates&gt;&lt;/dates&gt;&lt;isbn&gt;0004-8291 (Print)&amp;#xD;0004-8291 (Linking)&lt;/isbn&gt;&lt;accession-num&gt;9673740&lt;/accession-num&gt;&lt;urls&gt;&lt;related-urls&gt;&lt;url&gt;https://onlinelibrary.wiley.com/doi/pdf/10.1111/j.1445-5994.1998.tb01952.x&lt;/url&gt;&lt;/related-urls&gt;&lt;/urls&gt;&lt;remote-database-provider&gt;NLM&lt;/remote-database-provider&gt;&lt;language&gt;eng&lt;/language&gt;&lt;/record&gt;&lt;/Cite&gt;&lt;/EndNote&gt;</w:instrText>
      </w:r>
      <w:r w:rsidR="00702BE6" w:rsidRPr="007D1918">
        <w:rPr>
          <w:rFonts w:cstheme="minorHAnsi"/>
        </w:rPr>
        <w:fldChar w:fldCharType="separate"/>
      </w:r>
      <w:r w:rsidR="00702BE6" w:rsidRPr="007D1918">
        <w:rPr>
          <w:rFonts w:cstheme="minorHAnsi"/>
          <w:noProof/>
        </w:rPr>
        <w:t>(</w:t>
      </w:r>
      <w:hyperlink w:anchor="_ENREF_102" w:tooltip="Vucic, 1998 #36" w:history="1">
        <w:r w:rsidR="007D4948" w:rsidRPr="007D1918">
          <w:rPr>
            <w:rFonts w:cstheme="minorHAnsi"/>
            <w:noProof/>
          </w:rPr>
          <w:t>Vucic &amp; Davies 1998</w:t>
        </w:r>
      </w:hyperlink>
      <w:r w:rsidR="00702BE6" w:rsidRPr="007D1918">
        <w:rPr>
          <w:rFonts w:cstheme="minorHAnsi"/>
          <w:noProof/>
        </w:rPr>
        <w:t>)</w:t>
      </w:r>
      <w:r w:rsidR="00702BE6" w:rsidRPr="007D1918">
        <w:rPr>
          <w:rFonts w:cstheme="minorHAnsi"/>
        </w:rPr>
        <w:fldChar w:fldCharType="end"/>
      </w:r>
      <w:r w:rsidR="006A4ED6" w:rsidRPr="007D1918">
        <w:rPr>
          <w:rFonts w:cstheme="minorHAnsi"/>
        </w:rPr>
        <w:t>.</w:t>
      </w:r>
      <w:r w:rsidR="006644A2" w:rsidRPr="007D1918">
        <w:rPr>
          <w:rFonts w:cstheme="minorHAnsi"/>
        </w:rPr>
        <w:t xml:space="preserve"> </w:t>
      </w:r>
    </w:p>
    <w:p w14:paraId="504D613B" w14:textId="5A90425F" w:rsidR="006644A2" w:rsidRPr="007D1918" w:rsidRDefault="006644A2" w:rsidP="006644A2">
      <w:pPr>
        <w:spacing w:after="120"/>
        <w:jc w:val="both"/>
        <w:rPr>
          <w:rFonts w:cstheme="minorHAnsi"/>
        </w:rPr>
      </w:pPr>
      <w:r w:rsidRPr="007D1918">
        <w:rPr>
          <w:rFonts w:cstheme="minorHAnsi"/>
        </w:rPr>
        <w:t xml:space="preserve">Expert advice from the Ig Review Reference Group indicated that </w:t>
      </w:r>
      <w:r w:rsidR="0073359A" w:rsidRPr="007D1918">
        <w:rPr>
          <w:rFonts w:cstheme="minorHAnsi"/>
        </w:rPr>
        <w:t>PE</w:t>
      </w:r>
      <w:r w:rsidRPr="007D1918">
        <w:rPr>
          <w:rFonts w:cstheme="minorHAnsi"/>
        </w:rPr>
        <w:t xml:space="preserve"> should be a comparator </w:t>
      </w:r>
      <w:r w:rsidR="0073359A" w:rsidRPr="007D1918">
        <w:rPr>
          <w:rFonts w:cstheme="minorHAnsi"/>
        </w:rPr>
        <w:t>for</w:t>
      </w:r>
      <w:r w:rsidR="00F51265" w:rsidRPr="007D1918">
        <w:rPr>
          <w:rFonts w:cstheme="minorHAnsi"/>
        </w:rPr>
        <w:t xml:space="preserve"> I</w:t>
      </w:r>
      <w:r w:rsidRPr="007D1918">
        <w:rPr>
          <w:rFonts w:cstheme="minorHAnsi"/>
        </w:rPr>
        <w:t>ndication</w:t>
      </w:r>
      <w:r w:rsidR="0073359A" w:rsidRPr="007D1918">
        <w:rPr>
          <w:rFonts w:cstheme="minorHAnsi"/>
        </w:rPr>
        <w:t xml:space="preserve"> 3, despite PE usually only being provided in hospital (not outpatients).</w:t>
      </w:r>
      <w:r w:rsidRPr="007D1918">
        <w:rPr>
          <w:rFonts w:cstheme="minorHAnsi"/>
        </w:rPr>
        <w:t xml:space="preserve"> </w:t>
      </w:r>
      <w:r w:rsidR="0073359A" w:rsidRPr="007D1918">
        <w:rPr>
          <w:rFonts w:cstheme="minorHAnsi"/>
        </w:rPr>
        <w:t xml:space="preserve">The NBA lists PE as an alternative therapy for this indication in </w:t>
      </w:r>
      <w:r w:rsidR="00EC09DA" w:rsidRPr="007D1918">
        <w:rPr>
          <w:rFonts w:cstheme="minorHAnsi"/>
          <w:i/>
        </w:rPr>
        <w:t>Criteria V3</w:t>
      </w:r>
      <w:r w:rsidR="0073359A" w:rsidRPr="007D1918">
        <w:rPr>
          <w:rFonts w:cstheme="minorHAnsi"/>
        </w:rPr>
        <w:t>.</w:t>
      </w:r>
    </w:p>
    <w:p w14:paraId="3E59F32B" w14:textId="0EE53EE7" w:rsidR="007D3563" w:rsidRPr="007D1918" w:rsidRDefault="00F51265" w:rsidP="00B31885">
      <w:pPr>
        <w:jc w:val="both"/>
        <w:rPr>
          <w:rFonts w:cstheme="minorHAnsi"/>
        </w:rPr>
      </w:pPr>
      <w:r w:rsidRPr="007D1918">
        <w:rPr>
          <w:rFonts w:cstheme="minorHAnsi"/>
        </w:rPr>
        <w:t>For I</w:t>
      </w:r>
      <w:r w:rsidR="006644A2" w:rsidRPr="007D1918">
        <w:rPr>
          <w:rFonts w:cstheme="minorHAnsi"/>
        </w:rPr>
        <w:t xml:space="preserve">ndication 3, other </w:t>
      </w:r>
      <w:r w:rsidR="00C85F71" w:rsidRPr="007D1918">
        <w:rPr>
          <w:rFonts w:cstheme="minorHAnsi"/>
        </w:rPr>
        <w:t xml:space="preserve">standard </w:t>
      </w:r>
      <w:r w:rsidR="006644A2" w:rsidRPr="007D1918">
        <w:rPr>
          <w:rFonts w:cstheme="minorHAnsi"/>
        </w:rPr>
        <w:t xml:space="preserve">treatments </w:t>
      </w:r>
      <w:r w:rsidR="00C85F71" w:rsidRPr="007D1918">
        <w:rPr>
          <w:rFonts w:cstheme="minorHAnsi"/>
        </w:rPr>
        <w:t>used at the same time as Ig</w:t>
      </w:r>
      <w:r w:rsidR="006644A2" w:rsidRPr="007D1918">
        <w:rPr>
          <w:rFonts w:cstheme="minorHAnsi"/>
        </w:rPr>
        <w:t xml:space="preserve"> </w:t>
      </w:r>
      <w:r w:rsidR="009F38E5" w:rsidRPr="007D1918">
        <w:rPr>
          <w:rFonts w:cstheme="minorHAnsi"/>
        </w:rPr>
        <w:t>i</w:t>
      </w:r>
      <w:r w:rsidR="006644A2" w:rsidRPr="007D1918">
        <w:rPr>
          <w:rFonts w:cstheme="minorHAnsi"/>
        </w:rPr>
        <w:t>nclude drugs in the categories of corticosteroids, anticholinesterase</w:t>
      </w:r>
      <w:r w:rsidR="00150E1C" w:rsidRPr="007D1918">
        <w:rPr>
          <w:rFonts w:cstheme="minorHAnsi"/>
        </w:rPr>
        <w:t>s</w:t>
      </w:r>
      <w:r w:rsidR="006644A2" w:rsidRPr="007D1918">
        <w:rPr>
          <w:rFonts w:cstheme="minorHAnsi"/>
        </w:rPr>
        <w:t>, immunosuppressants</w:t>
      </w:r>
      <w:r w:rsidR="006A4ED6" w:rsidRPr="007D1918">
        <w:rPr>
          <w:rFonts w:cstheme="minorHAnsi"/>
        </w:rPr>
        <w:t xml:space="preserve"> (IS)</w:t>
      </w:r>
      <w:r w:rsidR="006644A2" w:rsidRPr="007D1918">
        <w:rPr>
          <w:rFonts w:cstheme="minorHAnsi"/>
        </w:rPr>
        <w:t xml:space="preserve"> and immunomodulators</w:t>
      </w:r>
      <w:r w:rsidR="006A4ED6" w:rsidRPr="007D1918">
        <w:rPr>
          <w:rFonts w:cstheme="minorHAnsi"/>
        </w:rPr>
        <w:t xml:space="preserve"> (IM)</w:t>
      </w:r>
      <w:r w:rsidR="006644A2" w:rsidRPr="007D1918">
        <w:rPr>
          <w:rFonts w:cstheme="minorHAnsi"/>
        </w:rPr>
        <w:t xml:space="preserve">, as listed in </w:t>
      </w:r>
      <w:r w:rsidR="006644A2" w:rsidRPr="007D1918">
        <w:rPr>
          <w:rFonts w:cstheme="minorHAnsi"/>
        </w:rPr>
        <w:fldChar w:fldCharType="begin"/>
      </w:r>
      <w:r w:rsidR="006644A2" w:rsidRPr="007D1918">
        <w:rPr>
          <w:rFonts w:cstheme="minorHAnsi"/>
        </w:rPr>
        <w:instrText xml:space="preserve"> REF _Ref9851934 \h  \* MERGEFORMAT </w:instrText>
      </w:r>
      <w:r w:rsidR="006644A2" w:rsidRPr="007D1918">
        <w:rPr>
          <w:rFonts w:cstheme="minorHAnsi"/>
        </w:rPr>
      </w:r>
      <w:r w:rsidR="006644A2" w:rsidRPr="007D1918">
        <w:rPr>
          <w:rFonts w:cstheme="minorHAnsi"/>
        </w:rPr>
        <w:fldChar w:fldCharType="separate"/>
      </w:r>
      <w:r w:rsidR="007C33AD" w:rsidRPr="007D1918">
        <w:t xml:space="preserve">Table </w:t>
      </w:r>
      <w:r w:rsidR="007C33AD" w:rsidRPr="007D1918">
        <w:rPr>
          <w:noProof/>
        </w:rPr>
        <w:t>9</w:t>
      </w:r>
      <w:r w:rsidR="006644A2" w:rsidRPr="007D1918">
        <w:rPr>
          <w:rFonts w:cstheme="minorHAnsi"/>
        </w:rPr>
        <w:fldChar w:fldCharType="end"/>
      </w:r>
      <w:r w:rsidR="006644A2" w:rsidRPr="007D1918">
        <w:rPr>
          <w:rFonts w:cstheme="minorHAnsi"/>
        </w:rPr>
        <w:t xml:space="preserve"> (provided by the </w:t>
      </w:r>
      <w:r w:rsidR="00D54DA4" w:rsidRPr="007D1918">
        <w:rPr>
          <w:rFonts w:cstheme="minorHAnsi"/>
        </w:rPr>
        <w:t>Applicant</w:t>
      </w:r>
      <w:r w:rsidR="006644A2" w:rsidRPr="007D1918">
        <w:rPr>
          <w:rFonts w:cstheme="minorHAnsi"/>
        </w:rPr>
        <w:t xml:space="preserve">). </w:t>
      </w:r>
      <w:r w:rsidR="00B31885" w:rsidRPr="007D1918">
        <w:rPr>
          <w:rFonts w:cstheme="minorHAnsi"/>
        </w:rPr>
        <w:t xml:space="preserve">The majority </w:t>
      </w:r>
      <w:r w:rsidR="006644A2" w:rsidRPr="007D1918">
        <w:rPr>
          <w:rFonts w:cstheme="minorHAnsi"/>
        </w:rPr>
        <w:t>of those listed are available through the Pharmaceutical Benefits Scheme</w:t>
      </w:r>
      <w:r w:rsidR="00B31885" w:rsidRPr="007D1918">
        <w:rPr>
          <w:rFonts w:cstheme="minorHAnsi"/>
        </w:rPr>
        <w:t xml:space="preserve"> for MG, the exceptions being mycophenolate mofetil, and </w:t>
      </w:r>
      <w:r w:rsidR="005D2112" w:rsidRPr="007D1918">
        <w:rPr>
          <w:rFonts w:cstheme="minorHAnsi"/>
        </w:rPr>
        <w:t>r</w:t>
      </w:r>
      <w:r w:rsidR="00B31885" w:rsidRPr="007D1918">
        <w:rPr>
          <w:rFonts w:cstheme="minorHAnsi"/>
        </w:rPr>
        <w:t>ituximab</w:t>
      </w:r>
      <w:r w:rsidR="006644A2" w:rsidRPr="007D1918">
        <w:rPr>
          <w:rFonts w:cstheme="minorHAnsi"/>
        </w:rPr>
        <w:t xml:space="preserve">. </w:t>
      </w:r>
      <w:r w:rsidR="009A680B" w:rsidRPr="007D1918">
        <w:rPr>
          <w:rFonts w:cstheme="minorHAnsi"/>
        </w:rPr>
        <w:t xml:space="preserve">In cases where MG is driven by a thymic tumour or hyperplastic thymus, thymectomy may be an appropriate comparator treatment. </w:t>
      </w:r>
      <w:r w:rsidR="006644A2" w:rsidRPr="007D1918">
        <w:rPr>
          <w:rFonts w:cstheme="minorHAnsi"/>
        </w:rPr>
        <w:t xml:space="preserve">To be eligible for Ig for maintenance </w:t>
      </w:r>
      <w:r w:rsidR="009A680B" w:rsidRPr="007D1918">
        <w:rPr>
          <w:rFonts w:cstheme="minorHAnsi"/>
        </w:rPr>
        <w:t>therapeutics</w:t>
      </w:r>
      <w:r w:rsidR="006644A2" w:rsidRPr="007D1918">
        <w:rPr>
          <w:rFonts w:cstheme="minorHAnsi"/>
        </w:rPr>
        <w:t xml:space="preserve">, at least two other treatments must have been ineffective, be contraindicated, be unavailable or have caused intolerable side effects. </w:t>
      </w:r>
      <w:r w:rsidR="007D3563" w:rsidRPr="007D1918">
        <w:rPr>
          <w:rFonts w:cstheme="minorHAnsi"/>
        </w:rPr>
        <w:t xml:space="preserve">It should be noted that inaccessibility for patients to facilities that enable safe delivery of PE (that is major hospitals with </w:t>
      </w:r>
      <w:r w:rsidR="00CC732B" w:rsidRPr="007D1918">
        <w:rPr>
          <w:rFonts w:cstheme="minorHAnsi"/>
        </w:rPr>
        <w:t>specialised apheresis equipment</w:t>
      </w:r>
      <w:r w:rsidR="00FD38A8" w:rsidRPr="007D1918">
        <w:rPr>
          <w:rFonts w:cstheme="minorHAnsi"/>
        </w:rPr>
        <w:t xml:space="preserve"> and adequate </w:t>
      </w:r>
      <w:r w:rsidR="00AF002A" w:rsidRPr="007D1918">
        <w:rPr>
          <w:rFonts w:cstheme="minorHAnsi"/>
        </w:rPr>
        <w:t>facilities</w:t>
      </w:r>
      <w:r w:rsidR="007D3563" w:rsidRPr="007D1918">
        <w:rPr>
          <w:rFonts w:cstheme="minorHAnsi"/>
        </w:rPr>
        <w:t xml:space="preserve">), can lead to the pragmatic choice of IVIg over PE as treatment. </w:t>
      </w:r>
    </w:p>
    <w:p w14:paraId="4397ED99" w14:textId="1BD28ECB" w:rsidR="006644A2" w:rsidRPr="007D1918" w:rsidRDefault="006644A2" w:rsidP="00B31885">
      <w:pPr>
        <w:jc w:val="both"/>
        <w:rPr>
          <w:rFonts w:cstheme="minorHAnsi"/>
        </w:rPr>
      </w:pPr>
      <w:r w:rsidRPr="007D1918">
        <w:rPr>
          <w:rFonts w:cstheme="minorHAnsi"/>
        </w:rPr>
        <w:lastRenderedPageBreak/>
        <w:t xml:space="preserve">Evidence of effectiveness is required for ongoing Ig therapy and other indicated treatments should be </w:t>
      </w:r>
      <w:r w:rsidR="00B31885" w:rsidRPr="007D1918">
        <w:rPr>
          <w:rFonts w:cstheme="minorHAnsi"/>
        </w:rPr>
        <w:t>trialled</w:t>
      </w:r>
      <w:r w:rsidRPr="007D1918">
        <w:rPr>
          <w:rFonts w:cstheme="minorHAnsi"/>
        </w:rPr>
        <w:t xml:space="preserve"> concurrently. </w:t>
      </w:r>
      <w:r w:rsidR="00C85F71" w:rsidRPr="007D1918">
        <w:rPr>
          <w:rFonts w:cstheme="minorHAnsi"/>
        </w:rPr>
        <w:t xml:space="preserve">The incremental benefit of IVIg over these standard therapies could be shown by comparing the effectiveness of IVIg with placebo, if patients in both </w:t>
      </w:r>
      <w:r w:rsidR="001946D0" w:rsidRPr="007D1918">
        <w:rPr>
          <w:rFonts w:cstheme="minorHAnsi"/>
        </w:rPr>
        <w:t>arms of the comparison</w:t>
      </w:r>
      <w:r w:rsidR="00C85F71" w:rsidRPr="007D1918">
        <w:rPr>
          <w:rFonts w:cstheme="minorHAnsi"/>
        </w:rPr>
        <w:t xml:space="preserve"> are taking similar standard therapies.</w:t>
      </w:r>
    </w:p>
    <w:p w14:paraId="71F4A43B" w14:textId="77777777" w:rsidR="008C7152" w:rsidRPr="007D1918" w:rsidRDefault="008C7152" w:rsidP="009F7373">
      <w:pPr>
        <w:pStyle w:val="Heading3"/>
      </w:pPr>
      <w:bookmarkStart w:id="50" w:name="_Toc395200745"/>
      <w:bookmarkStart w:id="51" w:name="_Toc23766924"/>
      <w:r w:rsidRPr="007D1918">
        <w:t xml:space="preserve">Clinical </w:t>
      </w:r>
      <w:bookmarkEnd w:id="47"/>
      <w:bookmarkEnd w:id="48"/>
      <w:bookmarkEnd w:id="50"/>
      <w:r w:rsidR="00D544ED" w:rsidRPr="007D1918">
        <w:t>management algorithm(s)</w:t>
      </w:r>
      <w:bookmarkEnd w:id="51"/>
    </w:p>
    <w:p w14:paraId="1DCB9D02" w14:textId="3724A7AD" w:rsidR="0073359A" w:rsidRPr="007D1918" w:rsidRDefault="009C2C7B" w:rsidP="00DF343F">
      <w:pPr>
        <w:jc w:val="both"/>
      </w:pPr>
      <w:r w:rsidRPr="007D1918">
        <w:t xml:space="preserve">The clinical management algorithms for MG Indications 1 to 3 can be seen in </w:t>
      </w:r>
      <w:r w:rsidRPr="007D1918">
        <w:rPr>
          <w:i/>
        </w:rPr>
        <w:t>Section A.6</w:t>
      </w:r>
      <w:r w:rsidRPr="007D1918">
        <w:t xml:space="preserve">, </w:t>
      </w:r>
      <w:r w:rsidRPr="007D1918">
        <w:fldChar w:fldCharType="begin"/>
      </w:r>
      <w:r w:rsidRPr="007D1918">
        <w:instrText xml:space="preserve"> REF _Ref2780635 \h </w:instrText>
      </w:r>
      <w:r w:rsidR="00E07567" w:rsidRPr="007D1918">
        <w:instrText xml:space="preserve"> \* MERGEFORMAT </w:instrText>
      </w:r>
      <w:r w:rsidRPr="007D1918">
        <w:fldChar w:fldCharType="separate"/>
      </w:r>
      <w:r w:rsidR="007C33AD" w:rsidRPr="007D1918">
        <w:t xml:space="preserve">Figure </w:t>
      </w:r>
      <w:r w:rsidR="007C33AD" w:rsidRPr="007D1918">
        <w:rPr>
          <w:noProof/>
        </w:rPr>
        <w:t>1</w:t>
      </w:r>
      <w:r w:rsidRPr="007D1918">
        <w:fldChar w:fldCharType="end"/>
      </w:r>
      <w:r w:rsidRPr="007D1918">
        <w:t xml:space="preserve"> to </w:t>
      </w:r>
      <w:r w:rsidRPr="007D1918">
        <w:fldChar w:fldCharType="begin"/>
      </w:r>
      <w:r w:rsidRPr="007D1918">
        <w:instrText xml:space="preserve"> REF _Ref2780638 \h </w:instrText>
      </w:r>
      <w:r w:rsidR="00E07567" w:rsidRPr="007D1918">
        <w:instrText xml:space="preserve"> \* MERGEFORMAT </w:instrText>
      </w:r>
      <w:r w:rsidRPr="007D1918">
        <w:fldChar w:fldCharType="separate"/>
      </w:r>
      <w:r w:rsidR="007C33AD" w:rsidRPr="007D1918">
        <w:t>Figure</w:t>
      </w:r>
      <w:r w:rsidR="007C33AD" w:rsidRPr="007D1918">
        <w:rPr>
          <w:noProof/>
        </w:rPr>
        <w:t xml:space="preserve"> 3</w:t>
      </w:r>
      <w:r w:rsidRPr="007D1918">
        <w:fldChar w:fldCharType="end"/>
      </w:r>
      <w:r w:rsidRPr="007D1918">
        <w:t xml:space="preserve">. </w:t>
      </w:r>
    </w:p>
    <w:p w14:paraId="7D663FC2" w14:textId="5F207475" w:rsidR="00E45809" w:rsidRPr="007D1918" w:rsidRDefault="00E45809" w:rsidP="00E45809">
      <w:pPr>
        <w:jc w:val="both"/>
        <w:rPr>
          <w:lang w:val="en-US"/>
        </w:rPr>
      </w:pPr>
      <w:bookmarkStart w:id="52" w:name="_Toc395200746"/>
      <w:bookmarkStart w:id="53" w:name="_Toc379118058"/>
      <w:bookmarkStart w:id="54" w:name="_Toc379118250"/>
      <w:bookmarkStart w:id="55" w:name="_Toc381796434"/>
      <w:r w:rsidRPr="007D1918">
        <w:rPr>
          <w:lang w:val="en-US"/>
        </w:rPr>
        <w:t xml:space="preserve">To be eligible for Ig for all </w:t>
      </w:r>
      <w:r w:rsidR="00664618" w:rsidRPr="007D1918">
        <w:rPr>
          <w:lang w:val="en-US"/>
        </w:rPr>
        <w:t xml:space="preserve">MG </w:t>
      </w:r>
      <w:r w:rsidRPr="007D1918">
        <w:rPr>
          <w:lang w:val="en-US"/>
        </w:rPr>
        <w:t xml:space="preserve">indications covered by NBA </w:t>
      </w:r>
      <w:r w:rsidRPr="007D1918">
        <w:rPr>
          <w:i/>
          <w:lang w:val="en-US"/>
        </w:rPr>
        <w:t>Criteria V3</w:t>
      </w:r>
      <w:r w:rsidRPr="007D1918">
        <w:rPr>
          <w:lang w:val="en-US"/>
        </w:rPr>
        <w:t xml:space="preserve"> a neurologist must make the diagnosis. Detailed criteria for eligibility are given in Appendix F. </w:t>
      </w:r>
    </w:p>
    <w:p w14:paraId="56A8FE4B" w14:textId="1075C4FA" w:rsidR="00E45809" w:rsidRPr="007D1918" w:rsidRDefault="00E45809" w:rsidP="00E45809">
      <w:pPr>
        <w:jc w:val="both"/>
        <w:rPr>
          <w:lang w:val="en-US"/>
        </w:rPr>
      </w:pPr>
      <w:r w:rsidRPr="007D1918">
        <w:rPr>
          <w:lang w:val="en-US"/>
        </w:rPr>
        <w:t xml:space="preserve">To meet criteria for </w:t>
      </w:r>
      <w:r w:rsidR="00B669A8" w:rsidRPr="007D1918">
        <w:rPr>
          <w:lang w:val="en-US"/>
        </w:rPr>
        <w:t>I</w:t>
      </w:r>
      <w:r w:rsidRPr="007D1918">
        <w:rPr>
          <w:lang w:val="en-US"/>
        </w:rPr>
        <w:t xml:space="preserve">ndication 1 a patient must have respiratory insufficiency requiring intubation and assisted ventilation, or have symptoms to show they are at risk of life-threatening myasthenic crisis. Patients are often already receiving IS or CS therapy or a combination of therapies. In these circumstances, the neurologist may consider IVIg or PE treatment. </w:t>
      </w:r>
    </w:p>
    <w:p w14:paraId="2C307729" w14:textId="20689689" w:rsidR="00E45809" w:rsidRPr="007D1918" w:rsidRDefault="00E45809" w:rsidP="00E45809">
      <w:pPr>
        <w:jc w:val="both"/>
        <w:rPr>
          <w:lang w:val="en-US"/>
        </w:rPr>
      </w:pPr>
      <w:r w:rsidRPr="007D1918">
        <w:rPr>
          <w:lang w:val="en-US"/>
        </w:rPr>
        <w:t xml:space="preserve">Thymectomy </w:t>
      </w:r>
      <w:r w:rsidR="00B669A8" w:rsidRPr="007D1918">
        <w:rPr>
          <w:lang w:val="en-US"/>
        </w:rPr>
        <w:t>may be</w:t>
      </w:r>
      <w:r w:rsidRPr="007D1918">
        <w:rPr>
          <w:lang w:val="en-US"/>
        </w:rPr>
        <w:t xml:space="preserve"> considered in MG patients to reduce the autoimmune response. Patients at an advanced stage in </w:t>
      </w:r>
      <w:r w:rsidR="00B669A8" w:rsidRPr="007D1918">
        <w:rPr>
          <w:lang w:val="en-US"/>
        </w:rPr>
        <w:t>MG disease may</w:t>
      </w:r>
      <w:r w:rsidRPr="007D1918">
        <w:rPr>
          <w:lang w:val="en-US"/>
        </w:rPr>
        <w:t xml:space="preserve"> require stabilization prior to surgery</w:t>
      </w:r>
      <w:r w:rsidR="00B669A8" w:rsidRPr="007D1918">
        <w:rPr>
          <w:lang w:val="en-US"/>
        </w:rPr>
        <w:t xml:space="preserve">, through </w:t>
      </w:r>
      <w:r w:rsidRPr="007D1918">
        <w:rPr>
          <w:lang w:val="en-US"/>
        </w:rPr>
        <w:t xml:space="preserve">treatment with IVIg if patients meet the criteria for </w:t>
      </w:r>
      <w:r w:rsidR="00B669A8" w:rsidRPr="007D1918">
        <w:rPr>
          <w:lang w:val="en-US"/>
        </w:rPr>
        <w:t>I</w:t>
      </w:r>
      <w:r w:rsidRPr="007D1918">
        <w:rPr>
          <w:lang w:val="en-US"/>
        </w:rPr>
        <w:t>ndication 2. The patient should be monitored for stabilization post-surgery.</w:t>
      </w:r>
    </w:p>
    <w:p w14:paraId="5A5839A8" w14:textId="5A2D58C1" w:rsidR="00E45809" w:rsidRPr="007D1918" w:rsidRDefault="00E45809" w:rsidP="00E45809">
      <w:pPr>
        <w:jc w:val="both"/>
        <w:rPr>
          <w:lang w:val="en-US"/>
        </w:rPr>
      </w:pPr>
      <w:r w:rsidRPr="007D1918">
        <w:rPr>
          <w:lang w:val="en-US"/>
        </w:rPr>
        <w:t xml:space="preserve">To qualify for IVIg for </w:t>
      </w:r>
      <w:r w:rsidR="00B669A8" w:rsidRPr="007D1918">
        <w:rPr>
          <w:lang w:val="en-US"/>
        </w:rPr>
        <w:t>I</w:t>
      </w:r>
      <w:r w:rsidRPr="007D1918">
        <w:rPr>
          <w:lang w:val="en-US"/>
        </w:rPr>
        <w:t xml:space="preserve">ndication 3, a patient with </w:t>
      </w:r>
      <w:r w:rsidR="00B44F3C" w:rsidRPr="007D1918">
        <w:rPr>
          <w:lang w:val="en-US"/>
        </w:rPr>
        <w:t>non-life-threatening</w:t>
      </w:r>
      <w:r w:rsidRPr="007D1918">
        <w:rPr>
          <w:lang w:val="en-US"/>
        </w:rPr>
        <w:t xml:space="preserve"> moderate to severe MG symptoms must have already tried and failed at least two standard therapies, either CS, IS or a combination of the two. Alternatively</w:t>
      </w:r>
      <w:r w:rsidR="008A11C5" w:rsidRPr="007D1918">
        <w:rPr>
          <w:lang w:val="en-US"/>
        </w:rPr>
        <w:t>,</w:t>
      </w:r>
      <w:r w:rsidRPr="007D1918">
        <w:rPr>
          <w:lang w:val="en-US"/>
        </w:rPr>
        <w:t xml:space="preserve"> patients may have developed side effects to or become contraindicated for alternative therapies by development of comorbidities</w:t>
      </w:r>
    </w:p>
    <w:p w14:paraId="1E196CBA" w14:textId="77777777" w:rsidR="00FB6A8A" w:rsidRPr="007D1918" w:rsidRDefault="00630910" w:rsidP="009F7373">
      <w:pPr>
        <w:pStyle w:val="Heading3"/>
      </w:pPr>
      <w:bookmarkStart w:id="56" w:name="_Toc23766925"/>
      <w:r w:rsidRPr="007D1918">
        <w:t>Key Differences in the D</w:t>
      </w:r>
      <w:r w:rsidR="00FB6A8A" w:rsidRPr="007D1918">
        <w:t xml:space="preserve">elivery of the </w:t>
      </w:r>
      <w:r w:rsidRPr="007D1918">
        <w:t>Proposed Medical Service and the Main C</w:t>
      </w:r>
      <w:r w:rsidR="00FB6A8A" w:rsidRPr="007D1918">
        <w:t>omparator</w:t>
      </w:r>
      <w:bookmarkEnd w:id="52"/>
      <w:bookmarkEnd w:id="56"/>
      <w:r w:rsidR="00FB6A8A" w:rsidRPr="007D1918">
        <w:t xml:space="preserve"> </w:t>
      </w:r>
    </w:p>
    <w:p w14:paraId="09E28698" w14:textId="5CFEB0C6" w:rsidR="00DF756B" w:rsidRPr="007D1918" w:rsidRDefault="00DF756B" w:rsidP="00DF756B">
      <w:pPr>
        <w:jc w:val="both"/>
      </w:pPr>
      <w:r w:rsidRPr="007D1918">
        <w:t xml:space="preserve">IVIg and PE are two IV treatments used to reduce immune response and subsequent morbidity in patients with MG. </w:t>
      </w:r>
      <w:r w:rsidR="00011723" w:rsidRPr="007D1918">
        <w:t xml:space="preserve">Both IVIg and PE use blood products sourced both through collection of local blood donations, or purchased from overseas. </w:t>
      </w:r>
      <w:r w:rsidRPr="007D1918">
        <w:t xml:space="preserve">The main differences between the two are in their </w:t>
      </w:r>
      <w:r w:rsidR="00011723" w:rsidRPr="007D1918">
        <w:t>patient</w:t>
      </w:r>
      <w:r w:rsidRPr="007D1918">
        <w:t xml:space="preserve"> delivery</w:t>
      </w:r>
      <w:r w:rsidR="00853419" w:rsidRPr="007D1918">
        <w:t xml:space="preserve"> and access</w:t>
      </w:r>
      <w:r w:rsidR="00AE290C" w:rsidRPr="007D1918">
        <w:t>ibility</w:t>
      </w:r>
      <w:r w:rsidRPr="007D1918">
        <w:t>.</w:t>
      </w:r>
    </w:p>
    <w:p w14:paraId="69CE9708" w14:textId="227B1560" w:rsidR="00DF756B" w:rsidRPr="007D1918" w:rsidRDefault="00DF756B" w:rsidP="00DF756B">
      <w:pPr>
        <w:jc w:val="both"/>
      </w:pPr>
      <w:r w:rsidRPr="007D1918">
        <w:t xml:space="preserve">IVIg is generally delivered </w:t>
      </w:r>
      <w:r w:rsidR="0061616B" w:rsidRPr="007D1918">
        <w:t xml:space="preserve">via a peripheral vein </w:t>
      </w:r>
      <w:r w:rsidRPr="007D1918">
        <w:t xml:space="preserve">over a shorter timeframe than PE, and </w:t>
      </w:r>
      <w:r w:rsidR="00FD0462" w:rsidRPr="007D1918">
        <w:t xml:space="preserve">commonly </w:t>
      </w:r>
      <w:r w:rsidRPr="007D1918">
        <w:t>uses a dos</w:t>
      </w:r>
      <w:r w:rsidR="00FD0462" w:rsidRPr="007D1918">
        <w:t xml:space="preserve">e of </w:t>
      </w:r>
      <w:r w:rsidRPr="007D1918">
        <w:t>1 or 2 g/kg</w:t>
      </w:r>
      <w:r w:rsidR="00FD0462" w:rsidRPr="007D1918">
        <w:t xml:space="preserve"> </w:t>
      </w:r>
      <w:r w:rsidR="00D320AF" w:rsidRPr="007D1918">
        <w:t>per infus</w:t>
      </w:r>
      <w:r w:rsidR="00FD0462" w:rsidRPr="007D1918">
        <w:t xml:space="preserve">ion for </w:t>
      </w:r>
      <w:r w:rsidR="00D320AF" w:rsidRPr="007D1918">
        <w:t>I</w:t>
      </w:r>
      <w:r w:rsidR="00FD0462" w:rsidRPr="007D1918">
        <w:t>ndication 1</w:t>
      </w:r>
      <w:r w:rsidRPr="007D1918">
        <w:t xml:space="preserve">. The infusion </w:t>
      </w:r>
      <w:r w:rsidR="0061616B" w:rsidRPr="007D1918">
        <w:t>method</w:t>
      </w:r>
      <w:r w:rsidRPr="007D1918">
        <w:t xml:space="preserve"> </w:t>
      </w:r>
      <w:r w:rsidR="0061616B" w:rsidRPr="007D1918">
        <w:t>for</w:t>
      </w:r>
      <w:r w:rsidRPr="007D1918">
        <w:t xml:space="preserve"> IVIg is usually </w:t>
      </w:r>
      <w:r w:rsidR="0061616B" w:rsidRPr="007D1918">
        <w:t>delivery</w:t>
      </w:r>
      <w:r w:rsidRPr="007D1918">
        <w:t xml:space="preserve"> on consecutive days until </w:t>
      </w:r>
      <w:r w:rsidR="00B51BC1" w:rsidRPr="007D1918">
        <w:t xml:space="preserve">the </w:t>
      </w:r>
      <w:r w:rsidRPr="007D1918">
        <w:t>complete</w:t>
      </w:r>
      <w:r w:rsidR="00B51BC1" w:rsidRPr="007D1918">
        <w:t xml:space="preserve"> dose is administered</w:t>
      </w:r>
      <w:r w:rsidRPr="007D1918">
        <w:t xml:space="preserve"> (for example 2 to 5 days). </w:t>
      </w:r>
    </w:p>
    <w:p w14:paraId="358509D7" w14:textId="5F4F703A" w:rsidR="00DF756B" w:rsidRPr="007D1918" w:rsidRDefault="00DF756B" w:rsidP="00DF756B">
      <w:pPr>
        <w:jc w:val="both"/>
        <w:rPr>
          <w:rFonts w:cstheme="minorHAnsi"/>
        </w:rPr>
      </w:pPr>
      <w:r w:rsidRPr="007D1918">
        <w:t xml:space="preserve">In comparison PE </w:t>
      </w:r>
      <w:r w:rsidR="0061616B" w:rsidRPr="007D1918">
        <w:t xml:space="preserve">involves the infusion of larger volumes than IVIg, and </w:t>
      </w:r>
      <w:r w:rsidRPr="007D1918">
        <w:t xml:space="preserve">is delivered on alternate days to achieve the number of plasma volume exchanges desired (for example five plasma volume exchanges over 10 days). If peripheral venous access breaks down PE may require </w:t>
      </w:r>
      <w:r w:rsidRPr="007D1918">
        <w:rPr>
          <w:rFonts w:cstheme="minorHAnsi"/>
        </w:rPr>
        <w:t xml:space="preserve">delivery via a central vein which may carry greater risk of infection. </w:t>
      </w:r>
    </w:p>
    <w:p w14:paraId="55FC6545" w14:textId="40EC3266" w:rsidR="00853419" w:rsidRPr="007D1918" w:rsidRDefault="00AE290C" w:rsidP="00DF756B">
      <w:pPr>
        <w:jc w:val="both"/>
      </w:pPr>
      <w:r w:rsidRPr="007D1918">
        <w:rPr>
          <w:rFonts w:cstheme="minorHAnsi"/>
        </w:rPr>
        <w:lastRenderedPageBreak/>
        <w:t xml:space="preserve">The </w:t>
      </w:r>
      <w:r w:rsidR="00B8503A" w:rsidRPr="007D1918">
        <w:rPr>
          <w:rFonts w:cstheme="minorHAnsi"/>
        </w:rPr>
        <w:t xml:space="preserve">Ig Review </w:t>
      </w:r>
      <w:r w:rsidRPr="007D1918">
        <w:rPr>
          <w:rFonts w:cstheme="minorHAnsi"/>
        </w:rPr>
        <w:t>Reference Group has acknowledged that a</w:t>
      </w:r>
      <w:r w:rsidR="00853419" w:rsidRPr="007D1918">
        <w:rPr>
          <w:rFonts w:cstheme="minorHAnsi"/>
        </w:rPr>
        <w:t xml:space="preserve">ccess to PE </w:t>
      </w:r>
      <w:r w:rsidRPr="007D1918">
        <w:rPr>
          <w:rFonts w:cstheme="minorHAnsi"/>
        </w:rPr>
        <w:t>is limited in Australia, and</w:t>
      </w:r>
      <w:r w:rsidR="00CC732B" w:rsidRPr="007D1918">
        <w:rPr>
          <w:rFonts w:cstheme="minorHAnsi"/>
        </w:rPr>
        <w:t xml:space="preserve"> there are factors </w:t>
      </w:r>
      <w:r w:rsidR="007D3563" w:rsidRPr="007D1918">
        <w:rPr>
          <w:rFonts w:cstheme="minorHAnsi"/>
        </w:rPr>
        <w:t>restricting the use of this service for both clinicians and patients. T</w:t>
      </w:r>
      <w:r w:rsidRPr="007D1918">
        <w:rPr>
          <w:rFonts w:cstheme="minorHAnsi"/>
        </w:rPr>
        <w:t>he time taken to</w:t>
      </w:r>
      <w:r w:rsidR="008A11C5" w:rsidRPr="007D1918">
        <w:rPr>
          <w:rFonts w:cstheme="minorHAnsi"/>
        </w:rPr>
        <w:t xml:space="preserve"> access </w:t>
      </w:r>
      <w:r w:rsidRPr="007D1918">
        <w:rPr>
          <w:rFonts w:cstheme="minorHAnsi"/>
        </w:rPr>
        <w:t xml:space="preserve"> </w:t>
      </w:r>
      <w:r w:rsidR="00CC732B" w:rsidRPr="007D1918">
        <w:rPr>
          <w:rFonts w:cstheme="minorHAnsi"/>
        </w:rPr>
        <w:t xml:space="preserve"> PE therapy</w:t>
      </w:r>
      <w:r w:rsidR="001146D3" w:rsidRPr="007D1918">
        <w:rPr>
          <w:rFonts w:cstheme="minorHAnsi"/>
        </w:rPr>
        <w:t xml:space="preserve"> </w:t>
      </w:r>
      <w:r w:rsidR="00D5319D" w:rsidRPr="007D1918">
        <w:rPr>
          <w:rFonts w:cstheme="minorHAnsi"/>
        </w:rPr>
        <w:t xml:space="preserve">may be </w:t>
      </w:r>
      <w:r w:rsidR="001146D3" w:rsidRPr="007D1918">
        <w:rPr>
          <w:rFonts w:cstheme="minorHAnsi"/>
        </w:rPr>
        <w:t>considerabl</w:t>
      </w:r>
      <w:r w:rsidRPr="007D1918">
        <w:rPr>
          <w:rFonts w:cstheme="minorHAnsi"/>
        </w:rPr>
        <w:t xml:space="preserve">y longer than the time it takes to </w:t>
      </w:r>
      <w:r w:rsidR="008A11C5" w:rsidRPr="007D1918">
        <w:rPr>
          <w:rFonts w:cstheme="minorHAnsi"/>
        </w:rPr>
        <w:t>access</w:t>
      </w:r>
      <w:r w:rsidR="00CC732B" w:rsidRPr="007D1918">
        <w:rPr>
          <w:rFonts w:cstheme="minorHAnsi"/>
        </w:rPr>
        <w:t xml:space="preserve"> </w:t>
      </w:r>
      <w:r w:rsidRPr="007D1918">
        <w:rPr>
          <w:rFonts w:cstheme="minorHAnsi"/>
        </w:rPr>
        <w:t>IVIg (days for PE</w:t>
      </w:r>
      <w:r w:rsidR="00CC732B" w:rsidRPr="007D1918">
        <w:rPr>
          <w:rFonts w:cstheme="minorHAnsi"/>
        </w:rPr>
        <w:t>,</w:t>
      </w:r>
      <w:r w:rsidRPr="007D1918">
        <w:rPr>
          <w:rFonts w:cstheme="minorHAnsi"/>
        </w:rPr>
        <w:t xml:space="preserve"> compared with hours for IVIg)</w:t>
      </w:r>
      <w:r w:rsidR="00D5319D" w:rsidRPr="007D1918">
        <w:rPr>
          <w:rFonts w:cstheme="minorHAnsi"/>
        </w:rPr>
        <w:t xml:space="preserve"> if patients need to be transferred between hospitals and referred to other medical specialists for PE</w:t>
      </w:r>
      <w:r w:rsidRPr="007D1918">
        <w:rPr>
          <w:rFonts w:cstheme="minorHAnsi"/>
        </w:rPr>
        <w:t xml:space="preserve">. It is necessary for PE to be delivered in hospital centres with </w:t>
      </w:r>
      <w:r w:rsidR="00CC732B" w:rsidRPr="007D1918">
        <w:rPr>
          <w:rFonts w:cstheme="minorHAnsi"/>
        </w:rPr>
        <w:t xml:space="preserve">both specialised equipment and </w:t>
      </w:r>
      <w:r w:rsidRPr="007D1918">
        <w:rPr>
          <w:rFonts w:cstheme="minorHAnsi"/>
        </w:rPr>
        <w:t xml:space="preserve">central vein delivery cababilities, in the event that peripheral venous access breaks down, therefore limiting the number of hospitals that can provide PE. </w:t>
      </w:r>
      <w:r w:rsidR="00CC732B" w:rsidRPr="007D1918">
        <w:rPr>
          <w:rFonts w:cstheme="minorHAnsi"/>
        </w:rPr>
        <w:t>Recommendation or c</w:t>
      </w:r>
      <w:r w:rsidRPr="007D1918">
        <w:rPr>
          <w:rFonts w:cstheme="minorHAnsi"/>
        </w:rPr>
        <w:t>hoice of treatment</w:t>
      </w:r>
      <w:r w:rsidR="00CC732B" w:rsidRPr="007D1918">
        <w:rPr>
          <w:rFonts w:cstheme="minorHAnsi"/>
        </w:rPr>
        <w:t xml:space="preserve"> method</w:t>
      </w:r>
      <w:r w:rsidRPr="007D1918">
        <w:rPr>
          <w:rFonts w:cstheme="minorHAnsi"/>
        </w:rPr>
        <w:t xml:space="preserve"> </w:t>
      </w:r>
      <w:r w:rsidR="00813831" w:rsidRPr="007D1918">
        <w:rPr>
          <w:rFonts w:cstheme="minorHAnsi"/>
        </w:rPr>
        <w:t xml:space="preserve">by clinicians </w:t>
      </w:r>
      <w:r w:rsidRPr="007D1918">
        <w:rPr>
          <w:rFonts w:cstheme="minorHAnsi"/>
        </w:rPr>
        <w:t>may</w:t>
      </w:r>
      <w:r w:rsidR="00813831" w:rsidRPr="007D1918">
        <w:rPr>
          <w:rFonts w:cstheme="minorHAnsi"/>
        </w:rPr>
        <w:t xml:space="preserve"> therefore</w:t>
      </w:r>
      <w:r w:rsidRPr="007D1918">
        <w:rPr>
          <w:rFonts w:cstheme="minorHAnsi"/>
        </w:rPr>
        <w:t xml:space="preserve"> be pragmatic, based on the </w:t>
      </w:r>
      <w:r w:rsidR="00CC732B" w:rsidRPr="007D1918">
        <w:rPr>
          <w:rFonts w:cstheme="minorHAnsi"/>
        </w:rPr>
        <w:t xml:space="preserve">differing </w:t>
      </w:r>
      <w:r w:rsidR="006C2FFA" w:rsidRPr="007D1918">
        <w:rPr>
          <w:rFonts w:cstheme="minorHAnsi"/>
        </w:rPr>
        <w:t>accessibility of PE and IVIg.</w:t>
      </w:r>
    </w:p>
    <w:p w14:paraId="1BEDB918" w14:textId="34C7B152" w:rsidR="00DF756B" w:rsidRPr="007D1918" w:rsidRDefault="00DF756B" w:rsidP="00DF756B">
      <w:pPr>
        <w:jc w:val="both"/>
      </w:pPr>
      <w:r w:rsidRPr="007D1918">
        <w:t>Ig also has the potential to be delivered subcutaneously for patients on maintenance therapy</w:t>
      </w:r>
      <w:r w:rsidR="0061616B" w:rsidRPr="007D1918">
        <w:t xml:space="preserve">, using </w:t>
      </w:r>
      <w:r w:rsidR="005D2112" w:rsidRPr="007D1918">
        <w:t xml:space="preserve">a lower dose of </w:t>
      </w:r>
      <w:r w:rsidRPr="007D1918">
        <w:t xml:space="preserve">Ig than for IV therapy, and may require infusion twice weekly. </w:t>
      </w:r>
    </w:p>
    <w:p w14:paraId="2E5A36FD" w14:textId="123B716B" w:rsidR="00853419" w:rsidRPr="007D1918" w:rsidRDefault="00853419" w:rsidP="00DF756B">
      <w:pPr>
        <w:jc w:val="both"/>
      </w:pPr>
    </w:p>
    <w:p w14:paraId="7A10685D" w14:textId="77777777" w:rsidR="00224E39" w:rsidRPr="007D1918" w:rsidRDefault="00224E39" w:rsidP="00224E39">
      <w:pPr>
        <w:pStyle w:val="ESNumberedSectionHeading"/>
        <w:numPr>
          <w:ilvl w:val="0"/>
          <w:numId w:val="0"/>
        </w:numPr>
        <w:jc w:val="both"/>
      </w:pPr>
      <w:bookmarkStart w:id="57" w:name="_Toc395200747"/>
      <w:bookmarkStart w:id="58" w:name="_Toc426968105"/>
      <w:bookmarkStart w:id="59" w:name="_Toc23766926"/>
      <w:r w:rsidRPr="007D1918">
        <w:t>Clinical Claim</w:t>
      </w:r>
      <w:bookmarkEnd w:id="57"/>
      <w:bookmarkEnd w:id="58"/>
      <w:bookmarkEnd w:id="59"/>
    </w:p>
    <w:p w14:paraId="5D60AC16" w14:textId="187AEE0B" w:rsidR="0041037F" w:rsidRPr="007D1918" w:rsidRDefault="0041037F" w:rsidP="0041037F">
      <w:pPr>
        <w:jc w:val="both"/>
      </w:pPr>
      <w:r w:rsidRPr="007D1918">
        <w:t xml:space="preserve">A </w:t>
      </w:r>
      <w:r w:rsidRPr="007D1918">
        <w:rPr>
          <w:b/>
        </w:rPr>
        <w:t>non-inferiority</w:t>
      </w:r>
      <w:r w:rsidRPr="007D1918">
        <w:t xml:space="preserve"> claim was proposed by the </w:t>
      </w:r>
      <w:r w:rsidR="001A1DDB" w:rsidRPr="007D1918">
        <w:t>A</w:t>
      </w:r>
      <w:r w:rsidRPr="007D1918">
        <w:t>pplicant for</w:t>
      </w:r>
      <w:r w:rsidR="008C07FC" w:rsidRPr="007D1918">
        <w:t xml:space="preserve"> </w:t>
      </w:r>
      <w:r w:rsidR="008C07FC" w:rsidRPr="007D1918">
        <w:rPr>
          <w:i/>
        </w:rPr>
        <w:t>Criteria V3</w:t>
      </w:r>
      <w:r w:rsidRPr="007D1918">
        <w:t xml:space="preserve"> Indications 1 and 2 (where Ig is intended to be used for a limited time frame to manage a patient through a crisis or surgery, and has a direct comparator in plasma exchange). </w:t>
      </w:r>
    </w:p>
    <w:p w14:paraId="3652CDFB" w14:textId="76864891" w:rsidR="0041037F" w:rsidRPr="007D1918" w:rsidRDefault="00614EC2" w:rsidP="0041037F">
      <w:pPr>
        <w:jc w:val="both"/>
      </w:pPr>
      <w:r w:rsidRPr="007D1918">
        <w:t>F</w:t>
      </w:r>
      <w:r w:rsidR="0041037F" w:rsidRPr="007D1918">
        <w:t>or Indication 3, where Ig may be used as an adjunct therapy to immunotherapy</w:t>
      </w:r>
      <w:r w:rsidRPr="007D1918">
        <w:t xml:space="preserve"> or other standard therapeutics (not PE)</w:t>
      </w:r>
      <w:r w:rsidR="0041037F" w:rsidRPr="007D1918">
        <w:t xml:space="preserve">, there would need to be an additional benefit from the Ig therapy to justify its use i.e., a </w:t>
      </w:r>
      <w:r w:rsidR="0041037F" w:rsidRPr="007D1918">
        <w:rPr>
          <w:b/>
        </w:rPr>
        <w:t xml:space="preserve">superiority </w:t>
      </w:r>
      <w:r w:rsidR="0041037F" w:rsidRPr="007D1918">
        <w:t>claim</w:t>
      </w:r>
      <w:r w:rsidRPr="007D1918">
        <w:t xml:space="preserve"> </w:t>
      </w:r>
      <w:r w:rsidR="003736AC" w:rsidRPr="007D1918">
        <w:fldChar w:fldCharType="begin"/>
      </w:r>
      <w:r w:rsidR="003736AC" w:rsidRPr="007D1918">
        <w:instrText xml:space="preserve"> ADDIN EN.CITE &lt;EndNote&gt;&lt;Cite&gt;&lt;Author&gt;MSAC&lt;/Author&gt;&lt;Year&gt;2019&lt;/Year&gt;&lt;RecNum&gt;35&lt;/RecNum&gt;&lt;DisplayText&gt;(MSAC 2019)&lt;/DisplayText&gt;&lt;record&gt;&lt;rec-number&gt;35&lt;/rec-number&gt;&lt;foreign-keys&gt;&lt;key app="EN" db-id="2aevrx2slsts5ve9sdavatf125dsx0av2v9d" timestamp="1561425723"&gt;35&lt;/key&gt;&lt;key app="ENWeb" db-id=""&gt;0&lt;/key&gt;&lt;/foreign-keys&gt;&lt;ref-type name="Report"&gt;27&lt;/ref-type&gt;&lt;contributors&gt;&lt;authors&gt;&lt;author&gt;MSAC&lt;/author&gt;&lt;/authors&gt;&lt;secondary-authors&gt;&lt;author&gt;Medical Servoces Advisory Committee&lt;/author&gt;&lt;/secondary-authors&gt;&lt;/contributors&gt;&lt;titles&gt;&lt;title&gt;PICO Confirmtaion 1566: Immunoglobulin for myasthenia gravis­_FINAL Ratified&lt;/title&gt;&lt;secondary-title&gt;PICO confirmation&lt;/secondary-title&gt;&lt;/titles&gt;&lt;dates&gt;&lt;year&gt;2019&lt;/year&gt;&lt;/dates&gt;&lt;pub-location&gt;Canberra&lt;/pub-location&gt;&lt;publisher&gt;Department of Health&lt;/publisher&gt;&lt;urls&gt;&lt;/urls&gt;&lt;/record&gt;&lt;/Cite&gt;&lt;/EndNote&gt;</w:instrText>
      </w:r>
      <w:r w:rsidR="003736AC" w:rsidRPr="007D1918">
        <w:fldChar w:fldCharType="separate"/>
      </w:r>
      <w:r w:rsidR="003736AC" w:rsidRPr="007D1918">
        <w:rPr>
          <w:noProof/>
        </w:rPr>
        <w:t>(</w:t>
      </w:r>
      <w:hyperlink w:anchor="_ENREF_66" w:tooltip="MSAC, 2019 #35" w:history="1">
        <w:r w:rsidR="007D4948" w:rsidRPr="007D1918">
          <w:rPr>
            <w:noProof/>
          </w:rPr>
          <w:t>MSAC 2019</w:t>
        </w:r>
      </w:hyperlink>
      <w:r w:rsidR="003736AC" w:rsidRPr="007D1918">
        <w:rPr>
          <w:noProof/>
        </w:rPr>
        <w:t>)</w:t>
      </w:r>
      <w:r w:rsidR="003736AC" w:rsidRPr="007D1918">
        <w:fldChar w:fldCharType="end"/>
      </w:r>
      <w:r w:rsidR="0041037F" w:rsidRPr="007D1918">
        <w:t xml:space="preserve">. </w:t>
      </w:r>
    </w:p>
    <w:p w14:paraId="7DEBA46B" w14:textId="77777777" w:rsidR="00C96FE9" w:rsidRPr="007D1918" w:rsidRDefault="00630910" w:rsidP="00DF343F">
      <w:pPr>
        <w:pStyle w:val="Heading3"/>
        <w:jc w:val="both"/>
      </w:pPr>
      <w:bookmarkStart w:id="60" w:name="_Toc395200748"/>
      <w:bookmarkStart w:id="61" w:name="_Toc23766927"/>
      <w:r w:rsidRPr="007D1918">
        <w:rPr>
          <w:rStyle w:val="Heading3Char"/>
          <w:b/>
          <w:smallCaps/>
        </w:rPr>
        <w:t>Approach T</w:t>
      </w:r>
      <w:r w:rsidR="00AE1CBE" w:rsidRPr="007D1918">
        <w:t xml:space="preserve">aken to the </w:t>
      </w:r>
      <w:r w:rsidRPr="007D1918">
        <w:rPr>
          <w:rStyle w:val="Heading3Char"/>
          <w:b/>
          <w:smallCaps/>
        </w:rPr>
        <w:t>E</w:t>
      </w:r>
      <w:r w:rsidR="00AE1CBE" w:rsidRPr="007D1918">
        <w:t xml:space="preserve">vidence </w:t>
      </w:r>
      <w:r w:rsidRPr="007D1918">
        <w:rPr>
          <w:rStyle w:val="Heading3Char"/>
          <w:b/>
          <w:smallCaps/>
        </w:rPr>
        <w:t>A</w:t>
      </w:r>
      <w:r w:rsidR="00AE1CBE" w:rsidRPr="007D1918">
        <w:t>ssessment</w:t>
      </w:r>
      <w:bookmarkEnd w:id="60"/>
      <w:bookmarkEnd w:id="61"/>
    </w:p>
    <w:p w14:paraId="540F8937" w14:textId="608C39B4" w:rsidR="00F5251C" w:rsidRPr="007D1918" w:rsidRDefault="00AE1CBE" w:rsidP="0042026D">
      <w:pPr>
        <w:jc w:val="both"/>
      </w:pPr>
      <w:r w:rsidRPr="007D1918">
        <w:t xml:space="preserve">A systematic </w:t>
      </w:r>
      <w:r w:rsidR="00F10254" w:rsidRPr="007D1918">
        <w:t xml:space="preserve">search and review </w:t>
      </w:r>
      <w:r w:rsidRPr="007D1918">
        <w:t>of published and unpublished literature was undertaken.</w:t>
      </w:r>
      <w:r w:rsidR="001422C9" w:rsidRPr="007D1918">
        <w:t xml:space="preserve"> </w:t>
      </w:r>
      <w:r w:rsidR="0058212A" w:rsidRPr="007D1918">
        <w:t xml:space="preserve">The medical literature was searched on 13 March 2019 to identify relevant studies and systematic reviews </w:t>
      </w:r>
      <w:r w:rsidR="00E64369" w:rsidRPr="007D1918">
        <w:t xml:space="preserve">(SRs) </w:t>
      </w:r>
      <w:r w:rsidR="0058212A" w:rsidRPr="007D1918">
        <w:t>published during</w:t>
      </w:r>
      <w:r w:rsidR="00D72C1E" w:rsidRPr="007D1918">
        <w:t xml:space="preserve"> or</w:t>
      </w:r>
      <w:r w:rsidR="0058212A" w:rsidRPr="007D1918">
        <w:t xml:space="preserve"> after Jan 1980. </w:t>
      </w:r>
      <w:r w:rsidR="001422C9" w:rsidRPr="007D1918">
        <w:t>The search was performed in the major literature databases</w:t>
      </w:r>
      <w:r w:rsidR="0058212A" w:rsidRPr="007D1918">
        <w:t xml:space="preserve"> (sources listed in Appendix B)</w:t>
      </w:r>
      <w:r w:rsidR="001422C9" w:rsidRPr="007D1918">
        <w:t xml:space="preserve">, using search term strings that did not restrict for comparator or outcome criteria. </w:t>
      </w:r>
      <w:r w:rsidR="009817A8" w:rsidRPr="007D1918">
        <w:t>Additional grey literature sources were searched.</w:t>
      </w:r>
    </w:p>
    <w:p w14:paraId="730FF5FE" w14:textId="072FE00D" w:rsidR="00623631" w:rsidRPr="007D1918" w:rsidRDefault="0058212A" w:rsidP="0042026D">
      <w:pPr>
        <w:jc w:val="both"/>
      </w:pPr>
      <w:r w:rsidRPr="007D1918">
        <w:t>Studies were selected</w:t>
      </w:r>
      <w:r w:rsidR="00BF6424" w:rsidRPr="007D1918">
        <w:t xml:space="preserve"> against the eligibility criteria</w:t>
      </w:r>
      <w:r w:rsidRPr="007D1918">
        <w:t xml:space="preserve"> independently by two reviewers with a random sample independently assessed for consistency. Disagreements regarding study selection were resolved by consensus between two reviewers. </w:t>
      </w:r>
      <w:r w:rsidR="00623631" w:rsidRPr="007D1918">
        <w:t>Case series of three or more case reports were included for subpo</w:t>
      </w:r>
      <w:r w:rsidR="0096125F" w:rsidRPr="007D1918">
        <w:t>p</w:t>
      </w:r>
      <w:r w:rsidR="00623631" w:rsidRPr="007D1918">
        <w:t xml:space="preserve">ulations for which there was no higher level literature identified. </w:t>
      </w:r>
    </w:p>
    <w:p w14:paraId="7B18499A" w14:textId="2D86E6F6" w:rsidR="0042026D" w:rsidRPr="007D1918" w:rsidRDefault="0042026D" w:rsidP="0042026D">
      <w:pPr>
        <w:jc w:val="both"/>
      </w:pPr>
      <w:bookmarkStart w:id="62" w:name="_Toc395200749"/>
      <w:r w:rsidRPr="007D1918">
        <w:t xml:space="preserve">Appraisal of the evidence was conducted in </w:t>
      </w:r>
      <w:r w:rsidR="00D72C1E" w:rsidRPr="007D1918">
        <w:t xml:space="preserve">four </w:t>
      </w:r>
      <w:r w:rsidRPr="007D1918">
        <w:t xml:space="preserve">stages: appraisal of the risk of bias within individual studies (or </w:t>
      </w:r>
      <w:r w:rsidR="00E64369" w:rsidRPr="007D1918">
        <w:t>SRs</w:t>
      </w:r>
      <w:r w:rsidRPr="007D1918">
        <w:t>); extraction of the pre-specified outcomes and synthesis of the data to determine an estimate of effect per outcome; rating the overall quality of the evidence per outcome across studies, based on the study limitations; and integration of the evidence for conclusions about the net clinical benefit of the intervention in the context of Australian clinical practice.</w:t>
      </w:r>
    </w:p>
    <w:p w14:paraId="36ADF197" w14:textId="6CD21442" w:rsidR="0058212A" w:rsidRPr="007D1918" w:rsidRDefault="0058212A" w:rsidP="0042026D">
      <w:pPr>
        <w:jc w:val="both"/>
      </w:pPr>
      <w:r w:rsidRPr="007D1918">
        <w:lastRenderedPageBreak/>
        <w:t xml:space="preserve">A profile of each included study is given in </w:t>
      </w:r>
      <w:r w:rsidRPr="007D1918">
        <w:fldChar w:fldCharType="begin"/>
      </w:r>
      <w:r w:rsidRPr="007D1918">
        <w:instrText xml:space="preserve"> REF _Ref364237249 \h  \* MERGEFORMAT </w:instrText>
      </w:r>
      <w:r w:rsidRPr="007D1918">
        <w:fldChar w:fldCharType="separate"/>
      </w:r>
      <w:r w:rsidR="007C33AD" w:rsidRPr="007D1918">
        <w:t>Appendix C</w:t>
      </w:r>
      <w:r w:rsidRPr="007D1918">
        <w:fldChar w:fldCharType="end"/>
      </w:r>
      <w:r w:rsidRPr="007D1918">
        <w:t xml:space="preserve">. </w:t>
      </w:r>
      <w:r w:rsidRPr="007D1918">
        <w:rPr>
          <w:color w:val="000000"/>
        </w:rPr>
        <w:t xml:space="preserve">Study characteristics are also summarised in a shorter format in </w:t>
      </w:r>
      <w:r w:rsidRPr="007D1918">
        <w:rPr>
          <w:i/>
          <w:color w:val="000000"/>
        </w:rPr>
        <w:t>Section B.4</w:t>
      </w:r>
      <w:r w:rsidR="00D72C1E" w:rsidRPr="007D1918">
        <w:rPr>
          <w:i/>
          <w:color w:val="000000"/>
        </w:rPr>
        <w:t xml:space="preserve">, </w:t>
      </w:r>
      <w:r w:rsidR="00D72C1E" w:rsidRPr="007D1918">
        <w:rPr>
          <w:i/>
          <w:color w:val="000000"/>
        </w:rPr>
        <w:fldChar w:fldCharType="begin"/>
      </w:r>
      <w:r w:rsidR="00D72C1E" w:rsidRPr="007D1918">
        <w:rPr>
          <w:i/>
          <w:color w:val="000000"/>
        </w:rPr>
        <w:instrText xml:space="preserve"> REF _Ref399236533 \h </w:instrText>
      </w:r>
      <w:r w:rsidR="00CB4B47" w:rsidRPr="007D1918">
        <w:rPr>
          <w:i/>
          <w:color w:val="000000"/>
        </w:rPr>
        <w:instrText xml:space="preserve"> \* MERGEFORMAT </w:instrText>
      </w:r>
      <w:r w:rsidR="00D72C1E" w:rsidRPr="007D1918">
        <w:rPr>
          <w:i/>
          <w:color w:val="000000"/>
        </w:rPr>
      </w:r>
      <w:r w:rsidR="00D72C1E" w:rsidRPr="007D1918">
        <w:rPr>
          <w:i/>
          <w:color w:val="000000"/>
        </w:rPr>
        <w:fldChar w:fldCharType="separate"/>
      </w:r>
      <w:r w:rsidR="007C33AD" w:rsidRPr="007D1918">
        <w:t xml:space="preserve">Table </w:t>
      </w:r>
      <w:r w:rsidR="007C33AD" w:rsidRPr="007D1918">
        <w:rPr>
          <w:noProof/>
        </w:rPr>
        <w:t>11</w:t>
      </w:r>
      <w:r w:rsidR="00D72C1E" w:rsidRPr="007D1918">
        <w:rPr>
          <w:i/>
          <w:color w:val="000000"/>
        </w:rPr>
        <w:fldChar w:fldCharType="end"/>
      </w:r>
      <w:r w:rsidR="00D72C1E" w:rsidRPr="007D1918">
        <w:rPr>
          <w:i/>
          <w:color w:val="000000"/>
        </w:rPr>
        <w:t xml:space="preserve"> </w:t>
      </w:r>
      <w:r w:rsidR="00D72C1E" w:rsidRPr="007D1918">
        <w:rPr>
          <w:color w:val="000000"/>
        </w:rPr>
        <w:t>and</w:t>
      </w:r>
      <w:r w:rsidR="00D72C1E" w:rsidRPr="007D1918">
        <w:rPr>
          <w:i/>
          <w:color w:val="000000"/>
        </w:rPr>
        <w:fldChar w:fldCharType="begin"/>
      </w:r>
      <w:r w:rsidR="00D72C1E" w:rsidRPr="007D1918">
        <w:rPr>
          <w:i/>
          <w:color w:val="000000"/>
        </w:rPr>
        <w:instrText xml:space="preserve"> REF _Ref13486693 \h </w:instrText>
      </w:r>
      <w:r w:rsidR="00CB4B47" w:rsidRPr="007D1918">
        <w:rPr>
          <w:i/>
          <w:color w:val="000000"/>
        </w:rPr>
        <w:instrText xml:space="preserve"> \* MERGEFORMAT </w:instrText>
      </w:r>
      <w:r w:rsidR="00D72C1E" w:rsidRPr="007D1918">
        <w:rPr>
          <w:i/>
          <w:color w:val="000000"/>
        </w:rPr>
      </w:r>
      <w:r w:rsidR="00D72C1E" w:rsidRPr="007D1918">
        <w:rPr>
          <w:i/>
          <w:color w:val="000000"/>
        </w:rPr>
        <w:fldChar w:fldCharType="separate"/>
      </w:r>
      <w:r w:rsidR="007C33AD" w:rsidRPr="007D1918">
        <w:t>Table</w:t>
      </w:r>
      <w:r w:rsidR="007C33AD" w:rsidRPr="007D1918">
        <w:rPr>
          <w:noProof/>
        </w:rPr>
        <w:t xml:space="preserve"> 12</w:t>
      </w:r>
      <w:r w:rsidR="00D72C1E" w:rsidRPr="007D1918">
        <w:rPr>
          <w:i/>
          <w:color w:val="000000"/>
        </w:rPr>
        <w:fldChar w:fldCharType="end"/>
      </w:r>
      <w:r w:rsidRPr="007D1918">
        <w:rPr>
          <w:color w:val="000000"/>
        </w:rPr>
        <w:t xml:space="preserve">. </w:t>
      </w:r>
    </w:p>
    <w:p w14:paraId="7A68F32B" w14:textId="77777777" w:rsidR="008C7152" w:rsidRPr="007D1918" w:rsidRDefault="00630910" w:rsidP="00DF343F">
      <w:pPr>
        <w:pStyle w:val="Heading3"/>
        <w:jc w:val="both"/>
      </w:pPr>
      <w:bookmarkStart w:id="63" w:name="_Toc23766928"/>
      <w:r w:rsidRPr="007D1918">
        <w:rPr>
          <w:rStyle w:val="Heading3Char"/>
          <w:b/>
          <w:smallCaps/>
        </w:rPr>
        <w:t>Characteristics of the Evidence B</w:t>
      </w:r>
      <w:r w:rsidR="00A36EB9" w:rsidRPr="007D1918">
        <w:rPr>
          <w:rStyle w:val="Heading3Char"/>
          <w:b/>
          <w:smallCaps/>
        </w:rPr>
        <w:t>ase</w:t>
      </w:r>
      <w:bookmarkEnd w:id="53"/>
      <w:bookmarkEnd w:id="54"/>
      <w:bookmarkEnd w:id="55"/>
      <w:bookmarkEnd w:id="62"/>
      <w:bookmarkEnd w:id="63"/>
    </w:p>
    <w:p w14:paraId="64C7EEAA" w14:textId="44B71CC5" w:rsidR="002D56B1" w:rsidRPr="007D1918" w:rsidRDefault="002D56B1" w:rsidP="005C061E">
      <w:r w:rsidRPr="007D1918">
        <w:t>From an initial 5918 articles identified</w:t>
      </w:r>
      <w:r w:rsidR="00BA21FD" w:rsidRPr="007D1918">
        <w:t xml:space="preserve"> and screened</w:t>
      </w:r>
      <w:r w:rsidRPr="007D1918">
        <w:t xml:space="preserve">, 198 were identified for full text review, and a final number of 29 individual articles were included (for details see the PRISMA flowchart in </w:t>
      </w:r>
      <w:r w:rsidRPr="007D1918">
        <w:fldChar w:fldCharType="begin"/>
      </w:r>
      <w:r w:rsidRPr="007D1918">
        <w:instrText xml:space="preserve"> REF _Ref12877819 \h  \* MERGEFORMAT </w:instrText>
      </w:r>
      <w:r w:rsidRPr="007D1918">
        <w:fldChar w:fldCharType="separate"/>
      </w:r>
      <w:r w:rsidR="007C33AD" w:rsidRPr="007D1918" w:rsidDel="00255DE0">
        <w:t xml:space="preserve">Figure </w:t>
      </w:r>
      <w:r w:rsidR="007C33AD" w:rsidRPr="007D1918" w:rsidDel="00255DE0">
        <w:rPr>
          <w:noProof/>
        </w:rPr>
        <w:t>4</w:t>
      </w:r>
      <w:r w:rsidRPr="007D1918">
        <w:fldChar w:fldCharType="end"/>
      </w:r>
      <w:r w:rsidRPr="007D1918">
        <w:t xml:space="preserve">). </w:t>
      </w:r>
      <w:r w:rsidR="006D2BB6" w:rsidRPr="007D1918">
        <w:fldChar w:fldCharType="begin"/>
      </w:r>
      <w:r w:rsidR="006D2BB6" w:rsidRPr="007D1918">
        <w:instrText xml:space="preserve"> REF _Ref399236533 \h </w:instrText>
      </w:r>
      <w:r w:rsidR="00FE2DC6" w:rsidRPr="007D1918">
        <w:instrText xml:space="preserve"> \* MERGEFORMAT </w:instrText>
      </w:r>
      <w:r w:rsidR="006D2BB6" w:rsidRPr="007D1918">
        <w:fldChar w:fldCharType="separate"/>
      </w:r>
      <w:r w:rsidR="007C33AD" w:rsidRPr="007D1918">
        <w:t xml:space="preserve">Table </w:t>
      </w:r>
      <w:r w:rsidR="007C33AD" w:rsidRPr="007D1918">
        <w:rPr>
          <w:noProof/>
        </w:rPr>
        <w:t>11</w:t>
      </w:r>
      <w:r w:rsidR="006D2BB6" w:rsidRPr="007D1918">
        <w:fldChar w:fldCharType="end"/>
      </w:r>
      <w:r w:rsidR="006D2BB6" w:rsidRPr="007D1918">
        <w:t xml:space="preserve"> and </w:t>
      </w:r>
      <w:r w:rsidR="00FE2DC6" w:rsidRPr="007D1918">
        <w:fldChar w:fldCharType="begin"/>
      </w:r>
      <w:r w:rsidR="00FE2DC6" w:rsidRPr="007D1918">
        <w:instrText xml:space="preserve"> REF _Ref13486693 \h  \* MERGEFORMAT </w:instrText>
      </w:r>
      <w:r w:rsidR="00FE2DC6" w:rsidRPr="007D1918">
        <w:fldChar w:fldCharType="separate"/>
      </w:r>
      <w:r w:rsidR="007C33AD" w:rsidRPr="007D1918">
        <w:t xml:space="preserve">Table </w:t>
      </w:r>
      <w:r w:rsidR="007C33AD" w:rsidRPr="007D1918">
        <w:rPr>
          <w:noProof/>
        </w:rPr>
        <w:t>12</w:t>
      </w:r>
      <w:r w:rsidR="00FE2DC6" w:rsidRPr="007D1918">
        <w:fldChar w:fldCharType="end"/>
      </w:r>
      <w:r w:rsidR="00FE2DC6" w:rsidRPr="007D1918">
        <w:t xml:space="preserve"> </w:t>
      </w:r>
      <w:r w:rsidR="006D2BB6" w:rsidRPr="007D1918">
        <w:t>summarise the characteristics of the SRs and primary articles included for evidence.</w:t>
      </w:r>
    </w:p>
    <w:p w14:paraId="2259B62D" w14:textId="097E932F" w:rsidR="00EA45F6" w:rsidRPr="007D1918" w:rsidRDefault="00171856" w:rsidP="00EA45F6">
      <w:pPr>
        <w:jc w:val="both"/>
      </w:pPr>
      <w:r w:rsidRPr="007D1918">
        <w:t>Three relevant SRs were included for evidence, and were also pearled for individual studies. The majority of evidence was drawn from the individual studies</w:t>
      </w:r>
      <w:r w:rsidR="006A4ED6" w:rsidRPr="007D1918">
        <w:t>, rather than any synthesis of results. The primary studies included in the SR</w:t>
      </w:r>
      <w:r w:rsidRPr="007D1918">
        <w:t xml:space="preserve"> were inconsistent in population definition and outcome measurement</w:t>
      </w:r>
      <w:r w:rsidR="00BF6424" w:rsidRPr="007D1918">
        <w:t>,</w:t>
      </w:r>
      <w:r w:rsidRPr="007D1918">
        <w:t xml:space="preserve"> </w:t>
      </w:r>
      <w:r w:rsidR="00BF6424" w:rsidRPr="007D1918">
        <w:t>so that</w:t>
      </w:r>
      <w:r w:rsidRPr="007D1918">
        <w:t xml:space="preserve"> very little meta-analysis could be performed.</w:t>
      </w:r>
      <w:r w:rsidR="00A50DBA" w:rsidRPr="007D1918">
        <w:t xml:space="preserve"> Eight RCTs met the inclusion criteria and provided evidence across the three </w:t>
      </w:r>
      <w:r w:rsidR="00A50DBA" w:rsidRPr="007D1918">
        <w:rPr>
          <w:i/>
        </w:rPr>
        <w:t>Criteria V3</w:t>
      </w:r>
      <w:r w:rsidR="00A50DBA" w:rsidRPr="007D1918">
        <w:t xml:space="preserve"> indications. They were mostly assessed as moderate for risk of bias using a standard appraisal tool, although two were found to be low </w:t>
      </w:r>
      <w:r w:rsidR="006A4ED6" w:rsidRPr="007D1918">
        <w:t xml:space="preserve">risk </w:t>
      </w:r>
      <w:r w:rsidR="00A50DBA" w:rsidRPr="007D1918">
        <w:t xml:space="preserve">and one cross-over design RCT </w:t>
      </w:r>
      <w:r w:rsidR="006A4ED6" w:rsidRPr="007D1918">
        <w:t>had a</w:t>
      </w:r>
      <w:r w:rsidR="00A50DBA" w:rsidRPr="007D1918">
        <w:t xml:space="preserve"> high risk of bias. In </w:t>
      </w:r>
      <w:r w:rsidR="00E64369" w:rsidRPr="007D1918">
        <w:t>general</w:t>
      </w:r>
      <w:r w:rsidR="00A50DBA" w:rsidRPr="007D1918">
        <w:t xml:space="preserve"> the RCTs were small in patient number and lacked power. </w:t>
      </w:r>
    </w:p>
    <w:p w14:paraId="3B4F8697" w14:textId="0CDD9FB1" w:rsidR="00CF3F4F" w:rsidRPr="007D1918" w:rsidRDefault="00E072BF" w:rsidP="00EA45F6">
      <w:pPr>
        <w:jc w:val="both"/>
      </w:pPr>
      <w:r w:rsidRPr="007D1918">
        <w:t xml:space="preserve">The majority of the remaining studies were retrospective comparative cohort studies. Selection bias could not be ruled out in these studies, and there is a possibility that PE was used preferentially over IVIg in some cases due to its faster action, particularly for patients in crisis. Data from case series with before and after treatment results were included for the use of SCIg in patients with Indication 3 MG as there was no higher level evidence for this group. Case series data </w:t>
      </w:r>
      <w:r w:rsidR="005737F7" w:rsidRPr="007D1918">
        <w:t xml:space="preserve">were </w:t>
      </w:r>
      <w:r w:rsidRPr="007D1918">
        <w:t>also included from an Australian juvenile population with Indication 3 MG treated with IVIg</w:t>
      </w:r>
      <w:r w:rsidR="00A50DBA" w:rsidRPr="007D1918">
        <w:t xml:space="preserve">. </w:t>
      </w:r>
    </w:p>
    <w:p w14:paraId="3507940F" w14:textId="77777777" w:rsidR="00A36EB9" w:rsidRPr="007D1918" w:rsidRDefault="00A36EB9" w:rsidP="00DF343F">
      <w:pPr>
        <w:pStyle w:val="Heading3"/>
        <w:jc w:val="both"/>
      </w:pPr>
      <w:bookmarkStart w:id="64" w:name="_Toc395200750"/>
      <w:bookmarkStart w:id="65" w:name="_Toc23766929"/>
      <w:r w:rsidRPr="007D1918">
        <w:t>Results</w:t>
      </w:r>
      <w:bookmarkEnd w:id="64"/>
      <w:bookmarkEnd w:id="65"/>
    </w:p>
    <w:p w14:paraId="0300A50F" w14:textId="77E9EED3" w:rsidR="006823AD" w:rsidRPr="007D1918" w:rsidRDefault="006823AD" w:rsidP="006257D0">
      <w:pPr>
        <w:jc w:val="both"/>
      </w:pPr>
      <w:r w:rsidRPr="007D1918">
        <w:t>Overall, evidence for all three indications</w:t>
      </w:r>
      <w:r w:rsidR="006B4670" w:rsidRPr="007D1918">
        <w:t xml:space="preserve"> was of poor quality. The relevant RCTs were mostly small and underpowered, and one large retrospective cohort study was likely to be confounded for outcomes of interest to this assessment. </w:t>
      </w:r>
    </w:p>
    <w:p w14:paraId="7EC7CC20" w14:textId="77777777" w:rsidR="00E91BE1" w:rsidRPr="007D1918" w:rsidRDefault="008C7152" w:rsidP="00DF343F">
      <w:pPr>
        <w:pStyle w:val="Heading4"/>
        <w:jc w:val="both"/>
      </w:pPr>
      <w:r w:rsidRPr="007D1918">
        <w:t xml:space="preserve">Safety </w:t>
      </w:r>
    </w:p>
    <w:p w14:paraId="5862791E" w14:textId="4CFB46CB" w:rsidR="00493036" w:rsidRPr="007D1918" w:rsidRDefault="00493036" w:rsidP="006257D0">
      <w:pPr>
        <w:pStyle w:val="Heading5"/>
      </w:pPr>
      <w:r w:rsidRPr="007D1918">
        <w:t>Indication 1</w:t>
      </w:r>
      <w:r w:rsidR="00002FC7" w:rsidRPr="007D1918">
        <w:t>: patients in or at risk of myasthenic crisis</w:t>
      </w:r>
    </w:p>
    <w:p w14:paraId="605936D8" w14:textId="5275CC5E" w:rsidR="00002FC7" w:rsidRPr="007D1918" w:rsidRDefault="00002FC7" w:rsidP="00002FC7">
      <w:pPr>
        <w:jc w:val="both"/>
      </w:pPr>
      <w:r w:rsidRPr="007D1918">
        <w:t xml:space="preserve">Six comparative studies reporting </w:t>
      </w:r>
      <w:r w:rsidR="00E072BF" w:rsidRPr="007D1918">
        <w:t>adverse events (</w:t>
      </w:r>
      <w:r w:rsidRPr="007D1918">
        <w:t>AEs</w:t>
      </w:r>
      <w:r w:rsidR="00E072BF" w:rsidRPr="007D1918">
        <w:t>)</w:t>
      </w:r>
      <w:r w:rsidRPr="007D1918">
        <w:t xml:space="preserve"> for Indication 1 found there were more AEs associated with PE than IVIg treatment. In addition, a greater proportion of patients </w:t>
      </w:r>
      <w:r w:rsidR="009A6EF7" w:rsidRPr="007D1918">
        <w:t xml:space="preserve">experienced </w:t>
      </w:r>
      <w:r w:rsidRPr="007D1918">
        <w:t>AEs when given PE c</w:t>
      </w:r>
      <w:r w:rsidR="00BB3E26" w:rsidRPr="007D1918">
        <w:t>ompared to those given IVIg. This difference reached significance in one RCT and a large cohort study</w:t>
      </w:r>
      <w:r w:rsidRPr="007D1918">
        <w:t xml:space="preserve"> but not in the lower level studies. </w:t>
      </w:r>
      <w:r w:rsidR="0079066C" w:rsidRPr="007D1918">
        <w:t>S</w:t>
      </w:r>
      <w:r w:rsidRPr="007D1918">
        <w:t>ome particular events were more common to PE or IVIg. Hypotension was a common AE in the PE group</w:t>
      </w:r>
      <w:r w:rsidR="007B05BF" w:rsidRPr="007D1918">
        <w:t>, while h</w:t>
      </w:r>
      <w:r w:rsidRPr="007D1918">
        <w:t xml:space="preserve">eadaches and nausea were more common in those treated with IVIg, but these were </w:t>
      </w:r>
      <w:r w:rsidR="007B05BF" w:rsidRPr="007D1918">
        <w:t xml:space="preserve">all </w:t>
      </w:r>
      <w:r w:rsidRPr="007D1918">
        <w:t xml:space="preserve">considered minor symptoms. </w:t>
      </w:r>
    </w:p>
    <w:p w14:paraId="62E7206F" w14:textId="4FF0C575" w:rsidR="00493036" w:rsidRPr="007D1918" w:rsidRDefault="00002FC7" w:rsidP="00BB3E26">
      <w:pPr>
        <w:jc w:val="both"/>
      </w:pPr>
      <w:r w:rsidRPr="007D1918">
        <w:lastRenderedPageBreak/>
        <w:t xml:space="preserve">Of concern was the large number of systemic infections occurring in association with PE treatment reported by </w:t>
      </w:r>
      <w:r w:rsidR="002608AA" w:rsidRPr="007D1918">
        <w:t>one cohort study</w:t>
      </w:r>
      <w:r w:rsidRPr="007D1918">
        <w:t xml:space="preserve">. </w:t>
      </w:r>
      <w:r w:rsidR="002608AA" w:rsidRPr="007D1918">
        <w:t xml:space="preserve">This was likely caused by the larger proportion of crisis patients who experienced acute respiratory failure and endotracheal intubation in the PE group compared to the IVIg group </w:t>
      </w:r>
      <w:r w:rsidR="00BB3E26" w:rsidRPr="007D1918">
        <w:t>(p &lt; 0.0001 for both)</w:t>
      </w:r>
      <w:r w:rsidR="00F23438" w:rsidRPr="007D1918">
        <w:t xml:space="preserve">. </w:t>
      </w:r>
      <w:r w:rsidR="002608AA" w:rsidRPr="007D1918">
        <w:t>This indicates that the PE group may have been sicker to begin with, and this influenced the selection of their treatment, leading to selection bias.</w:t>
      </w:r>
      <w:r w:rsidRPr="007D1918">
        <w:t xml:space="preserve"> </w:t>
      </w:r>
      <w:r w:rsidR="00BB3E26" w:rsidRPr="007D1918">
        <w:t>I</w:t>
      </w:r>
      <w:r w:rsidRPr="007D1918">
        <w:t xml:space="preserve">n the literature </w:t>
      </w:r>
      <w:r w:rsidR="00BB3E26" w:rsidRPr="007D1918">
        <w:t>there was evidence that</w:t>
      </w:r>
      <w:r w:rsidRPr="007D1918">
        <w:t xml:space="preserve"> PE is given in preference to IVIg</w:t>
      </w:r>
      <w:r w:rsidR="00CE553C" w:rsidRPr="007D1918">
        <w:t xml:space="preserve"> in life-threatening crises</w:t>
      </w:r>
      <w:r w:rsidRPr="007D1918">
        <w:t xml:space="preserve"> because it is thought to be faster acting </w:t>
      </w:r>
      <w:r w:rsidR="0075212A" w:rsidRPr="007D1918">
        <w:fldChar w:fldCharType="begin">
          <w:fldData xml:space="preserve">PEVuZE5vdGU+PENpdGU+PEF1dGhvcj5RdXJlc2hpPC9BdXRob3I+PFllYXI+MTk5OTwvWWVhcj48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</w:fldData>
        </w:fldChar>
      </w:r>
      <w:r w:rsidR="001A0E53" w:rsidRPr="007D1918">
        <w:instrText xml:space="preserve"> ADDIN EN.CITE </w:instrText>
      </w:r>
      <w:r w:rsidR="001A0E53" w:rsidRPr="007D1918">
        <w:fldChar w:fldCharType="begin">
          <w:fldData xml:space="preserve">PEVuZE5vdGU+PENpdGU+PEF1dGhvcj5RdXJlc2hpPC9BdXRob3I+PFllYXI+MTk5OTwvWWVhcj48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</w:fldData>
        </w:fldChar>
      </w:r>
      <w:r w:rsidR="001A0E53" w:rsidRPr="007D1918">
        <w:instrText xml:space="preserve"> ADDIN EN.CITE.DATA </w:instrText>
      </w:r>
      <w:r w:rsidR="001A0E53" w:rsidRPr="007D1918">
        <w:fldChar w:fldCharType="end"/>
      </w:r>
      <w:r w:rsidR="0075212A"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63" w:tooltip="Liu, 2010 #56" w:history="1">
        <w:r w:rsidR="007D4948" w:rsidRPr="007D1918">
          <w:rPr>
            <w:noProof/>
          </w:rPr>
          <w:t>Liu et al. 2010</w:t>
        </w:r>
      </w:hyperlink>
      <w:r w:rsidR="001A0E53" w:rsidRPr="007D1918">
        <w:rPr>
          <w:noProof/>
        </w:rPr>
        <w:t xml:space="preserve">; </w:t>
      </w:r>
      <w:hyperlink w:anchor="_ENREF_80" w:tooltip="Qureshi, 1999 #40" w:history="1">
        <w:r w:rsidR="007D4948" w:rsidRPr="007D1918">
          <w:rPr>
            <w:noProof/>
          </w:rPr>
          <w:t>Qureshi et al. 1999</w:t>
        </w:r>
      </w:hyperlink>
      <w:r w:rsidR="001A0E53" w:rsidRPr="007D1918">
        <w:rPr>
          <w:noProof/>
        </w:rPr>
        <w:t>)</w:t>
      </w:r>
      <w:r w:rsidR="0075212A" w:rsidRPr="007D1918">
        <w:fldChar w:fldCharType="end"/>
      </w:r>
      <w:r w:rsidRPr="007D1918">
        <w:t xml:space="preserve">. </w:t>
      </w:r>
      <w:r w:rsidR="00BB3E26" w:rsidRPr="007D1918">
        <w:t>Some t</w:t>
      </w:r>
      <w:r w:rsidRPr="007D1918">
        <w:t xml:space="preserve">reatment guidelines </w:t>
      </w:r>
      <w:r w:rsidR="007B05BF" w:rsidRPr="007D1918">
        <w:t>f</w:t>
      </w:r>
      <w:r w:rsidRPr="007D1918">
        <w:t>or MG also indicate the longer action time of IVIg compared to PE in crisis patients</w:t>
      </w:r>
      <w:r w:rsidR="00F23438" w:rsidRPr="007D1918">
        <w:t xml:space="preserve"> </w:t>
      </w:r>
      <w:r w:rsidR="0075212A" w:rsidRPr="007D1918">
        <w:fldChar w:fldCharType="begin"/>
      </w:r>
      <w:r w:rsidR="0075212A" w:rsidRPr="007D1918">
        <w:instrText xml:space="preserve"> ADDIN EN.CITE &lt;EndNote&gt;&lt;Cite&gt;&lt;Author&gt;Bird SJ&lt;/Author&gt;&lt;Year&gt;2019&lt;/Year&gt;&lt;RecNum&gt;23&lt;/RecNum&gt;&lt;DisplayText&gt;(Bird SJ 2019)&lt;/DisplayText&gt;&lt;record&gt;&lt;rec-number&gt;23&lt;/rec-number&gt;&lt;foreign-keys&gt;&lt;key app="EN" db-id="2aevrx2slsts5ve9sdavatf125dsx0av2v9d" timestamp="1559026490"&gt;23&lt;/key&gt;&lt;/foreign-keys&gt;&lt;ref-type name="Web Page"&gt;12&lt;/ref-type&gt;&lt;contributors&gt;&lt;authors&gt;&lt;author&gt;Bird SJ, Levine JM, &lt;/author&gt;&lt;/authors&gt;&lt;secondary-authors&gt;&lt;author&gt;UpToDate&lt;/author&gt;&lt;/secondary-authors&gt;&lt;/contributors&gt;&lt;titles&gt;&lt;title&gt;Myasthenic crisis&lt;/title&gt;&lt;secondary-title&gt;Drug Interactions&lt;/secondary-title&gt;&lt;/titles&gt;&lt;dates&gt;&lt;year&gt;2019&lt;/year&gt;&lt;/dates&gt;&lt;urls&gt;&lt;related-urls&gt;&lt;url&gt;https://www.uptodate.com/contents/myasthenic-crisis?sectionName=EVALUATION%20AND%20MANAGEMENT&amp;amp;search=myasthenia%20gravis&amp;amp;topicRef=94256&amp;amp;anchor=H3&amp;amp;source=see_link#H3&lt;/url&gt;&lt;/related-urls&gt;&lt;/urls&gt;&lt;/record&gt;&lt;/Cite&gt;&lt;/EndNote&gt;</w:instrText>
      </w:r>
      <w:r w:rsidR="0075212A" w:rsidRPr="007D1918">
        <w:fldChar w:fldCharType="separate"/>
      </w:r>
      <w:r w:rsidR="0075212A" w:rsidRPr="007D1918">
        <w:rPr>
          <w:noProof/>
        </w:rPr>
        <w:t>(</w:t>
      </w:r>
      <w:hyperlink w:anchor="_ENREF_10" w:tooltip="Bird SJ, 2019 #23" w:history="1">
        <w:r w:rsidR="007D4948" w:rsidRPr="007D1918">
          <w:rPr>
            <w:noProof/>
          </w:rPr>
          <w:t>Bird SJ 2019</w:t>
        </w:r>
      </w:hyperlink>
      <w:r w:rsidR="0075212A" w:rsidRPr="007D1918">
        <w:rPr>
          <w:noProof/>
        </w:rPr>
        <w:t>)</w:t>
      </w:r>
      <w:r w:rsidR="0075212A" w:rsidRPr="007D1918">
        <w:fldChar w:fldCharType="end"/>
      </w:r>
      <w:r w:rsidRPr="007D1918">
        <w:t>.</w:t>
      </w:r>
    </w:p>
    <w:p w14:paraId="57D431E4" w14:textId="038C1DF0" w:rsidR="00493036" w:rsidRPr="007D1918" w:rsidRDefault="00493036" w:rsidP="006257D0">
      <w:pPr>
        <w:pStyle w:val="Heading5"/>
      </w:pPr>
      <w:r w:rsidRPr="007D1918">
        <w:t>Indication 2</w:t>
      </w:r>
      <w:r w:rsidR="00404372" w:rsidRPr="007D1918">
        <w:t>: patients preparing for surgery</w:t>
      </w:r>
    </w:p>
    <w:p w14:paraId="163B7F37" w14:textId="390725B6" w:rsidR="00404372" w:rsidRPr="007D1918" w:rsidRDefault="00404372" w:rsidP="00404372">
      <w:pPr>
        <w:jc w:val="both"/>
      </w:pPr>
      <w:r w:rsidRPr="007D1918">
        <w:t xml:space="preserve">The rate of post-operative intubation and myasthenic crises were the outcomes reported for patients treated </w:t>
      </w:r>
      <w:r w:rsidR="00426B67" w:rsidRPr="007D1918">
        <w:t xml:space="preserve">with IVIg </w:t>
      </w:r>
      <w:r w:rsidRPr="007D1918">
        <w:t xml:space="preserve">in preparation for surgery. The patients in the three studies included for this </w:t>
      </w:r>
      <w:r w:rsidR="007B05BF" w:rsidRPr="007D1918">
        <w:t>i</w:t>
      </w:r>
      <w:r w:rsidR="00FA6815" w:rsidRPr="007D1918">
        <w:t>ndicat</w:t>
      </w:r>
      <w:r w:rsidR="007B05BF" w:rsidRPr="007D1918">
        <w:t>i</w:t>
      </w:r>
      <w:r w:rsidR="00FA6815" w:rsidRPr="007D1918">
        <w:t>on</w:t>
      </w:r>
      <w:r w:rsidRPr="007D1918">
        <w:t xml:space="preserve"> were all patients listed for thymectomy. Results fro</w:t>
      </w:r>
      <w:r w:rsidR="007B05BF" w:rsidRPr="007D1918">
        <w:t xml:space="preserve">m one RCT found that intubation </w:t>
      </w:r>
      <w:r w:rsidRPr="007D1918">
        <w:t xml:space="preserve">was required significantly more frequently in the PE group (p = 0.01). </w:t>
      </w:r>
      <w:r w:rsidR="00FA6815" w:rsidRPr="007D1918">
        <w:t>In t</w:t>
      </w:r>
      <w:r w:rsidRPr="007D1918">
        <w:t>w</w:t>
      </w:r>
      <w:r w:rsidR="00FA6815" w:rsidRPr="007D1918">
        <w:t>o</w:t>
      </w:r>
      <w:r w:rsidRPr="007D1918">
        <w:t xml:space="preserve"> other studies post-operative frequency of crisis was also more frequent in patients given PE than those given IVIg or </w:t>
      </w:r>
      <w:r w:rsidR="009473E3" w:rsidRPr="007D1918">
        <w:t>IS</w:t>
      </w:r>
      <w:r w:rsidRPr="007D1918">
        <w:t xml:space="preserve"> alone, but these differences were not significant. As for Indication 1, results may be confounded by the preference for PE treatment </w:t>
      </w:r>
      <w:r w:rsidR="00CE553C" w:rsidRPr="007D1918">
        <w:t xml:space="preserve">for </w:t>
      </w:r>
      <w:r w:rsidRPr="007D1918">
        <w:t>patients</w:t>
      </w:r>
      <w:r w:rsidR="00CE553C" w:rsidRPr="007D1918">
        <w:t xml:space="preserve"> in crisis or at higher risk of crisis</w:t>
      </w:r>
      <w:r w:rsidRPr="007D1918">
        <w:t xml:space="preserve">. </w:t>
      </w:r>
    </w:p>
    <w:p w14:paraId="2E63733A" w14:textId="0A19A3FB" w:rsidR="00493036" w:rsidRPr="007D1918" w:rsidRDefault="00493036" w:rsidP="006257D0">
      <w:pPr>
        <w:pStyle w:val="Heading5"/>
      </w:pPr>
      <w:r w:rsidRPr="007D1918">
        <w:t>Indication 3</w:t>
      </w:r>
      <w:r w:rsidR="00404372" w:rsidRPr="007D1918">
        <w:t>: patients undergoing maintenance therapy</w:t>
      </w:r>
    </w:p>
    <w:p w14:paraId="069067D0" w14:textId="1B8B0DDD" w:rsidR="007C2FCB" w:rsidRPr="007D1918" w:rsidRDefault="00B90041" w:rsidP="007C2FCB">
      <w:pPr>
        <w:jc w:val="both"/>
      </w:pPr>
      <w:r w:rsidRPr="007D1918">
        <w:t>There was no</w:t>
      </w:r>
      <w:r w:rsidR="007C2FCB" w:rsidRPr="007D1918">
        <w:t xml:space="preserve"> evidence comparing IVIg with oral steroids, anticholinesterase</w:t>
      </w:r>
      <w:r w:rsidR="00ED72D4" w:rsidRPr="007D1918">
        <w:t>s</w:t>
      </w:r>
      <w:r w:rsidR="007C2FCB" w:rsidRPr="007D1918">
        <w:t xml:space="preserve">, or </w:t>
      </w:r>
      <w:r w:rsidR="009473E3" w:rsidRPr="007D1918">
        <w:t>IS</w:t>
      </w:r>
      <w:r w:rsidR="007C2FCB" w:rsidRPr="007D1918">
        <w:t xml:space="preserve"> </w:t>
      </w:r>
      <w:r w:rsidRPr="007D1918">
        <w:t>that met the inclusion criteria</w:t>
      </w:r>
      <w:r w:rsidR="007C2FCB" w:rsidRPr="007D1918">
        <w:t xml:space="preserve">. Data entered on clinicaltrials.gov for the RCT </w:t>
      </w:r>
      <w:hyperlink r:id="rId24" w:history="1">
        <w:r w:rsidR="007C2FCB" w:rsidRPr="007D1918">
          <w:rPr>
            <w:rStyle w:val="Hyperlink"/>
          </w:rPr>
          <w:t>NCT02473952</w:t>
        </w:r>
      </w:hyperlink>
      <w:r w:rsidR="007C2FCB" w:rsidRPr="007D1918">
        <w:t>,</w:t>
      </w:r>
      <w:r w:rsidR="007C2FCB" w:rsidRPr="007D1918">
        <w:rPr>
          <w:rFonts w:ascii="Segoe UI" w:hAnsi="Segoe UI" w:cs="Segoe UI"/>
          <w:sz w:val="18"/>
          <w:szCs w:val="18"/>
        </w:rPr>
        <w:t xml:space="preserve"> </w:t>
      </w:r>
      <w:r w:rsidR="007C2FCB" w:rsidRPr="007D1918">
        <w:t xml:space="preserve">found no statistical differences in serious or non-serious AEs when IVIg was compared with placebo in 62 patients on standard maintenance therapeutics. The maintenance therapeutics were not specified, and there was no published article for this trial. </w:t>
      </w:r>
    </w:p>
    <w:p w14:paraId="2355A906" w14:textId="37D2C6D9" w:rsidR="00404372" w:rsidRPr="007D1918" w:rsidRDefault="00381CB8" w:rsidP="00404372">
      <w:pPr>
        <w:jc w:val="both"/>
      </w:pPr>
      <w:r w:rsidRPr="007D1918">
        <w:t>The majority of evidence identified compared IVIg with PE for maintenance</w:t>
      </w:r>
      <w:r w:rsidR="002608AA" w:rsidRPr="007D1918">
        <w:t xml:space="preserve"> therapy</w:t>
      </w:r>
      <w:r w:rsidRPr="007D1918">
        <w:t xml:space="preserve"> of MG. One</w:t>
      </w:r>
      <w:r w:rsidR="00404372" w:rsidRPr="007D1918">
        <w:t xml:space="preserve"> </w:t>
      </w:r>
      <w:r w:rsidRPr="007D1918">
        <w:t xml:space="preserve">moderate quality </w:t>
      </w:r>
      <w:r w:rsidR="00404372" w:rsidRPr="007D1918">
        <w:t xml:space="preserve">RCT </w:t>
      </w:r>
      <w:r w:rsidRPr="007D1918">
        <w:t xml:space="preserve">in adults found </w:t>
      </w:r>
      <w:r w:rsidR="00404372" w:rsidRPr="007D1918">
        <w:t xml:space="preserve">significantly more headaches and vomiting in the IVIg population, and more venous access problems (citrate reaction, restricted venous access so as to delay treatment and vasospasm) in the PE group. Serious events (cardiac failure, vasoreaction) were infrequent but all occurred in the PE group. </w:t>
      </w:r>
      <w:r w:rsidRPr="007D1918">
        <w:t>Two</w:t>
      </w:r>
      <w:r w:rsidR="00404372" w:rsidRPr="007D1918">
        <w:t xml:space="preserve"> other studies reporting AEs for IVIg and PE in adults found no difference between treatment groups.</w:t>
      </w:r>
    </w:p>
    <w:p w14:paraId="28420B2C" w14:textId="1FE8876C" w:rsidR="00404372" w:rsidRPr="007D1918" w:rsidRDefault="00404372" w:rsidP="00404372">
      <w:pPr>
        <w:jc w:val="both"/>
      </w:pPr>
      <w:r w:rsidRPr="007D1918">
        <w:t xml:space="preserve">One study in juvenile MG patients reported </w:t>
      </w:r>
      <w:r w:rsidR="00FA6815" w:rsidRPr="007D1918">
        <w:t>cases</w:t>
      </w:r>
      <w:r w:rsidRPr="007D1918">
        <w:t xml:space="preserve"> of pyrexia and rigors and central line sepsis for </w:t>
      </w:r>
      <w:r w:rsidR="00FA6815" w:rsidRPr="007D1918">
        <w:t xml:space="preserve">patients receiving </w:t>
      </w:r>
      <w:r w:rsidRPr="007D1918">
        <w:t xml:space="preserve">IVIg </w:t>
      </w:r>
      <w:r w:rsidR="00FA6815" w:rsidRPr="007D1918">
        <w:t>or</w:t>
      </w:r>
      <w:r w:rsidRPr="007D1918">
        <w:t xml:space="preserve"> PE treatments and found no significant differences </w:t>
      </w:r>
      <w:r w:rsidR="0075212A"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instrText xml:space="preserve"> ADDIN EN.CITE </w:instrText>
      </w:r>
      <w:r w:rsidR="00C437BA"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2" w:tooltip="Liew, 2014 #55" w:history="1">
        <w:r w:rsidR="007D4948" w:rsidRPr="007D1918">
          <w:rPr>
            <w:noProof/>
          </w:rPr>
          <w:t>Liew et al. 2014</w:t>
        </w:r>
      </w:hyperlink>
      <w:r w:rsidR="0075212A" w:rsidRPr="007D1918">
        <w:rPr>
          <w:noProof/>
        </w:rPr>
        <w:t>)</w:t>
      </w:r>
      <w:r w:rsidR="0075212A" w:rsidRPr="007D1918">
        <w:fldChar w:fldCharType="end"/>
      </w:r>
      <w:r w:rsidRPr="007D1918">
        <w:t xml:space="preserve">. </w:t>
      </w:r>
    </w:p>
    <w:p w14:paraId="08B34F1C" w14:textId="761D332C" w:rsidR="00404372" w:rsidRPr="007D1918" w:rsidRDefault="00381CB8" w:rsidP="00404372">
      <w:pPr>
        <w:jc w:val="both"/>
      </w:pPr>
      <w:r w:rsidRPr="007D1918">
        <w:t>In two</w:t>
      </w:r>
      <w:r w:rsidR="00404372" w:rsidRPr="007D1918">
        <w:t xml:space="preserve"> case series with pre and post-treatment results </w:t>
      </w:r>
      <w:r w:rsidRPr="007D1918">
        <w:t>for patients</w:t>
      </w:r>
      <w:r w:rsidR="00404372" w:rsidRPr="007D1918">
        <w:t xml:space="preserve"> o</w:t>
      </w:r>
      <w:r w:rsidRPr="007D1918">
        <w:t>n</w:t>
      </w:r>
      <w:r w:rsidR="00404372" w:rsidRPr="007D1918">
        <w:t xml:space="preserve"> SCIg maintenance therapy</w:t>
      </w:r>
      <w:r w:rsidRPr="007D1918">
        <w:t xml:space="preserve"> t</w:t>
      </w:r>
      <w:r w:rsidR="00404372" w:rsidRPr="007D1918">
        <w:t xml:space="preserve">he most frequent events were headaches (77.3%), injection site reaction (63.6%) and nausea (27.3%). </w:t>
      </w:r>
      <w:r w:rsidRPr="007D1918">
        <w:t xml:space="preserve">It is </w:t>
      </w:r>
      <w:r w:rsidR="006823AD" w:rsidRPr="007D1918">
        <w:t>likely</w:t>
      </w:r>
      <w:r w:rsidRPr="007D1918">
        <w:t xml:space="preserve"> that the </w:t>
      </w:r>
      <w:r w:rsidR="006823AD" w:rsidRPr="007D1918">
        <w:t>populations h</w:t>
      </w:r>
      <w:r w:rsidRPr="007D1918">
        <w:t xml:space="preserve">ad milder MG than that described by the </w:t>
      </w:r>
      <w:r w:rsidR="00EC09DA" w:rsidRPr="007D1918">
        <w:rPr>
          <w:i/>
        </w:rPr>
        <w:t>Criteria V3</w:t>
      </w:r>
      <w:r w:rsidRPr="007D1918">
        <w:t xml:space="preserve"> for Indication 3.</w:t>
      </w:r>
    </w:p>
    <w:p w14:paraId="19AAC6BF" w14:textId="319930F5" w:rsidR="00404372" w:rsidRPr="007D1918" w:rsidRDefault="00404372" w:rsidP="00404372">
      <w:pPr>
        <w:jc w:val="both"/>
      </w:pPr>
      <w:r w:rsidRPr="007D1918">
        <w:t xml:space="preserve">A </w:t>
      </w:r>
      <w:r w:rsidR="00A62775" w:rsidRPr="007D1918">
        <w:t xml:space="preserve">literature review </w:t>
      </w:r>
      <w:r w:rsidR="007B05BF" w:rsidRPr="007D1918">
        <w:t>not meeting the inclusion criteria</w:t>
      </w:r>
      <w:r w:rsidR="002608AA" w:rsidRPr="007D1918">
        <w:t xml:space="preserve"> but reported here due to lack of data,</w:t>
      </w:r>
      <w:r w:rsidR="007B05BF" w:rsidRPr="007D1918">
        <w:t xml:space="preserve"> </w:t>
      </w:r>
      <w:r w:rsidRPr="007D1918">
        <w:t>assessed the frequency of side effects for a number of MG therapies, including IVIg</w:t>
      </w:r>
      <w:r w:rsidR="007B05BF" w:rsidRPr="007D1918">
        <w:t>,</w:t>
      </w:r>
      <w:r w:rsidRPr="007D1918">
        <w:t xml:space="preserve"> PE </w:t>
      </w:r>
      <w:r w:rsidR="007B05BF" w:rsidRPr="007D1918">
        <w:t xml:space="preserve">and other standard </w:t>
      </w:r>
      <w:r w:rsidR="007B05BF" w:rsidRPr="007D1918">
        <w:lastRenderedPageBreak/>
        <w:t xml:space="preserve">therapies </w:t>
      </w:r>
      <w:r w:rsidR="0075212A" w:rsidRPr="007D1918">
        <w:fldChar w:fldCharType="begin">
          <w:fldData xml:space="preserve">PEVuZE5vdGU+PENpdGU+PEF1dGhvcj5BbGRlcnNvbjwvQXV0aG9yPjxZZWFyPjIwMTg8L1llYXI+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</w:fldData>
        </w:fldChar>
      </w:r>
      <w:r w:rsidR="00C437BA" w:rsidRPr="007D1918">
        <w:instrText xml:space="preserve"> ADDIN EN.CITE </w:instrText>
      </w:r>
      <w:r w:rsidR="00C437BA" w:rsidRPr="007D1918">
        <w:fldChar w:fldCharType="begin">
          <w:fldData xml:space="preserve">PEVuZE5vdGU+PENpdGU+PEF1dGhvcj5BbGRlcnNvbjwvQXV0aG9yPjxZZWFyPjIwMTg8L1llYXI+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3" w:tooltip="Alderson, 2018 #47" w:history="1">
        <w:r w:rsidR="007D4948" w:rsidRPr="007D1918">
          <w:rPr>
            <w:noProof/>
          </w:rPr>
          <w:t>Alderson, Homer &amp; Dierick 2018</w:t>
        </w:r>
      </w:hyperlink>
      <w:r w:rsidR="0075212A" w:rsidRPr="007D1918">
        <w:rPr>
          <w:noProof/>
        </w:rPr>
        <w:t>)</w:t>
      </w:r>
      <w:r w:rsidR="0075212A" w:rsidRPr="007D1918">
        <w:fldChar w:fldCharType="end"/>
      </w:r>
      <w:r w:rsidRPr="007D1918">
        <w:t>.</w:t>
      </w:r>
      <w:r w:rsidR="007B05BF" w:rsidRPr="007D1918">
        <w:t xml:space="preserve"> The outcomes were reported in a conference poster.</w:t>
      </w:r>
      <w:r w:rsidRPr="007D1918">
        <w:t xml:space="preserve"> Amongst MG treatments</w:t>
      </w:r>
      <w:r w:rsidR="002608AA" w:rsidRPr="007D1918">
        <w:t>,</w:t>
      </w:r>
      <w:r w:rsidRPr="007D1918">
        <w:t xml:space="preserve"> the highest frequency of AEs occurred with corticosteroids (29%), while the frequency</w:t>
      </w:r>
      <w:r w:rsidR="00426B67" w:rsidRPr="007D1918">
        <w:t xml:space="preserve"> was lower</w:t>
      </w:r>
      <w:r w:rsidRPr="007D1918">
        <w:t xml:space="preserve"> for IVIg </w:t>
      </w:r>
      <w:r w:rsidR="00426B67" w:rsidRPr="007D1918">
        <w:t>(</w:t>
      </w:r>
      <w:r w:rsidRPr="007D1918">
        <w:t>18%</w:t>
      </w:r>
      <w:r w:rsidR="00426B67" w:rsidRPr="007D1918">
        <w:t>)</w:t>
      </w:r>
      <w:r w:rsidRPr="007D1918">
        <w:t>. The authors reported a frequency of 6% for PE from a global registry of 16,942 PE procedures</w:t>
      </w:r>
      <w:r w:rsidR="00A62775" w:rsidRPr="007D1918">
        <w:t>, although t</w:t>
      </w:r>
      <w:r w:rsidRPr="007D1918">
        <w:t>he registry was not limited to MG PE procedures.</w:t>
      </w:r>
    </w:p>
    <w:p w14:paraId="565A3516" w14:textId="77777777" w:rsidR="00E91BE1" w:rsidRPr="007D1918" w:rsidRDefault="008C7152" w:rsidP="00DF343F">
      <w:pPr>
        <w:pStyle w:val="Heading4"/>
        <w:jc w:val="both"/>
      </w:pPr>
      <w:r w:rsidRPr="007D1918">
        <w:t xml:space="preserve">Effectiveness </w:t>
      </w:r>
    </w:p>
    <w:p w14:paraId="5C309192" w14:textId="0EEC827E" w:rsidR="00493036" w:rsidRPr="007D1918" w:rsidRDefault="00493036" w:rsidP="006257D0">
      <w:pPr>
        <w:pStyle w:val="Heading5"/>
      </w:pPr>
      <w:r w:rsidRPr="007D1918">
        <w:t>Indication 1</w:t>
      </w:r>
    </w:p>
    <w:p w14:paraId="7C516F24" w14:textId="34949A20" w:rsidR="006823AD" w:rsidRPr="007D1918" w:rsidRDefault="006823AD" w:rsidP="006823AD">
      <w:pPr>
        <w:jc w:val="both"/>
      </w:pPr>
      <w:r w:rsidRPr="007D1918">
        <w:t xml:space="preserve">In one large retrospective cohort analysis comparing IVIg and PE in patients in crisis, mortality was significantly more frequent in the patients receiving PE (P = 0.002) </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r w:rsidRPr="007D1918">
        <w:t xml:space="preserve">, however it is likely that this result was confounded by the preference for PE treatment for patients in crisis and requiring intubation. </w:t>
      </w:r>
      <w:r w:rsidR="00A60497" w:rsidRPr="007D1918">
        <w:t xml:space="preserve">Mortality rates </w:t>
      </w:r>
      <w:r w:rsidR="00723249" w:rsidRPr="007D1918">
        <w:t>may</w:t>
      </w:r>
      <w:r w:rsidR="00A60497" w:rsidRPr="007D1918">
        <w:t xml:space="preserve"> also be impacted by the </w:t>
      </w:r>
      <w:r w:rsidR="007C2FCB" w:rsidRPr="007D1918">
        <w:t>quality</w:t>
      </w:r>
      <w:r w:rsidR="00A60497" w:rsidRPr="007D1918">
        <w:t xml:space="preserve"> of services provided in intensive care units (ICU), as the survival of patients in crisis can be dependent on treatment in ICU until </w:t>
      </w:r>
      <w:r w:rsidR="00723249" w:rsidRPr="007D1918">
        <w:t>PE</w:t>
      </w:r>
      <w:r w:rsidR="00A60497" w:rsidRPr="007D1918">
        <w:t xml:space="preserve"> </w:t>
      </w:r>
      <w:r w:rsidR="00723249" w:rsidRPr="007D1918">
        <w:t>becomes</w:t>
      </w:r>
      <w:r w:rsidR="00A60497" w:rsidRPr="007D1918">
        <w:t xml:space="preserve"> effective</w:t>
      </w:r>
      <w:r w:rsidR="00723249" w:rsidRPr="007D1918">
        <w:t xml:space="preserve"> </w:t>
      </w:r>
      <w:r w:rsidR="003736AC" w:rsidRPr="007D1918">
        <w:fldChar w:fldCharType="begin"/>
      </w:r>
      <w:r w:rsidR="007F4CDE" w:rsidRPr="007D1918">
        <w:instrText xml:space="preserve"> ADDIN EN.CITE &lt;EndNote&gt;&lt;Cite&gt;&lt;Author&gt;Vucic&lt;/Author&gt;&lt;Year&gt;1998&lt;/Year&gt;&lt;RecNum&gt;36&lt;/RecNum&gt;&lt;DisplayText&gt;(Vucic &amp;amp; Davies 1998)&lt;/DisplayText&gt;&lt;record&gt;&lt;rec-number&gt;36&lt;/rec-number&gt;&lt;foreign-keys&gt;&lt;key app="EN" db-id="2aevrx2slsts5ve9sdavatf125dsx0av2v9d" timestamp="1561528498"&gt;36&lt;/key&gt;&lt;/foreign-keys&gt;&lt;ref-type name="Journal Article"&gt;17&lt;/ref-type&gt;&lt;contributors&gt;&lt;authors&gt;&lt;author&gt;Vucic, S.&lt;/author&gt;&lt;author&gt;Davies, L.&lt;/author&gt;&lt;/authors&gt;&lt;/contributors&gt;&lt;auth-address&gt;Department of Neurology, Royal Prince Alfred Hospital, Sydney, NSW.&lt;/auth-address&gt;&lt;titles&gt;&lt;title&gt;Safety of plasmapheresis in the treatment of neurological disease&lt;/title&gt;&lt;secondary-title&gt;Aust N Z J Med&lt;/secondary-title&gt;&lt;/titles&gt;&lt;periodical&gt;&lt;full-title&gt;Aust N Z J Med&lt;/full-title&gt;&lt;/periodical&gt;&lt;pages&gt;301-5&lt;/pages&gt;&lt;volume&gt;28&lt;/volume&gt;&lt;number&gt;3&lt;/number&gt;&lt;edition&gt;1998/07/23&lt;/edition&gt;&lt;keywords&gt;&lt;keyword&gt;Adult&lt;/keyword&gt;&lt;keyword&gt;Aged&lt;/keyword&gt;&lt;keyword&gt;Aged, 80 and over&lt;/keyword&gt;&lt;keyword&gt;Blood-Borne Pathogens&lt;/keyword&gt;&lt;keyword&gt;Catheterization, Peripheral/instrumentation&lt;/keyword&gt;&lt;keyword&gt;Equipment Failure Analysis&lt;/keyword&gt;&lt;keyword&gt;Female&lt;/keyword&gt;&lt;keyword&gt;Humans&lt;/keyword&gt;&lt;keyword&gt;Male&lt;/keyword&gt;&lt;keyword&gt;Middle Aged&lt;/keyword&gt;&lt;keyword&gt;Nervous System Diseases/ therapy&lt;/keyword&gt;&lt;keyword&gt;New South Wales&lt;/keyword&gt;&lt;keyword&gt;Plasmapheresis/ adverse effects/instrumentation&lt;/keyword&gt;&lt;keyword&gt;Retrospective Studies&lt;/keyword&gt;&lt;keyword&gt;Risk Factors&lt;/keyword&gt;&lt;keyword&gt;Sepsis/etiology&lt;/keyword&gt;&lt;/keywords&gt;&lt;dates&gt;&lt;year&gt;1998&lt;/year&gt;&lt;pub-dates&gt;&lt;date&gt;Jun&lt;/date&gt;&lt;/pub-dates&gt;&lt;/dates&gt;&lt;isbn&gt;0004-8291 (Print)&amp;#xD;0004-8291 (Linking)&lt;/isbn&gt;&lt;accession-num&gt;9673740&lt;/accession-num&gt;&lt;urls&gt;&lt;related-urls&gt;&lt;url&gt;https://onlinelibrary.wiley.com/doi/pdf/10.1111/j.1445-5994.1998.tb01952.x&lt;/url&gt;&lt;/related-urls&gt;&lt;/urls&gt;&lt;remote-database-provider&gt;NLM&lt;/remote-database-provider&gt;&lt;language&gt;eng&lt;/language&gt;&lt;/record&gt;&lt;/Cite&gt;&lt;/EndNote&gt;</w:instrText>
      </w:r>
      <w:r w:rsidR="003736AC" w:rsidRPr="007D1918">
        <w:fldChar w:fldCharType="separate"/>
      </w:r>
      <w:r w:rsidR="003736AC" w:rsidRPr="007D1918">
        <w:rPr>
          <w:noProof/>
        </w:rPr>
        <w:t>(</w:t>
      </w:r>
      <w:hyperlink w:anchor="_ENREF_102" w:tooltip="Vucic, 1998 #36" w:history="1">
        <w:r w:rsidR="007D4948" w:rsidRPr="007D1918">
          <w:rPr>
            <w:noProof/>
          </w:rPr>
          <w:t>Vucic &amp; Davies 1998</w:t>
        </w:r>
      </w:hyperlink>
      <w:r w:rsidR="003736AC" w:rsidRPr="007D1918">
        <w:rPr>
          <w:noProof/>
        </w:rPr>
        <w:t>)</w:t>
      </w:r>
      <w:r w:rsidR="003736AC" w:rsidRPr="007D1918">
        <w:fldChar w:fldCharType="end"/>
      </w:r>
      <w:r w:rsidR="00A60497" w:rsidRPr="007D1918">
        <w:t xml:space="preserve">. </w:t>
      </w:r>
      <w:r w:rsidRPr="007D1918">
        <w:t xml:space="preserve">Two other smaller studies did not find any difference in mortality between the treatment groups </w:t>
      </w:r>
      <w:r w:rsidR="0075212A" w:rsidRPr="007D1918">
        <w:fldChar w:fldCharType="begin">
          <w:fldData xml:space="preserve">PEVuZE5vdGU+PENpdGU+PEF1dGhvcj5NdXJ0aHk8L0F1dGhvcj48WWVhcj4yMDA1PC9ZZWFyPjxS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=
</w:fldData>
        </w:fldChar>
      </w:r>
      <w:r w:rsidR="00C437BA" w:rsidRPr="007D1918">
        <w:instrText xml:space="preserve"> ADDIN EN.CITE </w:instrText>
      </w:r>
      <w:r w:rsidR="00C437BA" w:rsidRPr="007D1918">
        <w:fldChar w:fldCharType="begin">
          <w:fldData xml:space="preserve">PEVuZE5vdGU+PENpdGU+PEF1dGhvcj5NdXJ0aHk8L0F1dGhvcj48WWVhcj4yMDA1PC9ZZWFyPjxS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=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8" w:tooltip="Murthy, 2005 #38" w:history="1">
        <w:r w:rsidR="007D4948" w:rsidRPr="007D1918">
          <w:rPr>
            <w:noProof/>
          </w:rPr>
          <w:t>Murthy et al. 2005</w:t>
        </w:r>
      </w:hyperlink>
      <w:r w:rsidR="0075212A" w:rsidRPr="007D1918">
        <w:rPr>
          <w:noProof/>
        </w:rPr>
        <w:t xml:space="preserve">; </w:t>
      </w:r>
      <w:hyperlink w:anchor="_ENREF_80" w:tooltip="Qureshi, 1999 #40" w:history="1">
        <w:r w:rsidR="007D4948" w:rsidRPr="007D1918">
          <w:rPr>
            <w:noProof/>
          </w:rPr>
          <w:t>Qureshi et al. 1999</w:t>
        </w:r>
      </w:hyperlink>
      <w:r w:rsidR="0075212A" w:rsidRPr="007D1918">
        <w:rPr>
          <w:noProof/>
        </w:rPr>
        <w:t>)</w:t>
      </w:r>
      <w:r w:rsidR="0075212A" w:rsidRPr="007D1918">
        <w:fldChar w:fldCharType="end"/>
      </w:r>
      <w:r w:rsidRPr="007D1918">
        <w:t xml:space="preserve">. </w:t>
      </w:r>
    </w:p>
    <w:p w14:paraId="5B21B881" w14:textId="7EFD6755" w:rsidR="006823AD" w:rsidRPr="007D1918" w:rsidRDefault="006823AD" w:rsidP="006823AD">
      <w:pPr>
        <w:jc w:val="both"/>
      </w:pPr>
      <w:r w:rsidRPr="007D1918">
        <w:t xml:space="preserve">The MGC was not used in any </w:t>
      </w:r>
      <w:r w:rsidR="007B05BF" w:rsidRPr="007D1918">
        <w:t xml:space="preserve">comparative </w:t>
      </w:r>
      <w:r w:rsidRPr="007D1918">
        <w:t xml:space="preserve">studies to measure change in symptoms for the MG crisis population. For other symptom measures (MMS and MSS) there was an improvement from baseline </w:t>
      </w:r>
      <w:r w:rsidR="006B4670" w:rsidRPr="007D1918">
        <w:t xml:space="preserve">for patients given either IVIg or PE </w:t>
      </w:r>
      <w:r w:rsidRPr="007D1918">
        <w:t xml:space="preserve">but no </w:t>
      </w:r>
      <w:r w:rsidR="00EB4CEB" w:rsidRPr="007D1918">
        <w:t xml:space="preserve">conclusive </w:t>
      </w:r>
      <w:r w:rsidRPr="007D1918">
        <w:t>differences between groups. In addition, treatment response defined as an increase in MMS of 20 points, reported by one RCT</w:t>
      </w:r>
      <w:r w:rsidR="009A6EF7" w:rsidRPr="007D1918">
        <w:t>,</w:t>
      </w:r>
      <w:r w:rsidRPr="007D1918">
        <w:t xml:space="preserve"> (Gajdos et al 1997) was found to be similar in both treatment groups 15 days from the start of IVIg or PE.</w:t>
      </w:r>
    </w:p>
    <w:p w14:paraId="2256E355" w14:textId="357660D3" w:rsidR="00493036" w:rsidRPr="007D1918" w:rsidRDefault="00493036" w:rsidP="006257D0">
      <w:pPr>
        <w:pStyle w:val="Heading5"/>
      </w:pPr>
      <w:r w:rsidRPr="007D1918">
        <w:t>Indication 2</w:t>
      </w:r>
    </w:p>
    <w:p w14:paraId="7A5BF942" w14:textId="05B69870" w:rsidR="00493036" w:rsidRPr="007D1918" w:rsidRDefault="006B4670" w:rsidP="006257D0">
      <w:pPr>
        <w:jc w:val="both"/>
      </w:pPr>
      <w:r w:rsidRPr="007D1918">
        <w:t>Evidence from two small comparative studies found that there was no difference in symptom change (change in Osserman grade) between patients treated with IVIg or</w:t>
      </w:r>
      <w:r w:rsidR="006257D0" w:rsidRPr="007D1918">
        <w:t xml:space="preserve"> PE. S</w:t>
      </w:r>
      <w:r w:rsidRPr="007D1918">
        <w:t xml:space="preserve">ymptoms improved in both groups following surgery. </w:t>
      </w:r>
    </w:p>
    <w:p w14:paraId="196D3E45" w14:textId="3EC14812" w:rsidR="00493036" w:rsidRPr="007D1918" w:rsidRDefault="00493036" w:rsidP="006257D0">
      <w:pPr>
        <w:pStyle w:val="Heading5"/>
      </w:pPr>
      <w:r w:rsidRPr="007D1918">
        <w:t>Indication 3</w:t>
      </w:r>
    </w:p>
    <w:p w14:paraId="15809F71" w14:textId="1775230E" w:rsidR="003679CF" w:rsidRPr="007D1918" w:rsidRDefault="003679CF" w:rsidP="003679CF">
      <w:pPr>
        <w:jc w:val="both"/>
      </w:pPr>
      <w:r w:rsidRPr="007D1918">
        <w:t xml:space="preserve">There was very little literature comparing IVIg with </w:t>
      </w:r>
      <w:r w:rsidR="00B4027D" w:rsidRPr="007D1918">
        <w:t xml:space="preserve">standard </w:t>
      </w:r>
      <w:r w:rsidRPr="007D1918">
        <w:t>maintenance therapies other than PE</w:t>
      </w:r>
      <w:r w:rsidR="00B4027D" w:rsidRPr="007D1918">
        <w:t xml:space="preserve"> (</w:t>
      </w:r>
      <w:r w:rsidR="00D01770" w:rsidRPr="007D1918">
        <w:t xml:space="preserve">including corticosteroids, cholinesterase inhibitors, </w:t>
      </w:r>
      <w:r w:rsidR="00053196" w:rsidRPr="007D1918">
        <w:t>IS</w:t>
      </w:r>
      <w:r w:rsidR="00D01770" w:rsidRPr="007D1918">
        <w:t xml:space="preserve">, </w:t>
      </w:r>
      <w:r w:rsidR="00053196" w:rsidRPr="007D1918">
        <w:t>IM</w:t>
      </w:r>
      <w:r w:rsidR="00D01770" w:rsidRPr="007D1918">
        <w:t>, and thymectomy</w:t>
      </w:r>
      <w:r w:rsidR="00B4027D" w:rsidRPr="007D1918">
        <w:t>)</w:t>
      </w:r>
      <w:r w:rsidRPr="007D1918">
        <w:t xml:space="preserve">. Griffin et al published early data on clinicaltrials.gov for patients on standard maintenance therapies and randomised to either IVIg or placebo. There were no statistically significant differences between them, although the one death that occurred was in the IVIg-C group </w:t>
      </w:r>
      <w:r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 </w:instrText>
      </w:r>
      <w:r w:rsidR="00C437BA"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EN.CITE.DATA </w:instrText>
      </w:r>
      <w:r w:rsidR="00C437BA" w:rsidRPr="007D1918">
        <w:fldChar w:fldCharType="end"/>
      </w:r>
      <w:r w:rsidRPr="007D1918">
        <w:fldChar w:fldCharType="separate"/>
      </w:r>
      <w:r w:rsidRPr="007D1918">
        <w:rPr>
          <w:noProof/>
        </w:rPr>
        <w:t>(</w:t>
      </w:r>
      <w:hyperlink w:anchor="_ENREF_40" w:tooltip="Griffin, 2017 #62" w:history="1">
        <w:r w:rsidR="007D4948" w:rsidRPr="007D1918">
          <w:rPr>
            <w:noProof/>
          </w:rPr>
          <w:t>Griffin et al. 2017b</w:t>
        </w:r>
      </w:hyperlink>
      <w:r w:rsidRPr="007D1918">
        <w:rPr>
          <w:noProof/>
        </w:rPr>
        <w:t>)</w:t>
      </w:r>
      <w:r w:rsidRPr="007D1918">
        <w:fldChar w:fldCharType="end"/>
      </w:r>
      <w:r w:rsidRPr="007D1918">
        <w:t xml:space="preserve">. Further data on the change in symptoms (change in QMGS) from this trial and a second trial comparing IVIg and placebo in corticosteroid dependent MG patients, for which there is not yet any published data, will be of interest </w:t>
      </w:r>
      <w:r w:rsidRPr="007D1918">
        <w:fldChar w:fldCharType="begin">
          <w:fldData xml:space="preserve">PEVuZE5vdGU+PENpdGU+PEF1dGhvcj5HcmlmZmluPC9BdXRob3I+PFllYXI+MjAxNzwvWWVhcj48
UmVjTnVtPjYxPC9SZWNOdW0+PERpc3BsYXlUZXh0PihHcmlmZmluIGV0IGFsLiAyMDE3YSk8L0Rp
c3BsYXlUZXh0PjxyZWNvcmQ+PHJlYy1udW1iZXI+NjE8L3JlYy1udW1iZXI+PGZvcmVpZ24ta2V5
cz48a2V5IGFwcD0iRU4iIGRiLWlkPSIyYWV2cngyc2xzdHM1dmU5c2RhdmF0ZjEyNWRzeDBhdjJ2
OWQiIHRpbWVzdGFtcD0iMTU2MjgxMTA2MyI+NjE8L2tleT48L2ZvcmVpZ24ta2V5cz48cmVmLXR5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dXRob3JzPjwvY29udHJpYnV0b3JzPjxhdXRoLWFkZHJlc3M+Ui4gR3JpZmZpbiwgUmVzZWFyY2gg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</w:fldData>
        </w:fldChar>
      </w:r>
      <w:r w:rsidR="00C437BA" w:rsidRPr="007D1918">
        <w:instrText xml:space="preserve"> ADDIN EN.CITE </w:instrText>
      </w:r>
      <w:r w:rsidR="00C437BA" w:rsidRPr="007D1918">
        <w:fldChar w:fldCharType="begin">
          <w:fldData xml:space="preserve">PEVuZE5vdGU+PENpdGU+PEF1dGhvcj5HcmlmZmluPC9BdXRob3I+PFllYXI+MjAxNzwvWWVhcj48
UmVjTnVtPjYxPC9SZWNOdW0+PERpc3BsYXlUZXh0PihHcmlmZmluIGV0IGFsLiAyMDE3YSk8L0Rp
c3BsYXlUZXh0PjxyZWNvcmQ+PHJlYy1udW1iZXI+NjE8L3JlYy1udW1iZXI+PGZvcmVpZ24ta2V5
cz48a2V5IGFwcD0iRU4iIGRiLWlkPSIyYWV2cngyc2xzdHM1dmU5c2RhdmF0ZjEyNWRzeDBhdjJ2
OWQiIHRpbWVzdGFtcD0iMTU2MjgxMTA2MyI+NjE8L2tleT48L2ZvcmVpZ24ta2V5cz48cmVmLXR5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dXRob3JzPjwvY29udHJpYnV0b3JzPjxhdXRoLWFkZHJlc3M+Ui4gR3JpZmZpbiwgUmVzZWFyY2gg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</w:fldData>
        </w:fldChar>
      </w:r>
      <w:r w:rsidR="00C437BA" w:rsidRPr="007D1918">
        <w:instrText xml:space="preserve"> ADDIN EN.CITE.DATA </w:instrText>
      </w:r>
      <w:r w:rsidR="00C437BA" w:rsidRPr="007D1918">
        <w:fldChar w:fldCharType="end"/>
      </w:r>
      <w:r w:rsidRPr="007D1918">
        <w:fldChar w:fldCharType="separate"/>
      </w:r>
      <w:r w:rsidRPr="007D1918">
        <w:rPr>
          <w:noProof/>
        </w:rPr>
        <w:t>(</w:t>
      </w:r>
      <w:hyperlink w:anchor="_ENREF_39" w:tooltip="Griffin, 2017 #61" w:history="1">
        <w:r w:rsidR="007D4948" w:rsidRPr="007D1918">
          <w:rPr>
            <w:noProof/>
          </w:rPr>
          <w:t>Griffin et al. 2017a</w:t>
        </w:r>
      </w:hyperlink>
      <w:r w:rsidRPr="007D1918">
        <w:rPr>
          <w:noProof/>
        </w:rPr>
        <w:t>)</w:t>
      </w:r>
      <w:r w:rsidRPr="007D1918">
        <w:fldChar w:fldCharType="end"/>
      </w:r>
      <w:r w:rsidRPr="007D1918">
        <w:t xml:space="preserve">. </w:t>
      </w:r>
    </w:p>
    <w:p w14:paraId="35579792" w14:textId="7584D5E3" w:rsidR="006B4670" w:rsidRPr="007D1918" w:rsidRDefault="006B4670" w:rsidP="006B4670">
      <w:pPr>
        <w:jc w:val="both"/>
      </w:pPr>
      <w:r w:rsidRPr="007D1918">
        <w:t xml:space="preserve">Patients on IVIg and PE had similar improvement in symptoms measured using the QMGS at 28 days </w:t>
      </w:r>
      <w:r w:rsidR="0075212A" w:rsidRPr="007D1918">
        <w:fldChar w:fldCharType="begin"/>
      </w:r>
      <w:r w:rsidR="001A0E53" w:rsidRPr="007D1918">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2023&lt;/pages&gt;&lt;volume&gt;76&lt;/volume&gt;&lt;number&gt;23&lt;/number&gt;&lt;keywords&gt;&lt;keyword&gt;Adult&lt;/keyword&gt;&lt;keyword&gt;Aged&lt;/keyword&gt;&lt;keyword&gt;Aged, 80 and over&lt;/keyword&gt;&lt;keyword&gt;Autoantibodies [biosynthesis, blood]&lt;/keyword&gt;&lt;keyword&gt;Disability Evaluation&lt;/keyword&gt;&lt;keyword&gt;Evidence‐Based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0075212A"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w:t>
      </w:r>
      <w:r w:rsidR="0075212A" w:rsidRPr="007D1918">
        <w:fldChar w:fldCharType="end"/>
      </w:r>
      <w:r w:rsidRPr="007D1918">
        <w:t xml:space="preserve"> and 16 weeks </w:t>
      </w:r>
      <w:r w:rsidR="0075212A"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 </w:instrText>
      </w:r>
      <w:r w:rsidR="007F4CDE"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83" w:tooltip="Rønager, 2001 #41" w:history="1">
        <w:r w:rsidR="007D4948" w:rsidRPr="007D1918">
          <w:rPr>
            <w:noProof/>
          </w:rPr>
          <w:t>Rønager et al. 2001</w:t>
        </w:r>
      </w:hyperlink>
      <w:r w:rsidR="0075212A" w:rsidRPr="007D1918">
        <w:rPr>
          <w:noProof/>
        </w:rPr>
        <w:t>)</w:t>
      </w:r>
      <w:r w:rsidR="0075212A" w:rsidRPr="007D1918">
        <w:fldChar w:fldCharType="end"/>
      </w:r>
      <w:r w:rsidRPr="007D1918">
        <w:t xml:space="preserve"> from start of treatment. Strongest improvement in symptoms was seen in the first 2 weeks in a third study (p = 0.01, </w:t>
      </w:r>
      <w:r w:rsidR="0075212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 </w:instrText>
      </w:r>
      <w:r w:rsidR="00C437B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3" w:tooltip="Liu, 2010 #56" w:history="1">
        <w:r w:rsidR="007D4948" w:rsidRPr="007D1918">
          <w:rPr>
            <w:noProof/>
          </w:rPr>
          <w:t>Liu et al. 2010</w:t>
        </w:r>
      </w:hyperlink>
      <w:r w:rsidR="0075212A" w:rsidRPr="007D1918">
        <w:rPr>
          <w:noProof/>
        </w:rPr>
        <w:t>)</w:t>
      </w:r>
      <w:r w:rsidR="0075212A" w:rsidRPr="007D1918">
        <w:fldChar w:fldCharType="end"/>
      </w:r>
      <w:r w:rsidRPr="007D1918">
        <w:t>)</w:t>
      </w:r>
      <w:r w:rsidR="007B05BF" w:rsidRPr="007D1918">
        <w:t>.</w:t>
      </w:r>
      <w:r w:rsidRPr="007D1918">
        <w:t xml:space="preserve"> Only a small degree of improvement appeared to be sustained for up to 16 weeks for either IVIg or PE. Longer term </w:t>
      </w:r>
      <w:r w:rsidRPr="007D1918">
        <w:lastRenderedPageBreak/>
        <w:t>comparative studies may be more informative on the degree of sustained symptom improvement. The degree of improvement may be influenced by the severity of symptoms at baseline.</w:t>
      </w:r>
    </w:p>
    <w:p w14:paraId="0EFA98B6" w14:textId="02532CCD" w:rsidR="00493036" w:rsidRPr="007D1918" w:rsidRDefault="00FA6815" w:rsidP="006257D0">
      <w:pPr>
        <w:jc w:val="both"/>
      </w:pPr>
      <w:r w:rsidRPr="007D1918">
        <w:t xml:space="preserve">There was no difference in the rate of infection between patients receiving IVIg (n = 171) or PE (n = 737) reported in a retrospective cohort study </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r w:rsidRPr="007D1918">
        <w:t xml:space="preserve">. </w:t>
      </w:r>
      <w:r w:rsidR="00FB40BE" w:rsidRPr="007D1918">
        <w:t>Although it was specified that the participants in this arm of the study</w:t>
      </w:r>
      <w:r w:rsidRPr="007D1918">
        <w:t xml:space="preserve"> were not in crisis, it was difficult to tell if they met the criteria for moderate to severe MG requiring a change in maintenance therapy (</w:t>
      </w:r>
      <w:r w:rsidR="0088065E" w:rsidRPr="007D1918">
        <w:rPr>
          <w:i/>
        </w:rPr>
        <w:t>Criteria V3</w:t>
      </w:r>
      <w:r w:rsidR="0088065E" w:rsidRPr="007D1918">
        <w:t xml:space="preserve"> for </w:t>
      </w:r>
      <w:r w:rsidRPr="007D1918">
        <w:t>Indication 3)</w:t>
      </w:r>
      <w:r w:rsidR="006257D0" w:rsidRPr="007D1918">
        <w:t xml:space="preserve"> as there was a lack of baseline data</w:t>
      </w:r>
      <w:r w:rsidRPr="007D1918">
        <w:t>.</w:t>
      </w:r>
      <w:r w:rsidR="00FB40BE" w:rsidRPr="007D1918">
        <w:t xml:space="preserve"> </w:t>
      </w:r>
    </w:p>
    <w:p w14:paraId="16D7E804" w14:textId="0CF26DC0" w:rsidR="00FA6815" w:rsidRPr="007D1918" w:rsidRDefault="00FA6815" w:rsidP="006257D0">
      <w:pPr>
        <w:jc w:val="both"/>
      </w:pPr>
      <w:r w:rsidRPr="007D1918">
        <w:t>Effectiveness evidence for IVIg in children, and for SCIg</w:t>
      </w:r>
      <w:r w:rsidR="009A6EF7" w:rsidRPr="007D1918">
        <w:t>,</w:t>
      </w:r>
      <w:r w:rsidRPr="007D1918">
        <w:t xml:space="preserve"> was too poor to make reliable conclusions.</w:t>
      </w:r>
    </w:p>
    <w:p w14:paraId="7504A123" w14:textId="0FAAD14D" w:rsidR="000554AA" w:rsidRPr="007D1918" w:rsidRDefault="00E36D7B" w:rsidP="00DF343F">
      <w:pPr>
        <w:jc w:val="both"/>
      </w:pPr>
      <w:r w:rsidRPr="007D1918">
        <w:t xml:space="preserve">Summary of findings </w:t>
      </w:r>
      <w:r w:rsidR="003F3D32" w:rsidRPr="007D1918">
        <w:fldChar w:fldCharType="begin"/>
      </w:r>
      <w:r w:rsidR="003F3D32" w:rsidRPr="007D1918">
        <w:instrText xml:space="preserve"> REF _Ref12884166 \h </w:instrText>
      </w:r>
      <w:r w:rsidR="00177BBB" w:rsidRPr="007D1918">
        <w:instrText xml:space="preserve"> \* MERGEFORMAT </w:instrText>
      </w:r>
      <w:r w:rsidR="003F3D32" w:rsidRPr="007D1918">
        <w:fldChar w:fldCharType="separate"/>
      </w:r>
      <w:r w:rsidR="007C33AD" w:rsidRPr="007D1918">
        <w:t xml:space="preserve">Table </w:t>
      </w:r>
      <w:r w:rsidR="007C33AD" w:rsidRPr="007D1918">
        <w:rPr>
          <w:noProof/>
        </w:rPr>
        <w:t>48</w:t>
      </w:r>
      <w:r w:rsidR="003F3D32" w:rsidRPr="007D1918">
        <w:fldChar w:fldCharType="end"/>
      </w:r>
      <w:r w:rsidR="00177BBB" w:rsidRPr="007D1918">
        <w:t xml:space="preserve"> to</w:t>
      </w:r>
      <w:r w:rsidR="003F3D32" w:rsidRPr="007D1918">
        <w:fldChar w:fldCharType="begin"/>
      </w:r>
      <w:r w:rsidR="003F3D32" w:rsidRPr="007D1918">
        <w:instrText xml:space="preserve"> REF _Ref12884171 \h </w:instrText>
      </w:r>
      <w:r w:rsidR="00177BBB" w:rsidRPr="007D1918">
        <w:instrText xml:space="preserve"> \* MERGEFORMAT </w:instrText>
      </w:r>
      <w:r w:rsidR="003F3D32" w:rsidRPr="007D1918">
        <w:fldChar w:fldCharType="separate"/>
      </w:r>
      <w:r w:rsidR="007C33AD" w:rsidRPr="007D1918">
        <w:rPr>
          <w:noProof/>
        </w:rPr>
        <w:t>Table 51</w:t>
      </w:r>
      <w:r w:rsidR="003F3D32" w:rsidRPr="007D1918">
        <w:fldChar w:fldCharType="end"/>
      </w:r>
      <w:r w:rsidRPr="007D1918">
        <w:t xml:space="preserve"> </w:t>
      </w:r>
      <w:r w:rsidR="003F3D32" w:rsidRPr="007D1918">
        <w:t xml:space="preserve">summarise the clinical benefits and harms for </w:t>
      </w:r>
      <w:r w:rsidR="005737F7" w:rsidRPr="007D1918">
        <w:t xml:space="preserve">IVIg </w:t>
      </w:r>
      <w:r w:rsidR="003F3D32" w:rsidRPr="007D1918">
        <w:t>against its comparators for critical outcomes in Indications 1, 2 and 3.</w:t>
      </w:r>
    </w:p>
    <w:p w14:paraId="46528A3A" w14:textId="7A29D502" w:rsidR="000E455E" w:rsidRPr="007D1918" w:rsidRDefault="000E455E" w:rsidP="000E455E">
      <w:pPr>
        <w:jc w:val="both"/>
        <w:rPr>
          <w:b/>
        </w:rPr>
      </w:pPr>
      <w:r w:rsidRPr="007D1918">
        <w:t xml:space="preserve">On the basis of the benefits and harms reported in the evidence base (summarised above), </w:t>
      </w:r>
      <w:r w:rsidRPr="007D1918">
        <w:rPr>
          <w:b/>
        </w:rPr>
        <w:t>it is suggested that</w:t>
      </w:r>
      <w:r w:rsidR="00765D03" w:rsidRPr="007D1918">
        <w:rPr>
          <w:b/>
        </w:rPr>
        <w:t xml:space="preserve"> for patients in crisis or at risk of crisis (</w:t>
      </w:r>
      <w:r w:rsidR="0088065E" w:rsidRPr="007D1918">
        <w:rPr>
          <w:b/>
          <w:i/>
        </w:rPr>
        <w:t xml:space="preserve">Criteria V3 </w:t>
      </w:r>
      <w:r w:rsidR="00765D03" w:rsidRPr="007D1918">
        <w:rPr>
          <w:b/>
        </w:rPr>
        <w:t>Indication 1)</w:t>
      </w:r>
      <w:r w:rsidRPr="007D1918">
        <w:rPr>
          <w:b/>
        </w:rPr>
        <w:t xml:space="preserve">, relative to </w:t>
      </w:r>
      <w:r w:rsidR="00765D03" w:rsidRPr="007D1918">
        <w:rPr>
          <w:b/>
        </w:rPr>
        <w:t>PE</w:t>
      </w:r>
      <w:r w:rsidRPr="007D1918">
        <w:rPr>
          <w:b/>
        </w:rPr>
        <w:t xml:space="preserve">, </w:t>
      </w:r>
      <w:r w:rsidR="00765D03" w:rsidRPr="007D1918">
        <w:rPr>
          <w:b/>
        </w:rPr>
        <w:t>IVIg</w:t>
      </w:r>
      <w:r w:rsidRPr="007D1918">
        <w:rPr>
          <w:b/>
        </w:rPr>
        <w:t xml:space="preserve"> has superior safety and non-inferior effectiveness.</w:t>
      </w:r>
    </w:p>
    <w:p w14:paraId="61B5DCE7" w14:textId="5B8F95DE" w:rsidR="00765D03" w:rsidRPr="007D1918" w:rsidRDefault="0015779E" w:rsidP="000E455E">
      <w:pPr>
        <w:jc w:val="both"/>
      </w:pPr>
      <w:r w:rsidRPr="007D1918">
        <w:t>Due to the low level of evidence</w:t>
      </w:r>
      <w:r w:rsidR="00E628FE" w:rsidRPr="007D1918">
        <w:t xml:space="preserve"> </w:t>
      </w:r>
      <w:r w:rsidR="00E628FE" w:rsidRPr="007D1918">
        <w:rPr>
          <w:b/>
        </w:rPr>
        <w:t>it is suggested that</w:t>
      </w:r>
      <w:r w:rsidRPr="007D1918">
        <w:rPr>
          <w:b/>
        </w:rPr>
        <w:t xml:space="preserve"> </w:t>
      </w:r>
      <w:r w:rsidR="00765D03" w:rsidRPr="007D1918">
        <w:rPr>
          <w:b/>
        </w:rPr>
        <w:t>for patients preparing for surgery (</w:t>
      </w:r>
      <w:r w:rsidR="0088065E" w:rsidRPr="007D1918">
        <w:rPr>
          <w:b/>
          <w:i/>
        </w:rPr>
        <w:t>Criteria V3</w:t>
      </w:r>
      <w:r w:rsidR="0088065E" w:rsidRPr="007D1918">
        <w:rPr>
          <w:b/>
        </w:rPr>
        <w:t xml:space="preserve"> </w:t>
      </w:r>
      <w:r w:rsidR="00765D03" w:rsidRPr="007D1918">
        <w:rPr>
          <w:b/>
        </w:rPr>
        <w:t xml:space="preserve">Indication 2), relative to PE, IVIg has </w:t>
      </w:r>
      <w:r w:rsidR="00177BBB" w:rsidRPr="007D1918">
        <w:rPr>
          <w:b/>
        </w:rPr>
        <w:t>uncertain</w:t>
      </w:r>
      <w:r w:rsidR="00765D03" w:rsidRPr="007D1918">
        <w:rPr>
          <w:b/>
        </w:rPr>
        <w:t xml:space="preserve"> safety and </w:t>
      </w:r>
      <w:r w:rsidR="00177BBB" w:rsidRPr="007D1918">
        <w:rPr>
          <w:b/>
        </w:rPr>
        <w:t>uncertain</w:t>
      </w:r>
      <w:r w:rsidR="00765D03" w:rsidRPr="007D1918">
        <w:rPr>
          <w:b/>
        </w:rPr>
        <w:t xml:space="preserve"> effectiveness.</w:t>
      </w:r>
    </w:p>
    <w:p w14:paraId="47CEA6CB" w14:textId="7B4C62C7" w:rsidR="00B4027D" w:rsidRPr="007D1918" w:rsidRDefault="00B4027D" w:rsidP="00B4027D">
      <w:pPr>
        <w:jc w:val="both"/>
      </w:pPr>
      <w:r w:rsidRPr="007D1918">
        <w:rPr>
          <w:b/>
        </w:rPr>
        <w:t>It is suggested that for patients on maintenance therapy (</w:t>
      </w:r>
      <w:r w:rsidR="0088065E" w:rsidRPr="007D1918">
        <w:rPr>
          <w:b/>
          <w:i/>
        </w:rPr>
        <w:t>Criteria V3</w:t>
      </w:r>
      <w:r w:rsidRPr="007D1918">
        <w:rPr>
          <w:b/>
        </w:rPr>
        <w:t xml:space="preserve"> Indication 3), relative to other </w:t>
      </w:r>
      <w:r w:rsidR="00D01770" w:rsidRPr="007D1918">
        <w:rPr>
          <w:b/>
        </w:rPr>
        <w:t>therapies</w:t>
      </w:r>
      <w:r w:rsidRPr="007D1918">
        <w:rPr>
          <w:b/>
        </w:rPr>
        <w:t xml:space="preserve"> (including corticosteroids, cholinesterase inhibitors, immunosuppressants, immunomodulators,  and thymectomy), no conclusions can be made re</w:t>
      </w:r>
      <w:r w:rsidR="00BC7070" w:rsidRPr="007D1918">
        <w:rPr>
          <w:b/>
        </w:rPr>
        <w:t>g</w:t>
      </w:r>
      <w:r w:rsidRPr="007D1918">
        <w:rPr>
          <w:b/>
        </w:rPr>
        <w:t>a</w:t>
      </w:r>
      <w:r w:rsidR="00BC7070" w:rsidRPr="007D1918">
        <w:rPr>
          <w:b/>
        </w:rPr>
        <w:t>r</w:t>
      </w:r>
      <w:r w:rsidRPr="007D1918">
        <w:rPr>
          <w:b/>
        </w:rPr>
        <w:t>ding the relative safety and effectiveness of IVIg</w:t>
      </w:r>
      <w:r w:rsidR="00811E54" w:rsidRPr="007D1918">
        <w:rPr>
          <w:b/>
        </w:rPr>
        <w:t>,</w:t>
      </w:r>
      <w:r w:rsidR="00692ED4" w:rsidRPr="007D1918">
        <w:rPr>
          <w:b/>
        </w:rPr>
        <w:t xml:space="preserve"> </w:t>
      </w:r>
      <w:r w:rsidRPr="007D1918">
        <w:rPr>
          <w:b/>
        </w:rPr>
        <w:t xml:space="preserve">with the exception </w:t>
      </w:r>
      <w:r w:rsidR="002608AA" w:rsidRPr="007D1918">
        <w:rPr>
          <w:b/>
        </w:rPr>
        <w:t>of</w:t>
      </w:r>
      <w:r w:rsidRPr="007D1918">
        <w:rPr>
          <w:b/>
        </w:rPr>
        <w:t xml:space="preserve"> a comparison against PE where IVIg appears to have non-inferior safety and non-inferior effectiveness.</w:t>
      </w:r>
    </w:p>
    <w:p w14:paraId="416B959A" w14:textId="77777777" w:rsidR="000A2C9E" w:rsidRPr="007D1918" w:rsidRDefault="000A2C9E" w:rsidP="00DF343F">
      <w:pPr>
        <w:pStyle w:val="Heading3"/>
        <w:jc w:val="both"/>
      </w:pPr>
      <w:bookmarkStart w:id="66" w:name="_Toc395200751"/>
      <w:bookmarkStart w:id="67" w:name="_Toc23766930"/>
      <w:bookmarkStart w:id="68" w:name="_Toc379118059"/>
      <w:bookmarkStart w:id="69" w:name="_Toc379118251"/>
      <w:bookmarkStart w:id="70" w:name="_Toc381796435"/>
      <w:r w:rsidRPr="007D1918">
        <w:t>Translation Issues</w:t>
      </w:r>
      <w:bookmarkEnd w:id="66"/>
      <w:bookmarkEnd w:id="67"/>
    </w:p>
    <w:p w14:paraId="52C3F751" w14:textId="77777777" w:rsidR="008928B3" w:rsidRPr="007D1918" w:rsidRDefault="00692ED4" w:rsidP="008928B3">
      <w:pPr>
        <w:jc w:val="both"/>
      </w:pPr>
      <w:r w:rsidRPr="007D1918">
        <w:t>The translation issues</w:t>
      </w:r>
      <w:r w:rsidR="00AD633F" w:rsidRPr="007D1918">
        <w:t xml:space="preserve"> of relevance to the economic analysis are associated with estimation of resource use applicable to the Australian setting. Consideration to the circumstances of use of IVIg and PE and other comparators in the clinical studies was compared to available evidence describing resource use patterns in the Australian setting.</w:t>
      </w:r>
    </w:p>
    <w:p w14:paraId="1A8FBC74" w14:textId="46C8E6FF" w:rsidR="008928B3" w:rsidRPr="007D1918" w:rsidRDefault="00AD633F" w:rsidP="008928B3">
      <w:pPr>
        <w:jc w:val="both"/>
      </w:pPr>
      <w:r w:rsidRPr="007D1918">
        <w:t xml:space="preserve">With respect to </w:t>
      </w:r>
      <w:r w:rsidR="00AD05F3" w:rsidRPr="007D1918">
        <w:t xml:space="preserve">Indications </w:t>
      </w:r>
      <w:r w:rsidRPr="007D1918">
        <w:t xml:space="preserve">1 and 2, applicability assessments identified </w:t>
      </w:r>
      <w:r w:rsidR="005B2F73" w:rsidRPr="007D1918">
        <w:t>minor adjustments to IVIg doses were required to represent Australian usage. Australian practices with regard to PE (fluid exchange volume, composition and the number of exchanges) also varied slightly from the clinical trial informing Indication 1. E</w:t>
      </w:r>
      <w:r w:rsidR="008928B3" w:rsidRPr="007D1918">
        <w:t>stimates of the</w:t>
      </w:r>
      <w:r w:rsidRPr="007D1918">
        <w:t xml:space="preserve"> resource implications associated with adverse events</w:t>
      </w:r>
      <w:r w:rsidR="008928B3" w:rsidRPr="007D1918">
        <w:t xml:space="preserve"> </w:t>
      </w:r>
      <w:r w:rsidR="005B2F73" w:rsidRPr="007D1918">
        <w:t>in Indication 1</w:t>
      </w:r>
      <w:r w:rsidR="008928B3" w:rsidRPr="007D1918">
        <w:t xml:space="preserve">; and for Indication 2 </w:t>
      </w:r>
      <w:r w:rsidR="005B2F73" w:rsidRPr="007D1918">
        <w:t xml:space="preserve">the </w:t>
      </w:r>
      <w:r w:rsidR="008928B3" w:rsidRPr="007D1918">
        <w:t xml:space="preserve">implications of identified differences in surgery time and intubation times, are described as </w:t>
      </w:r>
      <w:r w:rsidR="005B2F73" w:rsidRPr="007D1918">
        <w:t xml:space="preserve">they apply </w:t>
      </w:r>
      <w:r w:rsidR="008928B3" w:rsidRPr="007D1918">
        <w:t xml:space="preserve">to the Australian setting. </w:t>
      </w:r>
    </w:p>
    <w:p w14:paraId="6500641C" w14:textId="24785E62" w:rsidR="005B2F73" w:rsidRPr="007D1918" w:rsidRDefault="005B2F73" w:rsidP="008928B3">
      <w:pPr>
        <w:jc w:val="both"/>
      </w:pPr>
      <w:r w:rsidRPr="007D1918">
        <w:t xml:space="preserve">With respect to Indication 3, the ongoing nature of maintenance treatment is detailed and an approach to compare cost estimates over both shorter and longer time horizons is considered </w:t>
      </w:r>
      <w:r w:rsidRPr="007D1918">
        <w:lastRenderedPageBreak/>
        <w:t xml:space="preserve">appropriate. Assessment of the circumstances of ongoing use of maintenance therapies is made to enable extrapolation of </w:t>
      </w:r>
      <w:r w:rsidR="00DD17B4" w:rsidRPr="007D1918">
        <w:t xml:space="preserve">a pattern of associated </w:t>
      </w:r>
      <w:r w:rsidRPr="007D1918">
        <w:t>resource use</w:t>
      </w:r>
      <w:r w:rsidR="00DD17B4" w:rsidRPr="007D1918">
        <w:t xml:space="preserve"> for each comparator</w:t>
      </w:r>
      <w:r w:rsidRPr="007D1918">
        <w:t>.</w:t>
      </w:r>
    </w:p>
    <w:p w14:paraId="68E282EC" w14:textId="4F2FB735" w:rsidR="00E15C62" w:rsidRPr="007D1918" w:rsidRDefault="00E15C62" w:rsidP="008928B3">
      <w:pPr>
        <w:jc w:val="both"/>
      </w:pPr>
      <w:r w:rsidRPr="007D1918">
        <w:t xml:space="preserve">The translation of </w:t>
      </w:r>
      <w:r w:rsidR="00D375F9" w:rsidRPr="007D1918">
        <w:t xml:space="preserve">the difference in </w:t>
      </w:r>
      <w:r w:rsidRPr="007D1918">
        <w:t>adverse event</w:t>
      </w:r>
      <w:r w:rsidR="00D375F9" w:rsidRPr="007D1918">
        <w:t xml:space="preserve"> profiles </w:t>
      </w:r>
      <w:r w:rsidRPr="007D1918">
        <w:t>into an estimate of a quality-adj</w:t>
      </w:r>
      <w:r w:rsidR="005D2112" w:rsidRPr="007D1918">
        <w:t>us</w:t>
      </w:r>
      <w:r w:rsidRPr="007D1918">
        <w:t xml:space="preserve">ted life year decrement is </w:t>
      </w:r>
      <w:r w:rsidR="000C4A10" w:rsidRPr="007D1918">
        <w:t xml:space="preserve">quite </w:t>
      </w:r>
      <w:r w:rsidRPr="007D1918">
        <w:t xml:space="preserve">uncertain. </w:t>
      </w:r>
      <w:r w:rsidR="00D375F9" w:rsidRPr="007D1918">
        <w:t xml:space="preserve">Few studies are adequately powered to provide precise estimates of adverse event differences, at the event-type level. </w:t>
      </w:r>
      <w:r w:rsidRPr="007D1918">
        <w:t>The comparative data which forms the bas</w:t>
      </w:r>
      <w:r w:rsidR="00D375F9" w:rsidRPr="007D1918">
        <w:t>i</w:t>
      </w:r>
      <w:r w:rsidRPr="007D1918">
        <w:t xml:space="preserve">s of the economic </w:t>
      </w:r>
      <w:r w:rsidR="00D375F9" w:rsidRPr="007D1918">
        <w:t>analysis</w:t>
      </w:r>
      <w:r w:rsidRPr="007D1918">
        <w:t xml:space="preserve"> presents a limited adverse event profile comparison given it has small numbers, therefore it may not be representative of the differential adverse event profile that would be observed across a population. For example; infection was not an observed adverse event in the RCT, yet this is observed in other studies of PE</w:t>
      </w:r>
      <w:r w:rsidR="000C4A10" w:rsidRPr="007D1918">
        <w:t>, and additional external literature identifies significant mortality and morbidity consequences associated with sepsis in the ICU setting</w:t>
      </w:r>
      <w:r w:rsidR="00D375F9" w:rsidRPr="007D1918">
        <w:t>.</w:t>
      </w:r>
      <w:r w:rsidR="0060747D" w:rsidRPr="007D1918">
        <w:t xml:space="preserve"> The Ig Review Refe</w:t>
      </w:r>
      <w:r w:rsidR="00DA7EBF" w:rsidRPr="007D1918">
        <w:t>re</w:t>
      </w:r>
      <w:r w:rsidR="0060747D" w:rsidRPr="007D1918">
        <w:t xml:space="preserve">nce group considered that </w:t>
      </w:r>
      <w:r w:rsidR="003D7215" w:rsidRPr="007D1918">
        <w:t xml:space="preserve">further </w:t>
      </w:r>
      <w:r w:rsidR="0060747D" w:rsidRPr="007D1918">
        <w:t xml:space="preserve">modelling </w:t>
      </w:r>
      <w:r w:rsidR="003D7215" w:rsidRPr="007D1918">
        <w:t>should be attempted</w:t>
      </w:r>
      <w:r w:rsidR="00DA7EBF" w:rsidRPr="007D1918">
        <w:t xml:space="preserve"> to</w:t>
      </w:r>
      <w:r w:rsidR="0060747D" w:rsidRPr="007D1918">
        <w:t xml:space="preserve"> include sepsis and sepsis</w:t>
      </w:r>
      <w:r w:rsidR="003D7215" w:rsidRPr="007D1918">
        <w:t>-</w:t>
      </w:r>
      <w:r w:rsidR="0060747D" w:rsidRPr="007D1918">
        <w:t>related consequences, however the quantative input</w:t>
      </w:r>
      <w:r w:rsidR="003D7215" w:rsidRPr="007D1918">
        <w:t>s</w:t>
      </w:r>
      <w:r w:rsidR="0060747D" w:rsidRPr="007D1918">
        <w:t xml:space="preserve"> around sepsis were required to be based on non-comparative data sources. These become significant drivers in the model</w:t>
      </w:r>
      <w:r w:rsidR="003D7215" w:rsidRPr="007D1918">
        <w:t>,</w:t>
      </w:r>
      <w:r w:rsidR="0060747D" w:rsidRPr="007D1918">
        <w:t xml:space="preserve"> but are highly uncertain. </w:t>
      </w:r>
      <w:r w:rsidR="00D375F9" w:rsidRPr="007D1918">
        <w:t xml:space="preserve"> </w:t>
      </w:r>
      <w:r w:rsidR="00D33CF6" w:rsidRPr="007D1918">
        <w:t xml:space="preserve">Furthermore </w:t>
      </w:r>
      <w:r w:rsidRPr="007D1918">
        <w:t>the utilit</w:t>
      </w:r>
      <w:r w:rsidR="00D33CF6" w:rsidRPr="007D1918">
        <w:t xml:space="preserve">y values </w:t>
      </w:r>
      <w:r w:rsidRPr="007D1918">
        <w:t xml:space="preserve">applied to the observed adverse events </w:t>
      </w:r>
      <w:r w:rsidR="00D33CF6" w:rsidRPr="007D1918">
        <w:t xml:space="preserve">could only be </w:t>
      </w:r>
      <w:r w:rsidRPr="007D1918">
        <w:t>source</w:t>
      </w:r>
      <w:r w:rsidR="00D375F9" w:rsidRPr="007D1918">
        <w:t>d</w:t>
      </w:r>
      <w:r w:rsidRPr="007D1918">
        <w:t xml:space="preserve"> </w:t>
      </w:r>
      <w:r w:rsidR="00D33CF6" w:rsidRPr="007D1918">
        <w:t xml:space="preserve">from multiple </w:t>
      </w:r>
      <w:r w:rsidRPr="007D1918">
        <w:t>external</w:t>
      </w:r>
      <w:r w:rsidR="00D33CF6" w:rsidRPr="007D1918">
        <w:t xml:space="preserve"> studies</w:t>
      </w:r>
      <w:r w:rsidRPr="007D1918">
        <w:t xml:space="preserve"> and the</w:t>
      </w:r>
      <w:r w:rsidR="00D33CF6" w:rsidRPr="007D1918">
        <w:t xml:space="preserve"> contexts of these estimates varies such that their applicability and consistency is uncertain</w:t>
      </w:r>
      <w:r w:rsidRPr="007D1918">
        <w:t>.</w:t>
      </w:r>
    </w:p>
    <w:p w14:paraId="7EE6FE3D" w14:textId="77777777" w:rsidR="008C7152" w:rsidRPr="007D1918" w:rsidRDefault="008C7152" w:rsidP="00DF343F">
      <w:pPr>
        <w:pStyle w:val="Heading3"/>
        <w:jc w:val="both"/>
      </w:pPr>
      <w:bookmarkStart w:id="71" w:name="_Toc395200752"/>
      <w:bookmarkStart w:id="72" w:name="_Toc23766931"/>
      <w:r w:rsidRPr="007D1918">
        <w:t>Economic</w:t>
      </w:r>
      <w:r w:rsidR="000B7EE2" w:rsidRPr="007D1918">
        <w:t xml:space="preserve"> </w:t>
      </w:r>
      <w:bookmarkEnd w:id="68"/>
      <w:bookmarkEnd w:id="69"/>
      <w:bookmarkEnd w:id="70"/>
      <w:r w:rsidR="00D62ADF" w:rsidRPr="007D1918">
        <w:t>Evaluation</w:t>
      </w:r>
      <w:bookmarkEnd w:id="71"/>
      <w:bookmarkEnd w:id="72"/>
    </w:p>
    <w:p w14:paraId="3B4787FC" w14:textId="186189D1" w:rsidR="00AC688F" w:rsidRPr="007D1918" w:rsidRDefault="00AC688F" w:rsidP="00AC688F">
      <w:pPr>
        <w:jc w:val="both"/>
      </w:pPr>
      <w:bookmarkStart w:id="73" w:name="_Ref379404328"/>
      <w:r w:rsidRPr="007D1918">
        <w:t>For Indication</w:t>
      </w:r>
      <w:r w:rsidR="004C190C" w:rsidRPr="007D1918">
        <w:t xml:space="preserve"> </w:t>
      </w:r>
      <w:r w:rsidRPr="007D1918">
        <w:t xml:space="preserve">1, based on the </w:t>
      </w:r>
      <w:r w:rsidR="004C190C" w:rsidRPr="007D1918">
        <w:t xml:space="preserve">clinical conclusions and the </w:t>
      </w:r>
      <w:r w:rsidRPr="007D1918">
        <w:t>decision algorithm</w:t>
      </w:r>
      <w:r w:rsidR="004C190C" w:rsidRPr="007D1918">
        <w:t xml:space="preserve"> (</w:t>
      </w:r>
      <w:r w:rsidR="004C190C" w:rsidRPr="007D1918">
        <w:fldChar w:fldCharType="begin"/>
      </w:r>
      <w:r w:rsidR="004C190C" w:rsidRPr="007D1918">
        <w:instrText xml:space="preserve"> REF _Ref3291314 \h </w:instrText>
      </w:r>
      <w:r w:rsidR="00E07567" w:rsidRPr="007D1918">
        <w:instrText xml:space="preserve"> \* MERGEFORMAT </w:instrText>
      </w:r>
      <w:r w:rsidR="004C190C" w:rsidRPr="007D1918">
        <w:fldChar w:fldCharType="separate"/>
      </w:r>
      <w:r w:rsidR="00D33CF6" w:rsidRPr="007D1918">
        <w:t xml:space="preserve">Table </w:t>
      </w:r>
      <w:r w:rsidR="00D33CF6" w:rsidRPr="007D1918">
        <w:rPr>
          <w:noProof/>
        </w:rPr>
        <w:t>59</w:t>
      </w:r>
      <w:r w:rsidR="004C190C" w:rsidRPr="007D1918">
        <w:fldChar w:fldCharType="end"/>
      </w:r>
      <w:r w:rsidR="004C190C" w:rsidRPr="007D1918">
        <w:t>), with</w:t>
      </w:r>
      <w:r w:rsidRPr="007D1918">
        <w:t xml:space="preserve"> </w:t>
      </w:r>
      <w:r w:rsidR="004C190C" w:rsidRPr="007D1918">
        <w:t xml:space="preserve">the </w:t>
      </w:r>
      <w:r w:rsidRPr="007D1918">
        <w:t xml:space="preserve">limited </w:t>
      </w:r>
      <w:r w:rsidR="004C190C" w:rsidRPr="007D1918">
        <w:t>information</w:t>
      </w:r>
      <w:r w:rsidRPr="007D1918">
        <w:t xml:space="preserve"> </w:t>
      </w:r>
      <w:r w:rsidR="004C190C" w:rsidRPr="007D1918">
        <w:t xml:space="preserve">available </w:t>
      </w:r>
      <w:r w:rsidRPr="007D1918">
        <w:t xml:space="preserve">on the clinical significance of the safety differences </w:t>
      </w:r>
      <w:r w:rsidR="004C190C" w:rsidRPr="007D1918">
        <w:t xml:space="preserve">identified, </w:t>
      </w:r>
      <w:r w:rsidRPr="007D1918">
        <w:t>a cost-</w:t>
      </w:r>
      <w:r w:rsidR="00D375F9" w:rsidRPr="007D1918">
        <w:t xml:space="preserve">utility </w:t>
      </w:r>
      <w:r w:rsidRPr="007D1918">
        <w:t xml:space="preserve">analysis is </w:t>
      </w:r>
      <w:r w:rsidR="004C190C" w:rsidRPr="007D1918">
        <w:t>presented</w:t>
      </w:r>
      <w:r w:rsidRPr="007D1918">
        <w:t>.</w:t>
      </w:r>
    </w:p>
    <w:p w14:paraId="42389880" w14:textId="12311696" w:rsidR="00AC688F" w:rsidRPr="007D1918" w:rsidRDefault="00AC688F" w:rsidP="00AC688F">
      <w:pPr>
        <w:jc w:val="both"/>
      </w:pPr>
      <w:r w:rsidRPr="007D1918">
        <w:t xml:space="preserve">For Indication 2, based on the decision algorithm, </w:t>
      </w:r>
      <w:r w:rsidR="004C190C" w:rsidRPr="007D1918">
        <w:fldChar w:fldCharType="begin"/>
      </w:r>
      <w:r w:rsidR="004C190C" w:rsidRPr="007D1918">
        <w:instrText xml:space="preserve"> REF _Ref3291314 \h </w:instrText>
      </w:r>
      <w:r w:rsidR="00E07567" w:rsidRPr="007D1918">
        <w:instrText xml:space="preserve"> \* MERGEFORMAT </w:instrText>
      </w:r>
      <w:r w:rsidR="004C190C" w:rsidRPr="007D1918">
        <w:fldChar w:fldCharType="separate"/>
      </w:r>
      <w:r w:rsidR="007C33AD" w:rsidRPr="007D1918">
        <w:t xml:space="preserve">Table </w:t>
      </w:r>
      <w:r w:rsidR="007C33AD" w:rsidRPr="007D1918">
        <w:rPr>
          <w:noProof/>
        </w:rPr>
        <w:t>59</w:t>
      </w:r>
      <w:r w:rsidR="004C190C" w:rsidRPr="007D1918">
        <w:fldChar w:fldCharType="end"/>
      </w:r>
      <w:r w:rsidR="005737F7" w:rsidRPr="007D1918">
        <w:t xml:space="preserve">, </w:t>
      </w:r>
      <w:r w:rsidRPr="007D1918">
        <w:t>a cost-</w:t>
      </w:r>
      <w:r w:rsidR="00DA7EBF" w:rsidRPr="007D1918">
        <w:t>analysis</w:t>
      </w:r>
      <w:r w:rsidRPr="007D1918">
        <w:t xml:space="preserve"> is appropriate.</w:t>
      </w:r>
    </w:p>
    <w:p w14:paraId="47C0A0DB" w14:textId="3BA36F07" w:rsidR="00311423" w:rsidRPr="007D1918" w:rsidRDefault="00AC688F" w:rsidP="00311423">
      <w:pPr>
        <w:jc w:val="both"/>
      </w:pPr>
      <w:r w:rsidRPr="007D1918">
        <w:t>For Indication 3, based on the decision algorithm, a cost-minimisation analysis is appropriate vs PE</w:t>
      </w:r>
      <w:r w:rsidR="00311423" w:rsidRPr="007D1918">
        <w:t xml:space="preserve">. However at the request of the Ig Review Reference Group an </w:t>
      </w:r>
      <w:r w:rsidR="0060747D" w:rsidRPr="007D1918">
        <w:t>e</w:t>
      </w:r>
      <w:r w:rsidR="00311423" w:rsidRPr="007D1918">
        <w:t xml:space="preserve">xploratory cost-utility analysis was conducted </w:t>
      </w:r>
      <w:r w:rsidR="006477C7" w:rsidRPr="007D1918">
        <w:t>based on a</w:t>
      </w:r>
      <w:r w:rsidR="00311423" w:rsidRPr="007D1918">
        <w:t xml:space="preserve"> reduced infection rate using IVIg </w:t>
      </w:r>
      <w:r w:rsidR="006477C7" w:rsidRPr="007D1918">
        <w:t xml:space="preserve">compared to </w:t>
      </w:r>
      <w:r w:rsidR="00311423" w:rsidRPr="007D1918">
        <w:t>PE. Caution should be taken interpreting the results of this analysis as this is highly uncertain.</w:t>
      </w:r>
    </w:p>
    <w:p w14:paraId="7EB472E7" w14:textId="36AE3265" w:rsidR="000106F7" w:rsidRPr="007D1918" w:rsidRDefault="00311423" w:rsidP="00AC688F">
      <w:pPr>
        <w:jc w:val="both"/>
      </w:pPr>
      <w:r w:rsidRPr="007D1918">
        <w:t>F</w:t>
      </w:r>
      <w:r w:rsidR="00AC688F" w:rsidRPr="007D1918">
        <w:t>or the remainder of comparators</w:t>
      </w:r>
      <w:r w:rsidR="00DA7EBF" w:rsidRPr="007D1918">
        <w:t>,</w:t>
      </w:r>
      <w:r w:rsidR="00AC688F" w:rsidRPr="007D1918">
        <w:t xml:space="preserve"> no directly comparative economic analyses are appropriate and only a non-comparative cost-analysis can be provided, noting that it is not appropriate to assume equivalence between treatments.</w:t>
      </w:r>
      <w:r w:rsidR="00D375F9" w:rsidRPr="007D1918">
        <w:t xml:space="preserve"> </w:t>
      </w:r>
    </w:p>
    <w:p w14:paraId="3FC011A7" w14:textId="33969985" w:rsidR="005C3E17" w:rsidRPr="007D1918" w:rsidRDefault="00DB3295" w:rsidP="00117D2B">
      <w:pPr>
        <w:pStyle w:val="Caption"/>
        <w:keepNext/>
        <w:keepLines/>
        <w:tabs>
          <w:tab w:val="left" w:pos="1134"/>
        </w:tabs>
        <w:ind w:left="1134" w:hanging="1134"/>
        <w:jc w:val="both"/>
      </w:pPr>
      <w:bookmarkStart w:id="74" w:name="_Ref379483368"/>
      <w:bookmarkStart w:id="75" w:name="_Ref394419656"/>
      <w:bookmarkStart w:id="76" w:name="_Toc23769488"/>
      <w:r w:rsidRPr="007D1918">
        <w:t>Table</w:t>
      </w:r>
      <w:r w:rsidR="005C3E17" w:rsidRPr="007D1918">
        <w:t xml:space="preserve"> </w:t>
      </w:r>
      <w:r w:rsidR="00FE2DC6" w:rsidRPr="007D1918">
        <w:rPr>
          <w:noProof/>
        </w:rPr>
        <w:fldChar w:fldCharType="begin"/>
      </w:r>
      <w:r w:rsidR="00FE2DC6" w:rsidRPr="007D1918">
        <w:rPr>
          <w:noProof/>
        </w:rPr>
        <w:instrText xml:space="preserve"> SEQ Table \* ARABIC </w:instrText>
      </w:r>
      <w:r w:rsidR="00FE2DC6" w:rsidRPr="007D1918">
        <w:rPr>
          <w:noProof/>
        </w:rPr>
        <w:fldChar w:fldCharType="separate"/>
      </w:r>
      <w:r w:rsidR="007C33AD" w:rsidRPr="007D1918">
        <w:rPr>
          <w:noProof/>
        </w:rPr>
        <w:t>1</w:t>
      </w:r>
      <w:r w:rsidR="00FE2DC6" w:rsidRPr="007D1918">
        <w:rPr>
          <w:noProof/>
        </w:rPr>
        <w:fldChar w:fldCharType="end"/>
      </w:r>
      <w:bookmarkEnd w:id="73"/>
      <w:bookmarkEnd w:id="74"/>
      <w:r w:rsidR="005C3E17" w:rsidRPr="007D1918">
        <w:tab/>
        <w:t>Summary of the economic evaluation</w:t>
      </w:r>
      <w:bookmarkEnd w:id="75"/>
      <w:r w:rsidR="004C190C" w:rsidRPr="007D1918">
        <w:t>s</w:t>
      </w:r>
      <w:bookmarkEnd w:id="76"/>
      <w:r w:rsidR="005C3E17" w:rsidRPr="007D1918">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1701"/>
        <w:gridCol w:w="2694"/>
        <w:gridCol w:w="2186"/>
        <w:gridCol w:w="2440"/>
      </w:tblGrid>
      <w:tr w:rsidR="00AD42C9" w:rsidRPr="007D1918" w14:paraId="1891B6A3"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tcPr>
          <w:p w14:paraId="4A05D99C" w14:textId="77777777" w:rsidR="00AD42C9" w:rsidRPr="007D1918" w:rsidRDefault="00AD42C9" w:rsidP="00117D2B">
            <w:pPr>
              <w:pStyle w:val="Tabletext1"/>
              <w:keepNext/>
              <w:keepLines/>
              <w:rPr>
                <w:b/>
                <w:color w:val="000000" w:themeColor="text1"/>
              </w:rPr>
            </w:pPr>
          </w:p>
        </w:tc>
        <w:tc>
          <w:tcPr>
            <w:tcW w:w="2694" w:type="dxa"/>
            <w:tcBorders>
              <w:top w:val="single" w:sz="4" w:space="0" w:color="auto"/>
              <w:left w:val="single" w:sz="4" w:space="0" w:color="auto"/>
              <w:bottom w:val="single" w:sz="4" w:space="0" w:color="auto"/>
              <w:right w:val="single" w:sz="4" w:space="0" w:color="auto"/>
            </w:tcBorders>
          </w:tcPr>
          <w:p w14:paraId="5DD7B6EA" w14:textId="77777777" w:rsidR="00AD42C9" w:rsidRPr="007D1918" w:rsidRDefault="00AD42C9" w:rsidP="00117D2B">
            <w:pPr>
              <w:pStyle w:val="TableHeading"/>
              <w:keepLines/>
            </w:pPr>
            <w:r w:rsidRPr="007D1918">
              <w:t>Indication 1</w:t>
            </w:r>
          </w:p>
          <w:p w14:paraId="2E4D4ACA" w14:textId="3791106A" w:rsidR="00AD42C9" w:rsidRPr="007D1918" w:rsidRDefault="00AD42C9" w:rsidP="00117D2B">
            <w:pPr>
              <w:pStyle w:val="Tabletext1"/>
              <w:keepNext/>
              <w:keepLines/>
            </w:pPr>
            <w:r w:rsidRPr="007D1918">
              <w:t>MG crisis</w:t>
            </w:r>
          </w:p>
        </w:tc>
        <w:tc>
          <w:tcPr>
            <w:tcW w:w="2186" w:type="dxa"/>
            <w:tcBorders>
              <w:top w:val="single" w:sz="4" w:space="0" w:color="auto"/>
              <w:left w:val="single" w:sz="4" w:space="0" w:color="auto"/>
              <w:bottom w:val="single" w:sz="4" w:space="0" w:color="auto"/>
              <w:right w:val="single" w:sz="4" w:space="0" w:color="auto"/>
            </w:tcBorders>
          </w:tcPr>
          <w:p w14:paraId="62EB7B35" w14:textId="77777777" w:rsidR="00AD42C9" w:rsidRPr="007D1918" w:rsidRDefault="00AD42C9" w:rsidP="00117D2B">
            <w:pPr>
              <w:pStyle w:val="TableHeading"/>
              <w:keepLines/>
            </w:pPr>
            <w:r w:rsidRPr="007D1918">
              <w:t>Indication 2</w:t>
            </w:r>
          </w:p>
          <w:p w14:paraId="7F37EA0F" w14:textId="7EE29450" w:rsidR="00AD42C9" w:rsidRPr="007D1918" w:rsidRDefault="00AD42C9" w:rsidP="00117D2B">
            <w:pPr>
              <w:pStyle w:val="Tabletext1"/>
              <w:keepNext/>
              <w:keepLines/>
            </w:pPr>
            <w:r w:rsidRPr="007D1918">
              <w:t>MG patients pre-surgery</w:t>
            </w:r>
          </w:p>
        </w:tc>
        <w:tc>
          <w:tcPr>
            <w:tcW w:w="2440" w:type="dxa"/>
            <w:tcBorders>
              <w:top w:val="single" w:sz="4" w:space="0" w:color="auto"/>
              <w:left w:val="single" w:sz="4" w:space="0" w:color="auto"/>
              <w:bottom w:val="single" w:sz="4" w:space="0" w:color="auto"/>
              <w:right w:val="single" w:sz="4" w:space="0" w:color="auto"/>
            </w:tcBorders>
          </w:tcPr>
          <w:p w14:paraId="7DF6E772" w14:textId="77777777" w:rsidR="00AD42C9" w:rsidRPr="007D1918" w:rsidRDefault="00AD42C9" w:rsidP="00117D2B">
            <w:pPr>
              <w:pStyle w:val="TableHeading"/>
              <w:keepLines/>
            </w:pPr>
            <w:r w:rsidRPr="007D1918">
              <w:t>Indication 3</w:t>
            </w:r>
          </w:p>
          <w:p w14:paraId="72CF5F8E" w14:textId="041A050B" w:rsidR="00AD42C9" w:rsidRPr="007D1918" w:rsidRDefault="00AD42C9" w:rsidP="00117D2B">
            <w:pPr>
              <w:pStyle w:val="Tabletext1"/>
              <w:keepNext/>
              <w:keepLines/>
            </w:pPr>
            <w:r w:rsidRPr="007D1918">
              <w:t>Maintenance in refractory MG disease</w:t>
            </w:r>
          </w:p>
        </w:tc>
      </w:tr>
      <w:tr w:rsidR="00AD42C9" w:rsidRPr="007D1918" w14:paraId="465A6AEB"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tcPr>
          <w:p w14:paraId="29183BFF" w14:textId="36D5D638" w:rsidR="00AD42C9" w:rsidRPr="007D1918" w:rsidRDefault="00AD42C9" w:rsidP="00117D2B">
            <w:pPr>
              <w:pStyle w:val="Tabletext1"/>
              <w:keepNext/>
              <w:keepLines/>
              <w:rPr>
                <w:b/>
                <w:color w:val="000000" w:themeColor="text1"/>
              </w:rPr>
            </w:pPr>
            <w:r w:rsidRPr="007D1918">
              <w:rPr>
                <w:b/>
                <w:color w:val="000000" w:themeColor="text1"/>
              </w:rPr>
              <w:t>Perspective</w:t>
            </w:r>
          </w:p>
        </w:tc>
        <w:tc>
          <w:tcPr>
            <w:tcW w:w="2694" w:type="dxa"/>
            <w:tcBorders>
              <w:top w:val="single" w:sz="4" w:space="0" w:color="auto"/>
              <w:left w:val="single" w:sz="4" w:space="0" w:color="auto"/>
              <w:bottom w:val="single" w:sz="4" w:space="0" w:color="auto"/>
              <w:right w:val="single" w:sz="4" w:space="0" w:color="auto"/>
            </w:tcBorders>
          </w:tcPr>
          <w:p w14:paraId="21C262A1" w14:textId="303E649C" w:rsidR="00AD42C9" w:rsidRPr="007D1918" w:rsidRDefault="00AD42C9" w:rsidP="00117D2B">
            <w:pPr>
              <w:pStyle w:val="Tabletext1"/>
              <w:keepNext/>
              <w:keepLines/>
            </w:pPr>
            <w:r w:rsidRPr="007D1918">
              <w:t>Healthcare system</w:t>
            </w:r>
          </w:p>
        </w:tc>
        <w:tc>
          <w:tcPr>
            <w:tcW w:w="2186" w:type="dxa"/>
            <w:tcBorders>
              <w:top w:val="single" w:sz="4" w:space="0" w:color="auto"/>
              <w:left w:val="single" w:sz="4" w:space="0" w:color="auto"/>
              <w:bottom w:val="single" w:sz="4" w:space="0" w:color="auto"/>
              <w:right w:val="single" w:sz="4" w:space="0" w:color="auto"/>
            </w:tcBorders>
          </w:tcPr>
          <w:p w14:paraId="394E8EC9" w14:textId="6220E701" w:rsidR="00AD42C9" w:rsidRPr="007D1918" w:rsidRDefault="00AD42C9" w:rsidP="00117D2B">
            <w:pPr>
              <w:pStyle w:val="Tabletext1"/>
              <w:keepNext/>
              <w:keepLines/>
            </w:pPr>
            <w:r w:rsidRPr="007D1918">
              <w:t>Healthcare system</w:t>
            </w:r>
          </w:p>
        </w:tc>
        <w:tc>
          <w:tcPr>
            <w:tcW w:w="2440" w:type="dxa"/>
            <w:tcBorders>
              <w:top w:val="single" w:sz="4" w:space="0" w:color="auto"/>
              <w:left w:val="single" w:sz="4" w:space="0" w:color="auto"/>
              <w:bottom w:val="single" w:sz="4" w:space="0" w:color="auto"/>
              <w:right w:val="single" w:sz="4" w:space="0" w:color="auto"/>
            </w:tcBorders>
          </w:tcPr>
          <w:p w14:paraId="15C875C3" w14:textId="102D4D87" w:rsidR="00AD42C9" w:rsidRPr="007D1918" w:rsidRDefault="00AD42C9" w:rsidP="00117D2B">
            <w:pPr>
              <w:pStyle w:val="Tabletext1"/>
              <w:keepNext/>
              <w:keepLines/>
            </w:pPr>
            <w:r w:rsidRPr="007D1918">
              <w:t>Healthcare system</w:t>
            </w:r>
          </w:p>
        </w:tc>
      </w:tr>
      <w:tr w:rsidR="00AD42C9" w:rsidRPr="007D1918" w14:paraId="38A047FD"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tcPr>
          <w:p w14:paraId="15C4923D" w14:textId="705FFBCC" w:rsidR="00AD42C9" w:rsidRPr="007D1918" w:rsidRDefault="00AD42C9" w:rsidP="00AD42C9">
            <w:pPr>
              <w:pStyle w:val="Tabletext1"/>
              <w:rPr>
                <w:b/>
                <w:color w:val="000000" w:themeColor="text1"/>
              </w:rPr>
            </w:pPr>
            <w:r w:rsidRPr="007D1918">
              <w:rPr>
                <w:b/>
                <w:color w:val="000000" w:themeColor="text1"/>
              </w:rPr>
              <w:t>Comparator</w:t>
            </w:r>
          </w:p>
        </w:tc>
        <w:tc>
          <w:tcPr>
            <w:tcW w:w="2694" w:type="dxa"/>
            <w:tcBorders>
              <w:top w:val="single" w:sz="4" w:space="0" w:color="auto"/>
              <w:left w:val="single" w:sz="4" w:space="0" w:color="auto"/>
              <w:bottom w:val="single" w:sz="4" w:space="0" w:color="auto"/>
              <w:right w:val="single" w:sz="4" w:space="0" w:color="auto"/>
            </w:tcBorders>
          </w:tcPr>
          <w:p w14:paraId="312AF1F9" w14:textId="4DFEEEEA" w:rsidR="00AD42C9" w:rsidRPr="007D1918" w:rsidRDefault="00AD42C9" w:rsidP="00AD42C9">
            <w:pPr>
              <w:pStyle w:val="Tabletext1"/>
            </w:pPr>
            <w:r w:rsidRPr="007D1918">
              <w:t>PE</w:t>
            </w:r>
          </w:p>
        </w:tc>
        <w:tc>
          <w:tcPr>
            <w:tcW w:w="2186" w:type="dxa"/>
            <w:tcBorders>
              <w:top w:val="single" w:sz="4" w:space="0" w:color="auto"/>
              <w:left w:val="single" w:sz="4" w:space="0" w:color="auto"/>
              <w:bottom w:val="single" w:sz="4" w:space="0" w:color="auto"/>
              <w:right w:val="single" w:sz="4" w:space="0" w:color="auto"/>
            </w:tcBorders>
          </w:tcPr>
          <w:p w14:paraId="57919FB1" w14:textId="1BBD6730" w:rsidR="00AD42C9" w:rsidRPr="007D1918" w:rsidRDefault="00AD42C9" w:rsidP="00AD42C9">
            <w:pPr>
              <w:pStyle w:val="Tabletext1"/>
            </w:pPr>
            <w:r w:rsidRPr="007D1918">
              <w:t>PE</w:t>
            </w:r>
          </w:p>
        </w:tc>
        <w:tc>
          <w:tcPr>
            <w:tcW w:w="2440" w:type="dxa"/>
            <w:tcBorders>
              <w:top w:val="single" w:sz="4" w:space="0" w:color="auto"/>
              <w:left w:val="single" w:sz="4" w:space="0" w:color="auto"/>
              <w:bottom w:val="single" w:sz="4" w:space="0" w:color="auto"/>
              <w:right w:val="single" w:sz="4" w:space="0" w:color="auto"/>
            </w:tcBorders>
          </w:tcPr>
          <w:p w14:paraId="08A83906" w14:textId="5FDF3DAE" w:rsidR="00AD42C9" w:rsidRPr="007D1918" w:rsidRDefault="00AD42C9" w:rsidP="00AD42C9">
            <w:pPr>
              <w:pStyle w:val="Tabletext1"/>
            </w:pPr>
            <w:r w:rsidRPr="007D1918">
              <w:t xml:space="preserve">Various pharmacological treatments (anticholinesterases, </w:t>
            </w:r>
            <w:r w:rsidRPr="007D1918">
              <w:lastRenderedPageBreak/>
              <w:t>immunomodulation), surgery or PE</w:t>
            </w:r>
          </w:p>
        </w:tc>
      </w:tr>
      <w:tr w:rsidR="00AD42C9" w:rsidRPr="007D1918" w14:paraId="762AE3DC"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tcPr>
          <w:p w14:paraId="77F68036" w14:textId="5B6B42F8" w:rsidR="00AD42C9" w:rsidRPr="007D1918" w:rsidRDefault="00AD42C9" w:rsidP="00AD42C9">
            <w:pPr>
              <w:pStyle w:val="Tabletext1"/>
              <w:rPr>
                <w:b/>
                <w:color w:val="000000" w:themeColor="text1"/>
              </w:rPr>
            </w:pPr>
            <w:r w:rsidRPr="007D1918">
              <w:rPr>
                <w:b/>
                <w:color w:val="000000" w:themeColor="text1"/>
              </w:rPr>
              <w:lastRenderedPageBreak/>
              <w:t>Type of economic evaluation</w:t>
            </w:r>
          </w:p>
        </w:tc>
        <w:tc>
          <w:tcPr>
            <w:tcW w:w="2694" w:type="dxa"/>
            <w:tcBorders>
              <w:top w:val="single" w:sz="4" w:space="0" w:color="auto"/>
              <w:left w:val="single" w:sz="4" w:space="0" w:color="auto"/>
              <w:bottom w:val="single" w:sz="4" w:space="0" w:color="auto"/>
              <w:right w:val="single" w:sz="4" w:space="0" w:color="auto"/>
            </w:tcBorders>
          </w:tcPr>
          <w:p w14:paraId="1D14F321" w14:textId="77777777" w:rsidR="00AD42C9" w:rsidRPr="007D1918" w:rsidRDefault="00AD42C9" w:rsidP="00AD42C9">
            <w:pPr>
              <w:pStyle w:val="Tabletext1"/>
            </w:pPr>
            <w:r w:rsidRPr="007D1918">
              <w:t>Cost-utility analysis.</w:t>
            </w:r>
          </w:p>
          <w:p w14:paraId="46A18683" w14:textId="47BFF8FA" w:rsidR="00AD42C9" w:rsidRPr="007D1918" w:rsidRDefault="00AD42C9" w:rsidP="00AD42C9">
            <w:pPr>
              <w:pStyle w:val="Tabletext1"/>
            </w:pPr>
            <w:r w:rsidRPr="007D1918">
              <w:t>Cost-consequences analysis</w:t>
            </w:r>
          </w:p>
        </w:tc>
        <w:tc>
          <w:tcPr>
            <w:tcW w:w="2186" w:type="dxa"/>
            <w:tcBorders>
              <w:top w:val="single" w:sz="4" w:space="0" w:color="auto"/>
              <w:left w:val="single" w:sz="4" w:space="0" w:color="auto"/>
              <w:bottom w:val="single" w:sz="4" w:space="0" w:color="auto"/>
              <w:right w:val="single" w:sz="4" w:space="0" w:color="auto"/>
            </w:tcBorders>
          </w:tcPr>
          <w:p w14:paraId="3DB222D6" w14:textId="0CD1250D" w:rsidR="00AD42C9" w:rsidRPr="007D1918" w:rsidRDefault="00AD42C9" w:rsidP="00AD42C9">
            <w:pPr>
              <w:pStyle w:val="Tabletext1"/>
            </w:pPr>
            <w:r w:rsidRPr="007D1918">
              <w:t>Cost-analysis</w:t>
            </w:r>
          </w:p>
        </w:tc>
        <w:tc>
          <w:tcPr>
            <w:tcW w:w="2440" w:type="dxa"/>
            <w:tcBorders>
              <w:top w:val="single" w:sz="4" w:space="0" w:color="auto"/>
              <w:left w:val="single" w:sz="4" w:space="0" w:color="auto"/>
              <w:bottom w:val="single" w:sz="4" w:space="0" w:color="auto"/>
              <w:right w:val="single" w:sz="4" w:space="0" w:color="auto"/>
            </w:tcBorders>
          </w:tcPr>
          <w:p w14:paraId="03AB23B6" w14:textId="77777777" w:rsidR="00AD42C9" w:rsidRPr="007D1918" w:rsidRDefault="00AD42C9" w:rsidP="00AD42C9">
            <w:pPr>
              <w:pStyle w:val="Tabletext1"/>
            </w:pPr>
            <w:r w:rsidRPr="007D1918">
              <w:t>Individual non-comparative cost-analyses.</w:t>
            </w:r>
          </w:p>
          <w:p w14:paraId="75EF3E03" w14:textId="7FB0CA36" w:rsidR="00AD42C9" w:rsidRPr="007D1918" w:rsidRDefault="00AD42C9" w:rsidP="00AD42C9">
            <w:pPr>
              <w:pStyle w:val="Tabletext1"/>
            </w:pPr>
            <w:r w:rsidRPr="007D1918">
              <w:t>Exploratory cost-utility analysis IVIg vs PE.</w:t>
            </w:r>
          </w:p>
        </w:tc>
      </w:tr>
      <w:tr w:rsidR="00AD42C9" w:rsidRPr="007D1918" w14:paraId="75E03BD7"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tcPr>
          <w:p w14:paraId="667468FA" w14:textId="160E29AA" w:rsidR="00AD42C9" w:rsidRPr="007D1918" w:rsidRDefault="00AD42C9" w:rsidP="00AD42C9">
            <w:pPr>
              <w:pStyle w:val="Tabletext1"/>
              <w:rPr>
                <w:b/>
              </w:rPr>
            </w:pPr>
            <w:r w:rsidRPr="007D1918">
              <w:rPr>
                <w:b/>
              </w:rPr>
              <w:t>Sources of evidence</w:t>
            </w:r>
          </w:p>
        </w:tc>
        <w:tc>
          <w:tcPr>
            <w:tcW w:w="2694" w:type="dxa"/>
            <w:tcBorders>
              <w:top w:val="single" w:sz="4" w:space="0" w:color="auto"/>
              <w:left w:val="single" w:sz="4" w:space="0" w:color="auto"/>
              <w:bottom w:val="single" w:sz="4" w:space="0" w:color="auto"/>
              <w:right w:val="single" w:sz="4" w:space="0" w:color="auto"/>
            </w:tcBorders>
          </w:tcPr>
          <w:p w14:paraId="003BCB81" w14:textId="77777777" w:rsidR="00AD42C9" w:rsidRPr="007D1918" w:rsidRDefault="00AD42C9" w:rsidP="00AD42C9">
            <w:pPr>
              <w:pStyle w:val="Tabletext1"/>
            </w:pPr>
            <w:r w:rsidRPr="007D1918">
              <w:t xml:space="preserve">Gajdos 1997 is the basis of the clinical outcomes (single RCT detailed in </w:t>
            </w:r>
            <w:r w:rsidRPr="007D1918">
              <w:rPr>
                <w:i/>
              </w:rPr>
              <w:t>Section B</w:t>
            </w:r>
            <w:r w:rsidRPr="007D1918">
              <w:t>).</w:t>
            </w:r>
          </w:p>
          <w:p w14:paraId="1AEC3AFB" w14:textId="0DC19E13" w:rsidR="00AD42C9" w:rsidRPr="007D1918" w:rsidRDefault="00FC73B5" w:rsidP="00AD42C9">
            <w:pPr>
              <w:pStyle w:val="Tabletext1"/>
            </w:pPr>
            <w:r w:rsidRPr="007D1918">
              <w:t>A</w:t>
            </w:r>
            <w:r w:rsidR="00AD42C9" w:rsidRPr="007D1918">
              <w:t>dditional references for utility values and to inform resource requirements (see C.4, D.4)</w:t>
            </w:r>
          </w:p>
        </w:tc>
        <w:tc>
          <w:tcPr>
            <w:tcW w:w="2186" w:type="dxa"/>
            <w:tcBorders>
              <w:top w:val="single" w:sz="4" w:space="0" w:color="auto"/>
              <w:left w:val="single" w:sz="4" w:space="0" w:color="auto"/>
              <w:bottom w:val="single" w:sz="4" w:space="0" w:color="auto"/>
              <w:right w:val="single" w:sz="4" w:space="0" w:color="auto"/>
            </w:tcBorders>
          </w:tcPr>
          <w:p w14:paraId="739F61D5" w14:textId="25783FF9" w:rsidR="00AD42C9" w:rsidRPr="007D1918" w:rsidRDefault="002814BF" w:rsidP="00AD42C9">
            <w:pPr>
              <w:pStyle w:val="Tabletext1"/>
            </w:pPr>
            <w:hyperlink w:anchor="_ENREF_3" w:tooltip="Alipour-Faz, 2017 #30" w:history="1">
              <w:r w:rsidR="00AD42C9" w:rsidRPr="007D1918">
                <w:t>Alipour-Faz et al. 2017</w:t>
              </w:r>
            </w:hyperlink>
            <w:r w:rsidR="00AD42C9" w:rsidRPr="007D1918">
              <w:t xml:space="preserve"> is the basis of the clinical outcomes (single RCT identified in Systematic Review in </w:t>
            </w:r>
            <w:r w:rsidR="00AD42C9" w:rsidRPr="007D1918">
              <w:rPr>
                <w:i/>
              </w:rPr>
              <w:t>Section B</w:t>
            </w:r>
            <w:r w:rsidR="00AD42C9" w:rsidRPr="007D1918">
              <w:t>).</w:t>
            </w:r>
          </w:p>
        </w:tc>
        <w:tc>
          <w:tcPr>
            <w:tcW w:w="2440" w:type="dxa"/>
            <w:tcBorders>
              <w:top w:val="single" w:sz="4" w:space="0" w:color="auto"/>
              <w:left w:val="single" w:sz="4" w:space="0" w:color="auto"/>
              <w:bottom w:val="single" w:sz="4" w:space="0" w:color="auto"/>
              <w:right w:val="single" w:sz="4" w:space="0" w:color="auto"/>
            </w:tcBorders>
          </w:tcPr>
          <w:p w14:paraId="4479207D" w14:textId="5B498850" w:rsidR="00AD42C9" w:rsidRPr="007D1918" w:rsidRDefault="00AD42C9" w:rsidP="00AD42C9">
            <w:pPr>
              <w:pStyle w:val="Tabletext1"/>
            </w:pPr>
            <w:r w:rsidRPr="007D1918">
              <w:t xml:space="preserve">Various sources (no RCTs for most comparators in Systematic Review, </w:t>
            </w:r>
            <w:r w:rsidRPr="007D1918">
              <w:rPr>
                <w:i/>
              </w:rPr>
              <w:t>Section B</w:t>
            </w:r>
            <w:r w:rsidRPr="007D1918">
              <w:t>). Sources detailed in D.4</w:t>
            </w:r>
          </w:p>
        </w:tc>
      </w:tr>
      <w:tr w:rsidR="00AD42C9" w:rsidRPr="007D1918" w14:paraId="0047E16E"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hideMark/>
          </w:tcPr>
          <w:p w14:paraId="36649E8B" w14:textId="14284E8F" w:rsidR="00AD42C9" w:rsidRPr="007D1918" w:rsidRDefault="00AD42C9" w:rsidP="00AD42C9">
            <w:pPr>
              <w:pStyle w:val="Tabletext1"/>
              <w:rPr>
                <w:b/>
              </w:rPr>
            </w:pPr>
            <w:r w:rsidRPr="007D1918">
              <w:rPr>
                <w:b/>
              </w:rPr>
              <w:t>Time horizon</w:t>
            </w:r>
          </w:p>
        </w:tc>
        <w:tc>
          <w:tcPr>
            <w:tcW w:w="2694" w:type="dxa"/>
            <w:tcBorders>
              <w:top w:val="single" w:sz="4" w:space="0" w:color="auto"/>
              <w:left w:val="single" w:sz="4" w:space="0" w:color="auto"/>
              <w:bottom w:val="single" w:sz="4" w:space="0" w:color="auto"/>
              <w:right w:val="single" w:sz="4" w:space="0" w:color="auto"/>
            </w:tcBorders>
            <w:hideMark/>
          </w:tcPr>
          <w:p w14:paraId="4E3FC6CC" w14:textId="77777777" w:rsidR="00AD42C9" w:rsidRPr="007D1918" w:rsidRDefault="00AD42C9" w:rsidP="00AD42C9">
            <w:pPr>
              <w:pStyle w:val="Tabletext1"/>
            </w:pPr>
            <w:r w:rsidRPr="007D1918">
              <w:t>Base case: 3 months</w:t>
            </w:r>
          </w:p>
          <w:p w14:paraId="4D2302A7" w14:textId="7FBA5047" w:rsidR="00AD42C9" w:rsidRPr="007D1918" w:rsidRDefault="00AD42C9" w:rsidP="00AD42C9">
            <w:pPr>
              <w:pStyle w:val="Tabletext1"/>
            </w:pPr>
            <w:r w:rsidRPr="007D1918">
              <w:t>(Exploratory analysis including QALY loss due to fatal AE: 10 years)</w:t>
            </w:r>
          </w:p>
        </w:tc>
        <w:tc>
          <w:tcPr>
            <w:tcW w:w="2186" w:type="dxa"/>
            <w:tcBorders>
              <w:top w:val="single" w:sz="4" w:space="0" w:color="auto"/>
              <w:left w:val="single" w:sz="4" w:space="0" w:color="auto"/>
              <w:bottom w:val="single" w:sz="4" w:space="0" w:color="auto"/>
              <w:right w:val="single" w:sz="4" w:space="0" w:color="auto"/>
            </w:tcBorders>
          </w:tcPr>
          <w:p w14:paraId="5329976F" w14:textId="7D5F37D8" w:rsidR="00AD42C9" w:rsidRPr="007D1918" w:rsidRDefault="00AD42C9" w:rsidP="00AD42C9">
            <w:pPr>
              <w:pStyle w:val="Tabletext1"/>
            </w:pPr>
            <w:r w:rsidRPr="007D1918">
              <w:t>4 weeks</w:t>
            </w:r>
          </w:p>
        </w:tc>
        <w:tc>
          <w:tcPr>
            <w:tcW w:w="2440" w:type="dxa"/>
            <w:tcBorders>
              <w:top w:val="single" w:sz="4" w:space="0" w:color="auto"/>
              <w:left w:val="single" w:sz="4" w:space="0" w:color="auto"/>
              <w:bottom w:val="single" w:sz="4" w:space="0" w:color="auto"/>
              <w:right w:val="single" w:sz="4" w:space="0" w:color="auto"/>
            </w:tcBorders>
          </w:tcPr>
          <w:p w14:paraId="7DA36433" w14:textId="78C2665F" w:rsidR="00AD42C9" w:rsidRPr="007D1918" w:rsidRDefault="00AD42C9" w:rsidP="00AD42C9">
            <w:pPr>
              <w:pStyle w:val="Tabletext1"/>
            </w:pPr>
            <w:r w:rsidRPr="007D1918">
              <w:t>1 year to 10 years</w:t>
            </w:r>
          </w:p>
        </w:tc>
      </w:tr>
      <w:tr w:rsidR="00AD42C9" w:rsidRPr="007D1918" w14:paraId="4B66634B"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hideMark/>
          </w:tcPr>
          <w:p w14:paraId="609FF7D3" w14:textId="6E864491" w:rsidR="00AD42C9" w:rsidRPr="007D1918" w:rsidRDefault="00AD42C9" w:rsidP="00AD42C9">
            <w:pPr>
              <w:pStyle w:val="Tabletext1"/>
              <w:rPr>
                <w:b/>
              </w:rPr>
            </w:pPr>
            <w:r w:rsidRPr="007D1918">
              <w:rPr>
                <w:b/>
              </w:rPr>
              <w:t>Outcomes</w:t>
            </w:r>
          </w:p>
        </w:tc>
        <w:tc>
          <w:tcPr>
            <w:tcW w:w="2694" w:type="dxa"/>
            <w:tcBorders>
              <w:top w:val="single" w:sz="4" w:space="0" w:color="auto"/>
              <w:left w:val="single" w:sz="4" w:space="0" w:color="auto"/>
              <w:bottom w:val="single" w:sz="4" w:space="0" w:color="auto"/>
              <w:right w:val="single" w:sz="4" w:space="0" w:color="auto"/>
            </w:tcBorders>
          </w:tcPr>
          <w:p w14:paraId="5652CE94" w14:textId="2D3EF1D8" w:rsidR="00AD42C9" w:rsidRPr="007D1918" w:rsidRDefault="00AD42C9" w:rsidP="00FC73B5">
            <w:pPr>
              <w:pStyle w:val="Tabletext1"/>
            </w:pPr>
            <w:r w:rsidRPr="007D1918">
              <w:t>$ per QALY</w:t>
            </w:r>
            <w:r w:rsidR="00FC73B5" w:rsidRPr="007D1918">
              <w:t xml:space="preserve">, </w:t>
            </w:r>
            <w:r w:rsidRPr="007D1918">
              <w:t>$ per adverse event avoided</w:t>
            </w:r>
          </w:p>
        </w:tc>
        <w:tc>
          <w:tcPr>
            <w:tcW w:w="2186" w:type="dxa"/>
            <w:tcBorders>
              <w:top w:val="single" w:sz="4" w:space="0" w:color="auto"/>
              <w:left w:val="single" w:sz="4" w:space="0" w:color="auto"/>
              <w:bottom w:val="single" w:sz="4" w:space="0" w:color="auto"/>
              <w:right w:val="single" w:sz="4" w:space="0" w:color="auto"/>
            </w:tcBorders>
          </w:tcPr>
          <w:p w14:paraId="41CBDFDA" w14:textId="7108653C" w:rsidR="00AD42C9" w:rsidRPr="007D1918" w:rsidRDefault="00AD42C9" w:rsidP="00AD42C9">
            <w:pPr>
              <w:pStyle w:val="Tabletext1"/>
            </w:pPr>
            <w:r w:rsidRPr="007D1918">
              <w:t>Cost difference</w:t>
            </w:r>
          </w:p>
        </w:tc>
        <w:tc>
          <w:tcPr>
            <w:tcW w:w="2440" w:type="dxa"/>
            <w:tcBorders>
              <w:top w:val="single" w:sz="4" w:space="0" w:color="auto"/>
              <w:left w:val="single" w:sz="4" w:space="0" w:color="auto"/>
              <w:bottom w:val="single" w:sz="4" w:space="0" w:color="auto"/>
              <w:right w:val="single" w:sz="4" w:space="0" w:color="auto"/>
            </w:tcBorders>
          </w:tcPr>
          <w:p w14:paraId="4557911A" w14:textId="027380DA" w:rsidR="00AD42C9" w:rsidRPr="007D1918" w:rsidRDefault="00AD42C9" w:rsidP="00AD42C9">
            <w:pPr>
              <w:pStyle w:val="Tabletext1"/>
            </w:pPr>
            <w:r w:rsidRPr="007D1918">
              <w:t>Costs (including discounted costs)</w:t>
            </w:r>
          </w:p>
        </w:tc>
      </w:tr>
      <w:tr w:rsidR="00AD42C9" w:rsidRPr="007D1918" w14:paraId="156273E4"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hideMark/>
          </w:tcPr>
          <w:p w14:paraId="31FC0DB6" w14:textId="690D1AEC" w:rsidR="00AD42C9" w:rsidRPr="007D1918" w:rsidRDefault="00AD42C9" w:rsidP="00AD42C9">
            <w:pPr>
              <w:pStyle w:val="Tabletext1"/>
              <w:rPr>
                <w:b/>
              </w:rPr>
            </w:pPr>
            <w:r w:rsidRPr="007D1918">
              <w:rPr>
                <w:b/>
              </w:rPr>
              <w:t>Methods used to generate results</w:t>
            </w:r>
          </w:p>
        </w:tc>
        <w:tc>
          <w:tcPr>
            <w:tcW w:w="2694" w:type="dxa"/>
            <w:tcBorders>
              <w:top w:val="single" w:sz="4" w:space="0" w:color="auto"/>
              <w:left w:val="single" w:sz="4" w:space="0" w:color="auto"/>
              <w:bottom w:val="single" w:sz="4" w:space="0" w:color="auto"/>
              <w:right w:val="single" w:sz="4" w:space="0" w:color="auto"/>
            </w:tcBorders>
          </w:tcPr>
          <w:p w14:paraId="2DA6D450" w14:textId="367C4254" w:rsidR="00AD42C9" w:rsidRPr="007D1918" w:rsidRDefault="00AD42C9" w:rsidP="00AD42C9">
            <w:pPr>
              <w:pStyle w:val="Tabletext1"/>
            </w:pPr>
            <w:r w:rsidRPr="007D1918">
              <w:t>Trial-based analysis, with stepped analysis incorporating NBA IVIg usage data: cohort expected value analysis.</w:t>
            </w:r>
          </w:p>
        </w:tc>
        <w:tc>
          <w:tcPr>
            <w:tcW w:w="2186" w:type="dxa"/>
            <w:tcBorders>
              <w:top w:val="single" w:sz="4" w:space="0" w:color="auto"/>
              <w:left w:val="single" w:sz="4" w:space="0" w:color="auto"/>
              <w:bottom w:val="single" w:sz="4" w:space="0" w:color="auto"/>
              <w:right w:val="single" w:sz="4" w:space="0" w:color="auto"/>
            </w:tcBorders>
          </w:tcPr>
          <w:p w14:paraId="742BC8B1" w14:textId="78932125" w:rsidR="00AD42C9" w:rsidRPr="007D1918" w:rsidRDefault="00AD42C9" w:rsidP="00AD42C9">
            <w:pPr>
              <w:pStyle w:val="Tabletext1"/>
            </w:pPr>
            <w:r w:rsidRPr="007D1918">
              <w:t>Trial-based analysis, with stepped analysis incorporating NBA IVIg usage data</w:t>
            </w:r>
          </w:p>
        </w:tc>
        <w:tc>
          <w:tcPr>
            <w:tcW w:w="2440" w:type="dxa"/>
            <w:tcBorders>
              <w:top w:val="single" w:sz="4" w:space="0" w:color="auto"/>
              <w:left w:val="single" w:sz="4" w:space="0" w:color="auto"/>
              <w:bottom w:val="single" w:sz="4" w:space="0" w:color="auto"/>
              <w:right w:val="single" w:sz="4" w:space="0" w:color="auto"/>
            </w:tcBorders>
          </w:tcPr>
          <w:p w14:paraId="4EBF2104" w14:textId="1CADA4F3" w:rsidR="00AD42C9" w:rsidRPr="007D1918" w:rsidRDefault="00AD42C9" w:rsidP="00AD42C9">
            <w:pPr>
              <w:pStyle w:val="Tabletext1"/>
            </w:pPr>
            <w:r w:rsidRPr="007D1918">
              <w:t>Expected value analysis</w:t>
            </w:r>
          </w:p>
        </w:tc>
      </w:tr>
      <w:tr w:rsidR="00AD42C9" w:rsidRPr="007D1918" w14:paraId="5361F3D6"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hideMark/>
          </w:tcPr>
          <w:p w14:paraId="7D04B8B5" w14:textId="5848EFD4" w:rsidR="00AD42C9" w:rsidRPr="007D1918" w:rsidRDefault="00AD42C9" w:rsidP="00AD42C9">
            <w:pPr>
              <w:pStyle w:val="Tabletext1"/>
              <w:rPr>
                <w:b/>
              </w:rPr>
            </w:pPr>
            <w:r w:rsidRPr="007D1918">
              <w:rPr>
                <w:b/>
              </w:rPr>
              <w:t>Discount rate</w:t>
            </w:r>
          </w:p>
        </w:tc>
        <w:tc>
          <w:tcPr>
            <w:tcW w:w="2694" w:type="dxa"/>
            <w:tcBorders>
              <w:top w:val="single" w:sz="4" w:space="0" w:color="auto"/>
              <w:left w:val="single" w:sz="4" w:space="0" w:color="auto"/>
              <w:bottom w:val="single" w:sz="4" w:space="0" w:color="auto"/>
              <w:right w:val="single" w:sz="4" w:space="0" w:color="auto"/>
            </w:tcBorders>
          </w:tcPr>
          <w:p w14:paraId="392EF183" w14:textId="399EE0CE" w:rsidR="00AD42C9" w:rsidRPr="007D1918" w:rsidRDefault="00AD42C9" w:rsidP="00AD42C9">
            <w:pPr>
              <w:pStyle w:val="Tabletext1"/>
            </w:pPr>
            <w:r w:rsidRPr="007D1918">
              <w:t>NA (5% pa to costs and outcomes in exploratory analysis)</w:t>
            </w:r>
          </w:p>
        </w:tc>
        <w:tc>
          <w:tcPr>
            <w:tcW w:w="2186" w:type="dxa"/>
            <w:tcBorders>
              <w:top w:val="single" w:sz="4" w:space="0" w:color="auto"/>
              <w:left w:val="single" w:sz="4" w:space="0" w:color="auto"/>
              <w:bottom w:val="single" w:sz="4" w:space="0" w:color="auto"/>
              <w:right w:val="single" w:sz="4" w:space="0" w:color="auto"/>
            </w:tcBorders>
          </w:tcPr>
          <w:p w14:paraId="58F40EDF" w14:textId="647D1AD4" w:rsidR="00AD42C9" w:rsidRPr="007D1918" w:rsidRDefault="00AD42C9" w:rsidP="00AD42C9">
            <w:pPr>
              <w:pStyle w:val="Tabletext1"/>
            </w:pPr>
            <w:r w:rsidRPr="007D1918">
              <w:t>NA</w:t>
            </w:r>
          </w:p>
        </w:tc>
        <w:tc>
          <w:tcPr>
            <w:tcW w:w="2440" w:type="dxa"/>
            <w:tcBorders>
              <w:top w:val="single" w:sz="4" w:space="0" w:color="auto"/>
              <w:left w:val="single" w:sz="4" w:space="0" w:color="auto"/>
              <w:bottom w:val="single" w:sz="4" w:space="0" w:color="auto"/>
              <w:right w:val="single" w:sz="4" w:space="0" w:color="auto"/>
            </w:tcBorders>
          </w:tcPr>
          <w:p w14:paraId="25EB6A83" w14:textId="502274CE" w:rsidR="00AD42C9" w:rsidRPr="007D1918" w:rsidRDefault="00AD42C9" w:rsidP="00AD42C9">
            <w:pPr>
              <w:pStyle w:val="Tabletext1"/>
            </w:pPr>
            <w:r w:rsidRPr="007D1918">
              <w:t>5% pa to costs and outcomes</w:t>
            </w:r>
          </w:p>
        </w:tc>
      </w:tr>
      <w:tr w:rsidR="00AD42C9" w:rsidRPr="007D1918" w14:paraId="6F1951B4" w14:textId="77777777" w:rsidTr="00FC73B5">
        <w:trPr>
          <w:trHeight w:val="20"/>
        </w:trPr>
        <w:tc>
          <w:tcPr>
            <w:tcW w:w="1701" w:type="dxa"/>
            <w:tcBorders>
              <w:top w:val="single" w:sz="4" w:space="0" w:color="auto"/>
              <w:left w:val="single" w:sz="4" w:space="0" w:color="auto"/>
              <w:bottom w:val="single" w:sz="4" w:space="0" w:color="auto"/>
              <w:right w:val="single" w:sz="4" w:space="0" w:color="auto"/>
            </w:tcBorders>
            <w:hideMark/>
          </w:tcPr>
          <w:p w14:paraId="6FD4472F" w14:textId="6A4EDC9D" w:rsidR="00AD42C9" w:rsidRPr="007D1918" w:rsidRDefault="00AD42C9" w:rsidP="00AD42C9">
            <w:pPr>
              <w:pStyle w:val="Tabletext1"/>
              <w:rPr>
                <w:b/>
              </w:rPr>
            </w:pPr>
            <w:r w:rsidRPr="007D1918">
              <w:rPr>
                <w:b/>
              </w:rPr>
              <w:t>Software packages used</w:t>
            </w:r>
          </w:p>
        </w:tc>
        <w:tc>
          <w:tcPr>
            <w:tcW w:w="2694" w:type="dxa"/>
            <w:tcBorders>
              <w:top w:val="single" w:sz="4" w:space="0" w:color="auto"/>
              <w:left w:val="single" w:sz="4" w:space="0" w:color="auto"/>
              <w:bottom w:val="single" w:sz="4" w:space="0" w:color="auto"/>
              <w:right w:val="single" w:sz="4" w:space="0" w:color="auto"/>
            </w:tcBorders>
          </w:tcPr>
          <w:p w14:paraId="3DBBCC3D" w14:textId="34EFFD09" w:rsidR="00AD42C9" w:rsidRPr="007D1918" w:rsidRDefault="00AD42C9" w:rsidP="00AD42C9">
            <w:pPr>
              <w:pStyle w:val="Tabletext1"/>
            </w:pPr>
            <w:r w:rsidRPr="007D1918">
              <w:t>Excel</w:t>
            </w:r>
          </w:p>
        </w:tc>
        <w:tc>
          <w:tcPr>
            <w:tcW w:w="2186" w:type="dxa"/>
            <w:tcBorders>
              <w:top w:val="single" w:sz="4" w:space="0" w:color="auto"/>
              <w:left w:val="single" w:sz="4" w:space="0" w:color="auto"/>
              <w:bottom w:val="single" w:sz="4" w:space="0" w:color="auto"/>
              <w:right w:val="single" w:sz="4" w:space="0" w:color="auto"/>
            </w:tcBorders>
          </w:tcPr>
          <w:p w14:paraId="689704DE" w14:textId="0A81012D" w:rsidR="00AD42C9" w:rsidRPr="007D1918" w:rsidRDefault="00AD42C9" w:rsidP="00AD42C9">
            <w:pPr>
              <w:pStyle w:val="Tabletext1"/>
            </w:pPr>
            <w:r w:rsidRPr="007D1918">
              <w:t>Excel</w:t>
            </w:r>
          </w:p>
        </w:tc>
        <w:tc>
          <w:tcPr>
            <w:tcW w:w="2440" w:type="dxa"/>
            <w:tcBorders>
              <w:top w:val="single" w:sz="4" w:space="0" w:color="auto"/>
              <w:left w:val="single" w:sz="4" w:space="0" w:color="auto"/>
              <w:bottom w:val="single" w:sz="4" w:space="0" w:color="auto"/>
              <w:right w:val="single" w:sz="4" w:space="0" w:color="auto"/>
            </w:tcBorders>
          </w:tcPr>
          <w:p w14:paraId="04A2A825" w14:textId="123CACFB" w:rsidR="00AD42C9" w:rsidRPr="007D1918" w:rsidRDefault="00AD42C9" w:rsidP="00AD42C9">
            <w:pPr>
              <w:pStyle w:val="Tabletext1"/>
            </w:pPr>
            <w:r w:rsidRPr="007D1918">
              <w:t>Excel</w:t>
            </w:r>
          </w:p>
        </w:tc>
      </w:tr>
    </w:tbl>
    <w:p w14:paraId="7E91D797" w14:textId="77777777" w:rsidR="00AD42C9" w:rsidRPr="007D1918" w:rsidRDefault="00AD42C9" w:rsidP="00AD42C9">
      <w:pPr>
        <w:pStyle w:val="Tablenotes1"/>
      </w:pPr>
      <w:r w:rsidRPr="007D1918">
        <w:t>IVIg = intravenous immunoglobulin; MG = myasthenia gravis; NA = not applicable; NBA = National Blood Authority; PE = plasma exchange; QALY = quality adjusted life year; RCT = randomised controlled trial</w:t>
      </w:r>
    </w:p>
    <w:p w14:paraId="0BEE9B10" w14:textId="5A0736C9" w:rsidR="004C190C" w:rsidRPr="007D1918" w:rsidRDefault="004C190C" w:rsidP="007B12FA">
      <w:pPr>
        <w:jc w:val="both"/>
      </w:pPr>
      <w:r w:rsidRPr="007D1918">
        <w:t xml:space="preserve">Assumptions </w:t>
      </w:r>
      <w:r w:rsidR="003D7215" w:rsidRPr="007D1918">
        <w:t xml:space="preserve">in the economic analyses </w:t>
      </w:r>
      <w:r w:rsidRPr="007D1918">
        <w:t>are</w:t>
      </w:r>
      <w:r w:rsidR="005A00F0" w:rsidRPr="007D1918">
        <w:t>:</w:t>
      </w:r>
    </w:p>
    <w:p w14:paraId="4020F7AD" w14:textId="0D5B7BB2" w:rsidR="004C190C" w:rsidRPr="007D1918" w:rsidRDefault="005B3D09" w:rsidP="007B12FA">
      <w:pPr>
        <w:pStyle w:val="ListParagraph"/>
        <w:numPr>
          <w:ilvl w:val="0"/>
          <w:numId w:val="44"/>
        </w:numPr>
        <w:jc w:val="both"/>
      </w:pPr>
      <w:r w:rsidRPr="007D1918">
        <w:t>For Indication 1</w:t>
      </w:r>
      <w:r w:rsidR="003D7215" w:rsidRPr="007D1918">
        <w:t>:</w:t>
      </w:r>
      <w:r w:rsidRPr="007D1918">
        <w:t xml:space="preserve"> </w:t>
      </w:r>
      <w:r w:rsidR="003D7215" w:rsidRPr="007D1918">
        <w:t xml:space="preserve">There are no differences in MG crisis-related health outcomes associated with treatment effectiveness for IVIg compared to PE, but there are safety outcome differences which can be modelled because PE is associated with more adverse events. Also; </w:t>
      </w:r>
      <w:r w:rsidRPr="007D1918">
        <w:t>because the patient is already in an ICU setting, d</w:t>
      </w:r>
      <w:r w:rsidR="004C190C" w:rsidRPr="007D1918">
        <w:t xml:space="preserve">ifferences in </w:t>
      </w:r>
      <w:r w:rsidRPr="007D1918">
        <w:t xml:space="preserve">minor </w:t>
      </w:r>
      <w:r w:rsidR="004C190C" w:rsidRPr="007D1918">
        <w:t>adverse event</w:t>
      </w:r>
      <w:r w:rsidRPr="007D1918">
        <w:t xml:space="preserve">s </w:t>
      </w:r>
      <w:r w:rsidR="004C190C" w:rsidRPr="007D1918">
        <w:t>that do not necessitate treatment discontinuation</w:t>
      </w:r>
      <w:r w:rsidR="00EA6403" w:rsidRPr="007D1918">
        <w:t xml:space="preserve"> </w:t>
      </w:r>
      <w:r w:rsidR="004C190C" w:rsidRPr="007D1918">
        <w:t>have minimal economic consequences</w:t>
      </w:r>
      <w:r w:rsidR="00D33CF6" w:rsidRPr="007D1918">
        <w:t>. H</w:t>
      </w:r>
      <w:r w:rsidR="00AD42C9" w:rsidRPr="007D1918">
        <w:t xml:space="preserve">owever </w:t>
      </w:r>
      <w:r w:rsidR="00D33CF6" w:rsidRPr="007D1918">
        <w:t xml:space="preserve">potential </w:t>
      </w:r>
      <w:r w:rsidRPr="007D1918">
        <w:t xml:space="preserve">highly </w:t>
      </w:r>
      <w:r w:rsidR="00D33CF6" w:rsidRPr="007D1918">
        <w:t xml:space="preserve">serious </w:t>
      </w:r>
      <w:r w:rsidR="00AD42C9" w:rsidRPr="007D1918">
        <w:t>adverse events</w:t>
      </w:r>
      <w:r w:rsidR="00D33CF6" w:rsidRPr="007D1918">
        <w:t xml:space="preserve"> associated with PE (retroperitoneal haematoma, thrombois and sepsis) </w:t>
      </w:r>
      <w:r w:rsidRPr="007D1918">
        <w:t xml:space="preserve">are clinically significant and </w:t>
      </w:r>
      <w:r w:rsidR="00D33CF6" w:rsidRPr="007D1918">
        <w:t xml:space="preserve">have </w:t>
      </w:r>
      <w:r w:rsidR="00AD42C9" w:rsidRPr="007D1918">
        <w:t xml:space="preserve">both resource </w:t>
      </w:r>
      <w:r w:rsidRPr="007D1918">
        <w:t xml:space="preserve">use </w:t>
      </w:r>
      <w:r w:rsidR="00AD42C9" w:rsidRPr="007D1918">
        <w:t xml:space="preserve">and </w:t>
      </w:r>
      <w:r w:rsidRPr="007D1918">
        <w:t>q</w:t>
      </w:r>
      <w:r w:rsidR="00AD42C9" w:rsidRPr="007D1918">
        <w:t>uality of life implications</w:t>
      </w:r>
      <w:r w:rsidR="005A00F0" w:rsidRPr="007D1918">
        <w:t>;</w:t>
      </w:r>
    </w:p>
    <w:p w14:paraId="58BC8EE7" w14:textId="53CE4DC4" w:rsidR="004C190C" w:rsidRPr="007D1918" w:rsidRDefault="003D7215" w:rsidP="007B12FA">
      <w:pPr>
        <w:pStyle w:val="ListParagraph"/>
        <w:numPr>
          <w:ilvl w:val="0"/>
          <w:numId w:val="44"/>
        </w:numPr>
        <w:jc w:val="both"/>
      </w:pPr>
      <w:r w:rsidRPr="007D1918">
        <w:t>F</w:t>
      </w:r>
      <w:r w:rsidR="003037AE" w:rsidRPr="007D1918">
        <w:t>or I</w:t>
      </w:r>
      <w:r w:rsidRPr="007D1918">
        <w:t>ndication 2: A</w:t>
      </w:r>
      <w:r w:rsidR="00EA6403" w:rsidRPr="007D1918">
        <w:t xml:space="preserve"> </w:t>
      </w:r>
      <w:r w:rsidRPr="007D1918">
        <w:t xml:space="preserve">statistically significant </w:t>
      </w:r>
      <w:r w:rsidR="004C190C" w:rsidRPr="007D1918">
        <w:t xml:space="preserve">difference in average operation time </w:t>
      </w:r>
      <w:r w:rsidRPr="007D1918">
        <w:t xml:space="preserve">that </w:t>
      </w:r>
      <w:r w:rsidR="004C190C" w:rsidRPr="007D1918">
        <w:t xml:space="preserve">was </w:t>
      </w:r>
      <w:r w:rsidRPr="007D1918">
        <w:t xml:space="preserve">observed in the RCT is assumed to be </w:t>
      </w:r>
      <w:r w:rsidR="004C190C" w:rsidRPr="007D1918">
        <w:t xml:space="preserve">associated with the </w:t>
      </w:r>
      <w:r w:rsidR="00EA6403" w:rsidRPr="007D1918">
        <w:t xml:space="preserve">pre-surgery </w:t>
      </w:r>
      <w:r w:rsidR="004C190C" w:rsidRPr="007D1918">
        <w:t>treatments</w:t>
      </w:r>
      <w:r w:rsidR="005B3D09" w:rsidRPr="007D1918">
        <w:t xml:space="preserve"> in the base case</w:t>
      </w:r>
      <w:r w:rsidRPr="007D1918">
        <w:t xml:space="preserve"> (</w:t>
      </w:r>
      <w:r w:rsidR="005B3D09" w:rsidRPr="007D1918">
        <w:t>but an alternative assumption</w:t>
      </w:r>
      <w:r w:rsidRPr="007D1918">
        <w:t xml:space="preserve">; that this is a chance finding, </w:t>
      </w:r>
      <w:r w:rsidR="005B3D09" w:rsidRPr="007D1918">
        <w:t xml:space="preserve">is </w:t>
      </w:r>
      <w:r w:rsidRPr="007D1918">
        <w:t xml:space="preserve">also </w:t>
      </w:r>
      <w:r w:rsidR="005B3D09" w:rsidRPr="007D1918">
        <w:t>tested</w:t>
      </w:r>
      <w:r w:rsidRPr="007D1918">
        <w:t xml:space="preserve"> </w:t>
      </w:r>
      <w:r w:rsidR="009925BC" w:rsidRPr="007D1918">
        <w:t xml:space="preserve">as a scenario </w:t>
      </w:r>
      <w:r w:rsidRPr="007D1918">
        <w:t>analys</w:t>
      </w:r>
      <w:r w:rsidR="009925BC" w:rsidRPr="007D1918">
        <w:t>i</w:t>
      </w:r>
      <w:r w:rsidRPr="007D1918">
        <w:t>s)</w:t>
      </w:r>
      <w:r w:rsidR="004C190C" w:rsidRPr="007D1918">
        <w:t>.</w:t>
      </w:r>
    </w:p>
    <w:p w14:paraId="2163918E" w14:textId="3668B198" w:rsidR="003037AE" w:rsidRPr="007D1918" w:rsidRDefault="003037AE" w:rsidP="007B12FA">
      <w:pPr>
        <w:pStyle w:val="ListParagraph"/>
        <w:numPr>
          <w:ilvl w:val="0"/>
          <w:numId w:val="44"/>
        </w:numPr>
        <w:jc w:val="both"/>
      </w:pPr>
      <w:r w:rsidRPr="007D1918">
        <w:t>For Indication 3: The various analyses assume that, aside from induction doses, maintenance doses of IVIg, PE and pharmaceuticals would be con</w:t>
      </w:r>
      <w:r w:rsidR="00DA7EBF" w:rsidRPr="007D1918">
        <w:t>s</w:t>
      </w:r>
      <w:r w:rsidRPr="007D1918">
        <w:t>tant and follow a regular treatment pattern</w:t>
      </w:r>
      <w:r w:rsidR="00F26A21" w:rsidRPr="007D1918">
        <w:t xml:space="preserve"> (however in </w:t>
      </w:r>
      <w:r w:rsidRPr="007D1918">
        <w:t xml:space="preserve">clinical practice </w:t>
      </w:r>
      <w:r w:rsidR="00F26A21" w:rsidRPr="007D1918">
        <w:t xml:space="preserve">these </w:t>
      </w:r>
      <w:r w:rsidRPr="007D1918">
        <w:t>may fluctuate</w:t>
      </w:r>
      <w:r w:rsidR="00F26A21" w:rsidRPr="007D1918">
        <w:t>)</w:t>
      </w:r>
      <w:r w:rsidRPr="007D1918">
        <w:t xml:space="preserve">. </w:t>
      </w:r>
      <w:r w:rsidR="00F26A21" w:rsidRPr="007D1918">
        <w:t xml:space="preserve">Monitoring costs are included, but </w:t>
      </w:r>
      <w:r w:rsidR="00F26A21" w:rsidRPr="007D1918">
        <w:lastRenderedPageBreak/>
        <w:t xml:space="preserve">costs associated with treatment of adverse events are not included in the base case analyses. </w:t>
      </w:r>
      <w:r w:rsidRPr="007D1918">
        <w:t>Additionally,</w:t>
      </w:r>
      <w:r w:rsidR="00F26A21" w:rsidRPr="007D1918">
        <w:t xml:space="preserve"> it is assumed that</w:t>
      </w:r>
      <w:r w:rsidRPr="007D1918">
        <w:t xml:space="preserve"> only 5% of PE patients </w:t>
      </w:r>
      <w:r w:rsidR="00F26A21" w:rsidRPr="007D1918">
        <w:t xml:space="preserve">utilise </w:t>
      </w:r>
      <w:r w:rsidRPr="007D1918">
        <w:t>fistula</w:t>
      </w:r>
      <w:r w:rsidR="00F26A21" w:rsidRPr="007D1918">
        <w:t>-based</w:t>
      </w:r>
      <w:r w:rsidRPr="007D1918">
        <w:t xml:space="preserve"> IV access, and non-fistula IV access devices require replacement </w:t>
      </w:r>
      <w:r w:rsidR="00F26A21" w:rsidRPr="007D1918">
        <w:t>approximately</w:t>
      </w:r>
      <w:r w:rsidRPr="007D1918">
        <w:t xml:space="preserve"> every three years</w:t>
      </w:r>
      <w:r w:rsidR="00F26A21" w:rsidRPr="007D1918">
        <w:t>, on average</w:t>
      </w:r>
      <w:r w:rsidRPr="007D1918">
        <w:t>.</w:t>
      </w:r>
    </w:p>
    <w:p w14:paraId="3E2C3C8C" w14:textId="40571A06" w:rsidR="00133A8D" w:rsidRPr="007D1918" w:rsidRDefault="00133A8D" w:rsidP="007B12FA">
      <w:pPr>
        <w:jc w:val="both"/>
      </w:pPr>
      <w:r w:rsidRPr="007D1918">
        <w:t xml:space="preserve">The overall costs and incremental costs </w:t>
      </w:r>
      <w:r w:rsidR="00B23A3F" w:rsidRPr="007D1918">
        <w:t xml:space="preserve">and consequences </w:t>
      </w:r>
      <w:r w:rsidRPr="007D1918">
        <w:t>for</w:t>
      </w:r>
      <w:r w:rsidR="003B54F2" w:rsidRPr="007D1918">
        <w:t xml:space="preserve"> IVIg and PE</w:t>
      </w:r>
      <w:r w:rsidRPr="007D1918">
        <w:t xml:space="preserve"> in </w:t>
      </w:r>
      <w:r w:rsidR="003B54F2" w:rsidRPr="007D1918">
        <w:t>the Indication 1</w:t>
      </w:r>
      <w:r w:rsidR="006963D0" w:rsidRPr="007D1918">
        <w:t xml:space="preserve"> </w:t>
      </w:r>
      <w:r w:rsidR="00E34D65" w:rsidRPr="007D1918">
        <w:t>analys</w:t>
      </w:r>
      <w:r w:rsidR="003B54F2" w:rsidRPr="007D1918">
        <w:t>is</w:t>
      </w:r>
      <w:r w:rsidR="006963D0" w:rsidRPr="007D1918">
        <w:t>, using</w:t>
      </w:r>
      <w:r w:rsidRPr="007D1918">
        <w:t xml:space="preserve"> the base case assumptions, are shown in the table below.</w:t>
      </w:r>
    </w:p>
    <w:p w14:paraId="421BAA84" w14:textId="4C73A59B" w:rsidR="00133A8D" w:rsidRPr="007D1918" w:rsidRDefault="00133A8D" w:rsidP="00133A8D">
      <w:pPr>
        <w:pStyle w:val="Caption"/>
        <w:keepNext/>
        <w:jc w:val="both"/>
      </w:pPr>
      <w:bookmarkStart w:id="77" w:name="_Toc23769489"/>
      <w:r w:rsidRPr="007D1918">
        <w:t xml:space="preserve">Table </w:t>
      </w:r>
      <w:r w:rsidR="00FE2DC6" w:rsidRPr="007D1918">
        <w:rPr>
          <w:noProof/>
        </w:rPr>
        <w:fldChar w:fldCharType="begin"/>
      </w:r>
      <w:r w:rsidR="00FE2DC6" w:rsidRPr="007D1918">
        <w:rPr>
          <w:noProof/>
        </w:rPr>
        <w:instrText xml:space="preserve"> SEQ Table \* ARABIC </w:instrText>
      </w:r>
      <w:r w:rsidR="00FE2DC6" w:rsidRPr="007D1918">
        <w:rPr>
          <w:noProof/>
        </w:rPr>
        <w:fldChar w:fldCharType="separate"/>
      </w:r>
      <w:r w:rsidR="007C33AD" w:rsidRPr="007D1918">
        <w:rPr>
          <w:noProof/>
        </w:rPr>
        <w:t>2</w:t>
      </w:r>
      <w:r w:rsidR="00FE2DC6" w:rsidRPr="007D1918">
        <w:rPr>
          <w:noProof/>
        </w:rPr>
        <w:fldChar w:fldCharType="end"/>
      </w:r>
      <w:r w:rsidRPr="007D1918">
        <w:t xml:space="preserve"> </w:t>
      </w:r>
      <w:r w:rsidRPr="007D1918">
        <w:tab/>
      </w:r>
      <w:r w:rsidR="003B54F2" w:rsidRPr="007D1918">
        <w:t>Indication 1:</w:t>
      </w:r>
      <w:bookmarkEnd w:id="77"/>
      <w:r w:rsidR="005B3D09" w:rsidRPr="007D1918">
        <w:t xml:space="preserve"> Selected results from a stepped cost </w:t>
      </w:r>
      <w:r w:rsidR="00F26A21" w:rsidRPr="007D1918">
        <w:t>consequences</w:t>
      </w:r>
      <w:r w:rsidR="00F26A21" w:rsidRPr="007D1918" w:rsidDel="00F26A21">
        <w:t xml:space="preserve"> </w:t>
      </w:r>
      <w:r w:rsidR="005B3D09" w:rsidRPr="007D1918">
        <w:t xml:space="preserve">and cost </w:t>
      </w:r>
      <w:r w:rsidR="00F26A21" w:rsidRPr="007D1918">
        <w:t xml:space="preserve">utility </w:t>
      </w:r>
      <w:r w:rsidR="005B3D09" w:rsidRPr="007D1918">
        <w:t>analysis</w:t>
      </w:r>
    </w:p>
    <w:tbl>
      <w:tblPr>
        <w:tblStyle w:val="TableGrid2"/>
        <w:tblW w:w="8432"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043"/>
        <w:gridCol w:w="1347"/>
        <w:gridCol w:w="1348"/>
        <w:gridCol w:w="1694"/>
      </w:tblGrid>
      <w:tr w:rsidR="00B23A3F" w:rsidRPr="007D1918" w14:paraId="2F3EBC6A" w14:textId="77777777" w:rsidTr="007B12FA">
        <w:trPr>
          <w:cnfStyle w:val="100000000000" w:firstRow="1" w:lastRow="0" w:firstColumn="0" w:lastColumn="0" w:oddVBand="0" w:evenVBand="0" w:oddHBand="0" w:evenHBand="0" w:firstRowFirstColumn="0" w:firstRowLastColumn="0" w:lastRowFirstColumn="0" w:lastRowLastColumn="0"/>
          <w:tblHeader/>
        </w:trPr>
        <w:tc>
          <w:tcPr>
            <w:tcW w:w="4043" w:type="dxa"/>
            <w:tcBorders>
              <w:bottom w:val="single" w:sz="4" w:space="0" w:color="auto"/>
            </w:tcBorders>
          </w:tcPr>
          <w:p w14:paraId="044B9DC3" w14:textId="77777777" w:rsidR="00B23A3F" w:rsidRPr="007D1918" w:rsidRDefault="00B23A3F" w:rsidP="007B12FA">
            <w:pPr>
              <w:keepNext/>
              <w:keepLines/>
              <w:spacing w:after="40" w:line="240" w:lineRule="auto"/>
              <w:jc w:val="both"/>
              <w:rPr>
                <w:rFonts w:ascii="Arial Narrow" w:hAnsi="Arial Narrow"/>
                <w:b/>
                <w:sz w:val="20"/>
                <w:szCs w:val="20"/>
              </w:rPr>
            </w:pPr>
          </w:p>
        </w:tc>
        <w:tc>
          <w:tcPr>
            <w:tcW w:w="1347" w:type="dxa"/>
            <w:tcBorders>
              <w:bottom w:val="single" w:sz="4" w:space="0" w:color="auto"/>
            </w:tcBorders>
          </w:tcPr>
          <w:p w14:paraId="63F00666" w14:textId="77777777" w:rsidR="00B23A3F" w:rsidRPr="007D1918" w:rsidRDefault="00B23A3F" w:rsidP="007B12FA">
            <w:pPr>
              <w:keepNext/>
              <w:keepLines/>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1348" w:type="dxa"/>
            <w:tcBorders>
              <w:bottom w:val="single" w:sz="4" w:space="0" w:color="auto"/>
            </w:tcBorders>
          </w:tcPr>
          <w:p w14:paraId="0A32589D" w14:textId="77777777" w:rsidR="00B23A3F" w:rsidRPr="007D1918" w:rsidRDefault="00B23A3F" w:rsidP="007B12FA">
            <w:pPr>
              <w:keepNext/>
              <w:keepLines/>
              <w:spacing w:after="40" w:line="240" w:lineRule="auto"/>
              <w:jc w:val="center"/>
              <w:rPr>
                <w:rFonts w:ascii="Arial Narrow" w:hAnsi="Arial Narrow"/>
                <w:b/>
                <w:sz w:val="20"/>
                <w:szCs w:val="20"/>
              </w:rPr>
            </w:pPr>
            <w:r w:rsidRPr="007D1918">
              <w:rPr>
                <w:rFonts w:ascii="Arial Narrow" w:hAnsi="Arial Narrow"/>
                <w:b/>
                <w:sz w:val="20"/>
                <w:szCs w:val="20"/>
              </w:rPr>
              <w:t>PE</w:t>
            </w:r>
          </w:p>
        </w:tc>
        <w:tc>
          <w:tcPr>
            <w:tcW w:w="1694" w:type="dxa"/>
            <w:tcBorders>
              <w:bottom w:val="single" w:sz="4" w:space="0" w:color="auto"/>
            </w:tcBorders>
          </w:tcPr>
          <w:p w14:paraId="487E458B" w14:textId="20601630" w:rsidR="00B23A3F" w:rsidRPr="007D1918" w:rsidRDefault="00B23A3F" w:rsidP="003B54F2">
            <w:pPr>
              <w:keepNext/>
              <w:keepLines/>
              <w:spacing w:after="40" w:line="240" w:lineRule="auto"/>
              <w:jc w:val="center"/>
              <w:rPr>
                <w:rFonts w:ascii="Arial Narrow" w:hAnsi="Arial Narrow"/>
                <w:b/>
                <w:sz w:val="20"/>
                <w:szCs w:val="20"/>
              </w:rPr>
            </w:pPr>
            <w:r w:rsidRPr="007D1918">
              <w:rPr>
                <w:rFonts w:ascii="Arial Narrow" w:hAnsi="Arial Narrow"/>
                <w:b/>
                <w:sz w:val="20"/>
                <w:szCs w:val="20"/>
              </w:rPr>
              <w:t>Increment</w:t>
            </w:r>
          </w:p>
        </w:tc>
      </w:tr>
      <w:tr w:rsidR="005B3D09" w:rsidRPr="007D1918" w14:paraId="51DF0EF2" w14:textId="77777777" w:rsidTr="005B3D09">
        <w:trPr>
          <w:cnfStyle w:val="100000000000" w:firstRow="1" w:lastRow="0" w:firstColumn="0" w:lastColumn="0" w:oddVBand="0" w:evenVBand="0" w:oddHBand="0" w:evenHBand="0" w:firstRowFirstColumn="0" w:firstRowLastColumn="0" w:lastRowFirstColumn="0" w:lastRowLastColumn="0"/>
          <w:tblHeader/>
        </w:trPr>
        <w:tc>
          <w:tcPr>
            <w:tcW w:w="8432" w:type="dxa"/>
            <w:gridSpan w:val="4"/>
            <w:tcBorders>
              <w:bottom w:val="single" w:sz="4" w:space="0" w:color="auto"/>
            </w:tcBorders>
            <w:vAlign w:val="center"/>
          </w:tcPr>
          <w:p w14:paraId="1A7D3ECD" w14:textId="53338C43" w:rsidR="005B3D09" w:rsidRPr="007D1918" w:rsidRDefault="005B3D09" w:rsidP="005E0FC6">
            <w:pPr>
              <w:keepNext/>
              <w:keepLines/>
              <w:spacing w:after="40" w:line="240" w:lineRule="auto"/>
              <w:rPr>
                <w:rFonts w:ascii="Arial Narrow" w:hAnsi="Arial Narrow"/>
                <w:b/>
                <w:sz w:val="20"/>
                <w:szCs w:val="20"/>
              </w:rPr>
            </w:pPr>
            <w:r w:rsidRPr="007D1918">
              <w:rPr>
                <w:rFonts w:ascii="Arial Narrow" w:hAnsi="Arial Narrow"/>
                <w:b/>
                <w:sz w:val="20"/>
                <w:szCs w:val="20"/>
              </w:rPr>
              <w:t xml:space="preserve">Step 4: </w:t>
            </w:r>
            <w:r w:rsidR="005E0FC6" w:rsidRPr="007D1918">
              <w:rPr>
                <w:rFonts w:ascii="Arial Narrow" w:hAnsi="Arial Narrow"/>
                <w:b/>
                <w:sz w:val="20"/>
                <w:szCs w:val="20"/>
              </w:rPr>
              <w:t>RCT</w:t>
            </w:r>
            <w:r w:rsidRPr="007D1918">
              <w:rPr>
                <w:rFonts w:ascii="Arial Narrow" w:hAnsi="Arial Narrow"/>
                <w:b/>
                <w:sz w:val="20"/>
                <w:szCs w:val="20"/>
              </w:rPr>
              <w:t xml:space="preserve"> evidence base adapted to Australian resource use patterns</w:t>
            </w:r>
          </w:p>
        </w:tc>
      </w:tr>
      <w:tr w:rsidR="005B3D09" w:rsidRPr="007D1918" w14:paraId="54D710C6" w14:textId="77777777" w:rsidTr="00AE70DC">
        <w:tc>
          <w:tcPr>
            <w:tcW w:w="4043" w:type="dxa"/>
          </w:tcPr>
          <w:p w14:paraId="43D6C13A" w14:textId="77777777" w:rsidR="005B3D09" w:rsidRPr="007D1918" w:rsidRDefault="005B3D09" w:rsidP="005B3D09">
            <w:pPr>
              <w:keepNext/>
              <w:keepLines/>
              <w:spacing w:after="40" w:line="240" w:lineRule="auto"/>
              <w:jc w:val="both"/>
              <w:rPr>
                <w:rFonts w:ascii="Arial Narrow" w:hAnsi="Arial Narrow"/>
                <w:sz w:val="20"/>
                <w:szCs w:val="20"/>
              </w:rPr>
            </w:pPr>
            <w:r w:rsidRPr="007D1918">
              <w:rPr>
                <w:rFonts w:ascii="Arial Narrow" w:hAnsi="Arial Narrow"/>
                <w:sz w:val="20"/>
                <w:szCs w:val="20"/>
              </w:rPr>
              <w:t>Total Costs</w:t>
            </w:r>
          </w:p>
        </w:tc>
        <w:tc>
          <w:tcPr>
            <w:tcW w:w="1347" w:type="dxa"/>
            <w:tcBorders>
              <w:top w:val="single" w:sz="4" w:space="0" w:color="auto"/>
              <w:left w:val="nil"/>
              <w:bottom w:val="single" w:sz="4" w:space="0" w:color="auto"/>
              <w:right w:val="single" w:sz="4" w:space="0" w:color="auto"/>
            </w:tcBorders>
            <w:shd w:val="clear" w:color="auto" w:fill="auto"/>
            <w:vAlign w:val="bottom"/>
          </w:tcPr>
          <w:p w14:paraId="20BF9840" w14:textId="36C1E69A" w:rsidR="005B3D09" w:rsidRPr="007D1918" w:rsidRDefault="005B3D09" w:rsidP="005B3D09">
            <w:pPr>
              <w:keepNext/>
              <w:keepLines/>
              <w:spacing w:after="40" w:line="240" w:lineRule="auto"/>
              <w:jc w:val="right"/>
              <w:rPr>
                <w:rFonts w:ascii="Arial Narrow" w:hAnsi="Arial Narrow"/>
                <w:sz w:val="20"/>
                <w:szCs w:val="20"/>
              </w:rPr>
            </w:pPr>
            <w:r w:rsidRPr="007D1918">
              <w:rPr>
                <w:rFonts w:ascii="Arial Narrow" w:hAnsi="Arial Narrow"/>
                <w:sz w:val="20"/>
                <w:szCs w:val="20"/>
              </w:rPr>
              <w:t>$58,895</w:t>
            </w:r>
          </w:p>
        </w:tc>
        <w:tc>
          <w:tcPr>
            <w:tcW w:w="1348" w:type="dxa"/>
            <w:tcBorders>
              <w:top w:val="nil"/>
              <w:left w:val="nil"/>
              <w:bottom w:val="nil"/>
              <w:right w:val="nil"/>
            </w:tcBorders>
            <w:shd w:val="clear" w:color="auto" w:fill="auto"/>
            <w:vAlign w:val="bottom"/>
          </w:tcPr>
          <w:p w14:paraId="7140A258" w14:textId="07CE4999" w:rsidR="005B3D09" w:rsidRPr="007D1918" w:rsidRDefault="005B3D09" w:rsidP="005B3D09">
            <w:pPr>
              <w:keepNext/>
              <w:keepLines/>
              <w:spacing w:after="40" w:line="240" w:lineRule="auto"/>
              <w:jc w:val="right"/>
              <w:rPr>
                <w:rFonts w:ascii="Arial Narrow" w:hAnsi="Arial Narrow"/>
                <w:sz w:val="20"/>
                <w:szCs w:val="20"/>
              </w:rPr>
            </w:pPr>
            <w:r w:rsidRPr="007D1918">
              <w:rPr>
                <w:rFonts w:ascii="Arial Narrow" w:hAnsi="Arial Narrow"/>
                <w:sz w:val="20"/>
                <w:szCs w:val="20"/>
              </w:rPr>
              <w:t>$50,998</w:t>
            </w:r>
          </w:p>
        </w:tc>
        <w:tc>
          <w:tcPr>
            <w:tcW w:w="1694" w:type="dxa"/>
            <w:tcBorders>
              <w:top w:val="nil"/>
              <w:left w:val="nil"/>
              <w:bottom w:val="nil"/>
              <w:right w:val="nil"/>
            </w:tcBorders>
            <w:shd w:val="clear" w:color="auto" w:fill="auto"/>
            <w:vAlign w:val="bottom"/>
          </w:tcPr>
          <w:p w14:paraId="57A0F4AA" w14:textId="23922CD5" w:rsidR="005B3D09" w:rsidRPr="007D1918" w:rsidRDefault="005B3D09" w:rsidP="005B3D09">
            <w:pPr>
              <w:keepNext/>
              <w:keepLines/>
              <w:spacing w:after="40" w:line="240" w:lineRule="auto"/>
              <w:jc w:val="right"/>
              <w:rPr>
                <w:rFonts w:ascii="Arial Narrow" w:hAnsi="Arial Narrow"/>
                <w:sz w:val="20"/>
                <w:szCs w:val="20"/>
              </w:rPr>
            </w:pPr>
            <w:r w:rsidRPr="007D1918">
              <w:rPr>
                <w:rFonts w:ascii="Arial Narrow" w:hAnsi="Arial Narrow"/>
                <w:sz w:val="20"/>
                <w:szCs w:val="20"/>
              </w:rPr>
              <w:t>$7,898</w:t>
            </w:r>
          </w:p>
        </w:tc>
      </w:tr>
      <w:tr w:rsidR="00B23A3F" w:rsidRPr="007D1918" w14:paraId="1BFAE445" w14:textId="77777777" w:rsidTr="007B12FA">
        <w:tc>
          <w:tcPr>
            <w:tcW w:w="8432" w:type="dxa"/>
            <w:gridSpan w:val="4"/>
          </w:tcPr>
          <w:p w14:paraId="59AB4ECD" w14:textId="5D4B38BD" w:rsidR="00B23A3F" w:rsidRPr="007D1918" w:rsidRDefault="00B23A3F" w:rsidP="007B12FA">
            <w:pPr>
              <w:keepNext/>
              <w:keepLines/>
              <w:spacing w:after="40" w:line="240" w:lineRule="auto"/>
              <w:rPr>
                <w:rFonts w:ascii="Arial Narrow" w:hAnsi="Arial Narrow"/>
                <w:sz w:val="20"/>
                <w:szCs w:val="20"/>
              </w:rPr>
            </w:pPr>
            <w:r w:rsidRPr="007D1918">
              <w:rPr>
                <w:rFonts w:ascii="Arial Narrow" w:hAnsi="Arial Narrow"/>
                <w:sz w:val="20"/>
                <w:szCs w:val="20"/>
              </w:rPr>
              <w:t>Health outcome (safety) consequences</w:t>
            </w:r>
          </w:p>
        </w:tc>
      </w:tr>
      <w:tr w:rsidR="00B23A3F" w:rsidRPr="007D1918" w14:paraId="7B80226A" w14:textId="77777777" w:rsidTr="007B12FA">
        <w:tc>
          <w:tcPr>
            <w:tcW w:w="4043" w:type="dxa"/>
          </w:tcPr>
          <w:p w14:paraId="0313DDB9" w14:textId="534A65F4" w:rsidR="00B23A3F" w:rsidRPr="007D1918" w:rsidRDefault="005B3D09" w:rsidP="005B3D09">
            <w:pPr>
              <w:keepNext/>
              <w:keepLines/>
              <w:spacing w:after="40" w:line="240" w:lineRule="auto"/>
              <w:ind w:left="204"/>
              <w:jc w:val="both"/>
              <w:rPr>
                <w:rFonts w:ascii="Arial Narrow" w:hAnsi="Arial Narrow"/>
                <w:sz w:val="20"/>
                <w:szCs w:val="20"/>
              </w:rPr>
            </w:pPr>
            <w:r w:rsidRPr="007D1918">
              <w:rPr>
                <w:rFonts w:ascii="Arial Narrow" w:hAnsi="Arial Narrow"/>
                <w:sz w:val="20"/>
                <w:szCs w:val="20"/>
              </w:rPr>
              <w:t xml:space="preserve">   </w:t>
            </w:r>
            <w:r w:rsidR="00B23A3F" w:rsidRPr="007D1918">
              <w:rPr>
                <w:rFonts w:ascii="Arial Narrow" w:hAnsi="Arial Narrow"/>
                <w:sz w:val="20"/>
                <w:szCs w:val="20"/>
              </w:rPr>
              <w:t>Patients with adverse events</w:t>
            </w:r>
          </w:p>
        </w:tc>
        <w:tc>
          <w:tcPr>
            <w:tcW w:w="1347" w:type="dxa"/>
          </w:tcPr>
          <w:p w14:paraId="2C2DAD98" w14:textId="77777777" w:rsidR="00B23A3F" w:rsidRPr="007D1918" w:rsidRDefault="00B23A3F" w:rsidP="007B12FA">
            <w:pPr>
              <w:keepNext/>
              <w:keepLines/>
              <w:spacing w:after="40" w:line="240" w:lineRule="auto"/>
              <w:jc w:val="center"/>
              <w:rPr>
                <w:rFonts w:ascii="Arial Narrow" w:hAnsi="Arial Narrow"/>
                <w:sz w:val="20"/>
                <w:szCs w:val="20"/>
              </w:rPr>
            </w:pPr>
            <w:r w:rsidRPr="007D1918">
              <w:rPr>
                <w:rFonts w:ascii="Arial Narrow" w:hAnsi="Arial Narrow"/>
                <w:sz w:val="20"/>
                <w:szCs w:val="20"/>
              </w:rPr>
              <w:t>2.2%</w:t>
            </w:r>
          </w:p>
        </w:tc>
        <w:tc>
          <w:tcPr>
            <w:tcW w:w="1348" w:type="dxa"/>
          </w:tcPr>
          <w:p w14:paraId="6F695A37" w14:textId="77777777" w:rsidR="00B23A3F" w:rsidRPr="007D1918" w:rsidRDefault="00B23A3F" w:rsidP="007B12FA">
            <w:pPr>
              <w:keepNext/>
              <w:keepLines/>
              <w:spacing w:after="40" w:line="240" w:lineRule="auto"/>
              <w:jc w:val="center"/>
              <w:rPr>
                <w:rFonts w:ascii="Arial Narrow" w:hAnsi="Arial Narrow"/>
                <w:sz w:val="20"/>
                <w:szCs w:val="20"/>
              </w:rPr>
            </w:pPr>
            <w:r w:rsidRPr="007D1918">
              <w:rPr>
                <w:rFonts w:ascii="Arial Narrow" w:hAnsi="Arial Narrow"/>
                <w:sz w:val="20"/>
                <w:szCs w:val="20"/>
              </w:rPr>
              <w:t>19.5%</w:t>
            </w:r>
          </w:p>
        </w:tc>
        <w:tc>
          <w:tcPr>
            <w:tcW w:w="1694" w:type="dxa"/>
          </w:tcPr>
          <w:p w14:paraId="37B6D117" w14:textId="77777777" w:rsidR="00B23A3F" w:rsidRPr="007D1918" w:rsidRDefault="00B23A3F" w:rsidP="007B12FA">
            <w:pPr>
              <w:keepNext/>
              <w:keepLines/>
              <w:spacing w:after="40" w:line="240" w:lineRule="auto"/>
              <w:jc w:val="center"/>
              <w:rPr>
                <w:rFonts w:ascii="Arial Narrow" w:hAnsi="Arial Narrow"/>
                <w:sz w:val="20"/>
                <w:szCs w:val="20"/>
              </w:rPr>
            </w:pPr>
            <w:r w:rsidRPr="007D1918">
              <w:rPr>
                <w:rFonts w:ascii="Arial Narrow" w:hAnsi="Arial Narrow"/>
                <w:sz w:val="20"/>
                <w:szCs w:val="20"/>
              </w:rPr>
              <w:t>-17.3%</w:t>
            </w:r>
          </w:p>
        </w:tc>
      </w:tr>
      <w:tr w:rsidR="00B23A3F" w:rsidRPr="007D1918" w14:paraId="6A7D372E" w14:textId="77777777" w:rsidTr="007B12FA">
        <w:tc>
          <w:tcPr>
            <w:tcW w:w="4043" w:type="dxa"/>
          </w:tcPr>
          <w:p w14:paraId="7DB52C26" w14:textId="782BA0F4" w:rsidR="00B23A3F" w:rsidRPr="007D1918" w:rsidRDefault="005B3D09" w:rsidP="007B12FA">
            <w:pPr>
              <w:keepNext/>
              <w:keepLines/>
              <w:spacing w:after="40" w:line="240" w:lineRule="auto"/>
              <w:ind w:left="204"/>
              <w:jc w:val="both"/>
              <w:rPr>
                <w:rFonts w:ascii="Arial Narrow" w:hAnsi="Arial Narrow"/>
                <w:sz w:val="20"/>
                <w:szCs w:val="20"/>
              </w:rPr>
            </w:pPr>
            <w:r w:rsidRPr="007D1918">
              <w:rPr>
                <w:rFonts w:ascii="Arial Narrow" w:hAnsi="Arial Narrow"/>
                <w:sz w:val="20"/>
                <w:szCs w:val="20"/>
              </w:rPr>
              <w:t xml:space="preserve">   </w:t>
            </w:r>
            <w:r w:rsidR="00B23A3F" w:rsidRPr="007D1918">
              <w:rPr>
                <w:rFonts w:ascii="Arial Narrow" w:hAnsi="Arial Narrow"/>
                <w:sz w:val="20"/>
                <w:szCs w:val="20"/>
              </w:rPr>
              <w:t>Patients with clinically significant adverse events</w:t>
            </w:r>
          </w:p>
        </w:tc>
        <w:tc>
          <w:tcPr>
            <w:tcW w:w="1347" w:type="dxa"/>
          </w:tcPr>
          <w:p w14:paraId="2A6BA086" w14:textId="77777777" w:rsidR="00B23A3F" w:rsidRPr="007D1918" w:rsidRDefault="00B23A3F" w:rsidP="007B12FA">
            <w:pPr>
              <w:keepNext/>
              <w:keepLines/>
              <w:spacing w:after="40" w:line="240" w:lineRule="auto"/>
              <w:jc w:val="center"/>
              <w:rPr>
                <w:rFonts w:ascii="Arial Narrow" w:hAnsi="Arial Narrow"/>
                <w:sz w:val="20"/>
                <w:szCs w:val="20"/>
              </w:rPr>
            </w:pPr>
            <w:r w:rsidRPr="007D1918">
              <w:rPr>
                <w:rFonts w:ascii="Arial Narrow" w:hAnsi="Arial Narrow"/>
                <w:sz w:val="20"/>
                <w:szCs w:val="20"/>
              </w:rPr>
              <w:t>0%</w:t>
            </w:r>
          </w:p>
        </w:tc>
        <w:tc>
          <w:tcPr>
            <w:tcW w:w="1348" w:type="dxa"/>
          </w:tcPr>
          <w:p w14:paraId="7DF9EBC0" w14:textId="77777777" w:rsidR="00B23A3F" w:rsidRPr="007D1918" w:rsidRDefault="00B23A3F" w:rsidP="007B12FA">
            <w:pPr>
              <w:keepNext/>
              <w:keepLines/>
              <w:spacing w:after="40" w:line="240" w:lineRule="auto"/>
              <w:jc w:val="center"/>
              <w:rPr>
                <w:rFonts w:ascii="Arial Narrow" w:hAnsi="Arial Narrow"/>
                <w:sz w:val="20"/>
                <w:szCs w:val="20"/>
              </w:rPr>
            </w:pPr>
            <w:r w:rsidRPr="007D1918">
              <w:rPr>
                <w:rFonts w:ascii="Arial Narrow" w:hAnsi="Arial Narrow"/>
                <w:sz w:val="20"/>
                <w:szCs w:val="20"/>
              </w:rPr>
              <w:t>4.9%</w:t>
            </w:r>
          </w:p>
        </w:tc>
        <w:tc>
          <w:tcPr>
            <w:tcW w:w="1694" w:type="dxa"/>
          </w:tcPr>
          <w:p w14:paraId="77D611FE" w14:textId="77777777" w:rsidR="00B23A3F" w:rsidRPr="007D1918" w:rsidRDefault="00B23A3F" w:rsidP="007B12FA">
            <w:pPr>
              <w:keepNext/>
              <w:keepLines/>
              <w:spacing w:after="40" w:line="240" w:lineRule="auto"/>
              <w:jc w:val="center"/>
              <w:rPr>
                <w:rFonts w:ascii="Arial Narrow" w:hAnsi="Arial Narrow"/>
                <w:sz w:val="20"/>
                <w:szCs w:val="20"/>
              </w:rPr>
            </w:pPr>
            <w:r w:rsidRPr="007D1918">
              <w:rPr>
                <w:rFonts w:ascii="Arial Narrow" w:hAnsi="Arial Narrow"/>
                <w:sz w:val="20"/>
                <w:szCs w:val="20"/>
              </w:rPr>
              <w:t>-4.9%</w:t>
            </w:r>
          </w:p>
        </w:tc>
      </w:tr>
      <w:tr w:rsidR="00D62E2F" w:rsidRPr="007D1918" w14:paraId="0CD6FD59" w14:textId="77777777" w:rsidTr="00D62E2F">
        <w:tc>
          <w:tcPr>
            <w:tcW w:w="4043" w:type="dxa"/>
          </w:tcPr>
          <w:p w14:paraId="220C4184" w14:textId="611E8447" w:rsidR="00D62E2F" w:rsidRPr="007D1918" w:rsidRDefault="005B3D09" w:rsidP="00D62E2F">
            <w:pPr>
              <w:keepNext/>
              <w:keepLines/>
              <w:spacing w:after="40" w:line="240" w:lineRule="auto"/>
              <w:ind w:left="204"/>
              <w:jc w:val="both"/>
              <w:rPr>
                <w:rFonts w:ascii="Arial Narrow" w:hAnsi="Arial Narrow"/>
                <w:sz w:val="20"/>
                <w:szCs w:val="20"/>
              </w:rPr>
            </w:pPr>
            <w:r w:rsidRPr="007D1918">
              <w:rPr>
                <w:rFonts w:ascii="Arial Narrow" w:hAnsi="Arial Narrow"/>
                <w:sz w:val="20"/>
                <w:szCs w:val="20"/>
              </w:rPr>
              <w:t xml:space="preserve">   </w:t>
            </w:r>
            <w:r w:rsidR="00D62E2F" w:rsidRPr="007D1918">
              <w:rPr>
                <w:rFonts w:ascii="Arial Narrow" w:hAnsi="Arial Narrow"/>
                <w:sz w:val="20"/>
                <w:szCs w:val="20"/>
              </w:rPr>
              <w:t xml:space="preserve">QALY decrement due to AEs </w:t>
            </w:r>
          </w:p>
        </w:tc>
        <w:tc>
          <w:tcPr>
            <w:tcW w:w="1347" w:type="dxa"/>
          </w:tcPr>
          <w:p w14:paraId="4B3A38CC" w14:textId="77777777" w:rsidR="00D62E2F" w:rsidRPr="007D1918" w:rsidRDefault="00D62E2F" w:rsidP="00D62E2F">
            <w:pPr>
              <w:keepNext/>
              <w:keepLines/>
              <w:spacing w:after="40" w:line="240" w:lineRule="auto"/>
              <w:jc w:val="center"/>
              <w:rPr>
                <w:rFonts w:ascii="Arial Narrow" w:hAnsi="Arial Narrow"/>
                <w:sz w:val="20"/>
                <w:szCs w:val="20"/>
              </w:rPr>
            </w:pPr>
          </w:p>
        </w:tc>
        <w:tc>
          <w:tcPr>
            <w:tcW w:w="1348" w:type="dxa"/>
          </w:tcPr>
          <w:p w14:paraId="13A1CDC4" w14:textId="55415FE1" w:rsidR="00D62E2F" w:rsidRPr="007D1918" w:rsidRDefault="00D62E2F" w:rsidP="00D62E2F">
            <w:pPr>
              <w:keepNext/>
              <w:keepLines/>
              <w:spacing w:after="40" w:line="240" w:lineRule="auto"/>
              <w:jc w:val="center"/>
              <w:rPr>
                <w:rFonts w:ascii="Arial Narrow" w:hAnsi="Arial Narrow"/>
                <w:sz w:val="20"/>
                <w:szCs w:val="20"/>
              </w:rPr>
            </w:pPr>
            <w:r w:rsidRPr="007D1918">
              <w:rPr>
                <w:rFonts w:ascii="Arial Narrow" w:hAnsi="Arial Narrow"/>
                <w:sz w:val="20"/>
                <w:szCs w:val="20"/>
              </w:rPr>
              <w:t>-0.001100</w:t>
            </w:r>
          </w:p>
        </w:tc>
        <w:tc>
          <w:tcPr>
            <w:tcW w:w="1694" w:type="dxa"/>
          </w:tcPr>
          <w:p w14:paraId="415FA202" w14:textId="77777777" w:rsidR="00D62E2F" w:rsidRPr="007D1918" w:rsidRDefault="00D62E2F" w:rsidP="00D62E2F">
            <w:pPr>
              <w:keepNext/>
              <w:keepLines/>
              <w:spacing w:after="40" w:line="240" w:lineRule="auto"/>
              <w:jc w:val="center"/>
              <w:rPr>
                <w:rFonts w:ascii="Arial Narrow" w:hAnsi="Arial Narrow"/>
                <w:sz w:val="20"/>
                <w:szCs w:val="20"/>
              </w:rPr>
            </w:pPr>
            <w:r w:rsidRPr="007D1918">
              <w:rPr>
                <w:rFonts w:ascii="Arial Narrow" w:hAnsi="Arial Narrow"/>
                <w:sz w:val="20"/>
                <w:szCs w:val="20"/>
              </w:rPr>
              <w:t>0.001100</w:t>
            </w:r>
          </w:p>
        </w:tc>
      </w:tr>
      <w:tr w:rsidR="00D62E2F" w:rsidRPr="007D1918" w14:paraId="2F32BA44" w14:textId="77777777" w:rsidTr="00D62E2F">
        <w:tc>
          <w:tcPr>
            <w:tcW w:w="4043" w:type="dxa"/>
          </w:tcPr>
          <w:p w14:paraId="2EC1F1E9" w14:textId="77777777" w:rsidR="00D62E2F" w:rsidRPr="007D1918" w:rsidRDefault="00D62E2F" w:rsidP="00D62E2F">
            <w:pPr>
              <w:keepNext/>
              <w:keepLines/>
              <w:spacing w:after="40" w:line="240" w:lineRule="auto"/>
              <w:jc w:val="both"/>
              <w:rPr>
                <w:rFonts w:ascii="Arial Narrow" w:hAnsi="Arial Narrow"/>
                <w:b/>
                <w:sz w:val="20"/>
                <w:szCs w:val="20"/>
              </w:rPr>
            </w:pPr>
            <w:r w:rsidRPr="007D1918">
              <w:rPr>
                <w:rFonts w:ascii="Arial Narrow" w:hAnsi="Arial Narrow"/>
                <w:b/>
                <w:sz w:val="20"/>
                <w:szCs w:val="20"/>
              </w:rPr>
              <w:t>ICER ($/QALY)</w:t>
            </w:r>
          </w:p>
        </w:tc>
        <w:tc>
          <w:tcPr>
            <w:tcW w:w="1347" w:type="dxa"/>
          </w:tcPr>
          <w:p w14:paraId="616A426C" w14:textId="77777777" w:rsidR="00D62E2F" w:rsidRPr="007D1918" w:rsidRDefault="00D62E2F" w:rsidP="00D62E2F">
            <w:pPr>
              <w:keepNext/>
              <w:keepLines/>
              <w:spacing w:after="40" w:line="240" w:lineRule="auto"/>
              <w:jc w:val="center"/>
              <w:rPr>
                <w:rFonts w:ascii="Arial Narrow" w:hAnsi="Arial Narrow"/>
                <w:sz w:val="20"/>
                <w:szCs w:val="20"/>
              </w:rPr>
            </w:pPr>
          </w:p>
        </w:tc>
        <w:tc>
          <w:tcPr>
            <w:tcW w:w="1348" w:type="dxa"/>
          </w:tcPr>
          <w:p w14:paraId="44830DB7" w14:textId="77777777" w:rsidR="00D62E2F" w:rsidRPr="007D1918" w:rsidRDefault="00D62E2F" w:rsidP="00D62E2F">
            <w:pPr>
              <w:keepNext/>
              <w:keepLines/>
              <w:spacing w:after="40" w:line="240" w:lineRule="auto"/>
              <w:jc w:val="center"/>
              <w:rPr>
                <w:rFonts w:ascii="Arial Narrow" w:hAnsi="Arial Narrow"/>
                <w:sz w:val="20"/>
                <w:szCs w:val="20"/>
              </w:rPr>
            </w:pPr>
          </w:p>
        </w:tc>
        <w:tc>
          <w:tcPr>
            <w:tcW w:w="1694" w:type="dxa"/>
          </w:tcPr>
          <w:p w14:paraId="72B1EF35" w14:textId="010FC9DD" w:rsidR="00D62E2F" w:rsidRPr="007D1918" w:rsidRDefault="005B3D09" w:rsidP="00D62E2F">
            <w:pPr>
              <w:keepNext/>
              <w:keepLines/>
              <w:spacing w:after="40" w:line="240" w:lineRule="auto"/>
              <w:jc w:val="center"/>
              <w:rPr>
                <w:rFonts w:ascii="Arial Narrow" w:hAnsi="Arial Narrow"/>
                <w:b/>
                <w:sz w:val="20"/>
                <w:szCs w:val="20"/>
              </w:rPr>
            </w:pPr>
            <w:r w:rsidRPr="007D1918">
              <w:rPr>
                <w:rFonts w:ascii="Arial Narrow" w:hAnsi="Arial Narrow"/>
                <w:b/>
                <w:sz w:val="20"/>
                <w:szCs w:val="20"/>
              </w:rPr>
              <w:t>$7,177,933</w:t>
            </w:r>
          </w:p>
        </w:tc>
      </w:tr>
      <w:tr w:rsidR="005B3D09" w:rsidRPr="007D1918" w14:paraId="5EF745D3" w14:textId="77777777" w:rsidTr="005B3D09">
        <w:tc>
          <w:tcPr>
            <w:tcW w:w="8432" w:type="dxa"/>
            <w:gridSpan w:val="4"/>
            <w:tcBorders>
              <w:bottom w:val="single" w:sz="4" w:space="0" w:color="auto"/>
            </w:tcBorders>
            <w:vAlign w:val="center"/>
          </w:tcPr>
          <w:p w14:paraId="4EEFC221" w14:textId="6A24E6BD" w:rsidR="005B3D09" w:rsidRPr="007D1918" w:rsidRDefault="005B3D09" w:rsidP="005B3D09">
            <w:pPr>
              <w:keepNext/>
              <w:keepLines/>
              <w:spacing w:after="40" w:line="240" w:lineRule="auto"/>
              <w:rPr>
                <w:rFonts w:ascii="Arial Narrow" w:hAnsi="Arial Narrow"/>
                <w:b/>
                <w:sz w:val="20"/>
                <w:szCs w:val="20"/>
              </w:rPr>
            </w:pPr>
            <w:r w:rsidRPr="007D1918">
              <w:rPr>
                <w:rFonts w:ascii="Arial Narrow" w:hAnsi="Arial Narrow"/>
                <w:b/>
                <w:sz w:val="20"/>
                <w:szCs w:val="20"/>
              </w:rPr>
              <w:t>Step 7: Modelling sepsis morbidity/mortality over 15 years</w:t>
            </w:r>
          </w:p>
        </w:tc>
      </w:tr>
      <w:tr w:rsidR="005E0FC6" w:rsidRPr="007D1918" w14:paraId="5D459B26" w14:textId="77777777" w:rsidTr="00AE70DC">
        <w:tc>
          <w:tcPr>
            <w:tcW w:w="4043" w:type="dxa"/>
          </w:tcPr>
          <w:p w14:paraId="37C2467C" w14:textId="77777777" w:rsidR="005E0FC6" w:rsidRPr="007D1918" w:rsidRDefault="005E0FC6" w:rsidP="00AE70DC">
            <w:pPr>
              <w:keepNext/>
              <w:keepLines/>
              <w:spacing w:after="40" w:line="240" w:lineRule="auto"/>
              <w:jc w:val="both"/>
              <w:rPr>
                <w:rFonts w:ascii="Arial Narrow" w:hAnsi="Arial Narrow"/>
                <w:sz w:val="20"/>
                <w:szCs w:val="20"/>
              </w:rPr>
            </w:pPr>
            <w:r w:rsidRPr="007D1918">
              <w:rPr>
                <w:rFonts w:ascii="Arial Narrow" w:hAnsi="Arial Narrow"/>
                <w:sz w:val="20"/>
                <w:szCs w:val="20"/>
              </w:rPr>
              <w:t>Total Costs</w:t>
            </w:r>
          </w:p>
        </w:tc>
        <w:tc>
          <w:tcPr>
            <w:tcW w:w="1347" w:type="dxa"/>
            <w:tcBorders>
              <w:top w:val="single" w:sz="4" w:space="0" w:color="auto"/>
              <w:left w:val="nil"/>
              <w:bottom w:val="single" w:sz="4" w:space="0" w:color="auto"/>
              <w:right w:val="single" w:sz="4" w:space="0" w:color="auto"/>
            </w:tcBorders>
            <w:shd w:val="clear" w:color="auto" w:fill="auto"/>
            <w:vAlign w:val="bottom"/>
          </w:tcPr>
          <w:p w14:paraId="3316E56E" w14:textId="77777777" w:rsidR="005E0FC6" w:rsidRPr="007D1918" w:rsidRDefault="005E0FC6" w:rsidP="00AE70DC">
            <w:pPr>
              <w:keepNext/>
              <w:keepLines/>
              <w:spacing w:after="40" w:line="240" w:lineRule="auto"/>
              <w:jc w:val="right"/>
              <w:rPr>
                <w:rFonts w:ascii="Arial Narrow" w:hAnsi="Arial Narrow"/>
                <w:sz w:val="20"/>
                <w:szCs w:val="20"/>
              </w:rPr>
            </w:pPr>
            <w:r w:rsidRPr="007D1918">
              <w:rPr>
                <w:rFonts w:ascii="Arial Narrow" w:hAnsi="Arial Narrow"/>
                <w:sz w:val="20"/>
                <w:szCs w:val="20"/>
              </w:rPr>
              <w:t>$58,895</w:t>
            </w:r>
          </w:p>
        </w:tc>
        <w:tc>
          <w:tcPr>
            <w:tcW w:w="1348" w:type="dxa"/>
            <w:tcBorders>
              <w:top w:val="nil"/>
              <w:left w:val="nil"/>
              <w:bottom w:val="nil"/>
              <w:right w:val="nil"/>
            </w:tcBorders>
            <w:shd w:val="clear" w:color="auto" w:fill="auto"/>
            <w:vAlign w:val="bottom"/>
          </w:tcPr>
          <w:p w14:paraId="106C7366" w14:textId="762FBF61" w:rsidR="005E0FC6" w:rsidRPr="007D1918" w:rsidRDefault="005E0FC6" w:rsidP="00AE70DC">
            <w:pPr>
              <w:keepNext/>
              <w:keepLines/>
              <w:spacing w:after="40" w:line="240" w:lineRule="auto"/>
              <w:jc w:val="right"/>
              <w:rPr>
                <w:rFonts w:ascii="Arial Narrow" w:hAnsi="Arial Narrow"/>
                <w:sz w:val="20"/>
                <w:szCs w:val="20"/>
              </w:rPr>
            </w:pPr>
            <w:r w:rsidRPr="007D1918">
              <w:rPr>
                <w:rFonts w:ascii="Arial Narrow" w:hAnsi="Arial Narrow"/>
                <w:sz w:val="20"/>
                <w:szCs w:val="20"/>
              </w:rPr>
              <w:t>$52,388</w:t>
            </w:r>
          </w:p>
        </w:tc>
        <w:tc>
          <w:tcPr>
            <w:tcW w:w="1694" w:type="dxa"/>
            <w:tcBorders>
              <w:top w:val="nil"/>
              <w:left w:val="nil"/>
              <w:bottom w:val="nil"/>
              <w:right w:val="nil"/>
            </w:tcBorders>
            <w:shd w:val="clear" w:color="auto" w:fill="auto"/>
            <w:vAlign w:val="bottom"/>
          </w:tcPr>
          <w:p w14:paraId="2B93B9A4" w14:textId="44F11D09" w:rsidR="005E0FC6" w:rsidRPr="007D1918" w:rsidRDefault="005E0FC6" w:rsidP="00AE70DC">
            <w:pPr>
              <w:keepNext/>
              <w:keepLines/>
              <w:spacing w:after="40" w:line="240" w:lineRule="auto"/>
              <w:jc w:val="right"/>
              <w:rPr>
                <w:rFonts w:ascii="Arial Narrow" w:hAnsi="Arial Narrow"/>
                <w:sz w:val="20"/>
                <w:szCs w:val="20"/>
              </w:rPr>
            </w:pPr>
            <w:r w:rsidRPr="007D1918">
              <w:rPr>
                <w:rFonts w:ascii="Arial Narrow" w:hAnsi="Arial Narrow"/>
                <w:sz w:val="20"/>
                <w:szCs w:val="20"/>
              </w:rPr>
              <w:t>$6,558</w:t>
            </w:r>
          </w:p>
        </w:tc>
      </w:tr>
      <w:tr w:rsidR="005E0FC6" w:rsidRPr="007D1918" w14:paraId="6C21FA85" w14:textId="77777777" w:rsidTr="00AE70DC">
        <w:tc>
          <w:tcPr>
            <w:tcW w:w="4043" w:type="dxa"/>
          </w:tcPr>
          <w:p w14:paraId="5B024B13" w14:textId="422173D7" w:rsidR="005E0FC6" w:rsidRPr="007D1918" w:rsidRDefault="005E0FC6" w:rsidP="005E0FC6">
            <w:pPr>
              <w:keepNext/>
              <w:keepLines/>
              <w:spacing w:after="40" w:line="240" w:lineRule="auto"/>
              <w:jc w:val="both"/>
              <w:rPr>
                <w:rFonts w:ascii="Arial Narrow" w:hAnsi="Arial Narrow"/>
                <w:sz w:val="20"/>
                <w:szCs w:val="20"/>
              </w:rPr>
            </w:pPr>
            <w:r w:rsidRPr="007D1918">
              <w:rPr>
                <w:rFonts w:ascii="Arial Narrow" w:hAnsi="Arial Narrow"/>
                <w:sz w:val="20"/>
                <w:szCs w:val="20"/>
              </w:rPr>
              <w:t xml:space="preserve">QALY decrement due to AEs </w:t>
            </w:r>
          </w:p>
        </w:tc>
        <w:tc>
          <w:tcPr>
            <w:tcW w:w="1347" w:type="dxa"/>
          </w:tcPr>
          <w:p w14:paraId="0206F75D" w14:textId="77777777" w:rsidR="005E0FC6" w:rsidRPr="007D1918" w:rsidRDefault="005E0FC6" w:rsidP="00AE70DC">
            <w:pPr>
              <w:keepNext/>
              <w:keepLines/>
              <w:spacing w:after="40" w:line="240" w:lineRule="auto"/>
              <w:jc w:val="center"/>
              <w:rPr>
                <w:rFonts w:ascii="Arial Narrow" w:hAnsi="Arial Narrow"/>
                <w:sz w:val="20"/>
                <w:szCs w:val="20"/>
              </w:rPr>
            </w:pPr>
          </w:p>
        </w:tc>
        <w:tc>
          <w:tcPr>
            <w:tcW w:w="1348" w:type="dxa"/>
          </w:tcPr>
          <w:p w14:paraId="604C6DFF" w14:textId="780ED622" w:rsidR="005E0FC6" w:rsidRPr="007D1918" w:rsidRDefault="005E0FC6" w:rsidP="00AE70DC">
            <w:pPr>
              <w:keepNext/>
              <w:keepLines/>
              <w:spacing w:after="40" w:line="240" w:lineRule="auto"/>
              <w:jc w:val="center"/>
              <w:rPr>
                <w:rFonts w:ascii="Arial Narrow" w:hAnsi="Arial Narrow"/>
                <w:sz w:val="20"/>
                <w:szCs w:val="20"/>
              </w:rPr>
            </w:pPr>
            <w:r w:rsidRPr="007D1918">
              <w:rPr>
                <w:rFonts w:ascii="Arial Narrow" w:hAnsi="Arial Narrow"/>
                <w:sz w:val="20"/>
                <w:szCs w:val="20"/>
              </w:rPr>
              <w:t>-0.143261</w:t>
            </w:r>
          </w:p>
        </w:tc>
        <w:tc>
          <w:tcPr>
            <w:tcW w:w="1694" w:type="dxa"/>
          </w:tcPr>
          <w:p w14:paraId="6F24A6DA" w14:textId="415DD6C7" w:rsidR="005E0FC6" w:rsidRPr="007D1918" w:rsidRDefault="005E0FC6" w:rsidP="00AE70DC">
            <w:pPr>
              <w:keepNext/>
              <w:keepLines/>
              <w:spacing w:after="40" w:line="240" w:lineRule="auto"/>
              <w:jc w:val="center"/>
              <w:rPr>
                <w:rFonts w:ascii="Arial Narrow" w:hAnsi="Arial Narrow"/>
                <w:sz w:val="20"/>
                <w:szCs w:val="20"/>
              </w:rPr>
            </w:pPr>
            <w:r w:rsidRPr="007D1918">
              <w:rPr>
                <w:rFonts w:ascii="Arial Narrow" w:hAnsi="Arial Narrow"/>
                <w:sz w:val="20"/>
                <w:szCs w:val="20"/>
              </w:rPr>
              <w:t>0.143261</w:t>
            </w:r>
          </w:p>
        </w:tc>
      </w:tr>
      <w:tr w:rsidR="005E0FC6" w:rsidRPr="007D1918" w14:paraId="121D14DE" w14:textId="77777777" w:rsidTr="00AE70DC">
        <w:tc>
          <w:tcPr>
            <w:tcW w:w="4043" w:type="dxa"/>
          </w:tcPr>
          <w:p w14:paraId="6E94ADEF" w14:textId="77777777" w:rsidR="005E0FC6" w:rsidRPr="007D1918" w:rsidRDefault="005E0FC6" w:rsidP="00AE70DC">
            <w:pPr>
              <w:keepNext/>
              <w:keepLines/>
              <w:spacing w:after="40" w:line="240" w:lineRule="auto"/>
              <w:jc w:val="both"/>
              <w:rPr>
                <w:rFonts w:ascii="Arial Narrow" w:hAnsi="Arial Narrow"/>
                <w:b/>
                <w:sz w:val="20"/>
                <w:szCs w:val="20"/>
              </w:rPr>
            </w:pPr>
            <w:r w:rsidRPr="007D1918">
              <w:rPr>
                <w:rFonts w:ascii="Arial Narrow" w:hAnsi="Arial Narrow"/>
                <w:b/>
                <w:sz w:val="20"/>
                <w:szCs w:val="20"/>
              </w:rPr>
              <w:t>ICER ($/QALY)</w:t>
            </w:r>
          </w:p>
        </w:tc>
        <w:tc>
          <w:tcPr>
            <w:tcW w:w="1347" w:type="dxa"/>
          </w:tcPr>
          <w:p w14:paraId="58E1A023" w14:textId="77777777" w:rsidR="005E0FC6" w:rsidRPr="007D1918" w:rsidRDefault="005E0FC6" w:rsidP="00AE70DC">
            <w:pPr>
              <w:keepNext/>
              <w:keepLines/>
              <w:spacing w:after="40" w:line="240" w:lineRule="auto"/>
              <w:jc w:val="center"/>
              <w:rPr>
                <w:rFonts w:ascii="Arial Narrow" w:hAnsi="Arial Narrow"/>
                <w:sz w:val="20"/>
                <w:szCs w:val="20"/>
              </w:rPr>
            </w:pPr>
          </w:p>
        </w:tc>
        <w:tc>
          <w:tcPr>
            <w:tcW w:w="1348" w:type="dxa"/>
          </w:tcPr>
          <w:p w14:paraId="62C9315C" w14:textId="77777777" w:rsidR="005E0FC6" w:rsidRPr="007D1918" w:rsidRDefault="005E0FC6" w:rsidP="00AE70DC">
            <w:pPr>
              <w:keepNext/>
              <w:keepLines/>
              <w:spacing w:after="40" w:line="240" w:lineRule="auto"/>
              <w:jc w:val="center"/>
              <w:rPr>
                <w:rFonts w:ascii="Arial Narrow" w:hAnsi="Arial Narrow"/>
                <w:sz w:val="20"/>
                <w:szCs w:val="20"/>
              </w:rPr>
            </w:pPr>
          </w:p>
        </w:tc>
        <w:tc>
          <w:tcPr>
            <w:tcW w:w="1694" w:type="dxa"/>
          </w:tcPr>
          <w:p w14:paraId="5B777DAC" w14:textId="1A11B38C" w:rsidR="005E0FC6" w:rsidRPr="007D1918" w:rsidRDefault="005E0FC6" w:rsidP="00AE70DC">
            <w:pPr>
              <w:keepNext/>
              <w:keepLines/>
              <w:spacing w:after="40" w:line="240" w:lineRule="auto"/>
              <w:jc w:val="center"/>
              <w:rPr>
                <w:rFonts w:ascii="Arial Narrow" w:hAnsi="Arial Narrow"/>
                <w:b/>
                <w:sz w:val="20"/>
                <w:szCs w:val="20"/>
              </w:rPr>
            </w:pPr>
            <w:r w:rsidRPr="007D1918">
              <w:rPr>
                <w:rFonts w:ascii="Arial Narrow" w:hAnsi="Arial Narrow"/>
                <w:b/>
                <w:sz w:val="20"/>
                <w:szCs w:val="20"/>
              </w:rPr>
              <w:t>$45,776</w:t>
            </w:r>
          </w:p>
        </w:tc>
      </w:tr>
    </w:tbl>
    <w:p w14:paraId="48209FD7" w14:textId="7B98DB60" w:rsidR="00D62E2F" w:rsidRPr="007D1918" w:rsidRDefault="00D62E2F" w:rsidP="00D62E2F">
      <w:pPr>
        <w:pStyle w:val="Tablenotes1"/>
        <w:spacing w:after="360"/>
      </w:pPr>
      <w:r w:rsidRPr="007D1918">
        <w:t>AE = adverse event; IVIg = intravenous immunoglobulin; FFP = fresh frozen plasma; PE = plasma exchange; QALY = quality adjusted life years</w:t>
      </w:r>
      <w:r w:rsidR="005E0FC6" w:rsidRPr="007D1918">
        <w:t>; RCT = randomised controlled trial</w:t>
      </w:r>
      <w:r w:rsidRPr="007D1918">
        <w:t>.</w:t>
      </w:r>
    </w:p>
    <w:p w14:paraId="3687090F" w14:textId="60C4FAC4" w:rsidR="007C735F" w:rsidRPr="007D1918" w:rsidRDefault="0060747D" w:rsidP="003B54F2">
      <w:pPr>
        <w:jc w:val="both"/>
      </w:pPr>
      <w:r w:rsidRPr="007D1918">
        <w:t>At Step 4</w:t>
      </w:r>
      <w:r w:rsidR="00DA7EBF" w:rsidRPr="007D1918">
        <w:t>,</w:t>
      </w:r>
      <w:r w:rsidR="009218DF" w:rsidRPr="007D1918">
        <w:t xml:space="preserve"> the economic implications of the adverse events are not well defined with respect to their patient relevance and resource implications, th</w:t>
      </w:r>
      <w:r w:rsidRPr="007D1918">
        <w:t>erefore th</w:t>
      </w:r>
      <w:r w:rsidR="009218DF" w:rsidRPr="007D1918">
        <w:t>is</w:t>
      </w:r>
      <w:r w:rsidR="00DA7EBF" w:rsidRPr="007D1918">
        <w:t xml:space="preserve"> will</w:t>
      </w:r>
      <w:r w:rsidR="009218DF" w:rsidRPr="007D1918">
        <w:t xml:space="preserve"> disfavour IVIg in the comparison</w:t>
      </w:r>
      <w:r w:rsidR="00A00522" w:rsidRPr="007D1918">
        <w:t>.</w:t>
      </w:r>
    </w:p>
    <w:p w14:paraId="076CEFF4" w14:textId="66E0BAA8" w:rsidR="003B54F2" w:rsidRPr="007D1918" w:rsidRDefault="003B54F2" w:rsidP="003B54F2">
      <w:pPr>
        <w:jc w:val="both"/>
      </w:pPr>
      <w:r w:rsidRPr="007D1918">
        <w:t xml:space="preserve">The overall costs and incremental costs for IVIg and PE in the Indication 2 analysis, using the base case assumptions, are shown in the </w:t>
      </w:r>
      <w:r w:rsidR="007B12FA" w:rsidRPr="007D1918">
        <w:fldChar w:fldCharType="begin"/>
      </w:r>
      <w:r w:rsidR="007B12FA" w:rsidRPr="007D1918">
        <w:instrText xml:space="preserve"> REF _Ref14438038 \h </w:instrText>
      </w:r>
      <w:r w:rsidR="00E07567" w:rsidRPr="007D1918">
        <w:instrText xml:space="preserve"> \* MERGEFORMAT </w:instrText>
      </w:r>
      <w:r w:rsidR="007B12FA" w:rsidRPr="007D1918">
        <w:fldChar w:fldCharType="separate"/>
      </w:r>
      <w:r w:rsidR="007C33AD" w:rsidRPr="007D1918">
        <w:t xml:space="preserve">Table </w:t>
      </w:r>
      <w:r w:rsidR="007C33AD" w:rsidRPr="007D1918">
        <w:rPr>
          <w:noProof/>
        </w:rPr>
        <w:t>3</w:t>
      </w:r>
      <w:r w:rsidR="007B12FA" w:rsidRPr="007D1918">
        <w:fldChar w:fldCharType="end"/>
      </w:r>
      <w:r w:rsidRPr="007D1918">
        <w:t>.</w:t>
      </w:r>
    </w:p>
    <w:p w14:paraId="793E0731" w14:textId="28831D68" w:rsidR="003B54F2" w:rsidRPr="007D1918" w:rsidRDefault="003B54F2" w:rsidP="003B54F2">
      <w:pPr>
        <w:pStyle w:val="Caption"/>
        <w:keepNext/>
        <w:jc w:val="both"/>
      </w:pPr>
      <w:bookmarkStart w:id="78" w:name="_Ref14438038"/>
      <w:bookmarkStart w:id="79" w:name="_Toc23769490"/>
      <w:r w:rsidRPr="007D1918">
        <w:t xml:space="preserve">Table </w:t>
      </w:r>
      <w:r w:rsidR="00FE2DC6" w:rsidRPr="007D1918">
        <w:rPr>
          <w:noProof/>
        </w:rPr>
        <w:fldChar w:fldCharType="begin"/>
      </w:r>
      <w:r w:rsidR="00FE2DC6" w:rsidRPr="007D1918">
        <w:rPr>
          <w:noProof/>
        </w:rPr>
        <w:instrText xml:space="preserve"> SEQ Table \* ARABIC </w:instrText>
      </w:r>
      <w:r w:rsidR="00FE2DC6" w:rsidRPr="007D1918">
        <w:rPr>
          <w:noProof/>
        </w:rPr>
        <w:fldChar w:fldCharType="separate"/>
      </w:r>
      <w:r w:rsidR="007C33AD" w:rsidRPr="007D1918">
        <w:rPr>
          <w:noProof/>
        </w:rPr>
        <w:t>3</w:t>
      </w:r>
      <w:r w:rsidR="00FE2DC6" w:rsidRPr="007D1918">
        <w:rPr>
          <w:noProof/>
        </w:rPr>
        <w:fldChar w:fldCharType="end"/>
      </w:r>
      <w:bookmarkEnd w:id="78"/>
      <w:r w:rsidRPr="007D1918">
        <w:t xml:space="preserve"> </w:t>
      </w:r>
      <w:r w:rsidRPr="007D1918">
        <w:tab/>
        <w:t>Indication 2: Cost-minimisation analysis</w:t>
      </w:r>
      <w:bookmarkEnd w:id="79"/>
    </w:p>
    <w:tbl>
      <w:tblPr>
        <w:tblStyle w:val="TableGrid2"/>
        <w:tblW w:w="8392"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282"/>
        <w:gridCol w:w="1417"/>
        <w:gridCol w:w="1418"/>
        <w:gridCol w:w="1275"/>
      </w:tblGrid>
      <w:tr w:rsidR="003B54F2" w:rsidRPr="007D1918" w14:paraId="58B86520" w14:textId="77777777" w:rsidTr="003B54F2">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59F42ACC" w14:textId="77777777" w:rsidR="003B54F2" w:rsidRPr="007D1918" w:rsidRDefault="003B54F2" w:rsidP="007B12FA">
            <w:pPr>
              <w:keepNext/>
              <w:spacing w:after="40" w:line="240" w:lineRule="auto"/>
              <w:jc w:val="both"/>
              <w:rPr>
                <w:rFonts w:ascii="Arial Narrow" w:hAnsi="Arial Narrow"/>
                <w:b/>
                <w:sz w:val="20"/>
                <w:szCs w:val="20"/>
              </w:rPr>
            </w:pPr>
          </w:p>
        </w:tc>
        <w:tc>
          <w:tcPr>
            <w:tcW w:w="1417" w:type="dxa"/>
            <w:tcBorders>
              <w:bottom w:val="single" w:sz="4" w:space="0" w:color="auto"/>
            </w:tcBorders>
          </w:tcPr>
          <w:p w14:paraId="071AB838" w14:textId="77777777" w:rsidR="003B54F2" w:rsidRPr="007D1918" w:rsidRDefault="003B54F2" w:rsidP="007B12FA">
            <w:pPr>
              <w:keepNext/>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1418" w:type="dxa"/>
            <w:tcBorders>
              <w:bottom w:val="single" w:sz="4" w:space="0" w:color="auto"/>
            </w:tcBorders>
          </w:tcPr>
          <w:p w14:paraId="2719E33C" w14:textId="77777777" w:rsidR="003B54F2" w:rsidRPr="007D1918" w:rsidRDefault="003B54F2" w:rsidP="007B12FA">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c>
          <w:tcPr>
            <w:tcW w:w="1275" w:type="dxa"/>
            <w:vMerge w:val="restart"/>
            <w:tcBorders>
              <w:bottom w:val="single" w:sz="4" w:space="0" w:color="auto"/>
            </w:tcBorders>
          </w:tcPr>
          <w:p w14:paraId="272F32B1" w14:textId="77777777" w:rsidR="003B54F2" w:rsidRPr="007D1918" w:rsidRDefault="003B54F2" w:rsidP="007B12FA">
            <w:pPr>
              <w:keepNext/>
              <w:spacing w:after="40" w:line="240" w:lineRule="auto"/>
              <w:jc w:val="both"/>
              <w:rPr>
                <w:rFonts w:ascii="Arial Narrow" w:hAnsi="Arial Narrow"/>
                <w:b/>
                <w:sz w:val="20"/>
                <w:szCs w:val="20"/>
              </w:rPr>
            </w:pPr>
            <w:r w:rsidRPr="007D1918">
              <w:rPr>
                <w:rFonts w:ascii="Arial Narrow" w:hAnsi="Arial Narrow"/>
                <w:b/>
                <w:sz w:val="20"/>
                <w:szCs w:val="20"/>
              </w:rPr>
              <w:t>Incremental cost</w:t>
            </w:r>
          </w:p>
        </w:tc>
      </w:tr>
      <w:tr w:rsidR="003B54F2" w:rsidRPr="007D1918" w14:paraId="58C92CA0" w14:textId="77777777" w:rsidTr="003B54F2">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350C58A3" w14:textId="77777777" w:rsidR="003B54F2" w:rsidRPr="007D1918" w:rsidRDefault="003B54F2" w:rsidP="007B12FA">
            <w:pPr>
              <w:keepNext/>
              <w:spacing w:after="40" w:line="240" w:lineRule="auto"/>
              <w:jc w:val="both"/>
              <w:rPr>
                <w:rFonts w:ascii="Arial Narrow" w:hAnsi="Arial Narrow"/>
                <w:b/>
                <w:sz w:val="20"/>
                <w:szCs w:val="20"/>
              </w:rPr>
            </w:pPr>
            <w:r w:rsidRPr="007D1918">
              <w:rPr>
                <w:rFonts w:ascii="Arial Narrow" w:hAnsi="Arial Narrow"/>
                <w:b/>
                <w:sz w:val="20"/>
                <w:szCs w:val="20"/>
              </w:rPr>
              <w:t>Resources (disaggregated)</w:t>
            </w:r>
          </w:p>
        </w:tc>
        <w:tc>
          <w:tcPr>
            <w:tcW w:w="1417" w:type="dxa"/>
            <w:tcBorders>
              <w:bottom w:val="single" w:sz="4" w:space="0" w:color="auto"/>
            </w:tcBorders>
          </w:tcPr>
          <w:p w14:paraId="35B14127" w14:textId="77777777" w:rsidR="003B54F2" w:rsidRPr="007D1918" w:rsidRDefault="003B54F2" w:rsidP="007B12FA">
            <w:pPr>
              <w:keepNext/>
              <w:spacing w:after="40" w:line="240" w:lineRule="auto"/>
              <w:jc w:val="both"/>
              <w:rPr>
                <w:rFonts w:ascii="Arial Narrow" w:hAnsi="Arial Narrow"/>
                <w:sz w:val="20"/>
                <w:szCs w:val="20"/>
              </w:rPr>
            </w:pPr>
            <w:r w:rsidRPr="007D1918">
              <w:rPr>
                <w:rFonts w:ascii="Arial Narrow" w:hAnsi="Arial Narrow"/>
                <w:sz w:val="20"/>
                <w:szCs w:val="20"/>
              </w:rPr>
              <w:t>Total Cost</w:t>
            </w:r>
          </w:p>
        </w:tc>
        <w:tc>
          <w:tcPr>
            <w:tcW w:w="1418" w:type="dxa"/>
            <w:tcBorders>
              <w:bottom w:val="single" w:sz="4" w:space="0" w:color="auto"/>
            </w:tcBorders>
          </w:tcPr>
          <w:p w14:paraId="6C1D4A22" w14:textId="77777777" w:rsidR="003B54F2" w:rsidRPr="007D1918" w:rsidRDefault="003B54F2" w:rsidP="007B12FA">
            <w:pPr>
              <w:keepNext/>
              <w:spacing w:after="40" w:line="240" w:lineRule="auto"/>
              <w:jc w:val="both"/>
              <w:rPr>
                <w:rFonts w:ascii="Arial Narrow" w:hAnsi="Arial Narrow"/>
                <w:b/>
                <w:sz w:val="20"/>
                <w:szCs w:val="20"/>
              </w:rPr>
            </w:pPr>
            <w:r w:rsidRPr="007D1918">
              <w:rPr>
                <w:rFonts w:ascii="Arial Narrow" w:hAnsi="Arial Narrow"/>
                <w:sz w:val="20"/>
                <w:szCs w:val="20"/>
              </w:rPr>
              <w:t>Total Cost</w:t>
            </w:r>
          </w:p>
        </w:tc>
        <w:tc>
          <w:tcPr>
            <w:tcW w:w="1275" w:type="dxa"/>
            <w:vMerge/>
            <w:tcBorders>
              <w:bottom w:val="single" w:sz="4" w:space="0" w:color="auto"/>
            </w:tcBorders>
          </w:tcPr>
          <w:p w14:paraId="3AB1F9CE" w14:textId="77777777" w:rsidR="003B54F2" w:rsidRPr="007D1918" w:rsidRDefault="003B54F2" w:rsidP="007B12FA">
            <w:pPr>
              <w:keepNext/>
              <w:spacing w:after="40" w:line="240" w:lineRule="auto"/>
              <w:jc w:val="both"/>
              <w:rPr>
                <w:rFonts w:ascii="Arial Narrow" w:hAnsi="Arial Narrow"/>
                <w:b/>
                <w:sz w:val="20"/>
                <w:szCs w:val="20"/>
              </w:rPr>
            </w:pPr>
          </w:p>
        </w:tc>
      </w:tr>
      <w:tr w:rsidR="003B54F2" w:rsidRPr="007D1918" w14:paraId="502A6137" w14:textId="77777777" w:rsidTr="003B54F2">
        <w:tc>
          <w:tcPr>
            <w:tcW w:w="4282" w:type="dxa"/>
          </w:tcPr>
          <w:p w14:paraId="38C1D955" w14:textId="1F8CFE16" w:rsidR="003B54F2" w:rsidRPr="007D1918" w:rsidRDefault="0089783C" w:rsidP="0089783C">
            <w:pPr>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IVIg </w:t>
            </w:r>
            <w:r w:rsidR="003B54F2" w:rsidRPr="007D1918">
              <w:rPr>
                <w:rFonts w:ascii="Arial Narrow" w:hAnsi="Arial Narrow"/>
                <w:sz w:val="20"/>
                <w:szCs w:val="20"/>
              </w:rPr>
              <w:t>product (156g)</w:t>
            </w:r>
          </w:p>
        </w:tc>
        <w:tc>
          <w:tcPr>
            <w:tcW w:w="1417" w:type="dxa"/>
            <w:tcBorders>
              <w:top w:val="single" w:sz="4" w:space="0" w:color="auto"/>
              <w:bottom w:val="single" w:sz="4" w:space="0" w:color="auto"/>
            </w:tcBorders>
          </w:tcPr>
          <w:p w14:paraId="7FBB583C"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$9,424</w:t>
            </w:r>
          </w:p>
        </w:tc>
        <w:tc>
          <w:tcPr>
            <w:tcW w:w="1418" w:type="dxa"/>
            <w:tcBorders>
              <w:top w:val="single" w:sz="4" w:space="0" w:color="auto"/>
              <w:bottom w:val="single" w:sz="4" w:space="0" w:color="auto"/>
            </w:tcBorders>
          </w:tcPr>
          <w:p w14:paraId="5134E524"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275" w:type="dxa"/>
            <w:tcBorders>
              <w:top w:val="single" w:sz="4" w:space="0" w:color="auto"/>
              <w:left w:val="nil"/>
              <w:bottom w:val="single" w:sz="4" w:space="0" w:color="auto"/>
              <w:right w:val="single" w:sz="4" w:space="0" w:color="auto"/>
            </w:tcBorders>
            <w:shd w:val="clear" w:color="auto" w:fill="auto"/>
            <w:vAlign w:val="bottom"/>
          </w:tcPr>
          <w:p w14:paraId="75476CEB"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$9,424</w:t>
            </w:r>
          </w:p>
        </w:tc>
      </w:tr>
      <w:tr w:rsidR="003B54F2" w:rsidRPr="007D1918" w14:paraId="65D68EC1" w14:textId="77777777" w:rsidTr="003B54F2">
        <w:tc>
          <w:tcPr>
            <w:tcW w:w="4282" w:type="dxa"/>
          </w:tcPr>
          <w:p w14:paraId="04E05FEA" w14:textId="77777777" w:rsidR="003B54F2" w:rsidRPr="007D1918" w:rsidRDefault="003B54F2" w:rsidP="007B12FA">
            <w:pPr>
              <w:spacing w:after="40" w:line="240" w:lineRule="auto"/>
              <w:ind w:left="346" w:hanging="141"/>
              <w:jc w:val="both"/>
              <w:rPr>
                <w:rFonts w:ascii="Arial Narrow" w:hAnsi="Arial Narrow"/>
                <w:sz w:val="20"/>
                <w:szCs w:val="20"/>
              </w:rPr>
            </w:pPr>
            <w:r w:rsidRPr="007D1918">
              <w:rPr>
                <w:rFonts w:ascii="Arial Narrow" w:hAnsi="Arial Narrow"/>
                <w:sz w:val="20"/>
                <w:szCs w:val="20"/>
              </w:rPr>
              <w:t>PE replacement fluid (Albumin 4%)</w:t>
            </w:r>
          </w:p>
        </w:tc>
        <w:tc>
          <w:tcPr>
            <w:tcW w:w="1417" w:type="dxa"/>
            <w:tcBorders>
              <w:top w:val="single" w:sz="4" w:space="0" w:color="auto"/>
              <w:bottom w:val="single" w:sz="4" w:space="0" w:color="auto"/>
            </w:tcBorders>
          </w:tcPr>
          <w:p w14:paraId="2ECC3AD2"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bottom w:val="single" w:sz="4" w:space="0" w:color="auto"/>
            </w:tcBorders>
          </w:tcPr>
          <w:p w14:paraId="6BF96793"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$685</w:t>
            </w:r>
          </w:p>
        </w:tc>
        <w:tc>
          <w:tcPr>
            <w:tcW w:w="1275" w:type="dxa"/>
            <w:tcBorders>
              <w:top w:val="single" w:sz="4" w:space="0" w:color="auto"/>
              <w:left w:val="nil"/>
              <w:bottom w:val="single" w:sz="4" w:space="0" w:color="auto"/>
              <w:right w:val="single" w:sz="4" w:space="0" w:color="auto"/>
            </w:tcBorders>
            <w:shd w:val="clear" w:color="auto" w:fill="auto"/>
            <w:vAlign w:val="bottom"/>
          </w:tcPr>
          <w:p w14:paraId="5A0751B6"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-$685</w:t>
            </w:r>
          </w:p>
        </w:tc>
      </w:tr>
      <w:tr w:rsidR="003B54F2" w:rsidRPr="007D1918" w14:paraId="6FE5EF56" w14:textId="77777777" w:rsidTr="003B54F2">
        <w:tc>
          <w:tcPr>
            <w:tcW w:w="4282" w:type="dxa"/>
          </w:tcPr>
          <w:p w14:paraId="732F6192" w14:textId="77777777" w:rsidR="003B54F2" w:rsidRPr="007D1918" w:rsidRDefault="003B54F2" w:rsidP="007B12FA">
            <w:pPr>
              <w:spacing w:after="40" w:line="240" w:lineRule="auto"/>
              <w:ind w:left="346" w:hanging="141"/>
              <w:jc w:val="both"/>
              <w:rPr>
                <w:rFonts w:ascii="Arial Narrow" w:hAnsi="Arial Narrow"/>
                <w:sz w:val="20"/>
                <w:szCs w:val="20"/>
              </w:rPr>
            </w:pPr>
            <w:r w:rsidRPr="007D1918">
              <w:rPr>
                <w:rFonts w:ascii="Arial Narrow" w:hAnsi="Arial Narrow"/>
                <w:sz w:val="20"/>
                <w:szCs w:val="20"/>
              </w:rPr>
              <w:t>All outpatient Tx administration costs (pre-admission)</w:t>
            </w:r>
          </w:p>
        </w:tc>
        <w:tc>
          <w:tcPr>
            <w:tcW w:w="1417" w:type="dxa"/>
            <w:tcBorders>
              <w:top w:val="single" w:sz="4" w:space="0" w:color="auto"/>
              <w:bottom w:val="single" w:sz="4" w:space="0" w:color="auto"/>
            </w:tcBorders>
          </w:tcPr>
          <w:p w14:paraId="7BBF079C"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$922</w:t>
            </w:r>
          </w:p>
        </w:tc>
        <w:tc>
          <w:tcPr>
            <w:tcW w:w="1418" w:type="dxa"/>
            <w:tcBorders>
              <w:top w:val="single" w:sz="4" w:space="0" w:color="auto"/>
              <w:bottom w:val="single" w:sz="4" w:space="0" w:color="auto"/>
            </w:tcBorders>
          </w:tcPr>
          <w:p w14:paraId="6A93E953"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$7,231</w:t>
            </w:r>
          </w:p>
        </w:tc>
        <w:tc>
          <w:tcPr>
            <w:tcW w:w="1275" w:type="dxa"/>
            <w:tcBorders>
              <w:top w:val="single" w:sz="4" w:space="0" w:color="auto"/>
              <w:left w:val="nil"/>
              <w:bottom w:val="single" w:sz="4" w:space="0" w:color="auto"/>
              <w:right w:val="single" w:sz="4" w:space="0" w:color="auto"/>
            </w:tcBorders>
            <w:shd w:val="clear" w:color="auto" w:fill="auto"/>
            <w:vAlign w:val="bottom"/>
          </w:tcPr>
          <w:p w14:paraId="476B0685"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-$6,309</w:t>
            </w:r>
          </w:p>
        </w:tc>
      </w:tr>
      <w:tr w:rsidR="003B54F2" w:rsidRPr="007D1918" w14:paraId="1428BFC1" w14:textId="77777777" w:rsidTr="003B54F2">
        <w:tc>
          <w:tcPr>
            <w:tcW w:w="4282" w:type="dxa"/>
          </w:tcPr>
          <w:p w14:paraId="631B99F8" w14:textId="77777777" w:rsidR="003B54F2" w:rsidRPr="007D1918" w:rsidRDefault="003B54F2" w:rsidP="007B12FA">
            <w:pPr>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Thymectomy Operating Theatre </w:t>
            </w:r>
          </w:p>
        </w:tc>
        <w:tc>
          <w:tcPr>
            <w:tcW w:w="1417" w:type="dxa"/>
            <w:tcBorders>
              <w:top w:val="single" w:sz="4" w:space="0" w:color="auto"/>
              <w:bottom w:val="single" w:sz="4" w:space="0" w:color="auto"/>
            </w:tcBorders>
          </w:tcPr>
          <w:p w14:paraId="34EEB64E"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$9,393</w:t>
            </w:r>
          </w:p>
        </w:tc>
        <w:tc>
          <w:tcPr>
            <w:tcW w:w="1418" w:type="dxa"/>
            <w:tcBorders>
              <w:top w:val="single" w:sz="4" w:space="0" w:color="auto"/>
              <w:bottom w:val="single" w:sz="4" w:space="0" w:color="auto"/>
            </w:tcBorders>
          </w:tcPr>
          <w:p w14:paraId="44D4A7CD"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$11,317</w:t>
            </w:r>
          </w:p>
        </w:tc>
        <w:tc>
          <w:tcPr>
            <w:tcW w:w="1275" w:type="dxa"/>
            <w:tcBorders>
              <w:top w:val="single" w:sz="4" w:space="0" w:color="auto"/>
              <w:left w:val="nil"/>
              <w:bottom w:val="single" w:sz="4" w:space="0" w:color="auto"/>
              <w:right w:val="single" w:sz="4" w:space="0" w:color="auto"/>
            </w:tcBorders>
            <w:shd w:val="clear" w:color="auto" w:fill="auto"/>
            <w:vAlign w:val="bottom"/>
          </w:tcPr>
          <w:p w14:paraId="2D3638AB"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-$1,924</w:t>
            </w:r>
          </w:p>
        </w:tc>
      </w:tr>
      <w:tr w:rsidR="003B54F2" w:rsidRPr="007D1918" w14:paraId="50064F43" w14:textId="77777777" w:rsidTr="003B54F2">
        <w:tc>
          <w:tcPr>
            <w:tcW w:w="4282" w:type="dxa"/>
          </w:tcPr>
          <w:p w14:paraId="7A511B76" w14:textId="77777777" w:rsidR="003B54F2" w:rsidRPr="007D1918" w:rsidRDefault="003B54F2" w:rsidP="007B12FA">
            <w:pPr>
              <w:spacing w:after="40" w:line="240" w:lineRule="auto"/>
              <w:ind w:left="346" w:hanging="141"/>
              <w:jc w:val="both"/>
              <w:rPr>
                <w:rFonts w:ascii="Arial Narrow" w:hAnsi="Arial Narrow"/>
                <w:sz w:val="20"/>
                <w:szCs w:val="20"/>
              </w:rPr>
            </w:pPr>
            <w:r w:rsidRPr="007D1918">
              <w:rPr>
                <w:rFonts w:ascii="Arial Narrow" w:hAnsi="Arial Narrow"/>
                <w:sz w:val="20"/>
                <w:szCs w:val="20"/>
              </w:rPr>
              <w:t>Other hospitalisation (for surgery) costs</w:t>
            </w:r>
          </w:p>
        </w:tc>
        <w:tc>
          <w:tcPr>
            <w:tcW w:w="1417" w:type="dxa"/>
            <w:tcBorders>
              <w:top w:val="single" w:sz="4" w:space="0" w:color="auto"/>
              <w:bottom w:val="single" w:sz="4" w:space="0" w:color="auto"/>
            </w:tcBorders>
          </w:tcPr>
          <w:p w14:paraId="14978198"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418" w:type="dxa"/>
            <w:tcBorders>
              <w:top w:val="single" w:sz="4" w:space="0" w:color="auto"/>
              <w:bottom w:val="single" w:sz="4" w:space="0" w:color="auto"/>
            </w:tcBorders>
          </w:tcPr>
          <w:p w14:paraId="13536449"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275" w:type="dxa"/>
            <w:tcBorders>
              <w:top w:val="single" w:sz="4" w:space="0" w:color="auto"/>
              <w:left w:val="nil"/>
              <w:bottom w:val="single" w:sz="4" w:space="0" w:color="auto"/>
              <w:right w:val="single" w:sz="4" w:space="0" w:color="auto"/>
            </w:tcBorders>
            <w:shd w:val="clear" w:color="auto" w:fill="auto"/>
            <w:vAlign w:val="bottom"/>
          </w:tcPr>
          <w:p w14:paraId="013B039D" w14:textId="77777777" w:rsidR="003B54F2" w:rsidRPr="007D1918" w:rsidRDefault="003B54F2" w:rsidP="007B12FA">
            <w:pPr>
              <w:spacing w:after="40" w:line="240" w:lineRule="auto"/>
              <w:jc w:val="right"/>
              <w:rPr>
                <w:rFonts w:ascii="Arial Narrow" w:hAnsi="Arial Narrow"/>
                <w:sz w:val="20"/>
                <w:szCs w:val="20"/>
              </w:rPr>
            </w:pPr>
            <w:r w:rsidRPr="007D1918">
              <w:rPr>
                <w:rFonts w:ascii="Arial Narrow" w:hAnsi="Arial Narrow"/>
                <w:sz w:val="20"/>
                <w:szCs w:val="20"/>
              </w:rPr>
              <w:t>$0</w:t>
            </w:r>
          </w:p>
        </w:tc>
      </w:tr>
      <w:tr w:rsidR="003B54F2" w:rsidRPr="007D1918" w14:paraId="3DBBB71D" w14:textId="77777777" w:rsidTr="003B54F2">
        <w:tc>
          <w:tcPr>
            <w:tcW w:w="4282" w:type="dxa"/>
            <w:tcBorders>
              <w:top w:val="single" w:sz="4" w:space="0" w:color="auto"/>
              <w:bottom w:val="single" w:sz="4" w:space="0" w:color="auto"/>
              <w:right w:val="single" w:sz="4" w:space="0" w:color="auto"/>
            </w:tcBorders>
          </w:tcPr>
          <w:p w14:paraId="1D1BA425" w14:textId="77777777" w:rsidR="003B54F2" w:rsidRPr="007D1918" w:rsidRDefault="003B54F2" w:rsidP="007B12FA">
            <w:pPr>
              <w:spacing w:after="40" w:line="240" w:lineRule="auto"/>
              <w:rPr>
                <w:rFonts w:ascii="Arial Narrow" w:hAnsi="Arial Narrow"/>
                <w:b/>
                <w:sz w:val="20"/>
                <w:szCs w:val="20"/>
              </w:rPr>
            </w:pPr>
            <w:r w:rsidRPr="007D1918">
              <w:rPr>
                <w:rFonts w:ascii="Arial Narrow" w:hAnsi="Arial Narrow"/>
                <w:b/>
                <w:sz w:val="20"/>
                <w:szCs w:val="20"/>
              </w:rPr>
              <w:t xml:space="preserve">Total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4874E679" w14:textId="77777777" w:rsidR="003B54F2" w:rsidRPr="007D1918" w:rsidRDefault="003B54F2" w:rsidP="007B12FA">
            <w:pPr>
              <w:spacing w:after="40" w:line="240" w:lineRule="auto"/>
              <w:jc w:val="right"/>
              <w:rPr>
                <w:rFonts w:ascii="Arial Narrow" w:hAnsi="Arial Narrow"/>
                <w:b/>
                <w:sz w:val="20"/>
                <w:szCs w:val="20"/>
              </w:rPr>
            </w:pPr>
            <w:r w:rsidRPr="007D1918">
              <w:rPr>
                <w:rFonts w:ascii="Arial Narrow" w:hAnsi="Arial Narrow"/>
                <w:b/>
                <w:sz w:val="20"/>
                <w:szCs w:val="20"/>
              </w:rPr>
              <w:t>$47,257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7BA914A" w14:textId="77777777" w:rsidR="003B54F2" w:rsidRPr="007D1918" w:rsidRDefault="003B54F2" w:rsidP="007B12FA">
            <w:pPr>
              <w:spacing w:after="40" w:line="240" w:lineRule="auto"/>
              <w:jc w:val="right"/>
              <w:rPr>
                <w:rFonts w:ascii="Arial Narrow" w:hAnsi="Arial Narrow"/>
                <w:b/>
                <w:sz w:val="20"/>
                <w:szCs w:val="20"/>
              </w:rPr>
            </w:pPr>
            <w:r w:rsidRPr="007D1918">
              <w:rPr>
                <w:rFonts w:ascii="Arial Narrow" w:hAnsi="Arial Narrow"/>
                <w:b/>
                <w:sz w:val="20"/>
                <w:szCs w:val="20"/>
              </w:rPr>
              <w:t>$46,751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5B649BD9" w14:textId="77777777" w:rsidR="003B54F2" w:rsidRPr="007D1918" w:rsidRDefault="003B54F2" w:rsidP="007B12FA">
            <w:pPr>
              <w:spacing w:after="40" w:line="240" w:lineRule="auto"/>
              <w:jc w:val="right"/>
              <w:rPr>
                <w:rFonts w:ascii="Arial Narrow" w:hAnsi="Arial Narrow"/>
                <w:b/>
                <w:sz w:val="20"/>
                <w:szCs w:val="20"/>
              </w:rPr>
            </w:pPr>
            <w:r w:rsidRPr="007D1918">
              <w:rPr>
                <w:rFonts w:ascii="Arial Narrow" w:hAnsi="Arial Narrow"/>
                <w:b/>
                <w:sz w:val="20"/>
                <w:szCs w:val="20"/>
              </w:rPr>
              <w:t>$506</w:t>
            </w:r>
          </w:p>
        </w:tc>
      </w:tr>
    </w:tbl>
    <w:p w14:paraId="1CB2F50A" w14:textId="77777777" w:rsidR="003B54F2" w:rsidRPr="007D1918" w:rsidRDefault="003B54F2" w:rsidP="003B54F2">
      <w:pPr>
        <w:pStyle w:val="Tablenotes1"/>
        <w:spacing w:after="360"/>
      </w:pPr>
      <w:r w:rsidRPr="007D1918">
        <w:t>IVIg = intravenous immunoglobulin; FFP = fresh frozen plasma; PE = plasma exchange</w:t>
      </w:r>
    </w:p>
    <w:p w14:paraId="51CBC248" w14:textId="4AABA253" w:rsidR="00133A8D" w:rsidRPr="007D1918" w:rsidRDefault="003B54F2" w:rsidP="00DF343F">
      <w:pPr>
        <w:jc w:val="both"/>
      </w:pPr>
      <w:r w:rsidRPr="007D1918">
        <w:t xml:space="preserve">Overall, the cost-minimisation analysis suggests </w:t>
      </w:r>
      <w:r w:rsidR="005A00F0" w:rsidRPr="007D1918">
        <w:t xml:space="preserve">PE </w:t>
      </w:r>
      <w:r w:rsidRPr="007D1918">
        <w:t>may be marginally less expensive than IVIg for pre-treatment prior to surgery in MG patients, however the difference is small in the broader context of the surgery cost.</w:t>
      </w:r>
    </w:p>
    <w:p w14:paraId="0E4313EA" w14:textId="55FB2672" w:rsidR="007C735F" w:rsidRPr="007D1918" w:rsidRDefault="007B12FA" w:rsidP="007B12FA">
      <w:pPr>
        <w:jc w:val="both"/>
      </w:pPr>
      <w:r w:rsidRPr="007D1918">
        <w:lastRenderedPageBreak/>
        <w:t>The cost</w:t>
      </w:r>
      <w:r w:rsidR="007C735F" w:rsidRPr="007D1918">
        <w:t xml:space="preserve">-minimisation </w:t>
      </w:r>
      <w:r w:rsidRPr="007D1918">
        <w:t>for IVIg</w:t>
      </w:r>
      <w:r w:rsidR="007C735F" w:rsidRPr="007D1918">
        <w:t xml:space="preserve"> and </w:t>
      </w:r>
      <w:r w:rsidRPr="007D1918">
        <w:t xml:space="preserve">PE in the Indication 3 analysis, using the base case assumptions, are shown in </w:t>
      </w:r>
      <w:r w:rsidRPr="007D1918">
        <w:fldChar w:fldCharType="begin"/>
      </w:r>
      <w:r w:rsidRPr="007D1918">
        <w:instrText xml:space="preserve"> REF _Ref14438056 \h </w:instrText>
      </w:r>
      <w:r w:rsidR="00E07567" w:rsidRPr="007D1918">
        <w:instrText xml:space="preserve"> \* MERGEFORMAT </w:instrText>
      </w:r>
      <w:r w:rsidRPr="007D1918">
        <w:fldChar w:fldCharType="separate"/>
      </w:r>
      <w:r w:rsidR="007C33AD" w:rsidRPr="007D1918">
        <w:t xml:space="preserve">Table </w:t>
      </w:r>
      <w:r w:rsidR="007C33AD" w:rsidRPr="007D1918">
        <w:rPr>
          <w:noProof/>
        </w:rPr>
        <w:t>4</w:t>
      </w:r>
      <w:r w:rsidRPr="007D1918">
        <w:fldChar w:fldCharType="end"/>
      </w:r>
      <w:r w:rsidR="007C735F" w:rsidRPr="007D1918">
        <w:t xml:space="preserve"> (additional time horizons are presented in Section D.5)</w:t>
      </w:r>
      <w:r w:rsidRPr="007D1918">
        <w:t>.</w:t>
      </w:r>
    </w:p>
    <w:p w14:paraId="40918A2A" w14:textId="59560B9F" w:rsidR="007B12FA" w:rsidRPr="007D1918" w:rsidRDefault="007B12FA" w:rsidP="007B12FA">
      <w:pPr>
        <w:pStyle w:val="Caption"/>
        <w:keepNext/>
      </w:pPr>
      <w:bookmarkStart w:id="80" w:name="_Ref14438056"/>
      <w:bookmarkStart w:id="81" w:name="_Toc23769491"/>
      <w:r w:rsidRPr="007D1918">
        <w:t xml:space="preserve">Table </w:t>
      </w:r>
      <w:r w:rsidR="00FE2DC6" w:rsidRPr="007D1918">
        <w:rPr>
          <w:noProof/>
        </w:rPr>
        <w:fldChar w:fldCharType="begin"/>
      </w:r>
      <w:r w:rsidR="00FE2DC6" w:rsidRPr="007D1918">
        <w:rPr>
          <w:noProof/>
        </w:rPr>
        <w:instrText xml:space="preserve"> SEQ Table \* ARABIC </w:instrText>
      </w:r>
      <w:r w:rsidR="00FE2DC6" w:rsidRPr="007D1918">
        <w:rPr>
          <w:noProof/>
        </w:rPr>
        <w:fldChar w:fldCharType="separate"/>
      </w:r>
      <w:r w:rsidR="007C33AD" w:rsidRPr="007D1918">
        <w:rPr>
          <w:noProof/>
        </w:rPr>
        <w:t>4</w:t>
      </w:r>
      <w:r w:rsidR="00FE2DC6" w:rsidRPr="007D1918">
        <w:rPr>
          <w:noProof/>
        </w:rPr>
        <w:fldChar w:fldCharType="end"/>
      </w:r>
      <w:bookmarkEnd w:id="80"/>
      <w:r w:rsidRPr="007D1918">
        <w:tab/>
      </w:r>
      <w:r w:rsidRPr="007D1918">
        <w:tab/>
        <w:t>Indication 3: Cost analysis over varying time horizons</w:t>
      </w:r>
      <w:r w:rsidR="00A127AA" w:rsidRPr="007D1918">
        <w:t>, discounted</w:t>
      </w:r>
      <w:r w:rsidR="000A3A40" w:rsidRPr="007D1918">
        <w:t xml:space="preserve"> at 5% pa</w:t>
      </w:r>
      <w:bookmarkEnd w:id="81"/>
    </w:p>
    <w:tbl>
      <w:tblPr>
        <w:tblStyle w:val="TableGrid2"/>
        <w:tblW w:w="8818"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140"/>
        <w:gridCol w:w="1559"/>
        <w:gridCol w:w="1559"/>
        <w:gridCol w:w="1560"/>
      </w:tblGrid>
      <w:tr w:rsidR="007B12FA" w:rsidRPr="007D1918" w14:paraId="463A369C" w14:textId="77777777" w:rsidTr="007C735F">
        <w:trPr>
          <w:cnfStyle w:val="100000000000" w:firstRow="1" w:lastRow="0" w:firstColumn="0" w:lastColumn="0" w:oddVBand="0" w:evenVBand="0" w:oddHBand="0" w:evenHBand="0" w:firstRowFirstColumn="0" w:firstRowLastColumn="0" w:lastRowFirstColumn="0" w:lastRowLastColumn="0"/>
          <w:tblHeader/>
        </w:trPr>
        <w:tc>
          <w:tcPr>
            <w:tcW w:w="4140" w:type="dxa"/>
            <w:tcBorders>
              <w:bottom w:val="single" w:sz="4" w:space="0" w:color="auto"/>
            </w:tcBorders>
          </w:tcPr>
          <w:p w14:paraId="7473A291" w14:textId="77777777" w:rsidR="007B12FA" w:rsidRPr="007D1918" w:rsidRDefault="007B12FA" w:rsidP="007B12FA">
            <w:pPr>
              <w:keepNext/>
              <w:spacing w:after="40" w:line="240" w:lineRule="auto"/>
              <w:jc w:val="both"/>
              <w:rPr>
                <w:rFonts w:ascii="Arial Narrow" w:hAnsi="Arial Narrow"/>
                <w:b/>
                <w:sz w:val="20"/>
                <w:szCs w:val="20"/>
              </w:rPr>
            </w:pPr>
          </w:p>
        </w:tc>
        <w:tc>
          <w:tcPr>
            <w:tcW w:w="4678" w:type="dxa"/>
            <w:gridSpan w:val="3"/>
            <w:tcBorders>
              <w:bottom w:val="single" w:sz="4" w:space="0" w:color="auto"/>
            </w:tcBorders>
          </w:tcPr>
          <w:p w14:paraId="13307D0E" w14:textId="3B291010" w:rsidR="007B12FA" w:rsidRPr="007D1918" w:rsidRDefault="007B12FA" w:rsidP="00A127AA">
            <w:pPr>
              <w:keepNext/>
              <w:spacing w:after="40" w:line="240" w:lineRule="auto"/>
              <w:jc w:val="both"/>
              <w:rPr>
                <w:rFonts w:ascii="Arial Narrow" w:hAnsi="Arial Narrow"/>
                <w:b/>
                <w:sz w:val="20"/>
                <w:szCs w:val="20"/>
              </w:rPr>
            </w:pPr>
            <w:r w:rsidRPr="007D1918">
              <w:rPr>
                <w:rFonts w:ascii="Arial Narrow" w:hAnsi="Arial Narrow"/>
                <w:b/>
                <w:sz w:val="20"/>
                <w:szCs w:val="20"/>
              </w:rPr>
              <w:t>Total discounted costs over varying time horizons</w:t>
            </w:r>
          </w:p>
        </w:tc>
      </w:tr>
      <w:tr w:rsidR="007B12FA" w:rsidRPr="007D1918" w14:paraId="51BE91B2" w14:textId="77777777" w:rsidTr="007C735F">
        <w:trPr>
          <w:cnfStyle w:val="100000000000" w:firstRow="1" w:lastRow="0" w:firstColumn="0" w:lastColumn="0" w:oddVBand="0" w:evenVBand="0" w:oddHBand="0" w:evenHBand="0" w:firstRowFirstColumn="0" w:firstRowLastColumn="0" w:lastRowFirstColumn="0" w:lastRowLastColumn="0"/>
          <w:tblHeader/>
        </w:trPr>
        <w:tc>
          <w:tcPr>
            <w:tcW w:w="4140" w:type="dxa"/>
            <w:tcBorders>
              <w:bottom w:val="single" w:sz="4" w:space="0" w:color="auto"/>
            </w:tcBorders>
          </w:tcPr>
          <w:p w14:paraId="6BBB74CE" w14:textId="77777777" w:rsidR="007B12FA" w:rsidRPr="007D1918" w:rsidRDefault="007B12FA" w:rsidP="007B12FA">
            <w:pPr>
              <w:keepNext/>
              <w:spacing w:after="40" w:line="240" w:lineRule="auto"/>
              <w:jc w:val="both"/>
              <w:rPr>
                <w:rFonts w:ascii="Arial Narrow" w:hAnsi="Arial Narrow"/>
                <w:b/>
                <w:sz w:val="20"/>
                <w:szCs w:val="20"/>
              </w:rPr>
            </w:pPr>
          </w:p>
        </w:tc>
        <w:tc>
          <w:tcPr>
            <w:tcW w:w="1559" w:type="dxa"/>
            <w:tcBorders>
              <w:bottom w:val="single" w:sz="4" w:space="0" w:color="auto"/>
            </w:tcBorders>
          </w:tcPr>
          <w:p w14:paraId="117D03CA" w14:textId="77777777" w:rsidR="007B12FA" w:rsidRPr="007D1918" w:rsidRDefault="007B12FA" w:rsidP="007B12FA">
            <w:pPr>
              <w:keepNext/>
              <w:spacing w:after="40" w:line="240" w:lineRule="auto"/>
              <w:jc w:val="center"/>
              <w:rPr>
                <w:rFonts w:ascii="Arial Narrow" w:hAnsi="Arial Narrow"/>
                <w:b/>
                <w:sz w:val="20"/>
                <w:szCs w:val="20"/>
              </w:rPr>
            </w:pPr>
            <w:r w:rsidRPr="007D1918">
              <w:rPr>
                <w:rFonts w:ascii="Arial Narrow" w:hAnsi="Arial Narrow"/>
                <w:b/>
                <w:sz w:val="20"/>
                <w:szCs w:val="20"/>
              </w:rPr>
              <w:t>1 year</w:t>
            </w:r>
          </w:p>
        </w:tc>
        <w:tc>
          <w:tcPr>
            <w:tcW w:w="1559" w:type="dxa"/>
            <w:tcBorders>
              <w:bottom w:val="single" w:sz="4" w:space="0" w:color="auto"/>
            </w:tcBorders>
          </w:tcPr>
          <w:p w14:paraId="21735481" w14:textId="61BF12A0" w:rsidR="007B12FA" w:rsidRPr="007D1918" w:rsidRDefault="00D62E2F" w:rsidP="001533D9">
            <w:pPr>
              <w:keepNext/>
              <w:spacing w:after="40" w:line="240" w:lineRule="auto"/>
              <w:jc w:val="center"/>
              <w:rPr>
                <w:rFonts w:ascii="Arial Narrow" w:hAnsi="Arial Narrow"/>
                <w:b/>
                <w:sz w:val="20"/>
                <w:szCs w:val="20"/>
              </w:rPr>
            </w:pPr>
            <w:r w:rsidRPr="007D1918">
              <w:rPr>
                <w:rFonts w:ascii="Arial Narrow" w:hAnsi="Arial Narrow"/>
                <w:b/>
                <w:sz w:val="20"/>
                <w:szCs w:val="20"/>
              </w:rPr>
              <w:t>5</w:t>
            </w:r>
            <w:r w:rsidR="007B12FA" w:rsidRPr="007D1918">
              <w:rPr>
                <w:rFonts w:ascii="Arial Narrow" w:hAnsi="Arial Narrow"/>
                <w:b/>
                <w:sz w:val="20"/>
                <w:szCs w:val="20"/>
              </w:rPr>
              <w:t xml:space="preserve"> years</w:t>
            </w:r>
          </w:p>
        </w:tc>
        <w:tc>
          <w:tcPr>
            <w:tcW w:w="1560" w:type="dxa"/>
            <w:tcBorders>
              <w:bottom w:val="single" w:sz="4" w:space="0" w:color="auto"/>
            </w:tcBorders>
          </w:tcPr>
          <w:p w14:paraId="4F7189C1" w14:textId="4B49608C" w:rsidR="007B12FA" w:rsidRPr="007D1918" w:rsidRDefault="00D62E2F" w:rsidP="007B12FA">
            <w:pPr>
              <w:keepNext/>
              <w:spacing w:after="40" w:line="240" w:lineRule="auto"/>
              <w:jc w:val="center"/>
              <w:rPr>
                <w:rFonts w:ascii="Arial Narrow" w:hAnsi="Arial Narrow"/>
                <w:b/>
                <w:sz w:val="20"/>
                <w:szCs w:val="20"/>
              </w:rPr>
            </w:pPr>
            <w:r w:rsidRPr="007D1918">
              <w:rPr>
                <w:rFonts w:ascii="Arial Narrow" w:hAnsi="Arial Narrow"/>
                <w:b/>
                <w:sz w:val="20"/>
                <w:szCs w:val="20"/>
              </w:rPr>
              <w:t>1</w:t>
            </w:r>
            <w:r w:rsidR="007B12FA" w:rsidRPr="007D1918">
              <w:rPr>
                <w:rFonts w:ascii="Arial Narrow" w:hAnsi="Arial Narrow"/>
                <w:b/>
                <w:sz w:val="20"/>
                <w:szCs w:val="20"/>
              </w:rPr>
              <w:t>0 years</w:t>
            </w:r>
          </w:p>
        </w:tc>
      </w:tr>
      <w:tr w:rsidR="007B12FA" w:rsidRPr="007D1918" w14:paraId="3B3C1464" w14:textId="77777777" w:rsidTr="007C735F">
        <w:tc>
          <w:tcPr>
            <w:tcW w:w="4140" w:type="dxa"/>
          </w:tcPr>
          <w:p w14:paraId="16E838AD" w14:textId="77777777" w:rsidR="007B12FA" w:rsidRPr="007D1918" w:rsidRDefault="007B12FA" w:rsidP="007B12FA">
            <w:pPr>
              <w:spacing w:after="40" w:line="240" w:lineRule="auto"/>
              <w:jc w:val="both"/>
              <w:rPr>
                <w:rFonts w:ascii="Arial Narrow" w:hAnsi="Arial Narrow"/>
                <w:b/>
                <w:sz w:val="20"/>
                <w:szCs w:val="20"/>
              </w:rPr>
            </w:pPr>
            <w:r w:rsidRPr="007D1918">
              <w:rPr>
                <w:rFonts w:ascii="Arial Narrow" w:hAnsi="Arial Narrow"/>
                <w:b/>
                <w:sz w:val="20"/>
                <w:szCs w:val="20"/>
              </w:rPr>
              <w:t>IVIg</w:t>
            </w:r>
          </w:p>
        </w:tc>
        <w:tc>
          <w:tcPr>
            <w:tcW w:w="1559" w:type="dxa"/>
            <w:shd w:val="clear" w:color="auto" w:fill="auto"/>
          </w:tcPr>
          <w:p w14:paraId="65D3049C" w14:textId="77777777" w:rsidR="007B12FA" w:rsidRPr="007D1918" w:rsidRDefault="007B12FA" w:rsidP="007B12FA">
            <w:pPr>
              <w:spacing w:after="40" w:line="240" w:lineRule="auto"/>
              <w:jc w:val="right"/>
              <w:rPr>
                <w:rFonts w:ascii="Arial Narrow" w:hAnsi="Arial Narrow"/>
                <w:sz w:val="20"/>
                <w:szCs w:val="20"/>
              </w:rPr>
            </w:pPr>
          </w:p>
        </w:tc>
        <w:tc>
          <w:tcPr>
            <w:tcW w:w="1559" w:type="dxa"/>
            <w:shd w:val="clear" w:color="auto" w:fill="auto"/>
          </w:tcPr>
          <w:p w14:paraId="13D7A31D" w14:textId="77777777" w:rsidR="007B12FA" w:rsidRPr="007D1918" w:rsidRDefault="007B12FA" w:rsidP="007B12FA">
            <w:pPr>
              <w:spacing w:after="40" w:line="240" w:lineRule="auto"/>
              <w:jc w:val="right"/>
              <w:rPr>
                <w:rFonts w:ascii="Arial Narrow" w:hAnsi="Arial Narrow"/>
                <w:sz w:val="20"/>
                <w:szCs w:val="20"/>
              </w:rPr>
            </w:pPr>
          </w:p>
        </w:tc>
        <w:tc>
          <w:tcPr>
            <w:tcW w:w="1560" w:type="dxa"/>
            <w:shd w:val="clear" w:color="auto" w:fill="auto"/>
          </w:tcPr>
          <w:p w14:paraId="5E6747D8" w14:textId="77777777" w:rsidR="007B12FA" w:rsidRPr="007D1918" w:rsidRDefault="007B12FA" w:rsidP="007B12FA">
            <w:pPr>
              <w:spacing w:after="40" w:line="240" w:lineRule="auto"/>
              <w:jc w:val="right"/>
              <w:rPr>
                <w:rFonts w:ascii="Arial Narrow" w:hAnsi="Arial Narrow"/>
                <w:sz w:val="20"/>
                <w:szCs w:val="20"/>
              </w:rPr>
            </w:pPr>
          </w:p>
        </w:tc>
      </w:tr>
      <w:tr w:rsidR="005E0FC6" w:rsidRPr="007D1918" w14:paraId="6357ED5B" w14:textId="77777777" w:rsidTr="0046554A">
        <w:tc>
          <w:tcPr>
            <w:tcW w:w="4140" w:type="dxa"/>
            <w:tcBorders>
              <w:bottom w:val="single" w:sz="4" w:space="0" w:color="auto"/>
            </w:tcBorders>
          </w:tcPr>
          <w:p w14:paraId="0AE721E3" w14:textId="5A7CC619" w:rsidR="005E0FC6" w:rsidRPr="007D1918" w:rsidRDefault="005E0FC6" w:rsidP="00F26A21">
            <w:pPr>
              <w:spacing w:after="40" w:line="240" w:lineRule="auto"/>
              <w:ind w:left="205"/>
              <w:jc w:val="both"/>
              <w:rPr>
                <w:rFonts w:ascii="Arial Narrow" w:hAnsi="Arial Narrow"/>
                <w:sz w:val="20"/>
                <w:szCs w:val="20"/>
              </w:rPr>
            </w:pPr>
            <w:r w:rsidRPr="007D1918">
              <w:rPr>
                <w:rFonts w:ascii="Arial Narrow" w:hAnsi="Arial Narrow"/>
                <w:sz w:val="20"/>
                <w:szCs w:val="20"/>
              </w:rPr>
              <w:t xml:space="preserve">NBA data </w:t>
            </w:r>
            <w:r w:rsidR="00F26A21" w:rsidRPr="007D1918">
              <w:rPr>
                <w:rFonts w:ascii="Arial Narrow" w:hAnsi="Arial Narrow"/>
                <w:sz w:val="20"/>
                <w:szCs w:val="20"/>
              </w:rPr>
              <w:t xml:space="preserve">derived average </w:t>
            </w:r>
            <w:r w:rsidRPr="007D1918">
              <w:rPr>
                <w:rFonts w:ascii="Arial Narrow" w:hAnsi="Arial Narrow"/>
                <w:sz w:val="20"/>
                <w:szCs w:val="20"/>
              </w:rPr>
              <w:t>annual dose</w:t>
            </w:r>
          </w:p>
        </w:tc>
        <w:tc>
          <w:tcPr>
            <w:tcW w:w="1559" w:type="dxa"/>
            <w:tcBorders>
              <w:bottom w:val="single" w:sz="4" w:space="0" w:color="auto"/>
            </w:tcBorders>
            <w:shd w:val="clear" w:color="auto" w:fill="auto"/>
          </w:tcPr>
          <w:p w14:paraId="600BC7F9" w14:textId="574B5C19"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$34,516</w:t>
            </w:r>
          </w:p>
        </w:tc>
        <w:tc>
          <w:tcPr>
            <w:tcW w:w="1559" w:type="dxa"/>
            <w:tcBorders>
              <w:bottom w:val="single" w:sz="4" w:space="0" w:color="auto"/>
            </w:tcBorders>
            <w:shd w:val="clear" w:color="auto" w:fill="auto"/>
          </w:tcPr>
          <w:p w14:paraId="02479B54" w14:textId="0E822CDD" w:rsidR="005E0FC6" w:rsidRPr="007D1918" w:rsidRDefault="005E0FC6" w:rsidP="005E0FC6">
            <w:pPr>
              <w:tabs>
                <w:tab w:val="center" w:pos="671"/>
                <w:tab w:val="right" w:pos="1343"/>
              </w:tabs>
              <w:spacing w:after="40" w:line="240" w:lineRule="auto"/>
              <w:jc w:val="right"/>
              <w:rPr>
                <w:rFonts w:ascii="Arial Narrow" w:hAnsi="Arial Narrow"/>
                <w:sz w:val="20"/>
                <w:szCs w:val="20"/>
              </w:rPr>
            </w:pPr>
            <w:r w:rsidRPr="007D1918">
              <w:rPr>
                <w:rFonts w:ascii="Arial Narrow" w:hAnsi="Arial Narrow"/>
                <w:sz w:val="20"/>
                <w:szCs w:val="20"/>
              </w:rPr>
              <w:t>$156,164</w:t>
            </w:r>
          </w:p>
        </w:tc>
        <w:tc>
          <w:tcPr>
            <w:tcW w:w="1560" w:type="dxa"/>
            <w:tcBorders>
              <w:bottom w:val="single" w:sz="4" w:space="0" w:color="auto"/>
            </w:tcBorders>
            <w:shd w:val="clear" w:color="auto" w:fill="auto"/>
          </w:tcPr>
          <w:p w14:paraId="01E5AE2F" w14:textId="1C658DEB"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$277,001</w:t>
            </w:r>
          </w:p>
        </w:tc>
      </w:tr>
      <w:tr w:rsidR="007B12FA" w:rsidRPr="007D1918" w14:paraId="78085061" w14:textId="77777777" w:rsidTr="007C735F">
        <w:tc>
          <w:tcPr>
            <w:tcW w:w="4140" w:type="dxa"/>
          </w:tcPr>
          <w:p w14:paraId="25B5EF7D" w14:textId="77777777" w:rsidR="007B12FA" w:rsidRPr="007D1918" w:rsidRDefault="007B12FA" w:rsidP="007B12FA">
            <w:pPr>
              <w:spacing w:after="40" w:line="240" w:lineRule="auto"/>
              <w:jc w:val="both"/>
              <w:rPr>
                <w:rFonts w:ascii="Arial Narrow" w:hAnsi="Arial Narrow"/>
                <w:b/>
                <w:sz w:val="20"/>
                <w:szCs w:val="20"/>
              </w:rPr>
            </w:pPr>
            <w:r w:rsidRPr="007D1918">
              <w:rPr>
                <w:rFonts w:ascii="Arial Narrow" w:hAnsi="Arial Narrow"/>
                <w:b/>
                <w:sz w:val="20"/>
                <w:szCs w:val="20"/>
              </w:rPr>
              <w:t>PE</w:t>
            </w:r>
          </w:p>
        </w:tc>
        <w:tc>
          <w:tcPr>
            <w:tcW w:w="1559" w:type="dxa"/>
            <w:shd w:val="clear" w:color="auto" w:fill="auto"/>
          </w:tcPr>
          <w:p w14:paraId="4FB1501F" w14:textId="77777777" w:rsidR="007B12FA" w:rsidRPr="007D1918" w:rsidRDefault="007B12FA" w:rsidP="007B12FA">
            <w:pPr>
              <w:spacing w:after="40" w:line="240" w:lineRule="auto"/>
              <w:jc w:val="right"/>
              <w:rPr>
                <w:rFonts w:ascii="Arial Narrow" w:hAnsi="Arial Narrow"/>
                <w:sz w:val="20"/>
                <w:szCs w:val="20"/>
              </w:rPr>
            </w:pPr>
          </w:p>
        </w:tc>
        <w:tc>
          <w:tcPr>
            <w:tcW w:w="1559" w:type="dxa"/>
            <w:shd w:val="clear" w:color="auto" w:fill="auto"/>
          </w:tcPr>
          <w:p w14:paraId="35457655" w14:textId="77777777" w:rsidR="007B12FA" w:rsidRPr="007D1918" w:rsidRDefault="007B12FA" w:rsidP="007B12FA">
            <w:pPr>
              <w:spacing w:after="40" w:line="240" w:lineRule="auto"/>
              <w:jc w:val="right"/>
              <w:rPr>
                <w:rFonts w:ascii="Arial Narrow" w:hAnsi="Arial Narrow"/>
                <w:sz w:val="20"/>
                <w:szCs w:val="20"/>
              </w:rPr>
            </w:pPr>
          </w:p>
        </w:tc>
        <w:tc>
          <w:tcPr>
            <w:tcW w:w="1560" w:type="dxa"/>
            <w:shd w:val="clear" w:color="auto" w:fill="auto"/>
          </w:tcPr>
          <w:p w14:paraId="62CD4621" w14:textId="77777777" w:rsidR="007B12FA" w:rsidRPr="007D1918" w:rsidRDefault="007B12FA" w:rsidP="007B12FA">
            <w:pPr>
              <w:spacing w:after="40" w:line="240" w:lineRule="auto"/>
              <w:jc w:val="right"/>
              <w:rPr>
                <w:rFonts w:ascii="Arial Narrow" w:hAnsi="Arial Narrow"/>
                <w:sz w:val="20"/>
                <w:szCs w:val="20"/>
              </w:rPr>
            </w:pPr>
          </w:p>
        </w:tc>
      </w:tr>
      <w:tr w:rsidR="005E0FC6" w:rsidRPr="007D1918" w14:paraId="2AEAC3ED" w14:textId="77777777" w:rsidTr="007C735F">
        <w:tc>
          <w:tcPr>
            <w:tcW w:w="4140" w:type="dxa"/>
            <w:tcBorders>
              <w:bottom w:val="single" w:sz="4" w:space="0" w:color="auto"/>
            </w:tcBorders>
          </w:tcPr>
          <w:p w14:paraId="720084C2" w14:textId="1AAFEAC0" w:rsidR="005E0FC6" w:rsidRPr="007D1918" w:rsidRDefault="005E0FC6" w:rsidP="00AD5504">
            <w:pPr>
              <w:spacing w:after="40" w:line="240" w:lineRule="auto"/>
              <w:ind w:firstLine="205"/>
              <w:jc w:val="both"/>
              <w:rPr>
                <w:rFonts w:ascii="Arial Narrow" w:hAnsi="Arial Narrow"/>
                <w:sz w:val="20"/>
                <w:szCs w:val="20"/>
              </w:rPr>
            </w:pPr>
            <w:r w:rsidRPr="007D1918">
              <w:rPr>
                <w:rFonts w:ascii="Arial Narrow" w:hAnsi="Arial Narrow"/>
                <w:sz w:val="20"/>
                <w:szCs w:val="20"/>
              </w:rPr>
              <w:t xml:space="preserve">low intensity (every </w:t>
            </w:r>
            <w:r w:rsidR="00AD5504" w:rsidRPr="007D1918">
              <w:rPr>
                <w:rFonts w:ascii="Arial Narrow" w:hAnsi="Arial Narrow"/>
                <w:sz w:val="20"/>
                <w:szCs w:val="20"/>
              </w:rPr>
              <w:t xml:space="preserve">4 </w:t>
            </w:r>
            <w:r w:rsidRPr="007D1918">
              <w:rPr>
                <w:rFonts w:ascii="Arial Narrow" w:hAnsi="Arial Narrow"/>
                <w:sz w:val="20"/>
                <w:szCs w:val="20"/>
              </w:rPr>
              <w:t>weeks)</w:t>
            </w:r>
          </w:p>
        </w:tc>
        <w:tc>
          <w:tcPr>
            <w:tcW w:w="1559" w:type="dxa"/>
            <w:tcBorders>
              <w:bottom w:val="single" w:sz="4" w:space="0" w:color="auto"/>
            </w:tcBorders>
            <w:shd w:val="clear" w:color="auto" w:fill="auto"/>
          </w:tcPr>
          <w:p w14:paraId="18F1F97F" w14:textId="1B8F3DF1"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$33,362</w:t>
            </w:r>
          </w:p>
        </w:tc>
        <w:tc>
          <w:tcPr>
            <w:tcW w:w="1559" w:type="dxa"/>
            <w:tcBorders>
              <w:bottom w:val="single" w:sz="4" w:space="0" w:color="auto"/>
            </w:tcBorders>
            <w:shd w:val="clear" w:color="auto" w:fill="auto"/>
          </w:tcPr>
          <w:p w14:paraId="2C36549B" w14:textId="4267367B"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$120,554</w:t>
            </w:r>
          </w:p>
        </w:tc>
        <w:tc>
          <w:tcPr>
            <w:tcW w:w="1560" w:type="dxa"/>
            <w:tcBorders>
              <w:bottom w:val="single" w:sz="4" w:space="0" w:color="auto"/>
            </w:tcBorders>
            <w:shd w:val="clear" w:color="auto" w:fill="auto"/>
          </w:tcPr>
          <w:p w14:paraId="50140403" w14:textId="3B6B84F6"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$207,165</w:t>
            </w:r>
          </w:p>
        </w:tc>
      </w:tr>
      <w:tr w:rsidR="005E0FC6" w:rsidRPr="007D1918" w14:paraId="202E77DB" w14:textId="77777777" w:rsidTr="007C735F">
        <w:tc>
          <w:tcPr>
            <w:tcW w:w="4140" w:type="dxa"/>
          </w:tcPr>
          <w:p w14:paraId="0B6B36F7" w14:textId="55A34C02" w:rsidR="005E0FC6" w:rsidRPr="007D1918" w:rsidRDefault="005E0FC6" w:rsidP="00AD5504">
            <w:pPr>
              <w:spacing w:after="40" w:line="240" w:lineRule="auto"/>
              <w:ind w:firstLine="205"/>
              <w:jc w:val="both"/>
              <w:rPr>
                <w:rFonts w:ascii="Arial Narrow" w:hAnsi="Arial Narrow"/>
                <w:sz w:val="20"/>
                <w:szCs w:val="20"/>
              </w:rPr>
            </w:pPr>
            <w:r w:rsidRPr="007D1918">
              <w:rPr>
                <w:rFonts w:ascii="Arial Narrow" w:hAnsi="Arial Narrow"/>
                <w:sz w:val="20"/>
                <w:szCs w:val="20"/>
              </w:rPr>
              <w:t xml:space="preserve">high intensity (every </w:t>
            </w:r>
            <w:r w:rsidR="00AD5504" w:rsidRPr="007D1918">
              <w:rPr>
                <w:rFonts w:ascii="Arial Narrow" w:hAnsi="Arial Narrow"/>
                <w:sz w:val="20"/>
                <w:szCs w:val="20"/>
              </w:rPr>
              <w:t xml:space="preserve">1 </w:t>
            </w:r>
            <w:r w:rsidRPr="007D1918">
              <w:rPr>
                <w:rFonts w:ascii="Arial Narrow" w:hAnsi="Arial Narrow"/>
                <w:sz w:val="20"/>
                <w:szCs w:val="20"/>
              </w:rPr>
              <w:t>week)</w:t>
            </w:r>
          </w:p>
        </w:tc>
        <w:tc>
          <w:tcPr>
            <w:tcW w:w="1559" w:type="dxa"/>
            <w:shd w:val="clear" w:color="auto" w:fill="auto"/>
          </w:tcPr>
          <w:p w14:paraId="2B28495E" w14:textId="2412D067"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$100,219</w:t>
            </w:r>
          </w:p>
        </w:tc>
        <w:tc>
          <w:tcPr>
            <w:tcW w:w="1559" w:type="dxa"/>
            <w:shd w:val="clear" w:color="auto" w:fill="auto"/>
          </w:tcPr>
          <w:p w14:paraId="0B7D39C4" w14:textId="625AB458"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$442,675</w:t>
            </w:r>
          </w:p>
        </w:tc>
        <w:tc>
          <w:tcPr>
            <w:tcW w:w="1560" w:type="dxa"/>
            <w:shd w:val="clear" w:color="auto" w:fill="auto"/>
          </w:tcPr>
          <w:p w14:paraId="386545AB" w14:textId="5125E0ED"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$782,848</w:t>
            </w:r>
          </w:p>
        </w:tc>
      </w:tr>
      <w:tr w:rsidR="007C735F" w:rsidRPr="007D1918" w14:paraId="3F06AA57" w14:textId="77777777" w:rsidTr="007C735F">
        <w:tc>
          <w:tcPr>
            <w:tcW w:w="4140" w:type="dxa"/>
          </w:tcPr>
          <w:p w14:paraId="47611265" w14:textId="506529E7" w:rsidR="007C735F" w:rsidRPr="007D1918" w:rsidRDefault="007C735F" w:rsidP="007C735F">
            <w:pPr>
              <w:spacing w:after="40" w:line="240" w:lineRule="auto"/>
              <w:jc w:val="both"/>
              <w:rPr>
                <w:rFonts w:ascii="Arial Narrow" w:hAnsi="Arial Narrow"/>
                <w:b/>
                <w:sz w:val="20"/>
                <w:szCs w:val="20"/>
              </w:rPr>
            </w:pPr>
            <w:r w:rsidRPr="007D1918">
              <w:rPr>
                <w:rFonts w:ascii="Arial Narrow" w:hAnsi="Arial Narrow"/>
                <w:b/>
                <w:sz w:val="20"/>
                <w:szCs w:val="20"/>
              </w:rPr>
              <w:t>Cost Difference IVIg vs PE</w:t>
            </w:r>
          </w:p>
        </w:tc>
        <w:tc>
          <w:tcPr>
            <w:tcW w:w="1559" w:type="dxa"/>
            <w:shd w:val="clear" w:color="auto" w:fill="auto"/>
          </w:tcPr>
          <w:p w14:paraId="720B91B1" w14:textId="77777777" w:rsidR="007C735F" w:rsidRPr="007D1918" w:rsidRDefault="007C735F" w:rsidP="007B12FA">
            <w:pPr>
              <w:spacing w:after="40" w:line="240" w:lineRule="auto"/>
              <w:jc w:val="right"/>
              <w:rPr>
                <w:rFonts w:ascii="Arial Narrow" w:hAnsi="Arial Narrow"/>
                <w:sz w:val="20"/>
                <w:szCs w:val="20"/>
              </w:rPr>
            </w:pPr>
          </w:p>
        </w:tc>
        <w:tc>
          <w:tcPr>
            <w:tcW w:w="1559" w:type="dxa"/>
            <w:shd w:val="clear" w:color="auto" w:fill="auto"/>
          </w:tcPr>
          <w:p w14:paraId="40E12DCF" w14:textId="77777777" w:rsidR="007C735F" w:rsidRPr="007D1918" w:rsidRDefault="007C735F" w:rsidP="007B12FA">
            <w:pPr>
              <w:spacing w:after="40" w:line="240" w:lineRule="auto"/>
              <w:jc w:val="right"/>
              <w:rPr>
                <w:rFonts w:ascii="Arial Narrow" w:hAnsi="Arial Narrow"/>
                <w:sz w:val="20"/>
                <w:szCs w:val="20"/>
              </w:rPr>
            </w:pPr>
          </w:p>
        </w:tc>
        <w:tc>
          <w:tcPr>
            <w:tcW w:w="1560" w:type="dxa"/>
            <w:shd w:val="clear" w:color="auto" w:fill="auto"/>
          </w:tcPr>
          <w:p w14:paraId="19A73771" w14:textId="77777777" w:rsidR="007C735F" w:rsidRPr="007D1918" w:rsidRDefault="007C735F" w:rsidP="007B12FA">
            <w:pPr>
              <w:spacing w:after="40" w:line="240" w:lineRule="auto"/>
              <w:jc w:val="right"/>
              <w:rPr>
                <w:rFonts w:ascii="Arial Narrow" w:hAnsi="Arial Narrow"/>
                <w:sz w:val="20"/>
                <w:szCs w:val="20"/>
              </w:rPr>
            </w:pPr>
          </w:p>
        </w:tc>
      </w:tr>
      <w:tr w:rsidR="005E0FC6" w:rsidRPr="007D1918" w14:paraId="49C7E1D7" w14:textId="77777777" w:rsidTr="00AE70DC">
        <w:tc>
          <w:tcPr>
            <w:tcW w:w="4140" w:type="dxa"/>
            <w:tcBorders>
              <w:bottom w:val="single" w:sz="4" w:space="0" w:color="auto"/>
            </w:tcBorders>
          </w:tcPr>
          <w:p w14:paraId="1B643EB4" w14:textId="77777777" w:rsidR="005E0FC6" w:rsidRPr="007D1918" w:rsidRDefault="005E0FC6" w:rsidP="005E0FC6">
            <w:pPr>
              <w:pStyle w:val="Tabletext1"/>
              <w:ind w:firstLine="205"/>
            </w:pPr>
            <w:r w:rsidRPr="007D1918">
              <w:t>IVIg base case – low intensity PE</w:t>
            </w:r>
          </w:p>
        </w:tc>
        <w:tc>
          <w:tcPr>
            <w:tcW w:w="1559" w:type="dxa"/>
            <w:tcBorders>
              <w:top w:val="single" w:sz="4" w:space="0" w:color="auto"/>
              <w:left w:val="nil"/>
              <w:bottom w:val="single" w:sz="4" w:space="0" w:color="auto"/>
              <w:right w:val="single" w:sz="4" w:space="0" w:color="auto"/>
            </w:tcBorders>
            <w:shd w:val="clear" w:color="auto" w:fill="auto"/>
            <w:vAlign w:val="center"/>
          </w:tcPr>
          <w:p w14:paraId="6FC63470" w14:textId="5D247BE9"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$1,154</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6912F5" w14:textId="792700A2"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$35,610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3D33C95" w14:textId="69E27FEB"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$69,836</w:t>
            </w:r>
          </w:p>
        </w:tc>
      </w:tr>
      <w:tr w:rsidR="005E0FC6" w:rsidRPr="007D1918" w14:paraId="67C3B582" w14:textId="77777777" w:rsidTr="00AE70DC">
        <w:tc>
          <w:tcPr>
            <w:tcW w:w="4140" w:type="dxa"/>
            <w:tcBorders>
              <w:top w:val="single" w:sz="4" w:space="0" w:color="auto"/>
              <w:left w:val="single" w:sz="4" w:space="0" w:color="auto"/>
              <w:bottom w:val="single" w:sz="4" w:space="0" w:color="auto"/>
              <w:right w:val="single" w:sz="4" w:space="0" w:color="auto"/>
            </w:tcBorders>
          </w:tcPr>
          <w:p w14:paraId="142FDA69" w14:textId="77777777" w:rsidR="005E0FC6" w:rsidRPr="007D1918" w:rsidRDefault="005E0FC6" w:rsidP="005E0FC6">
            <w:pPr>
              <w:pStyle w:val="Tabletext1"/>
              <w:ind w:firstLine="205"/>
            </w:pPr>
            <w:r w:rsidRPr="007D1918">
              <w:t>IVIg base case – high intensity PE</w:t>
            </w:r>
          </w:p>
        </w:tc>
        <w:tc>
          <w:tcPr>
            <w:tcW w:w="1559"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0ADAB7CD" w14:textId="6BD681BF"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-$65,703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DB4559" w14:textId="3CD188F3"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-$286,511</w:t>
            </w:r>
          </w:p>
        </w:tc>
        <w:tc>
          <w:tcPr>
            <w:tcW w:w="15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323FBC" w14:textId="34D879A2" w:rsidR="005E0FC6" w:rsidRPr="007D1918" w:rsidRDefault="005E0FC6" w:rsidP="005E0FC6">
            <w:pPr>
              <w:spacing w:after="40" w:line="240" w:lineRule="auto"/>
              <w:jc w:val="right"/>
              <w:rPr>
                <w:rFonts w:ascii="Arial Narrow" w:hAnsi="Arial Narrow"/>
                <w:sz w:val="20"/>
                <w:szCs w:val="20"/>
              </w:rPr>
            </w:pPr>
            <w:r w:rsidRPr="007D1918">
              <w:rPr>
                <w:rFonts w:ascii="Arial Narrow" w:hAnsi="Arial Narrow"/>
                <w:sz w:val="20"/>
                <w:szCs w:val="20"/>
              </w:rPr>
              <w:t>-$505,847</w:t>
            </w:r>
          </w:p>
        </w:tc>
      </w:tr>
    </w:tbl>
    <w:p w14:paraId="32E58A63" w14:textId="28D41578" w:rsidR="007B12FA" w:rsidRPr="007D1918" w:rsidRDefault="00A127AA" w:rsidP="00A127AA">
      <w:pPr>
        <w:pStyle w:val="Tablenotes1"/>
      </w:pPr>
      <w:r w:rsidRPr="007D1918">
        <w:t>IVIg = intravenous immunoglobulin; PE = plasma exchange</w:t>
      </w:r>
      <w:r w:rsidR="00F26A21" w:rsidRPr="007D1918">
        <w:t>; NBA = National Blood Authority</w:t>
      </w:r>
    </w:p>
    <w:p w14:paraId="59987AE0" w14:textId="1E95218B" w:rsidR="00A127AA" w:rsidRPr="007D1918" w:rsidRDefault="005E0FC6" w:rsidP="0038442A">
      <w:pPr>
        <w:jc w:val="both"/>
      </w:pPr>
      <w:r w:rsidRPr="007D1918">
        <w:t>Where IVIg is costed at the estimated average maintenance dose used in Australia, it is more expensive than a low intensity PE regimen (e.g. 4 weekly), but less expensive than intensive weekly plasma exchange</w:t>
      </w:r>
      <w:r w:rsidR="0038442A" w:rsidRPr="007D1918">
        <w:t>.</w:t>
      </w:r>
      <w:r w:rsidR="00FC73B5" w:rsidRPr="007D1918">
        <w:t xml:space="preserve"> Low dose IVIg also appears less expensive than low intensity PE, and high dose IVIg monthly appears less expensive than high intensity PE.</w:t>
      </w:r>
    </w:p>
    <w:p w14:paraId="7E8C883A" w14:textId="231852A3" w:rsidR="000A3A40" w:rsidRPr="007D1918" w:rsidRDefault="000A3A40" w:rsidP="0038442A">
      <w:pPr>
        <w:jc w:val="both"/>
      </w:pPr>
      <w:r w:rsidRPr="007D1918">
        <w:t>There is some evidence of</w:t>
      </w:r>
      <w:r w:rsidR="00FC73B5" w:rsidRPr="007D1918">
        <w:t xml:space="preserve"> an</w:t>
      </w:r>
      <w:r w:rsidRPr="007D1918">
        <w:t xml:space="preserve"> infection risk associated with PE, however the applicability </w:t>
      </w:r>
      <w:r w:rsidR="00FC73B5" w:rsidRPr="007D1918">
        <w:t xml:space="preserve">of the estimates to </w:t>
      </w:r>
      <w:r w:rsidRPr="007D1918">
        <w:t>the current setting</w:t>
      </w:r>
      <w:r w:rsidR="00FC73B5" w:rsidRPr="007D1918">
        <w:t xml:space="preserve">, and </w:t>
      </w:r>
      <w:r w:rsidRPr="007D1918">
        <w:t>an</w:t>
      </w:r>
      <w:r w:rsidR="00FC73B5" w:rsidRPr="007D1918">
        <w:t>y</w:t>
      </w:r>
      <w:r w:rsidRPr="007D1918">
        <w:t xml:space="preserve"> comparable risk in IVIg is unknown. Exploratory analysis of ICERs </w:t>
      </w:r>
      <w:r w:rsidR="00FC73B5" w:rsidRPr="007D1918">
        <w:t>allowing for a sepsis cost and QALY decrement yielded ICERs ranging between ‘dominant’ (in all cases where the comparison is vs high intensity PE or low dose IVIg is compared to low dose PE), through to $18 million per QALY</w:t>
      </w:r>
      <w:r w:rsidR="00810326" w:rsidRPr="007D1918">
        <w:t xml:space="preserve"> (Table 87, Section D5.3)</w:t>
      </w:r>
      <w:r w:rsidR="00FC73B5" w:rsidRPr="007D1918">
        <w:t>. The broad range of ICERs is consistent with the findings of the cost comparison where cost-savings were demonstrated in all comparisons except average IVIg dosing vs low dose PE.</w:t>
      </w:r>
    </w:p>
    <w:p w14:paraId="501C0207" w14:textId="77777777" w:rsidR="00FC73B5" w:rsidRPr="007D1918" w:rsidRDefault="00FC73B5" w:rsidP="00FC73B5">
      <w:pPr>
        <w:jc w:val="both"/>
      </w:pPr>
      <w:r w:rsidRPr="007D1918">
        <w:t xml:space="preserve">Additional cost analyses of other therapies used in Indication 3 analysis are presented, using the base case assumptions, are shown in </w:t>
      </w:r>
      <w:r w:rsidRPr="007D1918">
        <w:fldChar w:fldCharType="begin"/>
      </w:r>
      <w:r w:rsidRPr="007D1918">
        <w:instrText xml:space="preserve"> REF _Ref14438719 \h  \* MERGEFORMAT </w:instrText>
      </w:r>
      <w:r w:rsidRPr="007D1918">
        <w:fldChar w:fldCharType="separate"/>
      </w:r>
      <w:r w:rsidRPr="007D1918">
        <w:t xml:space="preserve">Table </w:t>
      </w:r>
      <w:r w:rsidRPr="007D1918">
        <w:rPr>
          <w:noProof/>
        </w:rPr>
        <w:t>5</w:t>
      </w:r>
      <w:r w:rsidRPr="007D1918">
        <w:fldChar w:fldCharType="end"/>
      </w:r>
      <w:r w:rsidRPr="007D1918">
        <w:t xml:space="preserve">. </w:t>
      </w:r>
    </w:p>
    <w:p w14:paraId="6BCC0F8A" w14:textId="28FCA8A7" w:rsidR="007C735F" w:rsidRPr="007D1918" w:rsidRDefault="007C735F" w:rsidP="007C735F">
      <w:pPr>
        <w:pStyle w:val="Caption"/>
        <w:keepNext/>
      </w:pPr>
      <w:bookmarkStart w:id="82" w:name="_Ref14438719"/>
      <w:bookmarkStart w:id="83" w:name="_Toc23769492"/>
      <w:r w:rsidRPr="007D1918">
        <w:t xml:space="preserve">Table </w:t>
      </w:r>
      <w:r w:rsidR="00FE2DC6" w:rsidRPr="007D1918">
        <w:rPr>
          <w:noProof/>
        </w:rPr>
        <w:fldChar w:fldCharType="begin"/>
      </w:r>
      <w:r w:rsidR="00FE2DC6" w:rsidRPr="007D1918">
        <w:rPr>
          <w:noProof/>
        </w:rPr>
        <w:instrText xml:space="preserve"> SEQ Table \* ARABIC </w:instrText>
      </w:r>
      <w:r w:rsidR="00FE2DC6" w:rsidRPr="007D1918">
        <w:rPr>
          <w:noProof/>
        </w:rPr>
        <w:fldChar w:fldCharType="separate"/>
      </w:r>
      <w:r w:rsidR="007C33AD" w:rsidRPr="007D1918">
        <w:rPr>
          <w:noProof/>
        </w:rPr>
        <w:t>5</w:t>
      </w:r>
      <w:r w:rsidR="00FE2DC6" w:rsidRPr="007D1918">
        <w:rPr>
          <w:noProof/>
        </w:rPr>
        <w:fldChar w:fldCharType="end"/>
      </w:r>
      <w:bookmarkEnd w:id="82"/>
      <w:r w:rsidRPr="007D1918">
        <w:tab/>
      </w:r>
      <w:r w:rsidRPr="007D1918">
        <w:tab/>
        <w:t>Indication 3: Non-comparative cost analysis of other Indication 3 therapies over varying time horizons</w:t>
      </w:r>
      <w:r w:rsidR="00A127AA" w:rsidRPr="007D1918">
        <w:t>, discounted</w:t>
      </w:r>
      <w:r w:rsidR="000A3A40" w:rsidRPr="007D1918">
        <w:t xml:space="preserve"> at 5% pa</w:t>
      </w:r>
      <w:r w:rsidRPr="007D1918">
        <w:t xml:space="preserve"> (equivalent effectiveness cannot be assumed).</w:t>
      </w:r>
      <w:bookmarkEnd w:id="83"/>
      <w:r w:rsidRPr="007D1918">
        <w:t xml:space="preserve"> </w:t>
      </w:r>
    </w:p>
    <w:tbl>
      <w:tblPr>
        <w:tblStyle w:val="TableGrid2"/>
        <w:tblW w:w="8818"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140"/>
        <w:gridCol w:w="1559"/>
        <w:gridCol w:w="1559"/>
        <w:gridCol w:w="1560"/>
      </w:tblGrid>
      <w:tr w:rsidR="007C735F" w:rsidRPr="007D1918" w14:paraId="4A37278D" w14:textId="77777777" w:rsidTr="007C735F">
        <w:trPr>
          <w:cnfStyle w:val="100000000000" w:firstRow="1" w:lastRow="0" w:firstColumn="0" w:lastColumn="0" w:oddVBand="0" w:evenVBand="0" w:oddHBand="0" w:evenHBand="0" w:firstRowFirstColumn="0" w:firstRowLastColumn="0" w:lastRowFirstColumn="0" w:lastRowLastColumn="0"/>
          <w:tblHeader/>
        </w:trPr>
        <w:tc>
          <w:tcPr>
            <w:tcW w:w="4140" w:type="dxa"/>
            <w:tcBorders>
              <w:bottom w:val="single" w:sz="4" w:space="0" w:color="auto"/>
            </w:tcBorders>
          </w:tcPr>
          <w:p w14:paraId="0E7D23E3" w14:textId="77777777" w:rsidR="007C735F" w:rsidRPr="007D1918" w:rsidRDefault="007C735F" w:rsidP="00FE2DC6">
            <w:pPr>
              <w:keepNext/>
              <w:spacing w:after="40" w:line="240" w:lineRule="auto"/>
              <w:jc w:val="both"/>
              <w:rPr>
                <w:rFonts w:ascii="Arial Narrow" w:hAnsi="Arial Narrow"/>
                <w:b/>
                <w:sz w:val="20"/>
                <w:szCs w:val="20"/>
              </w:rPr>
            </w:pPr>
          </w:p>
        </w:tc>
        <w:tc>
          <w:tcPr>
            <w:tcW w:w="4678" w:type="dxa"/>
            <w:gridSpan w:val="3"/>
            <w:tcBorders>
              <w:bottom w:val="single" w:sz="4" w:space="0" w:color="auto"/>
            </w:tcBorders>
          </w:tcPr>
          <w:p w14:paraId="71D66D97" w14:textId="4BCDCD0D" w:rsidR="007C735F" w:rsidRPr="007D1918" w:rsidRDefault="007C735F" w:rsidP="00A127AA">
            <w:pPr>
              <w:keepNext/>
              <w:spacing w:after="40" w:line="240" w:lineRule="auto"/>
              <w:jc w:val="both"/>
              <w:rPr>
                <w:rFonts w:ascii="Arial Narrow" w:hAnsi="Arial Narrow"/>
                <w:b/>
                <w:sz w:val="20"/>
                <w:szCs w:val="20"/>
              </w:rPr>
            </w:pPr>
            <w:r w:rsidRPr="007D1918">
              <w:rPr>
                <w:rFonts w:ascii="Arial Narrow" w:hAnsi="Arial Narrow"/>
                <w:b/>
                <w:sz w:val="20"/>
                <w:szCs w:val="20"/>
              </w:rPr>
              <w:t>Total discounted costs over varying time horizons</w:t>
            </w:r>
          </w:p>
        </w:tc>
      </w:tr>
      <w:tr w:rsidR="00A127AA" w:rsidRPr="007D1918" w14:paraId="0C06CEA3" w14:textId="77777777" w:rsidTr="00FE2DC6">
        <w:tc>
          <w:tcPr>
            <w:tcW w:w="4140" w:type="dxa"/>
          </w:tcPr>
          <w:p w14:paraId="01501033" w14:textId="77777777" w:rsidR="00A127AA" w:rsidRPr="007D1918" w:rsidRDefault="00A127AA" w:rsidP="00A127AA">
            <w:pPr>
              <w:spacing w:after="40" w:line="240" w:lineRule="auto"/>
              <w:jc w:val="both"/>
              <w:rPr>
                <w:rFonts w:ascii="Arial Narrow" w:hAnsi="Arial Narrow"/>
                <w:b/>
                <w:sz w:val="20"/>
                <w:szCs w:val="20"/>
              </w:rPr>
            </w:pPr>
          </w:p>
        </w:tc>
        <w:tc>
          <w:tcPr>
            <w:tcW w:w="1559" w:type="dxa"/>
            <w:tcBorders>
              <w:bottom w:val="single" w:sz="4" w:space="0" w:color="auto"/>
            </w:tcBorders>
          </w:tcPr>
          <w:p w14:paraId="778A1EC9" w14:textId="36B0CD3F" w:rsidR="00A127AA" w:rsidRPr="007D1918" w:rsidRDefault="00A127AA" w:rsidP="000A3A40">
            <w:pPr>
              <w:spacing w:after="40" w:line="240" w:lineRule="auto"/>
              <w:jc w:val="center"/>
              <w:rPr>
                <w:rFonts w:ascii="Arial Narrow" w:hAnsi="Arial Narrow"/>
                <w:sz w:val="20"/>
                <w:szCs w:val="20"/>
              </w:rPr>
            </w:pPr>
            <w:r w:rsidRPr="007D1918">
              <w:rPr>
                <w:rFonts w:ascii="Arial Narrow" w:hAnsi="Arial Narrow"/>
                <w:b/>
                <w:sz w:val="20"/>
                <w:szCs w:val="20"/>
              </w:rPr>
              <w:t>1 year</w:t>
            </w:r>
          </w:p>
        </w:tc>
        <w:tc>
          <w:tcPr>
            <w:tcW w:w="1559" w:type="dxa"/>
            <w:tcBorders>
              <w:bottom w:val="single" w:sz="4" w:space="0" w:color="auto"/>
            </w:tcBorders>
          </w:tcPr>
          <w:p w14:paraId="08CBEFF2" w14:textId="5C1CCDD0" w:rsidR="00A127AA" w:rsidRPr="007D1918" w:rsidRDefault="000A3A40" w:rsidP="000A3A40">
            <w:pPr>
              <w:spacing w:after="40" w:line="240" w:lineRule="auto"/>
              <w:jc w:val="center"/>
              <w:rPr>
                <w:rFonts w:ascii="Arial Narrow" w:hAnsi="Arial Narrow"/>
                <w:sz w:val="20"/>
                <w:szCs w:val="20"/>
              </w:rPr>
            </w:pPr>
            <w:r w:rsidRPr="007D1918">
              <w:rPr>
                <w:rFonts w:ascii="Arial Narrow" w:hAnsi="Arial Narrow"/>
                <w:b/>
                <w:sz w:val="20"/>
                <w:szCs w:val="20"/>
              </w:rPr>
              <w:t>5</w:t>
            </w:r>
            <w:r w:rsidR="00A127AA" w:rsidRPr="007D1918">
              <w:rPr>
                <w:rFonts w:ascii="Arial Narrow" w:hAnsi="Arial Narrow"/>
                <w:b/>
                <w:sz w:val="20"/>
                <w:szCs w:val="20"/>
              </w:rPr>
              <w:t xml:space="preserve"> years</w:t>
            </w:r>
          </w:p>
        </w:tc>
        <w:tc>
          <w:tcPr>
            <w:tcW w:w="1560" w:type="dxa"/>
            <w:tcBorders>
              <w:bottom w:val="single" w:sz="4" w:space="0" w:color="auto"/>
            </w:tcBorders>
          </w:tcPr>
          <w:p w14:paraId="12C0DDB9" w14:textId="0D5AB53F" w:rsidR="00A127AA" w:rsidRPr="007D1918" w:rsidRDefault="000A3A40" w:rsidP="000A3A40">
            <w:pPr>
              <w:spacing w:after="40" w:line="240" w:lineRule="auto"/>
              <w:jc w:val="center"/>
              <w:rPr>
                <w:rFonts w:ascii="Arial Narrow" w:hAnsi="Arial Narrow"/>
                <w:sz w:val="20"/>
                <w:szCs w:val="20"/>
              </w:rPr>
            </w:pPr>
            <w:r w:rsidRPr="007D1918">
              <w:rPr>
                <w:rFonts w:ascii="Arial Narrow" w:hAnsi="Arial Narrow"/>
                <w:b/>
                <w:sz w:val="20"/>
                <w:szCs w:val="20"/>
              </w:rPr>
              <w:t>1</w:t>
            </w:r>
            <w:r w:rsidR="00A127AA" w:rsidRPr="007D1918">
              <w:rPr>
                <w:rFonts w:ascii="Arial Narrow" w:hAnsi="Arial Narrow"/>
                <w:b/>
                <w:sz w:val="20"/>
                <w:szCs w:val="20"/>
              </w:rPr>
              <w:t>0 years</w:t>
            </w:r>
          </w:p>
        </w:tc>
      </w:tr>
      <w:tr w:rsidR="007C735F" w:rsidRPr="007D1918" w14:paraId="3C5652AC" w14:textId="77777777" w:rsidTr="007C735F">
        <w:tc>
          <w:tcPr>
            <w:tcW w:w="4140" w:type="dxa"/>
          </w:tcPr>
          <w:p w14:paraId="5CA7DB45" w14:textId="77777777" w:rsidR="007C735F" w:rsidRPr="007D1918" w:rsidRDefault="007C735F" w:rsidP="00FE2DC6">
            <w:pPr>
              <w:spacing w:after="40" w:line="240" w:lineRule="auto"/>
              <w:jc w:val="both"/>
              <w:rPr>
                <w:rFonts w:ascii="Arial Narrow" w:hAnsi="Arial Narrow"/>
                <w:sz w:val="20"/>
                <w:szCs w:val="20"/>
              </w:rPr>
            </w:pPr>
            <w:r w:rsidRPr="007D1918">
              <w:rPr>
                <w:rFonts w:ascii="Arial Narrow" w:hAnsi="Arial Narrow"/>
                <w:b/>
                <w:sz w:val="20"/>
                <w:szCs w:val="20"/>
              </w:rPr>
              <w:t>Surgery</w:t>
            </w:r>
            <w:r w:rsidRPr="007D1918">
              <w:rPr>
                <w:rFonts w:ascii="Arial Narrow" w:hAnsi="Arial Narrow"/>
                <w:sz w:val="20"/>
                <w:szCs w:val="20"/>
              </w:rPr>
              <w:t xml:space="preserve"> (thymectomy)</w:t>
            </w:r>
          </w:p>
        </w:tc>
        <w:tc>
          <w:tcPr>
            <w:tcW w:w="1559" w:type="dxa"/>
            <w:shd w:val="clear" w:color="auto" w:fill="auto"/>
          </w:tcPr>
          <w:p w14:paraId="2E93CE85" w14:textId="77777777" w:rsidR="007C735F" w:rsidRPr="007D1918" w:rsidRDefault="007C735F" w:rsidP="00FE2DC6">
            <w:pPr>
              <w:spacing w:after="40" w:line="240" w:lineRule="auto"/>
              <w:jc w:val="right"/>
              <w:rPr>
                <w:rFonts w:ascii="Arial Narrow" w:hAnsi="Arial Narrow"/>
                <w:sz w:val="20"/>
                <w:szCs w:val="20"/>
              </w:rPr>
            </w:pPr>
            <w:r w:rsidRPr="007D1918">
              <w:rPr>
                <w:rFonts w:ascii="Arial Narrow" w:hAnsi="Arial Narrow"/>
                <w:sz w:val="20"/>
                <w:szCs w:val="20"/>
              </w:rPr>
              <w:t>$47,335</w:t>
            </w:r>
          </w:p>
        </w:tc>
        <w:tc>
          <w:tcPr>
            <w:tcW w:w="1559" w:type="dxa"/>
            <w:shd w:val="clear" w:color="auto" w:fill="auto"/>
          </w:tcPr>
          <w:p w14:paraId="77667FBB" w14:textId="77777777" w:rsidR="007C735F" w:rsidRPr="007D1918" w:rsidRDefault="007C735F" w:rsidP="00FE2DC6">
            <w:pPr>
              <w:spacing w:after="40" w:line="240" w:lineRule="auto"/>
              <w:jc w:val="right"/>
              <w:rPr>
                <w:rFonts w:ascii="Arial Narrow" w:hAnsi="Arial Narrow"/>
                <w:sz w:val="20"/>
                <w:szCs w:val="20"/>
              </w:rPr>
            </w:pPr>
            <w:r w:rsidRPr="007D1918">
              <w:rPr>
                <w:rFonts w:ascii="Arial Narrow" w:hAnsi="Arial Narrow"/>
                <w:sz w:val="20"/>
                <w:szCs w:val="20"/>
              </w:rPr>
              <w:t>$47,335</w:t>
            </w:r>
          </w:p>
        </w:tc>
        <w:tc>
          <w:tcPr>
            <w:tcW w:w="1560" w:type="dxa"/>
            <w:shd w:val="clear" w:color="auto" w:fill="auto"/>
          </w:tcPr>
          <w:p w14:paraId="323F2AB6" w14:textId="77777777" w:rsidR="007C735F" w:rsidRPr="007D1918" w:rsidRDefault="007C735F" w:rsidP="00FE2DC6">
            <w:pPr>
              <w:spacing w:after="40" w:line="240" w:lineRule="auto"/>
              <w:jc w:val="right"/>
              <w:rPr>
                <w:rFonts w:ascii="Arial Narrow" w:hAnsi="Arial Narrow"/>
                <w:sz w:val="20"/>
                <w:szCs w:val="20"/>
              </w:rPr>
            </w:pPr>
            <w:r w:rsidRPr="007D1918">
              <w:rPr>
                <w:rFonts w:ascii="Arial Narrow" w:hAnsi="Arial Narrow"/>
                <w:sz w:val="20"/>
                <w:szCs w:val="20"/>
              </w:rPr>
              <w:t>$47,335</w:t>
            </w:r>
          </w:p>
        </w:tc>
      </w:tr>
      <w:tr w:rsidR="000A3A40" w:rsidRPr="007D1918" w14:paraId="414D3FE8" w14:textId="77777777" w:rsidTr="007C735F">
        <w:tc>
          <w:tcPr>
            <w:tcW w:w="4140" w:type="dxa"/>
          </w:tcPr>
          <w:p w14:paraId="56AE600F" w14:textId="714038BD" w:rsidR="000A3A40" w:rsidRPr="007D1918" w:rsidRDefault="000A3A40" w:rsidP="000A3A40">
            <w:pPr>
              <w:spacing w:after="40" w:line="240" w:lineRule="auto"/>
              <w:jc w:val="both"/>
              <w:rPr>
                <w:rFonts w:ascii="Arial Narrow" w:hAnsi="Arial Narrow"/>
                <w:b/>
                <w:sz w:val="20"/>
                <w:szCs w:val="20"/>
              </w:rPr>
            </w:pPr>
            <w:r w:rsidRPr="007D1918">
              <w:rPr>
                <w:rFonts w:ascii="Arial Narrow" w:hAnsi="Arial Narrow"/>
                <w:b/>
                <w:sz w:val="20"/>
                <w:szCs w:val="20"/>
              </w:rPr>
              <w:t xml:space="preserve">Other Pharmaceuticals </w:t>
            </w:r>
          </w:p>
        </w:tc>
        <w:tc>
          <w:tcPr>
            <w:tcW w:w="1559" w:type="dxa"/>
            <w:tcBorders>
              <w:bottom w:val="single" w:sz="4" w:space="0" w:color="auto"/>
            </w:tcBorders>
            <w:shd w:val="clear" w:color="auto" w:fill="auto"/>
          </w:tcPr>
          <w:p w14:paraId="7AA7F58A" w14:textId="77777777" w:rsidR="000A3A40" w:rsidRPr="007D1918" w:rsidRDefault="000A3A40" w:rsidP="000A3A40">
            <w:pPr>
              <w:spacing w:after="40" w:line="240" w:lineRule="auto"/>
              <w:jc w:val="right"/>
              <w:rPr>
                <w:rFonts w:ascii="Arial Narrow" w:hAnsi="Arial Narrow"/>
                <w:sz w:val="20"/>
                <w:szCs w:val="20"/>
              </w:rPr>
            </w:pPr>
          </w:p>
        </w:tc>
        <w:tc>
          <w:tcPr>
            <w:tcW w:w="1559" w:type="dxa"/>
            <w:shd w:val="clear" w:color="auto" w:fill="auto"/>
          </w:tcPr>
          <w:p w14:paraId="1883A406" w14:textId="77777777" w:rsidR="000A3A40" w:rsidRPr="007D1918" w:rsidRDefault="000A3A40" w:rsidP="000A3A40">
            <w:pPr>
              <w:spacing w:after="40" w:line="240" w:lineRule="auto"/>
              <w:jc w:val="right"/>
              <w:rPr>
                <w:rFonts w:ascii="Arial Narrow" w:hAnsi="Arial Narrow"/>
                <w:sz w:val="20"/>
                <w:szCs w:val="20"/>
              </w:rPr>
            </w:pPr>
          </w:p>
        </w:tc>
        <w:tc>
          <w:tcPr>
            <w:tcW w:w="1560" w:type="dxa"/>
            <w:shd w:val="clear" w:color="auto" w:fill="auto"/>
          </w:tcPr>
          <w:p w14:paraId="0D383B72" w14:textId="77777777" w:rsidR="000A3A40" w:rsidRPr="007D1918" w:rsidRDefault="000A3A40" w:rsidP="000A3A40">
            <w:pPr>
              <w:spacing w:after="40" w:line="240" w:lineRule="auto"/>
              <w:jc w:val="right"/>
              <w:rPr>
                <w:rFonts w:ascii="Arial Narrow" w:hAnsi="Arial Narrow"/>
                <w:sz w:val="20"/>
                <w:szCs w:val="20"/>
              </w:rPr>
            </w:pPr>
          </w:p>
        </w:tc>
      </w:tr>
      <w:tr w:rsidR="000A3A40" w:rsidRPr="007D1918" w14:paraId="2A9A1A13" w14:textId="77777777" w:rsidTr="0046554A">
        <w:tc>
          <w:tcPr>
            <w:tcW w:w="4140" w:type="dxa"/>
            <w:tcBorders>
              <w:top w:val="single" w:sz="4" w:space="0" w:color="auto"/>
              <w:bottom w:val="single" w:sz="4" w:space="0" w:color="auto"/>
              <w:right w:val="single" w:sz="4" w:space="0" w:color="auto"/>
            </w:tcBorders>
          </w:tcPr>
          <w:p w14:paraId="4B9989A9" w14:textId="342CDF8E" w:rsidR="000A3A40" w:rsidRPr="007D1918" w:rsidRDefault="000A3A40" w:rsidP="000A3A40">
            <w:pPr>
              <w:spacing w:after="40" w:line="240" w:lineRule="auto"/>
              <w:ind w:firstLine="205"/>
              <w:jc w:val="both"/>
              <w:rPr>
                <w:rFonts w:ascii="Arial Narrow" w:hAnsi="Arial Narrow"/>
                <w:sz w:val="20"/>
                <w:szCs w:val="20"/>
              </w:rPr>
            </w:pPr>
            <w:r w:rsidRPr="007D1918">
              <w:rPr>
                <w:rFonts w:ascii="Arial Narrow" w:hAnsi="Arial Narrow"/>
                <w:sz w:val="20"/>
                <w:szCs w:val="20"/>
              </w:rPr>
              <w:t>Prednisolone + Pyridostigmine (P+P)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C430530" w14:textId="3016C7B6"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$1,241</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22AF8C1" w14:textId="034553DF"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$5,615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1595B053" w14:textId="1478B75F"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$9,959</w:t>
            </w:r>
          </w:p>
        </w:tc>
      </w:tr>
      <w:tr w:rsidR="000A3A40" w:rsidRPr="007D1918" w14:paraId="6D7940E6" w14:textId="77777777" w:rsidTr="000A3A40">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74E70E09" w14:textId="002D5C70" w:rsidR="000A3A40" w:rsidRPr="007D1918" w:rsidRDefault="000A3A40" w:rsidP="000A3A40">
            <w:pPr>
              <w:spacing w:after="40" w:line="240" w:lineRule="auto"/>
              <w:ind w:firstLine="205"/>
              <w:jc w:val="both"/>
              <w:rPr>
                <w:rFonts w:ascii="Arial Narrow" w:hAnsi="Arial Narrow"/>
                <w:sz w:val="20"/>
                <w:szCs w:val="20"/>
              </w:rPr>
            </w:pPr>
            <w:r w:rsidRPr="007D1918">
              <w:rPr>
                <w:rFonts w:ascii="Arial Narrow" w:hAnsi="Arial Narrow"/>
                <w:color w:val="000000"/>
                <w:sz w:val="20"/>
                <w:szCs w:val="20"/>
              </w:rPr>
              <w:t>Mycophenolate mofetil added to (P+P)</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F1265E1" w14:textId="7651EB86"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$3,308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14:paraId="5FDB5742" w14:textId="7D6EBC16"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$14,965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7CAF55BD" w14:textId="2DD9C346"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$26,545</w:t>
            </w:r>
          </w:p>
        </w:tc>
      </w:tr>
      <w:tr w:rsidR="000A3A40" w:rsidRPr="007D1918" w14:paraId="554BE5F8" w14:textId="77777777" w:rsidTr="0046554A">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5FBBA087" w14:textId="197847E9" w:rsidR="000A3A40" w:rsidRPr="007D1918" w:rsidRDefault="000A3A40" w:rsidP="000A3A40">
            <w:pPr>
              <w:spacing w:after="40" w:line="240" w:lineRule="auto"/>
              <w:ind w:firstLine="205"/>
              <w:jc w:val="both"/>
              <w:rPr>
                <w:rFonts w:ascii="Arial Narrow" w:hAnsi="Arial Narrow"/>
                <w:sz w:val="20"/>
                <w:szCs w:val="20"/>
              </w:rPr>
            </w:pPr>
            <w:r w:rsidRPr="007D1918">
              <w:rPr>
                <w:rFonts w:ascii="Arial Narrow" w:hAnsi="Arial Narrow"/>
                <w:color w:val="000000"/>
                <w:sz w:val="20"/>
                <w:szCs w:val="20"/>
              </w:rPr>
              <w:t>Azathioprine added to (P+P)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A4751" w14:textId="10CE26F6"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$1,964</w:t>
            </w:r>
          </w:p>
        </w:tc>
        <w:tc>
          <w:tcPr>
            <w:tcW w:w="1559" w:type="dxa"/>
            <w:tcBorders>
              <w:top w:val="single" w:sz="4" w:space="0" w:color="auto"/>
              <w:bottom w:val="single" w:sz="4" w:space="0" w:color="auto"/>
            </w:tcBorders>
            <w:shd w:val="clear" w:color="auto" w:fill="FFFFFF" w:themeFill="background1"/>
          </w:tcPr>
          <w:p w14:paraId="715EB3F5" w14:textId="5934084C"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$8,884</w:t>
            </w:r>
          </w:p>
        </w:tc>
        <w:tc>
          <w:tcPr>
            <w:tcW w:w="1560" w:type="dxa"/>
            <w:tcBorders>
              <w:top w:val="single" w:sz="4" w:space="0" w:color="auto"/>
              <w:bottom w:val="single" w:sz="4" w:space="0" w:color="auto"/>
            </w:tcBorders>
            <w:shd w:val="clear" w:color="auto" w:fill="FFFFFF" w:themeFill="background1"/>
          </w:tcPr>
          <w:p w14:paraId="592AAD6C" w14:textId="29CEF15D"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$15,758</w:t>
            </w:r>
          </w:p>
        </w:tc>
      </w:tr>
      <w:tr w:rsidR="000A3A40" w:rsidRPr="007D1918" w14:paraId="3F51CBBB" w14:textId="77777777" w:rsidTr="0046554A">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5BC23DD9" w14:textId="50B846ED" w:rsidR="000A3A40" w:rsidRPr="007D1918" w:rsidRDefault="000A3A40" w:rsidP="000A3A40">
            <w:pPr>
              <w:spacing w:after="40" w:line="240" w:lineRule="auto"/>
              <w:ind w:left="170"/>
              <w:jc w:val="both"/>
              <w:rPr>
                <w:rFonts w:ascii="Arial Narrow" w:hAnsi="Arial Narrow"/>
                <w:sz w:val="20"/>
                <w:szCs w:val="20"/>
              </w:rPr>
            </w:pPr>
            <w:r w:rsidRPr="007D1918">
              <w:rPr>
                <w:rFonts w:ascii="Arial Narrow" w:hAnsi="Arial Narrow"/>
                <w:color w:val="000000"/>
                <w:sz w:val="20"/>
                <w:szCs w:val="20"/>
              </w:rPr>
              <w:t>Methotrexate (+ folic acid) added to (P+P)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B971B" w14:textId="1638ED7B"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$1,574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2E70C884" w14:textId="7774A1AE"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$7,119</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7C94466" w14:textId="54FEEDC0"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$12,628</w:t>
            </w:r>
          </w:p>
        </w:tc>
      </w:tr>
      <w:tr w:rsidR="000A3A40" w:rsidRPr="007D1918" w14:paraId="2711221A" w14:textId="77777777" w:rsidTr="0046554A">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40019422" w14:textId="509CDFF8" w:rsidR="000A3A40" w:rsidRPr="007D1918" w:rsidRDefault="000A3A40" w:rsidP="000A3A40">
            <w:pPr>
              <w:spacing w:after="40" w:line="240" w:lineRule="auto"/>
              <w:ind w:firstLine="205"/>
              <w:jc w:val="both"/>
              <w:rPr>
                <w:rFonts w:ascii="Arial Narrow" w:hAnsi="Arial Narrow"/>
                <w:sz w:val="20"/>
                <w:szCs w:val="20"/>
              </w:rPr>
            </w:pPr>
            <w:r w:rsidRPr="007D1918">
              <w:rPr>
                <w:rFonts w:ascii="Arial Narrow" w:hAnsi="Arial Narrow"/>
                <w:color w:val="000000"/>
                <w:sz w:val="20"/>
                <w:szCs w:val="20"/>
              </w:rPr>
              <w:t>Cyclophosphamide IV then Azathioprine (and P+P)</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179CB5F8" w14:textId="5FE5D367"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$7,283</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71FDA7DC" w14:textId="47AFF9C7"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$14,205</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B1D88AD" w14:textId="6A22EB5B"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$21,081</w:t>
            </w:r>
          </w:p>
        </w:tc>
      </w:tr>
      <w:tr w:rsidR="000A3A40" w:rsidRPr="007D1918" w14:paraId="0F1185AA" w14:textId="77777777" w:rsidTr="0046554A">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5755FD56" w14:textId="681CD3A7" w:rsidR="000A3A40" w:rsidRPr="007D1918" w:rsidRDefault="000A3A40" w:rsidP="000A3A40">
            <w:pPr>
              <w:spacing w:after="40" w:line="240" w:lineRule="auto"/>
              <w:ind w:firstLine="205"/>
              <w:jc w:val="both"/>
              <w:rPr>
                <w:rFonts w:ascii="Arial Narrow" w:hAnsi="Arial Narrow"/>
                <w:sz w:val="20"/>
                <w:szCs w:val="20"/>
              </w:rPr>
            </w:pPr>
            <w:r w:rsidRPr="007D1918">
              <w:rPr>
                <w:rFonts w:ascii="Arial Narrow" w:hAnsi="Arial Narrow"/>
                <w:color w:val="000000"/>
                <w:sz w:val="20"/>
                <w:szCs w:val="20"/>
              </w:rPr>
              <w:lastRenderedPageBreak/>
              <w:t>Ciclosporin 100mg added to (P+P)</w:t>
            </w:r>
          </w:p>
        </w:tc>
        <w:tc>
          <w:tcPr>
            <w:tcW w:w="1559" w:type="dxa"/>
            <w:tcBorders>
              <w:top w:val="single" w:sz="4" w:space="0" w:color="auto"/>
              <w:left w:val="single" w:sz="4" w:space="0" w:color="auto"/>
              <w:bottom w:val="single" w:sz="4" w:space="0" w:color="auto"/>
              <w:right w:val="nil"/>
            </w:tcBorders>
            <w:shd w:val="clear" w:color="auto" w:fill="FFFFFF" w:themeFill="background1"/>
          </w:tcPr>
          <w:p w14:paraId="18E4A76F" w14:textId="0F32E5B5"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$9,111</w:t>
            </w:r>
          </w:p>
        </w:tc>
        <w:tc>
          <w:tcPr>
            <w:tcW w:w="1559" w:type="dxa"/>
            <w:tcBorders>
              <w:top w:val="single" w:sz="4" w:space="0" w:color="auto"/>
              <w:bottom w:val="single" w:sz="4" w:space="0" w:color="auto"/>
            </w:tcBorders>
            <w:shd w:val="clear" w:color="auto" w:fill="FFFFFF" w:themeFill="background1"/>
            <w:vAlign w:val="bottom"/>
          </w:tcPr>
          <w:p w14:paraId="16F802FA" w14:textId="49AF8BCF"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$41,222</w:t>
            </w:r>
          </w:p>
        </w:tc>
        <w:tc>
          <w:tcPr>
            <w:tcW w:w="1560" w:type="dxa"/>
            <w:tcBorders>
              <w:top w:val="single" w:sz="4" w:space="0" w:color="auto"/>
              <w:bottom w:val="single" w:sz="4" w:space="0" w:color="auto"/>
            </w:tcBorders>
            <w:shd w:val="clear" w:color="auto" w:fill="FFFFFF" w:themeFill="background1"/>
            <w:vAlign w:val="bottom"/>
          </w:tcPr>
          <w:p w14:paraId="4396E665" w14:textId="5963FB92"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$73,118</w:t>
            </w:r>
          </w:p>
        </w:tc>
      </w:tr>
      <w:tr w:rsidR="000A3A40" w:rsidRPr="007D1918" w14:paraId="00CE17FF" w14:textId="77777777" w:rsidTr="0046554A">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2E417D7C" w14:textId="107BF37D" w:rsidR="000A3A40" w:rsidRPr="007D1918" w:rsidRDefault="000A3A40" w:rsidP="000A3A40">
            <w:pPr>
              <w:spacing w:after="40" w:line="240" w:lineRule="auto"/>
              <w:ind w:firstLine="205"/>
              <w:jc w:val="both"/>
              <w:rPr>
                <w:rFonts w:ascii="Arial Narrow" w:hAnsi="Arial Narrow"/>
                <w:sz w:val="20"/>
                <w:szCs w:val="20"/>
              </w:rPr>
            </w:pPr>
            <w:r w:rsidRPr="007D1918">
              <w:rPr>
                <w:rFonts w:ascii="Arial Narrow" w:hAnsi="Arial Narrow"/>
                <w:color w:val="000000"/>
                <w:sz w:val="20"/>
                <w:szCs w:val="20"/>
              </w:rPr>
              <w:t>Rituximab added to (P+P)</w:t>
            </w:r>
          </w:p>
        </w:tc>
        <w:tc>
          <w:tcPr>
            <w:tcW w:w="1559" w:type="dxa"/>
            <w:tcBorders>
              <w:top w:val="single" w:sz="4" w:space="0" w:color="auto"/>
              <w:left w:val="single" w:sz="4" w:space="0" w:color="auto"/>
              <w:bottom w:val="single" w:sz="4" w:space="0" w:color="auto"/>
              <w:right w:val="nil"/>
            </w:tcBorders>
            <w:shd w:val="clear" w:color="auto" w:fill="FFFFFF" w:themeFill="background1"/>
          </w:tcPr>
          <w:p w14:paraId="2177D6C4" w14:textId="4183DEF9"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$8,341</w:t>
            </w:r>
          </w:p>
        </w:tc>
        <w:tc>
          <w:tcPr>
            <w:tcW w:w="1559" w:type="dxa"/>
            <w:tcBorders>
              <w:top w:val="single" w:sz="4" w:space="0" w:color="auto"/>
              <w:bottom w:val="single" w:sz="4" w:space="0" w:color="auto"/>
            </w:tcBorders>
            <w:shd w:val="clear" w:color="auto" w:fill="FFFFFF" w:themeFill="background1"/>
            <w:vAlign w:val="bottom"/>
          </w:tcPr>
          <w:p w14:paraId="0D76D314" w14:textId="2654D9C4"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$18,810</w:t>
            </w:r>
          </w:p>
        </w:tc>
        <w:tc>
          <w:tcPr>
            <w:tcW w:w="1560" w:type="dxa"/>
            <w:tcBorders>
              <w:top w:val="single" w:sz="4" w:space="0" w:color="auto"/>
              <w:bottom w:val="single" w:sz="4" w:space="0" w:color="auto"/>
            </w:tcBorders>
            <w:shd w:val="clear" w:color="auto" w:fill="FFFFFF" w:themeFill="background1"/>
            <w:vAlign w:val="bottom"/>
          </w:tcPr>
          <w:p w14:paraId="228C70BF" w14:textId="66B52630" w:rsidR="000A3A40" w:rsidRPr="007D1918" w:rsidRDefault="000A3A40" w:rsidP="000A3A40">
            <w:pPr>
              <w:spacing w:after="40" w:line="240" w:lineRule="auto"/>
              <w:jc w:val="right"/>
              <w:rPr>
                <w:rFonts w:ascii="Arial Narrow" w:hAnsi="Arial Narrow"/>
                <w:sz w:val="20"/>
                <w:szCs w:val="20"/>
              </w:rPr>
            </w:pPr>
            <w:r w:rsidRPr="007D1918">
              <w:rPr>
                <w:rFonts w:ascii="Arial Narrow" w:hAnsi="Arial Narrow"/>
                <w:sz w:val="20"/>
                <w:szCs w:val="20"/>
              </w:rPr>
              <w:t>$28,119</w:t>
            </w:r>
          </w:p>
        </w:tc>
      </w:tr>
    </w:tbl>
    <w:p w14:paraId="7D7B457C" w14:textId="47B4A741" w:rsidR="007C735F" w:rsidRPr="007D1918" w:rsidRDefault="00A127AA" w:rsidP="00A127AA">
      <w:pPr>
        <w:pStyle w:val="Tablenotes1"/>
      </w:pPr>
      <w:r w:rsidRPr="007D1918">
        <w:t>P+P = prednisolone + pyridostigmine</w:t>
      </w:r>
    </w:p>
    <w:p w14:paraId="10E92FFB" w14:textId="357F1F32" w:rsidR="005278E7" w:rsidRPr="007D1918" w:rsidRDefault="0038442A" w:rsidP="00DF343F">
      <w:pPr>
        <w:jc w:val="both"/>
      </w:pPr>
      <w:r w:rsidRPr="007D1918">
        <w:t xml:space="preserve">Surgery and pharmaceuticals (with the exception of long-term ciclosporin) are all </w:t>
      </w:r>
      <w:r w:rsidR="00AE327D" w:rsidRPr="007D1918">
        <w:t xml:space="preserve">considerably </w:t>
      </w:r>
      <w:r w:rsidRPr="007D1918">
        <w:t>less expensive therapies than IVIg, however equivalent effectiveness cannot be assumed.</w:t>
      </w:r>
    </w:p>
    <w:p w14:paraId="40F80B8D" w14:textId="68DCA138" w:rsidR="0038442A" w:rsidRPr="007D1918" w:rsidRDefault="0038442A" w:rsidP="00DF343F">
      <w:pPr>
        <w:jc w:val="both"/>
      </w:pPr>
      <w:r w:rsidRPr="007D1918">
        <w:t xml:space="preserve">Sensitivity analyses showed </w:t>
      </w:r>
      <w:r w:rsidR="00067EC2" w:rsidRPr="007D1918">
        <w:t xml:space="preserve">an increased </w:t>
      </w:r>
      <w:r w:rsidRPr="007D1918">
        <w:t>cost</w:t>
      </w:r>
      <w:r w:rsidR="00067EC2" w:rsidRPr="007D1918">
        <w:t xml:space="preserve"> associated with IVIg in all analyses except where the </w:t>
      </w:r>
      <w:r w:rsidRPr="007D1918">
        <w:t>IVIg</w:t>
      </w:r>
      <w:r w:rsidR="00067EC2" w:rsidRPr="007D1918">
        <w:t xml:space="preserve"> price was the </w:t>
      </w:r>
      <w:r w:rsidRPr="007D1918">
        <w:t>lowest price</w:t>
      </w:r>
      <w:r w:rsidR="00067EC2" w:rsidRPr="007D1918">
        <w:t xml:space="preserve"> suggested for analysis</w:t>
      </w:r>
      <w:r w:rsidRPr="007D1918">
        <w:t xml:space="preserve">, </w:t>
      </w:r>
      <w:r w:rsidR="00067EC2" w:rsidRPr="007D1918">
        <w:t xml:space="preserve">in which case it became a less expensive option than PE in Indication 2 and less expensive than high intensity PE in Indication 3. The </w:t>
      </w:r>
      <w:r w:rsidRPr="007D1918">
        <w:t xml:space="preserve">sensitivity analyses </w:t>
      </w:r>
      <w:r w:rsidR="00067EC2" w:rsidRPr="007D1918">
        <w:t xml:space="preserve">across all </w:t>
      </w:r>
      <w:r w:rsidR="00AE327D" w:rsidRPr="007D1918">
        <w:t xml:space="preserve">IVIg </w:t>
      </w:r>
      <w:r w:rsidR="00067EC2" w:rsidRPr="007D1918">
        <w:t xml:space="preserve">prices, for all indications are presented in </w:t>
      </w:r>
      <w:r w:rsidR="00067EC2" w:rsidRPr="007D1918">
        <w:rPr>
          <w:i/>
        </w:rPr>
        <w:t>Section D.6</w:t>
      </w:r>
      <w:r w:rsidR="00067EC2" w:rsidRPr="007D1918">
        <w:t>.</w:t>
      </w:r>
    </w:p>
    <w:p w14:paraId="4913398A" w14:textId="77777777" w:rsidR="005278E7" w:rsidRPr="007D1918" w:rsidRDefault="000B7A2F" w:rsidP="000B7A2F">
      <w:pPr>
        <w:pStyle w:val="Heading3"/>
      </w:pPr>
      <w:bookmarkStart w:id="84" w:name="_Toc259437725"/>
      <w:bookmarkStart w:id="85" w:name="_Toc395200753"/>
      <w:bookmarkStart w:id="86" w:name="_Toc23766932"/>
      <w:bookmarkStart w:id="87" w:name="_Toc379118060"/>
      <w:bookmarkStart w:id="88" w:name="_Toc379118252"/>
      <w:r w:rsidRPr="007D1918">
        <w:t>Estimated Extent of Use and Financial I</w:t>
      </w:r>
      <w:r w:rsidR="005278E7" w:rsidRPr="007D1918">
        <w:t>m</w:t>
      </w:r>
      <w:bookmarkEnd w:id="84"/>
      <w:r w:rsidR="005278E7" w:rsidRPr="007D1918">
        <w:t>plications</w:t>
      </w:r>
      <w:bookmarkEnd w:id="85"/>
      <w:bookmarkEnd w:id="86"/>
    </w:p>
    <w:p w14:paraId="0E2A7817" w14:textId="536DA839" w:rsidR="00067EC2" w:rsidRPr="007D1918" w:rsidRDefault="00067EC2" w:rsidP="00067EC2">
      <w:pPr>
        <w:jc w:val="both"/>
      </w:pPr>
      <w:r w:rsidRPr="007D1918">
        <w:t>A market-based approach was used to estimate the financial implications of Ig in MG, based on current utilisation of Ig products in Australian patients with MG.</w:t>
      </w:r>
    </w:p>
    <w:p w14:paraId="069FE4C4" w14:textId="74314C34" w:rsidR="00B17A1D" w:rsidRPr="007D1918" w:rsidRDefault="00067EC2" w:rsidP="00067EC2">
      <w:pPr>
        <w:jc w:val="both"/>
      </w:pPr>
      <w:r w:rsidRPr="007D1918">
        <w:t xml:space="preserve">The financial implications associated with funding Ig for MG are summarised in </w:t>
      </w:r>
      <w:r w:rsidRPr="007D1918">
        <w:fldChar w:fldCharType="begin"/>
      </w:r>
      <w:r w:rsidRPr="007D1918">
        <w:instrText xml:space="preserve"> REF _Ref14440540 \h </w:instrText>
      </w:r>
      <w:r w:rsidR="00E07567" w:rsidRPr="007D1918">
        <w:instrText xml:space="preserve"> \* MERGEFORMAT </w:instrText>
      </w:r>
      <w:r w:rsidRPr="007D1918">
        <w:fldChar w:fldCharType="separate"/>
      </w:r>
      <w:r w:rsidR="007C33AD" w:rsidRPr="007D1918">
        <w:t xml:space="preserve">Table </w:t>
      </w:r>
      <w:r w:rsidR="007C33AD" w:rsidRPr="007D1918">
        <w:rPr>
          <w:noProof/>
        </w:rPr>
        <w:t>6</w:t>
      </w:r>
      <w:r w:rsidRPr="007D1918">
        <w:fldChar w:fldCharType="end"/>
      </w:r>
      <w:r w:rsidR="00B17A1D" w:rsidRPr="007D1918">
        <w:t>.</w:t>
      </w:r>
    </w:p>
    <w:p w14:paraId="6C8BFAA2" w14:textId="5E049F8B" w:rsidR="00067EC2" w:rsidRPr="007D1918" w:rsidRDefault="00067EC2" w:rsidP="00067EC2">
      <w:pPr>
        <w:pStyle w:val="Caption"/>
        <w:keepNext/>
      </w:pPr>
      <w:bookmarkStart w:id="89" w:name="_Ref14440540"/>
      <w:bookmarkStart w:id="90" w:name="_Toc23769493"/>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7C33AD" w:rsidRPr="007D1918">
        <w:rPr>
          <w:noProof/>
        </w:rPr>
        <w:t>6</w:t>
      </w:r>
      <w:r w:rsidRPr="007D1918">
        <w:rPr>
          <w:noProof/>
        </w:rPr>
        <w:fldChar w:fldCharType="end"/>
      </w:r>
      <w:bookmarkEnd w:id="89"/>
      <w:r w:rsidRPr="007D1918">
        <w:tab/>
      </w:r>
      <w:r w:rsidRPr="007D1918">
        <w:tab/>
        <w:t>Total costs to government associated with Ig for MG</w:t>
      </w:r>
      <w:bookmarkEnd w:id="90"/>
    </w:p>
    <w:tbl>
      <w:tblPr>
        <w:tblStyle w:val="TableGrid1"/>
        <w:tblW w:w="5000" w:type="pct"/>
        <w:tblLayout w:type="fixed"/>
        <w:tblLook w:val="04A0" w:firstRow="1" w:lastRow="0" w:firstColumn="1" w:lastColumn="0" w:noHBand="0" w:noVBand="1"/>
        <w:tblCaption w:val="Net financial implications to government associated with Ig for acquired hypogammaglobulinaemia"/>
      </w:tblPr>
      <w:tblGrid>
        <w:gridCol w:w="3259"/>
        <w:gridCol w:w="1152"/>
        <w:gridCol w:w="1152"/>
        <w:gridCol w:w="1152"/>
        <w:gridCol w:w="1152"/>
        <w:gridCol w:w="1149"/>
      </w:tblGrid>
      <w:tr w:rsidR="00067EC2" w:rsidRPr="007D1918" w14:paraId="4B315630" w14:textId="77777777" w:rsidTr="00FE2DC6">
        <w:trPr>
          <w:cnfStyle w:val="100000000000" w:firstRow="1" w:lastRow="0" w:firstColumn="0" w:lastColumn="0" w:oddVBand="0" w:evenVBand="0" w:oddHBand="0" w:evenHBand="0" w:firstRowFirstColumn="0" w:firstRowLastColumn="0" w:lastRowFirstColumn="0" w:lastRowLastColumn="0"/>
          <w:trHeight w:val="300"/>
          <w:tblHeader/>
        </w:trPr>
        <w:tc>
          <w:tcPr>
            <w:tcW w:w="1807" w:type="pct"/>
            <w:tcBorders>
              <w:bottom w:val="single" w:sz="4" w:space="0" w:color="auto"/>
            </w:tcBorders>
            <w:noWrap/>
          </w:tcPr>
          <w:p w14:paraId="511AF7DC" w14:textId="77777777" w:rsidR="00067EC2" w:rsidRPr="007D1918" w:rsidRDefault="00067EC2" w:rsidP="00FE2DC6">
            <w:pPr>
              <w:pStyle w:val="TableHeading"/>
              <w:jc w:val="center"/>
            </w:pPr>
          </w:p>
        </w:tc>
        <w:tc>
          <w:tcPr>
            <w:tcW w:w="639" w:type="pct"/>
            <w:tcBorders>
              <w:bottom w:val="single" w:sz="4" w:space="0" w:color="auto"/>
            </w:tcBorders>
            <w:noWrap/>
          </w:tcPr>
          <w:p w14:paraId="12A3990D" w14:textId="77777777" w:rsidR="00067EC2" w:rsidRPr="007D1918" w:rsidRDefault="00067EC2" w:rsidP="00FE2DC6">
            <w:pPr>
              <w:pStyle w:val="TableHeading"/>
              <w:jc w:val="center"/>
            </w:pPr>
            <w:r w:rsidRPr="007D1918">
              <w:t>2019-20</w:t>
            </w:r>
          </w:p>
        </w:tc>
        <w:tc>
          <w:tcPr>
            <w:tcW w:w="639" w:type="pct"/>
            <w:tcBorders>
              <w:bottom w:val="single" w:sz="4" w:space="0" w:color="auto"/>
            </w:tcBorders>
            <w:noWrap/>
          </w:tcPr>
          <w:p w14:paraId="2933514E" w14:textId="77777777" w:rsidR="00067EC2" w:rsidRPr="007D1918" w:rsidRDefault="00067EC2" w:rsidP="00FE2DC6">
            <w:pPr>
              <w:pStyle w:val="TableHeading"/>
              <w:jc w:val="center"/>
            </w:pPr>
            <w:r w:rsidRPr="007D1918">
              <w:t>2020-21</w:t>
            </w:r>
          </w:p>
        </w:tc>
        <w:tc>
          <w:tcPr>
            <w:tcW w:w="639" w:type="pct"/>
            <w:tcBorders>
              <w:bottom w:val="single" w:sz="4" w:space="0" w:color="auto"/>
            </w:tcBorders>
            <w:noWrap/>
          </w:tcPr>
          <w:p w14:paraId="30C2DF0D" w14:textId="77777777" w:rsidR="00067EC2" w:rsidRPr="007D1918" w:rsidRDefault="00067EC2" w:rsidP="00FE2DC6">
            <w:pPr>
              <w:pStyle w:val="TableHeading"/>
              <w:jc w:val="center"/>
              <w:rPr>
                <w:rFonts w:ascii="Times New Roman" w:hAnsi="Times New Roman" w:cs="Times New Roman"/>
              </w:rPr>
            </w:pPr>
            <w:r w:rsidRPr="007D1918">
              <w:t>2021-22</w:t>
            </w:r>
          </w:p>
        </w:tc>
        <w:tc>
          <w:tcPr>
            <w:tcW w:w="639" w:type="pct"/>
            <w:tcBorders>
              <w:bottom w:val="single" w:sz="4" w:space="0" w:color="auto"/>
            </w:tcBorders>
            <w:noWrap/>
          </w:tcPr>
          <w:p w14:paraId="3EF3B4AA" w14:textId="77777777" w:rsidR="00067EC2" w:rsidRPr="007D1918" w:rsidRDefault="00067EC2" w:rsidP="00FE2DC6">
            <w:pPr>
              <w:pStyle w:val="TableHeading"/>
              <w:jc w:val="center"/>
              <w:rPr>
                <w:rFonts w:ascii="Times New Roman" w:hAnsi="Times New Roman" w:cs="Times New Roman"/>
              </w:rPr>
            </w:pPr>
            <w:r w:rsidRPr="007D1918">
              <w:t>2022-23</w:t>
            </w:r>
          </w:p>
        </w:tc>
        <w:tc>
          <w:tcPr>
            <w:tcW w:w="637" w:type="pct"/>
            <w:tcBorders>
              <w:bottom w:val="single" w:sz="4" w:space="0" w:color="auto"/>
            </w:tcBorders>
            <w:noWrap/>
          </w:tcPr>
          <w:p w14:paraId="2666A76A" w14:textId="77777777" w:rsidR="00067EC2" w:rsidRPr="007D1918" w:rsidRDefault="00067EC2" w:rsidP="00FE2DC6">
            <w:pPr>
              <w:pStyle w:val="TableHeading"/>
              <w:jc w:val="center"/>
              <w:rPr>
                <w:rFonts w:ascii="Times New Roman" w:hAnsi="Times New Roman" w:cs="Times New Roman"/>
              </w:rPr>
            </w:pPr>
            <w:r w:rsidRPr="007D1918">
              <w:t>2023-24</w:t>
            </w:r>
          </w:p>
        </w:tc>
      </w:tr>
      <w:tr w:rsidR="00067EC2" w:rsidRPr="007D1918" w14:paraId="0C5C6F52" w14:textId="77777777" w:rsidTr="00FE2DC6">
        <w:trPr>
          <w:trHeight w:val="300"/>
        </w:trPr>
        <w:tc>
          <w:tcPr>
            <w:tcW w:w="1807" w:type="pct"/>
            <w:tcBorders>
              <w:top w:val="single" w:sz="4" w:space="0" w:color="auto"/>
              <w:bottom w:val="single" w:sz="4" w:space="0" w:color="auto"/>
              <w:right w:val="single" w:sz="4" w:space="0" w:color="auto"/>
            </w:tcBorders>
            <w:noWrap/>
          </w:tcPr>
          <w:p w14:paraId="3EC4509F" w14:textId="77777777" w:rsidR="00067EC2" w:rsidRPr="007D1918" w:rsidRDefault="00067EC2" w:rsidP="00FE2DC6">
            <w:pPr>
              <w:pStyle w:val="TableHeading"/>
              <w:rPr>
                <w:b w:val="0"/>
              </w:rPr>
            </w:pPr>
            <w:r w:rsidRPr="007D1918">
              <w:rPr>
                <w:b w:val="0"/>
              </w:rPr>
              <w:t>Total cost of Ig</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55ADCB" w14:textId="77777777" w:rsidR="00067EC2" w:rsidRPr="007D1918" w:rsidRDefault="00067EC2" w:rsidP="00FE2DC6">
            <w:pPr>
              <w:pStyle w:val="Tabletext1"/>
            </w:pPr>
            <w:r w:rsidRPr="007D1918">
              <w:t>$36,181,120</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F909E8" w14:textId="77777777" w:rsidR="00067EC2" w:rsidRPr="007D1918" w:rsidRDefault="00067EC2" w:rsidP="00FE2DC6">
            <w:pPr>
              <w:pStyle w:val="Tabletext1"/>
            </w:pPr>
            <w:r w:rsidRPr="007D1918">
              <w:t>$39,060,321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FDD5DB" w14:textId="77777777" w:rsidR="00067EC2" w:rsidRPr="007D1918" w:rsidRDefault="00067EC2" w:rsidP="00FE2DC6">
            <w:pPr>
              <w:pStyle w:val="Tabletext1"/>
            </w:pPr>
            <w:r w:rsidRPr="007D1918">
              <w:t>$41,939,401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224D3" w14:textId="77777777" w:rsidR="00067EC2" w:rsidRPr="007D1918" w:rsidRDefault="00067EC2" w:rsidP="00FE2DC6">
            <w:pPr>
              <w:pStyle w:val="Tabletext1"/>
            </w:pPr>
            <w:r w:rsidRPr="007D1918">
              <w:t>$44,818,602</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4B8C91" w14:textId="77777777" w:rsidR="00067EC2" w:rsidRPr="007D1918" w:rsidRDefault="00067EC2" w:rsidP="00FE2DC6">
            <w:pPr>
              <w:pStyle w:val="Tabletext1"/>
            </w:pPr>
            <w:r w:rsidRPr="007D1918">
              <w:t>$47,697,742</w:t>
            </w:r>
          </w:p>
        </w:tc>
      </w:tr>
      <w:tr w:rsidR="00067EC2" w:rsidRPr="007D1918" w14:paraId="19435578" w14:textId="77777777" w:rsidTr="00FE2DC6">
        <w:trPr>
          <w:trHeight w:val="300"/>
        </w:trPr>
        <w:tc>
          <w:tcPr>
            <w:tcW w:w="1807" w:type="pct"/>
            <w:tcBorders>
              <w:top w:val="single" w:sz="4" w:space="0" w:color="auto"/>
              <w:bottom w:val="single" w:sz="4" w:space="0" w:color="auto"/>
              <w:right w:val="single" w:sz="4" w:space="0" w:color="auto"/>
            </w:tcBorders>
            <w:noWrap/>
          </w:tcPr>
          <w:p w14:paraId="51274BB2" w14:textId="77777777" w:rsidR="00067EC2" w:rsidRPr="007D1918" w:rsidRDefault="00067EC2" w:rsidP="00FE2DC6">
            <w:pPr>
              <w:pStyle w:val="TableHeading"/>
              <w:rPr>
                <w:b w:val="0"/>
              </w:rPr>
            </w:pPr>
            <w:r w:rsidRPr="007D1918">
              <w:rPr>
                <w:b w:val="0"/>
              </w:rPr>
              <w:t>Cost of Ig to the Commonwealth</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8FBA43" w14:textId="77777777" w:rsidR="00067EC2" w:rsidRPr="007D1918" w:rsidRDefault="00067EC2" w:rsidP="00FE2DC6">
            <w:pPr>
              <w:pStyle w:val="Tabletext1"/>
            </w:pPr>
            <w:r w:rsidRPr="007D1918">
              <w:t>$22,794,105</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98AF0" w14:textId="77777777" w:rsidR="00067EC2" w:rsidRPr="007D1918" w:rsidRDefault="00067EC2" w:rsidP="00FE2DC6">
            <w:pPr>
              <w:pStyle w:val="Tabletext1"/>
            </w:pPr>
            <w:r w:rsidRPr="007D1918">
              <w:t>$24,608,002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83D090" w14:textId="77777777" w:rsidR="00067EC2" w:rsidRPr="007D1918" w:rsidRDefault="00067EC2" w:rsidP="00FE2DC6">
            <w:pPr>
              <w:pStyle w:val="Tabletext1"/>
            </w:pPr>
            <w:r w:rsidRPr="007D1918">
              <w:t>$26,421,823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E4E0B5" w14:textId="77777777" w:rsidR="00067EC2" w:rsidRPr="007D1918" w:rsidRDefault="00067EC2" w:rsidP="00FE2DC6">
            <w:pPr>
              <w:pStyle w:val="Tabletext1"/>
            </w:pPr>
            <w:r w:rsidRPr="007D1918">
              <w:t>$28,235,719</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D42AA" w14:textId="77777777" w:rsidR="00067EC2" w:rsidRPr="007D1918" w:rsidRDefault="00067EC2" w:rsidP="00FE2DC6">
            <w:pPr>
              <w:pStyle w:val="Tabletext1"/>
            </w:pPr>
            <w:r w:rsidRPr="007D1918">
              <w:t>$30,049,578</w:t>
            </w:r>
          </w:p>
        </w:tc>
      </w:tr>
      <w:tr w:rsidR="00067EC2" w:rsidRPr="007D1918" w14:paraId="4BA1FF29" w14:textId="77777777" w:rsidTr="00FE2DC6">
        <w:trPr>
          <w:trHeight w:val="300"/>
        </w:trPr>
        <w:tc>
          <w:tcPr>
            <w:tcW w:w="1807" w:type="pct"/>
            <w:tcBorders>
              <w:top w:val="single" w:sz="4" w:space="0" w:color="auto"/>
              <w:bottom w:val="single" w:sz="4" w:space="0" w:color="auto"/>
              <w:right w:val="single" w:sz="4" w:space="0" w:color="auto"/>
            </w:tcBorders>
            <w:noWrap/>
          </w:tcPr>
          <w:p w14:paraId="47328AAD" w14:textId="77777777" w:rsidR="00067EC2" w:rsidRPr="007D1918" w:rsidRDefault="00067EC2" w:rsidP="00FE2DC6">
            <w:pPr>
              <w:pStyle w:val="TableHeading"/>
              <w:keepNext w:val="0"/>
              <w:rPr>
                <w:b w:val="0"/>
              </w:rPr>
            </w:pPr>
            <w:r w:rsidRPr="007D1918">
              <w:rPr>
                <w:b w:val="0"/>
              </w:rPr>
              <w:t>Cost of Ig to the States</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FEDD85" w14:textId="77777777" w:rsidR="00067EC2" w:rsidRPr="007D1918" w:rsidRDefault="00067EC2" w:rsidP="00FE2DC6">
            <w:pPr>
              <w:pStyle w:val="Tabletext1"/>
            </w:pPr>
            <w:r w:rsidRPr="007D1918">
              <w:t>$13,387,014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852CE1" w14:textId="77777777" w:rsidR="00067EC2" w:rsidRPr="007D1918" w:rsidRDefault="00067EC2" w:rsidP="00FE2DC6">
            <w:pPr>
              <w:pStyle w:val="Tabletext1"/>
            </w:pPr>
            <w:r w:rsidRPr="007D1918">
              <w:t>$14,452,319</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78D6D" w14:textId="77777777" w:rsidR="00067EC2" w:rsidRPr="007D1918" w:rsidRDefault="00067EC2" w:rsidP="00FE2DC6">
            <w:pPr>
              <w:pStyle w:val="Tabletext1"/>
            </w:pPr>
            <w:r w:rsidRPr="007D1918">
              <w:t>$15,517,578</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978B1" w14:textId="77777777" w:rsidR="00067EC2" w:rsidRPr="007D1918" w:rsidRDefault="00067EC2" w:rsidP="00FE2DC6">
            <w:pPr>
              <w:pStyle w:val="Tabletext1"/>
            </w:pPr>
            <w:r w:rsidRPr="007D1918">
              <w:t>$16,582,883</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B8264B" w14:textId="77777777" w:rsidR="00067EC2" w:rsidRPr="007D1918" w:rsidRDefault="00067EC2" w:rsidP="00FE2DC6">
            <w:pPr>
              <w:pStyle w:val="Tabletext1"/>
            </w:pPr>
            <w:r w:rsidRPr="007D1918">
              <w:t>$17,648,165</w:t>
            </w:r>
          </w:p>
        </w:tc>
      </w:tr>
      <w:tr w:rsidR="00067EC2" w:rsidRPr="007D1918" w14:paraId="1C99E3D0" w14:textId="77777777" w:rsidTr="00FE2DC6">
        <w:trPr>
          <w:trHeight w:val="300"/>
        </w:trPr>
        <w:tc>
          <w:tcPr>
            <w:tcW w:w="1807" w:type="pct"/>
            <w:tcBorders>
              <w:bottom w:val="single" w:sz="4" w:space="0" w:color="auto"/>
            </w:tcBorders>
            <w:noWrap/>
          </w:tcPr>
          <w:p w14:paraId="20C6A1BC" w14:textId="77777777" w:rsidR="00067EC2" w:rsidRPr="007D1918" w:rsidRDefault="00067EC2" w:rsidP="00FE2DC6">
            <w:pPr>
              <w:pStyle w:val="TableHeading"/>
              <w:rPr>
                <w:b w:val="0"/>
              </w:rPr>
            </w:pPr>
            <w:r w:rsidRPr="007D1918">
              <w:rPr>
                <w:b w:val="0"/>
              </w:rPr>
              <w:t>Additional cost to states (administration)</w:t>
            </w:r>
          </w:p>
        </w:tc>
        <w:tc>
          <w:tcPr>
            <w:tcW w:w="63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377AF7" w14:textId="77777777" w:rsidR="00067EC2" w:rsidRPr="007D1918" w:rsidRDefault="00067EC2" w:rsidP="00FE2DC6">
            <w:pPr>
              <w:pStyle w:val="Tablecontents"/>
            </w:pPr>
            <w:r w:rsidRPr="007D1918">
              <w:t>$5,338,380</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0E75557D" w14:textId="77777777" w:rsidR="00067EC2" w:rsidRPr="007D1918" w:rsidRDefault="00067EC2" w:rsidP="00FE2DC6">
            <w:pPr>
              <w:pStyle w:val="Tablecontents"/>
            </w:pPr>
            <w:r w:rsidRPr="007D1918">
              <w:t>$5,756,046</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465D4459" w14:textId="77777777" w:rsidR="00067EC2" w:rsidRPr="007D1918" w:rsidRDefault="00067EC2" w:rsidP="00FE2DC6">
            <w:pPr>
              <w:pStyle w:val="Tablecontents"/>
            </w:pPr>
            <w:r w:rsidRPr="007D1918">
              <w:t>$6,179,705</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0313DD0F" w14:textId="77777777" w:rsidR="00067EC2" w:rsidRPr="007D1918" w:rsidRDefault="00067EC2" w:rsidP="00FE2DC6">
            <w:pPr>
              <w:pStyle w:val="Tablecontents"/>
            </w:pPr>
            <w:r w:rsidRPr="007D1918">
              <w:t>$6,598,293</w:t>
            </w:r>
          </w:p>
        </w:tc>
        <w:tc>
          <w:tcPr>
            <w:tcW w:w="637" w:type="pct"/>
            <w:tcBorders>
              <w:top w:val="single" w:sz="4" w:space="0" w:color="auto"/>
              <w:left w:val="nil"/>
              <w:bottom w:val="single" w:sz="4" w:space="0" w:color="auto"/>
              <w:right w:val="single" w:sz="4" w:space="0" w:color="auto"/>
            </w:tcBorders>
            <w:shd w:val="clear" w:color="auto" w:fill="FFFFFF" w:themeFill="background1"/>
            <w:noWrap/>
            <w:vAlign w:val="center"/>
          </w:tcPr>
          <w:p w14:paraId="2C1429F2" w14:textId="77777777" w:rsidR="00067EC2" w:rsidRPr="007D1918" w:rsidRDefault="00067EC2" w:rsidP="00FE2DC6">
            <w:pPr>
              <w:pStyle w:val="Tablecontents"/>
            </w:pPr>
            <w:r w:rsidRPr="007D1918">
              <w:t>$7,021,952</w:t>
            </w:r>
          </w:p>
        </w:tc>
      </w:tr>
      <w:tr w:rsidR="00067EC2" w:rsidRPr="007D1918" w14:paraId="796376DB" w14:textId="77777777" w:rsidTr="00FE2DC6">
        <w:trPr>
          <w:trHeight w:val="300"/>
        </w:trPr>
        <w:tc>
          <w:tcPr>
            <w:tcW w:w="1807" w:type="pct"/>
            <w:tcBorders>
              <w:top w:val="single" w:sz="4" w:space="0" w:color="auto"/>
              <w:bottom w:val="single" w:sz="4" w:space="0" w:color="auto"/>
              <w:right w:val="single" w:sz="4" w:space="0" w:color="auto"/>
            </w:tcBorders>
            <w:noWrap/>
          </w:tcPr>
          <w:p w14:paraId="56C56433" w14:textId="77777777" w:rsidR="00067EC2" w:rsidRPr="007D1918" w:rsidRDefault="00067EC2" w:rsidP="00FE2DC6">
            <w:pPr>
              <w:pStyle w:val="TableHeading"/>
              <w:rPr>
                <w:b w:val="0"/>
              </w:rPr>
            </w:pPr>
            <w:r w:rsidRPr="007D1918">
              <w:rPr>
                <w:b w:val="0"/>
              </w:rPr>
              <w:t>Total cost offsets due to a reduction in PE</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A1D6DC" w14:textId="77777777" w:rsidR="00067EC2" w:rsidRPr="007D1918" w:rsidRDefault="00067EC2" w:rsidP="00FE2DC6">
            <w:pPr>
              <w:pStyle w:val="Tablecontents"/>
              <w:jc w:val="right"/>
            </w:pPr>
            <w:r w:rsidRPr="007D1918">
              <w:t>$781,695</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BCAA0F" w14:textId="77777777" w:rsidR="00067EC2" w:rsidRPr="007D1918" w:rsidRDefault="00067EC2" w:rsidP="00FE2DC6">
            <w:pPr>
              <w:pStyle w:val="Tablecontents"/>
              <w:jc w:val="right"/>
            </w:pPr>
            <w:r w:rsidRPr="007D1918">
              <w:t>$836,982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D4F046" w14:textId="77777777" w:rsidR="00067EC2" w:rsidRPr="007D1918" w:rsidRDefault="00067EC2" w:rsidP="00FE2DC6">
            <w:pPr>
              <w:pStyle w:val="Tablecontents"/>
              <w:jc w:val="right"/>
            </w:pPr>
            <w:r w:rsidRPr="007D1918">
              <w:t>$897,993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12536A" w14:textId="77777777" w:rsidR="00067EC2" w:rsidRPr="007D1918" w:rsidRDefault="00067EC2" w:rsidP="00FE2DC6">
            <w:pPr>
              <w:pStyle w:val="Tablecontents"/>
              <w:jc w:val="right"/>
            </w:pPr>
            <w:r w:rsidRPr="007D1918">
              <w:t>$961,196</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70D3B" w14:textId="77777777" w:rsidR="00067EC2" w:rsidRPr="007D1918" w:rsidRDefault="00067EC2" w:rsidP="00FE2DC6">
            <w:pPr>
              <w:pStyle w:val="Tablecontents"/>
              <w:jc w:val="right"/>
            </w:pPr>
            <w:r w:rsidRPr="007D1918">
              <w:t>$1,024,399</w:t>
            </w:r>
          </w:p>
        </w:tc>
      </w:tr>
      <w:tr w:rsidR="00067EC2" w:rsidRPr="007D1918" w14:paraId="6248E01F" w14:textId="77777777" w:rsidTr="00FE2DC6">
        <w:trPr>
          <w:trHeight w:val="300"/>
        </w:trPr>
        <w:tc>
          <w:tcPr>
            <w:tcW w:w="1807" w:type="pct"/>
            <w:tcBorders>
              <w:top w:val="single" w:sz="4" w:space="0" w:color="auto"/>
              <w:bottom w:val="single" w:sz="4" w:space="0" w:color="auto"/>
              <w:right w:val="single" w:sz="4" w:space="0" w:color="auto"/>
            </w:tcBorders>
            <w:noWrap/>
          </w:tcPr>
          <w:p w14:paraId="77D3BB72" w14:textId="77777777" w:rsidR="00067EC2" w:rsidRPr="007D1918" w:rsidRDefault="00067EC2" w:rsidP="00FE2DC6">
            <w:pPr>
              <w:pStyle w:val="TableHeading"/>
              <w:rPr>
                <w:b w:val="0"/>
              </w:rPr>
            </w:pPr>
            <w:r w:rsidRPr="007D1918">
              <w:rPr>
                <w:b w:val="0"/>
              </w:rPr>
              <w:t>Offsets to the Commonwealth</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CB096A" w14:textId="77777777" w:rsidR="00067EC2" w:rsidRPr="007D1918" w:rsidRDefault="00067EC2" w:rsidP="00FE2DC6">
            <w:pPr>
              <w:pStyle w:val="Tablecontents"/>
              <w:jc w:val="right"/>
            </w:pPr>
            <w:r w:rsidRPr="007D1918">
              <w:t>$323,921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34EADE" w14:textId="77777777" w:rsidR="00067EC2" w:rsidRPr="007D1918" w:rsidRDefault="00067EC2" w:rsidP="00FE2DC6">
            <w:pPr>
              <w:pStyle w:val="Tablecontents"/>
              <w:jc w:val="right"/>
            </w:pPr>
            <w:r w:rsidRPr="007D1918">
              <w:t>$349,642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232BCE" w14:textId="77777777" w:rsidR="00067EC2" w:rsidRPr="007D1918" w:rsidRDefault="00067EC2" w:rsidP="00FE2DC6">
            <w:pPr>
              <w:pStyle w:val="Tablecontents"/>
              <w:jc w:val="right"/>
            </w:pPr>
            <w:r w:rsidRPr="007D1918">
              <w:t>$374,413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54398E" w14:textId="77777777" w:rsidR="00067EC2" w:rsidRPr="007D1918" w:rsidRDefault="00067EC2" w:rsidP="00FE2DC6">
            <w:pPr>
              <w:pStyle w:val="Tablecontents"/>
              <w:jc w:val="right"/>
            </w:pPr>
            <w:r w:rsidRPr="007D1918">
              <w:t>$400,565</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30CD82" w14:textId="77777777" w:rsidR="00067EC2" w:rsidRPr="007D1918" w:rsidRDefault="00067EC2" w:rsidP="00FE2DC6">
            <w:pPr>
              <w:pStyle w:val="Tablecontents"/>
              <w:jc w:val="right"/>
            </w:pPr>
            <w:r w:rsidRPr="007D1918">
              <w:t>$426,717</w:t>
            </w:r>
          </w:p>
        </w:tc>
      </w:tr>
      <w:tr w:rsidR="00067EC2" w:rsidRPr="007D1918" w14:paraId="4CC21E45" w14:textId="77777777" w:rsidTr="00FE2DC6">
        <w:trPr>
          <w:trHeight w:val="300"/>
        </w:trPr>
        <w:tc>
          <w:tcPr>
            <w:tcW w:w="1807" w:type="pct"/>
            <w:tcBorders>
              <w:top w:val="single" w:sz="4" w:space="0" w:color="auto"/>
              <w:bottom w:val="single" w:sz="4" w:space="0" w:color="auto"/>
              <w:right w:val="single" w:sz="4" w:space="0" w:color="auto"/>
            </w:tcBorders>
            <w:noWrap/>
          </w:tcPr>
          <w:p w14:paraId="20CAF4AF" w14:textId="77777777" w:rsidR="00067EC2" w:rsidRPr="007D1918" w:rsidRDefault="00067EC2" w:rsidP="00FE2DC6">
            <w:pPr>
              <w:pStyle w:val="TableHeading"/>
              <w:keepNext w:val="0"/>
              <w:rPr>
                <w:b w:val="0"/>
              </w:rPr>
            </w:pPr>
            <w:r w:rsidRPr="007D1918">
              <w:rPr>
                <w:b w:val="0"/>
              </w:rPr>
              <w:t>Offsets to the States</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1994E0" w14:textId="77777777" w:rsidR="00067EC2" w:rsidRPr="007D1918" w:rsidRDefault="00067EC2" w:rsidP="00FE2DC6">
            <w:pPr>
              <w:pStyle w:val="Tablecontents"/>
              <w:jc w:val="right"/>
            </w:pPr>
            <w:r w:rsidRPr="007D1918">
              <w:t>$457,774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1710ACC" w14:textId="77777777" w:rsidR="00067EC2" w:rsidRPr="007D1918" w:rsidRDefault="00067EC2" w:rsidP="00FE2DC6">
            <w:pPr>
              <w:pStyle w:val="Tablecontents"/>
              <w:jc w:val="right"/>
            </w:pPr>
            <w:r w:rsidRPr="007D1918">
              <w:t>$487,341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B82181" w14:textId="77777777" w:rsidR="00067EC2" w:rsidRPr="007D1918" w:rsidRDefault="00067EC2" w:rsidP="00FE2DC6">
            <w:pPr>
              <w:pStyle w:val="Tablecontents"/>
              <w:jc w:val="right"/>
            </w:pPr>
            <w:r w:rsidRPr="007D1918">
              <w:t>$523,581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EA3332" w14:textId="77777777" w:rsidR="00067EC2" w:rsidRPr="007D1918" w:rsidRDefault="00067EC2" w:rsidP="00FE2DC6">
            <w:pPr>
              <w:pStyle w:val="Tablecontents"/>
              <w:jc w:val="right"/>
            </w:pPr>
            <w:r w:rsidRPr="007D1918">
              <w:t>$560,632</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5BADD21" w14:textId="77777777" w:rsidR="00067EC2" w:rsidRPr="007D1918" w:rsidRDefault="00067EC2" w:rsidP="00FE2DC6">
            <w:pPr>
              <w:pStyle w:val="Tablecontents"/>
              <w:jc w:val="right"/>
            </w:pPr>
            <w:r w:rsidRPr="007D1918">
              <w:t>$597,683</w:t>
            </w:r>
          </w:p>
        </w:tc>
      </w:tr>
      <w:tr w:rsidR="00067EC2" w:rsidRPr="007D1918" w14:paraId="5A006B1B" w14:textId="77777777" w:rsidTr="00FE2DC6">
        <w:trPr>
          <w:trHeight w:val="300"/>
        </w:trPr>
        <w:tc>
          <w:tcPr>
            <w:tcW w:w="1807" w:type="pct"/>
            <w:tcBorders>
              <w:top w:val="single" w:sz="4" w:space="0" w:color="auto"/>
              <w:bottom w:val="single" w:sz="4" w:space="0" w:color="auto"/>
              <w:right w:val="single" w:sz="4" w:space="0" w:color="auto"/>
            </w:tcBorders>
            <w:noWrap/>
          </w:tcPr>
          <w:p w14:paraId="4E100A64" w14:textId="77777777" w:rsidR="00067EC2" w:rsidRPr="007D1918" w:rsidRDefault="00067EC2" w:rsidP="00FE2DC6">
            <w:pPr>
              <w:pStyle w:val="TableHeading"/>
            </w:pPr>
            <w:r w:rsidRPr="007D1918">
              <w:t>Net cost</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6B898D" w14:textId="77777777" w:rsidR="00067EC2" w:rsidRPr="007D1918" w:rsidRDefault="00067EC2" w:rsidP="00FE2DC6">
            <w:pPr>
              <w:pStyle w:val="Tablecontents"/>
              <w:jc w:val="right"/>
              <w:rPr>
                <w:b/>
              </w:rPr>
            </w:pPr>
            <w:r w:rsidRPr="007D1918">
              <w:rPr>
                <w:b/>
              </w:rPr>
              <w:t>$40,737,805</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88BD4A" w14:textId="77777777" w:rsidR="00067EC2" w:rsidRPr="007D1918" w:rsidRDefault="00067EC2" w:rsidP="00FE2DC6">
            <w:pPr>
              <w:pStyle w:val="Tablecontents"/>
              <w:jc w:val="right"/>
              <w:rPr>
                <w:b/>
              </w:rPr>
            </w:pPr>
            <w:r w:rsidRPr="007D1918">
              <w:rPr>
                <w:b/>
              </w:rPr>
              <w:t>$43,979,384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D29C46" w14:textId="77777777" w:rsidR="00067EC2" w:rsidRPr="007D1918" w:rsidRDefault="00067EC2" w:rsidP="00FE2DC6">
            <w:pPr>
              <w:pStyle w:val="Tablecontents"/>
              <w:jc w:val="right"/>
              <w:rPr>
                <w:b/>
              </w:rPr>
            </w:pPr>
            <w:r w:rsidRPr="007D1918">
              <w:rPr>
                <w:b/>
              </w:rPr>
              <w:t>$47,221,113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C1DB7C" w14:textId="77777777" w:rsidR="00067EC2" w:rsidRPr="007D1918" w:rsidRDefault="00067EC2" w:rsidP="00FE2DC6">
            <w:pPr>
              <w:pStyle w:val="Tablecontents"/>
              <w:jc w:val="right"/>
              <w:rPr>
                <w:b/>
              </w:rPr>
            </w:pPr>
            <w:r w:rsidRPr="007D1918">
              <w:rPr>
                <w:b/>
              </w:rPr>
              <w:t>$50,455,699</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0DE469" w14:textId="77777777" w:rsidR="00067EC2" w:rsidRPr="007D1918" w:rsidRDefault="00067EC2" w:rsidP="00FE2DC6">
            <w:pPr>
              <w:pStyle w:val="Tablecontents"/>
              <w:jc w:val="right"/>
              <w:rPr>
                <w:b/>
              </w:rPr>
            </w:pPr>
            <w:r w:rsidRPr="007D1918">
              <w:rPr>
                <w:b/>
              </w:rPr>
              <w:t>$53,695,295</w:t>
            </w:r>
          </w:p>
        </w:tc>
      </w:tr>
      <w:tr w:rsidR="00067EC2" w:rsidRPr="007D1918" w14:paraId="1C98C4ED" w14:textId="77777777" w:rsidTr="00FE2DC6">
        <w:trPr>
          <w:trHeight w:val="300"/>
        </w:trPr>
        <w:tc>
          <w:tcPr>
            <w:tcW w:w="1807" w:type="pct"/>
            <w:tcBorders>
              <w:top w:val="single" w:sz="4" w:space="0" w:color="auto"/>
              <w:bottom w:val="single" w:sz="4" w:space="0" w:color="auto"/>
              <w:right w:val="single" w:sz="4" w:space="0" w:color="auto"/>
            </w:tcBorders>
            <w:noWrap/>
          </w:tcPr>
          <w:p w14:paraId="5D19D847" w14:textId="77777777" w:rsidR="00067EC2" w:rsidRPr="007D1918" w:rsidRDefault="00067EC2" w:rsidP="00FE2DC6">
            <w:pPr>
              <w:pStyle w:val="TableHeading"/>
              <w:rPr>
                <w:b w:val="0"/>
              </w:rPr>
            </w:pPr>
            <w:r w:rsidRPr="007D1918">
              <w:rPr>
                <w:b w:val="0"/>
              </w:rPr>
              <w:t>Net cost to the Commonwealth</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8B0418" w14:textId="77777777" w:rsidR="00067EC2" w:rsidRPr="007D1918" w:rsidRDefault="00067EC2" w:rsidP="00FE2DC6">
            <w:pPr>
              <w:pStyle w:val="Tablecontents"/>
              <w:jc w:val="right"/>
            </w:pPr>
            <w:r w:rsidRPr="007D1918">
              <w:t>$22,470,184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28E090" w14:textId="77777777" w:rsidR="00067EC2" w:rsidRPr="007D1918" w:rsidRDefault="00067EC2" w:rsidP="00FE2DC6">
            <w:pPr>
              <w:pStyle w:val="Tablecontents"/>
              <w:jc w:val="right"/>
            </w:pPr>
            <w:r w:rsidRPr="007D1918">
              <w:t>$24,258,360</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3BD7F9" w14:textId="77777777" w:rsidR="00067EC2" w:rsidRPr="007D1918" w:rsidRDefault="00067EC2" w:rsidP="00FE2DC6">
            <w:pPr>
              <w:pStyle w:val="Tablecontents"/>
              <w:jc w:val="right"/>
            </w:pPr>
            <w:r w:rsidRPr="007D1918">
              <w:t>$26,047,410</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D90EE6" w14:textId="77777777" w:rsidR="00067EC2" w:rsidRPr="007D1918" w:rsidRDefault="00067EC2" w:rsidP="00FE2DC6">
            <w:pPr>
              <w:pStyle w:val="Tablecontents"/>
              <w:jc w:val="right"/>
            </w:pPr>
            <w:r w:rsidRPr="007D1918">
              <w:t>$27,835,154</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1D642C" w14:textId="77777777" w:rsidR="00067EC2" w:rsidRPr="007D1918" w:rsidRDefault="00067EC2" w:rsidP="00FE2DC6">
            <w:pPr>
              <w:pStyle w:val="Tablecontents"/>
              <w:jc w:val="right"/>
            </w:pPr>
            <w:r w:rsidRPr="007D1918">
              <w:t>$29,622,861</w:t>
            </w:r>
          </w:p>
        </w:tc>
      </w:tr>
      <w:tr w:rsidR="00067EC2" w:rsidRPr="007D1918" w14:paraId="074869A4" w14:textId="77777777" w:rsidTr="00FE2DC6">
        <w:trPr>
          <w:trHeight w:val="300"/>
        </w:trPr>
        <w:tc>
          <w:tcPr>
            <w:tcW w:w="1807" w:type="pct"/>
            <w:tcBorders>
              <w:top w:val="single" w:sz="4" w:space="0" w:color="auto"/>
              <w:bottom w:val="single" w:sz="4" w:space="0" w:color="auto"/>
              <w:right w:val="single" w:sz="4" w:space="0" w:color="auto"/>
            </w:tcBorders>
            <w:noWrap/>
          </w:tcPr>
          <w:p w14:paraId="2BC782E1" w14:textId="77777777" w:rsidR="00067EC2" w:rsidRPr="007D1918" w:rsidRDefault="00067EC2" w:rsidP="00FE2DC6">
            <w:pPr>
              <w:pStyle w:val="TableHeading"/>
              <w:keepNext w:val="0"/>
              <w:rPr>
                <w:b w:val="0"/>
              </w:rPr>
            </w:pPr>
            <w:r w:rsidRPr="007D1918">
              <w:rPr>
                <w:b w:val="0"/>
              </w:rPr>
              <w:t>Net cost to States</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FF4AFDB" w14:textId="77777777" w:rsidR="00067EC2" w:rsidRPr="007D1918" w:rsidRDefault="00067EC2" w:rsidP="00FE2DC6">
            <w:pPr>
              <w:pStyle w:val="Tablecontents"/>
              <w:jc w:val="right"/>
            </w:pPr>
            <w:r w:rsidRPr="007D1918">
              <w:t>$18,267,621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0B2E4B" w14:textId="77777777" w:rsidR="00067EC2" w:rsidRPr="007D1918" w:rsidRDefault="00067EC2" w:rsidP="00FE2DC6">
            <w:pPr>
              <w:pStyle w:val="Tablecontents"/>
              <w:jc w:val="right"/>
            </w:pPr>
            <w:r w:rsidRPr="007D1918">
              <w:t>$19,721,024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FB9C89" w14:textId="77777777" w:rsidR="00067EC2" w:rsidRPr="007D1918" w:rsidRDefault="00067EC2" w:rsidP="00FE2DC6">
            <w:pPr>
              <w:pStyle w:val="Tablecontents"/>
              <w:jc w:val="right"/>
            </w:pPr>
            <w:r w:rsidRPr="007D1918">
              <w:t>$21,173,703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BB0EA78" w14:textId="77777777" w:rsidR="00067EC2" w:rsidRPr="007D1918" w:rsidRDefault="00067EC2" w:rsidP="00FE2DC6">
            <w:pPr>
              <w:pStyle w:val="Tablecontents"/>
              <w:jc w:val="right"/>
            </w:pPr>
            <w:r w:rsidRPr="007D1918">
              <w:t>$22,620,544</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D1FC800" w14:textId="77777777" w:rsidR="00067EC2" w:rsidRPr="007D1918" w:rsidRDefault="00067EC2" w:rsidP="00FE2DC6">
            <w:pPr>
              <w:pStyle w:val="Tablecontents"/>
              <w:jc w:val="right"/>
            </w:pPr>
            <w:r w:rsidRPr="007D1918">
              <w:t>$24,072,434</w:t>
            </w:r>
          </w:p>
        </w:tc>
      </w:tr>
    </w:tbl>
    <w:p w14:paraId="0009708E" w14:textId="1D921538" w:rsidR="00067EC2" w:rsidRPr="007D1918" w:rsidRDefault="00067EC2" w:rsidP="00067EC2">
      <w:pPr>
        <w:pStyle w:val="Tablenotes1"/>
      </w:pPr>
      <w:r w:rsidRPr="007D1918">
        <w:t xml:space="preserve">Ig = </w:t>
      </w:r>
      <w:r w:rsidR="0089783C" w:rsidRPr="007D1918">
        <w:t>immunoglobulin</w:t>
      </w:r>
      <w:r w:rsidRPr="007D1918">
        <w:t xml:space="preserve">; </w:t>
      </w:r>
      <w:r w:rsidR="00CB4B47" w:rsidRPr="007D1918">
        <w:t>MG = myasthenia gravis</w:t>
      </w:r>
    </w:p>
    <w:p w14:paraId="7FBBD992" w14:textId="0CE6ACA3" w:rsidR="000D1300" w:rsidRPr="007D1918" w:rsidRDefault="00067EC2" w:rsidP="00067EC2">
      <w:pPr>
        <w:jc w:val="both"/>
      </w:pPr>
      <w:r w:rsidRPr="007D1918">
        <w:t>These estimates do not include likely cost offsets associated with reduced comparator therapy use in Indication 3 patients</w:t>
      </w:r>
      <w:r w:rsidR="009A4D6B" w:rsidRPr="007D1918">
        <w:t>, therefore these costs are likely to overestimate net costs</w:t>
      </w:r>
      <w:r w:rsidRPr="007D1918">
        <w:t>.</w:t>
      </w:r>
    </w:p>
    <w:p w14:paraId="6496A741" w14:textId="77777777" w:rsidR="00A60DF4" w:rsidRPr="007D1918" w:rsidRDefault="00A60DF4" w:rsidP="00A60DF4">
      <w:pPr>
        <w:pStyle w:val="Heading3"/>
      </w:pPr>
      <w:bookmarkStart w:id="91" w:name="_Toc426968112"/>
      <w:bookmarkStart w:id="92" w:name="_Toc23766933"/>
      <w:bookmarkStart w:id="93" w:name="_Toc395200754"/>
      <w:r w:rsidRPr="007D1918">
        <w:t>Consumer impact summary</w:t>
      </w:r>
      <w:bookmarkEnd w:id="91"/>
      <w:bookmarkEnd w:id="92"/>
    </w:p>
    <w:p w14:paraId="41261FD1" w14:textId="586AC784" w:rsidR="004520CE" w:rsidRPr="007D1918" w:rsidRDefault="004520CE" w:rsidP="000A012B">
      <w:pPr>
        <w:jc w:val="both"/>
      </w:pPr>
      <w:r w:rsidRPr="007D1918">
        <w:t xml:space="preserve">Targeted feedback </w:t>
      </w:r>
      <w:r w:rsidR="00D25787" w:rsidRPr="007D1918">
        <w:t xml:space="preserve">on the PICO </w:t>
      </w:r>
      <w:r w:rsidR="000A012B" w:rsidRPr="007D1918">
        <w:t>Confirmation</w:t>
      </w:r>
      <w:r w:rsidR="00D25787" w:rsidRPr="007D1918">
        <w:t xml:space="preserve"> </w:t>
      </w:r>
      <w:r w:rsidRPr="007D1918">
        <w:t xml:space="preserve">was received from a medical device company and a neurologist. There was general agreement with the population, intervention and comparator descriptions in the PICO Confirmation. The company, which supplies a device used in PE practice provided alternative clinical algorithms as </w:t>
      </w:r>
      <w:r w:rsidR="002608AA" w:rsidRPr="007D1918">
        <w:t>they</w:t>
      </w:r>
      <w:r w:rsidRPr="007D1918">
        <w:t xml:space="preserve"> disagree with the placement of PE in the clinical pathway provided in the PICO Confirmation.</w:t>
      </w:r>
    </w:p>
    <w:p w14:paraId="196E0F67" w14:textId="37D3E4E1" w:rsidR="00D25787" w:rsidRPr="007D1918" w:rsidRDefault="00D25787" w:rsidP="000A012B">
      <w:pPr>
        <w:jc w:val="both"/>
      </w:pPr>
      <w:r w:rsidRPr="007D1918">
        <w:lastRenderedPageBreak/>
        <w:t>Sponsor feedback to the PICO Confirmation relevant to Ig for MG was received from two companies. One company noted approval of Ig products for specific indication</w:t>
      </w:r>
      <w:r w:rsidR="000A012B" w:rsidRPr="007D1918">
        <w:t>s only</w:t>
      </w:r>
      <w:r w:rsidRPr="007D1918">
        <w:t xml:space="preserve"> was contrary to the purpose of the NBA </w:t>
      </w:r>
      <w:r w:rsidRPr="007D1918">
        <w:rPr>
          <w:i/>
        </w:rPr>
        <w:t>Criteria V3</w:t>
      </w:r>
      <w:r w:rsidRPr="007D1918">
        <w:t xml:space="preserve"> which is intended to support funding for IVIg as a class of products (not </w:t>
      </w:r>
      <w:r w:rsidR="000A012B" w:rsidRPr="007D1918">
        <w:t>s</w:t>
      </w:r>
      <w:r w:rsidRPr="007D1918">
        <w:t>pecific indication</w:t>
      </w:r>
      <w:r w:rsidR="000A012B" w:rsidRPr="007D1918">
        <w:t>s</w:t>
      </w:r>
      <w:r w:rsidRPr="007D1918">
        <w:t xml:space="preserve">). </w:t>
      </w:r>
      <w:r w:rsidR="000A012B" w:rsidRPr="007D1918">
        <w:t>Restricted approval</w:t>
      </w:r>
      <w:r w:rsidRPr="007D1918">
        <w:t xml:space="preserve"> has the potential for limiting access to all IVIg products, and to exacerbate product shortages </w:t>
      </w:r>
    </w:p>
    <w:p w14:paraId="0D136D82" w14:textId="413B127C" w:rsidR="00D25787" w:rsidRPr="007D1918" w:rsidRDefault="00D25787" w:rsidP="000A012B">
      <w:pPr>
        <w:jc w:val="both"/>
      </w:pPr>
      <w:r w:rsidRPr="007D1918">
        <w:t xml:space="preserve">There was disagreement from a second company regarding the validity of the comparators </w:t>
      </w:r>
      <w:r w:rsidR="000A012B" w:rsidRPr="007D1918">
        <w:t xml:space="preserve">and </w:t>
      </w:r>
      <w:r w:rsidRPr="007D1918">
        <w:t xml:space="preserve">the management algorithm for Indication 3. </w:t>
      </w:r>
      <w:r w:rsidR="000A012B" w:rsidRPr="007D1918">
        <w:t xml:space="preserve">IVIg should be considered a subsequent line of therapy, and the majority of comparators are first-line therapies. </w:t>
      </w:r>
      <w:r w:rsidRPr="007D1918">
        <w:t xml:space="preserve">It was noted that it will be difficult to assess IVIg against PE or first line therapies considering the low level </w:t>
      </w:r>
      <w:r w:rsidR="000A012B" w:rsidRPr="007D1918">
        <w:t>and small volume</w:t>
      </w:r>
      <w:r w:rsidR="00DA62E7" w:rsidRPr="007D1918">
        <w:t xml:space="preserve"> </w:t>
      </w:r>
      <w:r w:rsidRPr="007D1918">
        <w:t>of evidence. Usage of the comparator therapies (including PE) is largely based on clinical experience rather than good quality trial data.</w:t>
      </w:r>
    </w:p>
    <w:p w14:paraId="1BF78F4B" w14:textId="6F0F97D3" w:rsidR="000D1300" w:rsidRPr="007D1918" w:rsidRDefault="000B7A2F" w:rsidP="000B7A2F">
      <w:pPr>
        <w:pStyle w:val="Heading3"/>
      </w:pPr>
      <w:bookmarkStart w:id="94" w:name="_Toc23766934"/>
      <w:r w:rsidRPr="007D1918">
        <w:t>Other Relevant C</w:t>
      </w:r>
      <w:r w:rsidR="000D1300" w:rsidRPr="007D1918">
        <w:t>onsiderations</w:t>
      </w:r>
      <w:bookmarkEnd w:id="93"/>
      <w:bookmarkEnd w:id="94"/>
    </w:p>
    <w:p w14:paraId="51F2A748" w14:textId="0ABF9450" w:rsidR="003B5FE5" w:rsidRPr="007D1918" w:rsidRDefault="003B5FE5" w:rsidP="008778A4">
      <w:pPr>
        <w:spacing w:after="120"/>
        <w:jc w:val="both"/>
      </w:pPr>
      <w:r w:rsidRPr="007D1918">
        <w:t xml:space="preserve">A discussion of </w:t>
      </w:r>
      <w:r w:rsidR="00A9066C" w:rsidRPr="007D1918">
        <w:t>three</w:t>
      </w:r>
      <w:r w:rsidRPr="007D1918">
        <w:t xml:space="preserve"> clinical scenarios of MG is included in </w:t>
      </w:r>
      <w:r w:rsidRPr="007D1918">
        <w:rPr>
          <w:i/>
        </w:rPr>
        <w:t>Section F</w:t>
      </w:r>
      <w:r w:rsidR="008778A4" w:rsidRPr="007D1918">
        <w:t xml:space="preserve">: </w:t>
      </w:r>
      <w:r w:rsidRPr="007D1918">
        <w:t>rituximab for patients with MG</w:t>
      </w:r>
      <w:r w:rsidR="008778A4" w:rsidRPr="007D1918">
        <w:t xml:space="preserve">; </w:t>
      </w:r>
      <w:r w:rsidRPr="007D1918">
        <w:t xml:space="preserve">IVIg compared with PE in patients with MuSK </w:t>
      </w:r>
      <w:r w:rsidR="00193962" w:rsidRPr="007D1918">
        <w:t xml:space="preserve">antibody positive </w:t>
      </w:r>
      <w:r w:rsidRPr="007D1918">
        <w:t>MG</w:t>
      </w:r>
      <w:r w:rsidR="00193962" w:rsidRPr="007D1918">
        <w:t xml:space="preserve"> (MuSK-MG)</w:t>
      </w:r>
      <w:r w:rsidR="008778A4" w:rsidRPr="007D1918">
        <w:t xml:space="preserve">; and </w:t>
      </w:r>
      <w:r w:rsidR="005E0A6D" w:rsidRPr="007D1918">
        <w:t xml:space="preserve">IVIg for </w:t>
      </w:r>
      <w:r w:rsidRPr="007D1918">
        <w:t>MG in pregnancy</w:t>
      </w:r>
      <w:r w:rsidR="008778A4" w:rsidRPr="007D1918">
        <w:t>.</w:t>
      </w:r>
    </w:p>
    <w:p w14:paraId="20C957DA" w14:textId="77777777" w:rsidR="005E0A6D" w:rsidRPr="007D1918" w:rsidRDefault="005E0A6D" w:rsidP="00A9066C">
      <w:pPr>
        <w:pStyle w:val="Heading4"/>
      </w:pPr>
      <w:r w:rsidRPr="007D1918">
        <w:t xml:space="preserve">Safety and effectiveness of rituximab for patients with MG </w:t>
      </w:r>
    </w:p>
    <w:p w14:paraId="6F162EB8" w14:textId="078FA4BA" w:rsidR="00E91BE1" w:rsidRPr="007D1918" w:rsidRDefault="008778A4" w:rsidP="008778A4">
      <w:pPr>
        <w:jc w:val="both"/>
      </w:pPr>
      <w:r w:rsidRPr="007D1918">
        <w:t xml:space="preserve">Evidence has shown rituximab to be effective for </w:t>
      </w:r>
      <w:r w:rsidR="009E22E5" w:rsidRPr="007D1918">
        <w:t xml:space="preserve">patients meeting </w:t>
      </w:r>
      <w:r w:rsidR="009E22E5" w:rsidRPr="007D1918">
        <w:rPr>
          <w:i/>
        </w:rPr>
        <w:t>Criteria V3</w:t>
      </w:r>
      <w:r w:rsidR="009E22E5" w:rsidRPr="007D1918">
        <w:t xml:space="preserve"> for </w:t>
      </w:r>
      <w:r w:rsidRPr="007D1918">
        <w:t>Indication 3 but it has not been compared to IVIg in trials. In particular rituximab has been used in clinical settings for refractory MG cases which have not responded to standard therapies, PE or IVIg. Rituximab appe</w:t>
      </w:r>
      <w:r w:rsidR="005E0A6D" w:rsidRPr="007D1918">
        <w:t>a</w:t>
      </w:r>
      <w:r w:rsidRPr="007D1918">
        <w:t>rs to have a stronger treatment effect in patients with MuS</w:t>
      </w:r>
      <w:r w:rsidR="005E0A6D" w:rsidRPr="007D1918">
        <w:t>K</w:t>
      </w:r>
      <w:r w:rsidRPr="007D1918">
        <w:t>-MG compared to those with AChRAb-MG.</w:t>
      </w:r>
    </w:p>
    <w:p w14:paraId="3A6EF4F6" w14:textId="17BF914E" w:rsidR="008778A4" w:rsidRPr="007D1918" w:rsidRDefault="008778A4" w:rsidP="008778A4">
      <w:pPr>
        <w:jc w:val="both"/>
      </w:pPr>
      <w:r w:rsidRPr="007D1918">
        <w:t xml:space="preserve">An article published </w:t>
      </w:r>
      <w:r w:rsidR="005E0A6D" w:rsidRPr="007D1918">
        <w:t xml:space="preserve">Australian </w:t>
      </w:r>
      <w:r w:rsidRPr="007D1918">
        <w:t>data on 38 MG patients from South East Queensland receiving rituximab for reasons of refractory disease, side effects with standard IS therapies or contraindication to IS</w:t>
      </w:r>
      <w:r w:rsidR="005E0A6D" w:rsidRPr="007D1918">
        <w:t>.</w:t>
      </w:r>
      <w:r w:rsidRPr="007D1918">
        <w:t xml:space="preserve"> The majority of patients were of moderate to severe disease status according to their MGFA score</w:t>
      </w:r>
      <w:r w:rsidR="00E31589" w:rsidRPr="007D1918">
        <w:t xml:space="preserve"> and</w:t>
      </w:r>
      <w:r w:rsidRPr="007D1918">
        <w:t xml:space="preserve"> met eligibility criteria for IVIg under </w:t>
      </w:r>
      <w:r w:rsidRPr="007D1918">
        <w:rPr>
          <w:i/>
        </w:rPr>
        <w:t>Criteria V3</w:t>
      </w:r>
      <w:r w:rsidRPr="007D1918">
        <w:t xml:space="preserve"> Indication 3. </w:t>
      </w:r>
    </w:p>
    <w:p w14:paraId="4DB85F1A" w14:textId="3436632C" w:rsidR="008778A4" w:rsidRPr="007D1918" w:rsidRDefault="008778A4" w:rsidP="008778A4">
      <w:pPr>
        <w:jc w:val="both"/>
      </w:pPr>
      <w:r w:rsidRPr="007D1918">
        <w:t>The overall response to rituximab was clinical improvements for 28 out of 38 patients (74%). Five patients were unchanged or worse</w:t>
      </w:r>
      <w:r w:rsidR="002608AA" w:rsidRPr="007D1918">
        <w:t xml:space="preserve"> symptoms</w:t>
      </w:r>
      <w:r w:rsidRPr="007D1918">
        <w:t>, and five were deceased.</w:t>
      </w:r>
      <w:r w:rsidR="005E0A6D" w:rsidRPr="007D1918">
        <w:t xml:space="preserve"> Five patients were able to cease IVIg treatment, and two patients ceased</w:t>
      </w:r>
      <w:r w:rsidR="002608AA" w:rsidRPr="007D1918">
        <w:t xml:space="preserve"> PE</w:t>
      </w:r>
      <w:r w:rsidR="005E0A6D" w:rsidRPr="007D1918">
        <w:t>. In addition, of those receiving rituximab and IVIg, six were able to reduce their dose</w:t>
      </w:r>
      <w:r w:rsidR="002608AA" w:rsidRPr="007D1918">
        <w:t xml:space="preserve"> of IVIg</w:t>
      </w:r>
      <w:r w:rsidR="005E0A6D" w:rsidRPr="007D1918">
        <w:t xml:space="preserve">, and one patient was commenced on IVIg. </w:t>
      </w:r>
      <w:r w:rsidRPr="007D1918">
        <w:t xml:space="preserve">Treatment response is summarised in </w:t>
      </w:r>
      <w:r w:rsidR="005E0A6D" w:rsidRPr="007D1918">
        <w:fldChar w:fldCharType="begin"/>
      </w:r>
      <w:r w:rsidR="005E0A6D" w:rsidRPr="007D1918">
        <w:instrText xml:space="preserve"> REF _Ref11249328 \h </w:instrText>
      </w:r>
      <w:r w:rsidR="00CB4B47" w:rsidRPr="007D1918">
        <w:instrText xml:space="preserve"> \* MERGEFORMAT </w:instrText>
      </w:r>
      <w:r w:rsidR="005E0A6D" w:rsidRPr="007D1918">
        <w:fldChar w:fldCharType="separate"/>
      </w:r>
      <w:r w:rsidR="007C33AD" w:rsidRPr="007D1918">
        <w:t xml:space="preserve">Figure </w:t>
      </w:r>
      <w:r w:rsidR="007C33AD" w:rsidRPr="007D1918">
        <w:rPr>
          <w:noProof/>
        </w:rPr>
        <w:t>11</w:t>
      </w:r>
      <w:r w:rsidR="005E0A6D" w:rsidRPr="007D1918">
        <w:fldChar w:fldCharType="end"/>
      </w:r>
      <w:r w:rsidRPr="007D1918">
        <w:t xml:space="preserve">. </w:t>
      </w:r>
    </w:p>
    <w:p w14:paraId="49AADD01" w14:textId="36936D10" w:rsidR="008778A4" w:rsidRPr="007D1918" w:rsidRDefault="005E0A6D" w:rsidP="00A9066C">
      <w:pPr>
        <w:pStyle w:val="Heading4"/>
      </w:pPr>
      <w:r w:rsidRPr="007D1918">
        <w:t>Safety and effectiveness of IVIg compared with PE in patients with MuSK</w:t>
      </w:r>
      <w:r w:rsidR="008963FC" w:rsidRPr="007D1918">
        <w:t>-</w:t>
      </w:r>
      <w:r w:rsidRPr="007D1918">
        <w:t>MG</w:t>
      </w:r>
    </w:p>
    <w:p w14:paraId="7CF88741" w14:textId="3E2A5174" w:rsidR="004A1B8D" w:rsidRPr="007D1918" w:rsidRDefault="004A1B8D" w:rsidP="004A1B8D">
      <w:pPr>
        <w:jc w:val="both"/>
      </w:pPr>
      <w:r w:rsidRPr="007D1918">
        <w:t xml:space="preserve">In the evidence provided on the safety and effectiveness of IVIg for MG, the majority of patients </w:t>
      </w:r>
      <w:r w:rsidR="002608AA" w:rsidRPr="007D1918">
        <w:t>were</w:t>
      </w:r>
      <w:r w:rsidRPr="007D1918">
        <w:t xml:space="preserve"> AChRAb positive, and those that </w:t>
      </w:r>
      <w:r w:rsidR="002608AA" w:rsidRPr="007D1918">
        <w:t>were</w:t>
      </w:r>
      <w:r w:rsidRPr="007D1918">
        <w:t xml:space="preserve"> not (either MuSK antibody positive or seronegative) </w:t>
      </w:r>
      <w:r w:rsidR="002608AA" w:rsidRPr="007D1918">
        <w:t>were</w:t>
      </w:r>
      <w:r w:rsidRPr="007D1918">
        <w:t xml:space="preserve"> rarely analysed separately.</w:t>
      </w:r>
    </w:p>
    <w:p w14:paraId="2D3548F1" w14:textId="75C97C29" w:rsidR="005B1B8B" w:rsidRPr="007D1918" w:rsidRDefault="005B1B8B" w:rsidP="005B1B8B">
      <w:pPr>
        <w:jc w:val="both"/>
        <w:rPr>
          <w:b/>
        </w:rPr>
      </w:pPr>
      <w:r w:rsidRPr="007D1918">
        <w:lastRenderedPageBreak/>
        <w:t xml:space="preserve">Two retrospective cohort studies, which represented the best evidence identified in the literature search, provided data in MuSK-MG patients comparing the effectiveness of IVIg and PE </w:t>
      </w:r>
      <w:r w:rsidR="00C437BA" w:rsidRPr="007D1918">
        <w:fldChar w:fldCharType="begin">
          <w:fldData xml:space="preserve">PEVuZE5vdGU+PENpdGU+PEF1dGhvcj5HdXB0aWxsPC9BdXRob3I+PFllYXI+MjAxMTwvWWVhcj48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==
</w:fldData>
        </w:fldChar>
      </w:r>
      <w:r w:rsidR="007F4CDE" w:rsidRPr="007D1918">
        <w:instrText xml:space="preserve"> ADDIN EN.CITE </w:instrText>
      </w:r>
      <w:r w:rsidR="007F4CDE" w:rsidRPr="007D1918">
        <w:fldChar w:fldCharType="begin">
          <w:fldData xml:space="preserve">PEVuZE5vdGU+PENpdGU+PEF1dGhvcj5HdXB0aWxsPC9BdXRob3I+PFllYXI+MjAxMTwvWWVhcj48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==
</w:fldData>
        </w:fldChar>
      </w:r>
      <w:r w:rsidR="007F4CDE" w:rsidRPr="007D1918">
        <w:instrText xml:space="preserve"> ADDIN EN.CITE.DATA </w:instrText>
      </w:r>
      <w:r w:rsidR="007F4CDE" w:rsidRPr="007D1918">
        <w:fldChar w:fldCharType="end"/>
      </w:r>
      <w:r w:rsidR="00C437BA" w:rsidRPr="007D1918">
        <w:fldChar w:fldCharType="separate"/>
      </w:r>
      <w:r w:rsidR="00C437BA" w:rsidRPr="007D1918">
        <w:rPr>
          <w:noProof/>
        </w:rPr>
        <w:t>(</w:t>
      </w:r>
      <w:hyperlink w:anchor="_ENREF_42" w:tooltip="Guptill, 2011 #30" w:history="1">
        <w:r w:rsidR="007D4948" w:rsidRPr="007D1918">
          <w:rPr>
            <w:noProof/>
          </w:rPr>
          <w:t>Guptill, Sanders &amp; Evoli 2011</w:t>
        </w:r>
      </w:hyperlink>
      <w:r w:rsidR="00C437BA" w:rsidRPr="007D1918">
        <w:rPr>
          <w:noProof/>
        </w:rPr>
        <w:t xml:space="preserve">; </w:t>
      </w:r>
      <w:hyperlink w:anchor="_ENREF_77" w:tooltip="Pasnoor, 2010 #29" w:history="1">
        <w:r w:rsidR="007D4948" w:rsidRPr="007D1918">
          <w:rPr>
            <w:noProof/>
          </w:rPr>
          <w:t>Pasnoor et al. 2010</w:t>
        </w:r>
      </w:hyperlink>
      <w:r w:rsidR="00C437BA" w:rsidRPr="007D1918">
        <w:rPr>
          <w:noProof/>
        </w:rPr>
        <w:t>)</w:t>
      </w:r>
      <w:r w:rsidR="00C437BA" w:rsidRPr="007D1918">
        <w:fldChar w:fldCharType="end"/>
      </w:r>
      <w:r w:rsidRPr="007D1918">
        <w:t xml:space="preserve">. Both studies found response was greater in the patients receiving PE. </w:t>
      </w:r>
    </w:p>
    <w:p w14:paraId="494E5166" w14:textId="703C0DDB" w:rsidR="005E0A6D" w:rsidRPr="007D1918" w:rsidRDefault="005E0A6D" w:rsidP="00A9066C">
      <w:pPr>
        <w:pStyle w:val="Heading4"/>
      </w:pPr>
      <w:r w:rsidRPr="007D1918">
        <w:t>IVIg for MG in pregnancy</w:t>
      </w:r>
    </w:p>
    <w:p w14:paraId="0939C376" w14:textId="4DF5DB4E" w:rsidR="00A9066C" w:rsidRPr="007D1918" w:rsidRDefault="00A9066C" w:rsidP="00A9066C">
      <w:pPr>
        <w:jc w:val="both"/>
      </w:pPr>
      <w:r w:rsidRPr="007D1918">
        <w:t xml:space="preserve">Pregnancy is a known trigger of MG exacerbation </w:t>
      </w:r>
      <w:r w:rsidR="003736AC" w:rsidRPr="007D1918">
        <w:fldChar w:fldCharType="begin">
          <w:fldData xml:space="preserve">PEVuZE5vdGU+PENpdGU+PEF1dGhvcj5TdGF0bGFuZDwvQXV0aG9yPjxZZWFyPjIwMTM8L1llYXI+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</w:fldData>
        </w:fldChar>
      </w:r>
      <w:r w:rsidR="003736AC" w:rsidRPr="007D1918">
        <w:instrText xml:space="preserve"> ADDIN EN.CITE </w:instrText>
      </w:r>
      <w:r w:rsidR="003736AC" w:rsidRPr="007D1918">
        <w:fldChar w:fldCharType="begin">
          <w:fldData xml:space="preserve">PEVuZE5vdGU+PENpdGU+PEF1dGhvcj5TdGF0bGFuZDwvQXV0aG9yPjxZZWFyPjIwMTM8L1llYXI+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96" w:tooltip="Statland, 2013 #33" w:history="1">
        <w:r w:rsidR="007D4948" w:rsidRPr="007D1918">
          <w:rPr>
            <w:noProof/>
          </w:rPr>
          <w:t>Statland &amp; Ciafaloni 2013</w:t>
        </w:r>
      </w:hyperlink>
      <w:r w:rsidR="003736AC" w:rsidRPr="007D1918">
        <w:rPr>
          <w:noProof/>
        </w:rPr>
        <w:t>)</w:t>
      </w:r>
      <w:r w:rsidR="003736AC" w:rsidRPr="007D1918">
        <w:fldChar w:fldCharType="end"/>
      </w:r>
      <w:r w:rsidRPr="007D1918">
        <w:t xml:space="preserve">, but there </w:t>
      </w:r>
      <w:r w:rsidR="005B1B8B" w:rsidRPr="007D1918">
        <w:t>were</w:t>
      </w:r>
      <w:r w:rsidRPr="007D1918">
        <w:t xml:space="preserve"> very limited data on the use of IVIg during pregnancy in MG patients. In two studies a total of eight patients were treated with IVIg during pregnancy or in the post-partum period. </w:t>
      </w:r>
      <w:r w:rsidR="00AD7227" w:rsidRPr="007D1918">
        <w:t>T</w:t>
      </w:r>
      <w:r w:rsidRPr="007D1918">
        <w:t>he patient numbers were too small to make conclusions from the data.</w:t>
      </w:r>
    </w:p>
    <w:bookmarkEnd w:id="87"/>
    <w:bookmarkEnd w:id="88"/>
    <w:p w14:paraId="410B3EC9" w14:textId="77777777" w:rsidR="008F59A8" w:rsidRPr="007D1918" w:rsidRDefault="008F59A8" w:rsidP="005E0A6D"/>
    <w:p w14:paraId="67746BD3" w14:textId="77777777" w:rsidR="008F59A8" w:rsidRPr="007D1918" w:rsidRDefault="008F59A8" w:rsidP="00DF343F">
      <w:pPr>
        <w:jc w:val="both"/>
        <w:sectPr w:rsidR="008F59A8" w:rsidRPr="007D1918" w:rsidSect="00945DB8">
          <w:headerReference w:type="even" r:id="rId25"/>
          <w:headerReference w:type="default" r:id="rId26"/>
          <w:headerReference w:type="first" r:id="rId27"/>
          <w:type w:val="oddPage"/>
          <w:pgSz w:w="11906" w:h="16838"/>
          <w:pgMar w:top="1440" w:right="1440" w:bottom="1440" w:left="1440" w:header="720" w:footer="720" w:gutter="0"/>
          <w:paperSrc w:first="2" w:other="2"/>
          <w:cols w:space="720"/>
        </w:sectPr>
      </w:pPr>
    </w:p>
    <w:p w14:paraId="78597070" w14:textId="77777777" w:rsidR="00553518" w:rsidRPr="007D1918" w:rsidRDefault="002106B9" w:rsidP="00DF343F">
      <w:pPr>
        <w:pStyle w:val="Heading1"/>
        <w:jc w:val="both"/>
      </w:pPr>
      <w:bookmarkStart w:id="95" w:name="_Toc355274699"/>
      <w:bookmarkStart w:id="96" w:name="_Ref363826811"/>
      <w:bookmarkStart w:id="97" w:name="_Toc379118061"/>
      <w:bookmarkStart w:id="98" w:name="_Toc381796437"/>
      <w:bookmarkStart w:id="99" w:name="_Toc23766935"/>
      <w:bookmarkStart w:id="100" w:name="_Toc451749499"/>
      <w:r w:rsidRPr="007D1918">
        <w:lastRenderedPageBreak/>
        <w:t xml:space="preserve">Acronyms </w:t>
      </w:r>
      <w:r w:rsidR="003346E0" w:rsidRPr="007D1918">
        <w:t>and A</w:t>
      </w:r>
      <w:r w:rsidR="00553518" w:rsidRPr="007D1918">
        <w:t>bbreviations</w:t>
      </w:r>
      <w:bookmarkEnd w:id="95"/>
      <w:bookmarkEnd w:id="96"/>
      <w:bookmarkEnd w:id="97"/>
      <w:bookmarkEnd w:id="98"/>
      <w:bookmarkEnd w:id="99"/>
      <w:r w:rsidR="00553518" w:rsidRPr="007D191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cronyms and abbreviations"/>
        <w:tblDescription w:val="acronyms and abbreviations"/>
      </w:tblPr>
      <w:tblGrid>
        <w:gridCol w:w="3261"/>
        <w:gridCol w:w="1205"/>
        <w:gridCol w:w="3261"/>
        <w:gridCol w:w="1205"/>
      </w:tblGrid>
      <w:tr w:rsidR="00E335E2" w:rsidRPr="007D1918" w14:paraId="5FB6FE7B" w14:textId="77777777" w:rsidTr="00792F9D">
        <w:trPr>
          <w:tblHeader/>
        </w:trPr>
        <w:tc>
          <w:tcPr>
            <w:tcW w:w="4466" w:type="dxa"/>
            <w:gridSpan w:val="2"/>
          </w:tcPr>
          <w:p w14:paraId="782C0277" w14:textId="77777777" w:rsidR="00E335E2" w:rsidRPr="007D1918" w:rsidRDefault="00E335E2" w:rsidP="00E335E2">
            <w:pPr>
              <w:pStyle w:val="Heading4"/>
              <w:outlineLvl w:val="3"/>
            </w:pPr>
            <w:r w:rsidRPr="007D1918">
              <w:t>Acronym/abbreviation</w:t>
            </w:r>
          </w:p>
        </w:tc>
        <w:tc>
          <w:tcPr>
            <w:tcW w:w="4466" w:type="dxa"/>
            <w:gridSpan w:val="2"/>
          </w:tcPr>
          <w:p w14:paraId="4B679474" w14:textId="77777777" w:rsidR="00E335E2" w:rsidRPr="007D1918" w:rsidRDefault="00E335E2" w:rsidP="00792F9D">
            <w:pPr>
              <w:pStyle w:val="Heading4"/>
              <w:ind w:hanging="38"/>
              <w:outlineLvl w:val="3"/>
              <w:rPr>
                <w:rFonts w:asciiTheme="minorHAnsi" w:hAnsiTheme="minorHAnsi"/>
                <w:color w:val="000000"/>
              </w:rPr>
            </w:pPr>
            <w:r w:rsidRPr="007D1918">
              <w:rPr>
                <w:rFonts w:asciiTheme="minorHAnsi" w:hAnsiTheme="minorHAnsi"/>
                <w:color w:val="000000"/>
              </w:rPr>
              <w:t>Meaning</w:t>
            </w:r>
          </w:p>
        </w:tc>
      </w:tr>
      <w:tr w:rsidR="008A19AB" w:rsidRPr="007D1918" w14:paraId="6C39E281" w14:textId="77777777" w:rsidTr="00792F9D">
        <w:trPr>
          <w:gridAfter w:val="1"/>
          <w:wAfter w:w="1205" w:type="dxa"/>
        </w:trPr>
        <w:tc>
          <w:tcPr>
            <w:tcW w:w="3261" w:type="dxa"/>
          </w:tcPr>
          <w:p w14:paraId="1EF65BC9" w14:textId="46984FA2" w:rsidR="008A19AB" w:rsidRPr="007D1918" w:rsidRDefault="008A19AB" w:rsidP="00792F9D">
            <w:pPr>
              <w:spacing w:after="120" w:line="240" w:lineRule="auto"/>
              <w:ind w:left="0"/>
            </w:pPr>
            <w:r w:rsidRPr="007D1918">
              <w:t>AChRAb</w:t>
            </w:r>
          </w:p>
        </w:tc>
        <w:tc>
          <w:tcPr>
            <w:tcW w:w="4466" w:type="dxa"/>
            <w:gridSpan w:val="2"/>
          </w:tcPr>
          <w:p w14:paraId="6C2BED42" w14:textId="636D4F22" w:rsidR="008A19AB" w:rsidRPr="007D1918" w:rsidRDefault="008A19AB" w:rsidP="00792F9D">
            <w:pPr>
              <w:spacing w:after="120" w:line="240" w:lineRule="auto"/>
              <w:ind w:left="0"/>
              <w:rPr>
                <w:rFonts w:asciiTheme="minorHAnsi" w:hAnsiTheme="minorHAnsi"/>
                <w:color w:val="000000"/>
                <w:szCs w:val="24"/>
              </w:rPr>
            </w:pPr>
            <w:r w:rsidRPr="007D1918">
              <w:rPr>
                <w:rFonts w:asciiTheme="minorHAnsi" w:hAnsiTheme="minorHAnsi"/>
                <w:color w:val="000000"/>
                <w:szCs w:val="24"/>
              </w:rPr>
              <w:t>Acetylcholine receptor antibodies</w:t>
            </w:r>
          </w:p>
        </w:tc>
      </w:tr>
      <w:tr w:rsidR="001E7F65" w:rsidRPr="007D1918" w14:paraId="1875F4AC" w14:textId="77777777" w:rsidTr="00792F9D">
        <w:trPr>
          <w:gridAfter w:val="1"/>
          <w:wAfter w:w="1205" w:type="dxa"/>
        </w:trPr>
        <w:tc>
          <w:tcPr>
            <w:tcW w:w="3261" w:type="dxa"/>
          </w:tcPr>
          <w:p w14:paraId="6608743C" w14:textId="77777777" w:rsidR="001E7F65" w:rsidRPr="007D1918" w:rsidRDefault="001E7F65" w:rsidP="00792F9D">
            <w:pPr>
              <w:spacing w:after="120" w:line="240" w:lineRule="auto"/>
              <w:ind w:left="0"/>
              <w:jc w:val="both"/>
            </w:pPr>
            <w:r w:rsidRPr="007D1918">
              <w:t>ARTG</w:t>
            </w:r>
          </w:p>
        </w:tc>
        <w:tc>
          <w:tcPr>
            <w:tcW w:w="4466" w:type="dxa"/>
            <w:gridSpan w:val="2"/>
          </w:tcPr>
          <w:p w14:paraId="6D600A3F" w14:textId="77777777" w:rsidR="001E7F65" w:rsidRPr="007D1918" w:rsidRDefault="001E7F65" w:rsidP="00792F9D">
            <w:pPr>
              <w:spacing w:after="120" w:line="240" w:lineRule="auto"/>
              <w:ind w:left="0"/>
              <w:jc w:val="both"/>
              <w:rPr>
                <w:rFonts w:asciiTheme="minorHAnsi" w:hAnsiTheme="minorHAnsi"/>
                <w:color w:val="000000"/>
                <w:szCs w:val="24"/>
              </w:rPr>
            </w:pPr>
            <w:r w:rsidRPr="007D1918">
              <w:rPr>
                <w:rFonts w:asciiTheme="minorHAnsi" w:hAnsiTheme="minorHAnsi"/>
                <w:color w:val="000000"/>
                <w:szCs w:val="24"/>
              </w:rPr>
              <w:t>Australian Register of Therapeutic Goods</w:t>
            </w:r>
          </w:p>
        </w:tc>
      </w:tr>
      <w:tr w:rsidR="00D15E65" w:rsidRPr="007D1918" w14:paraId="1299CA9F" w14:textId="77777777" w:rsidTr="00792F9D">
        <w:trPr>
          <w:gridAfter w:val="1"/>
          <w:wAfter w:w="1205" w:type="dxa"/>
        </w:trPr>
        <w:tc>
          <w:tcPr>
            <w:tcW w:w="3261" w:type="dxa"/>
          </w:tcPr>
          <w:p w14:paraId="00381F9D" w14:textId="77777777" w:rsidR="00D15E65" w:rsidRPr="007D1918" w:rsidRDefault="00D15E65" w:rsidP="00792F9D">
            <w:pPr>
              <w:spacing w:after="120" w:line="240" w:lineRule="auto"/>
              <w:ind w:left="0"/>
              <w:jc w:val="both"/>
            </w:pPr>
            <w:r w:rsidRPr="007D1918">
              <w:t>CI</w:t>
            </w:r>
          </w:p>
        </w:tc>
        <w:tc>
          <w:tcPr>
            <w:tcW w:w="4466" w:type="dxa"/>
            <w:gridSpan w:val="2"/>
          </w:tcPr>
          <w:p w14:paraId="04217533" w14:textId="2B4B1FC7" w:rsidR="00D15E65" w:rsidRPr="007D1918" w:rsidRDefault="008A19AB" w:rsidP="00792F9D">
            <w:pPr>
              <w:tabs>
                <w:tab w:val="left" w:pos="3402"/>
              </w:tabs>
              <w:autoSpaceDE w:val="0"/>
              <w:autoSpaceDN w:val="0"/>
              <w:adjustRightInd w:val="0"/>
              <w:spacing w:after="120" w:line="240" w:lineRule="auto"/>
              <w:ind w:left="0"/>
              <w:rPr>
                <w:rFonts w:asciiTheme="minorHAnsi" w:hAnsiTheme="minorHAnsi"/>
                <w:color w:val="000000"/>
                <w:szCs w:val="24"/>
              </w:rPr>
            </w:pPr>
            <w:r w:rsidRPr="007D1918">
              <w:rPr>
                <w:rFonts w:asciiTheme="minorHAnsi" w:hAnsiTheme="minorHAnsi"/>
                <w:color w:val="000000"/>
                <w:szCs w:val="24"/>
              </w:rPr>
              <w:t>C</w:t>
            </w:r>
            <w:r w:rsidR="00D15E65" w:rsidRPr="007D1918">
              <w:rPr>
                <w:rFonts w:asciiTheme="minorHAnsi" w:hAnsiTheme="minorHAnsi"/>
                <w:color w:val="000000"/>
                <w:szCs w:val="24"/>
              </w:rPr>
              <w:t>onfidence interval</w:t>
            </w:r>
          </w:p>
        </w:tc>
      </w:tr>
      <w:tr w:rsidR="008A19AB" w:rsidRPr="007D1918" w14:paraId="5D290A90" w14:textId="77777777" w:rsidTr="00792F9D">
        <w:trPr>
          <w:gridAfter w:val="1"/>
          <w:wAfter w:w="1205" w:type="dxa"/>
        </w:trPr>
        <w:tc>
          <w:tcPr>
            <w:tcW w:w="3261" w:type="dxa"/>
          </w:tcPr>
          <w:p w14:paraId="3F909841" w14:textId="416DB0AA" w:rsidR="008A19AB" w:rsidRPr="007D1918" w:rsidRDefault="008A19AB" w:rsidP="00792F9D">
            <w:pPr>
              <w:spacing w:after="120" w:line="240" w:lineRule="auto"/>
              <w:ind w:left="0"/>
            </w:pPr>
            <w:r w:rsidRPr="007D1918">
              <w:t>CS</w:t>
            </w:r>
          </w:p>
        </w:tc>
        <w:tc>
          <w:tcPr>
            <w:tcW w:w="4466" w:type="dxa"/>
            <w:gridSpan w:val="2"/>
          </w:tcPr>
          <w:p w14:paraId="292DCD48" w14:textId="5731D647" w:rsidR="008A19AB" w:rsidRPr="007D1918" w:rsidRDefault="008A19AB" w:rsidP="00792F9D">
            <w:pPr>
              <w:spacing w:after="120" w:line="240" w:lineRule="auto"/>
              <w:ind w:left="0"/>
              <w:rPr>
                <w:rFonts w:asciiTheme="minorHAnsi" w:hAnsiTheme="minorHAnsi"/>
                <w:color w:val="000000"/>
                <w:szCs w:val="24"/>
              </w:rPr>
            </w:pPr>
            <w:r w:rsidRPr="007D1918">
              <w:rPr>
                <w:rFonts w:asciiTheme="minorHAnsi" w:hAnsiTheme="minorHAnsi"/>
                <w:color w:val="000000"/>
                <w:szCs w:val="24"/>
              </w:rPr>
              <w:t>Corticosteroid therapy</w:t>
            </w:r>
          </w:p>
        </w:tc>
      </w:tr>
      <w:tr w:rsidR="0052270C" w:rsidRPr="007D1918" w14:paraId="4D5866A6" w14:textId="77777777" w:rsidTr="00792F9D">
        <w:trPr>
          <w:gridAfter w:val="1"/>
          <w:wAfter w:w="1205" w:type="dxa"/>
        </w:trPr>
        <w:tc>
          <w:tcPr>
            <w:tcW w:w="3261" w:type="dxa"/>
          </w:tcPr>
          <w:p w14:paraId="5A6D6995" w14:textId="77777777" w:rsidR="0052270C" w:rsidRPr="007D1918" w:rsidRDefault="0052270C" w:rsidP="00792F9D">
            <w:pPr>
              <w:spacing w:after="120" w:line="240" w:lineRule="auto"/>
              <w:ind w:left="0"/>
              <w:jc w:val="both"/>
            </w:pPr>
            <w:r w:rsidRPr="007D1918">
              <w:t>HTA</w:t>
            </w:r>
          </w:p>
        </w:tc>
        <w:tc>
          <w:tcPr>
            <w:tcW w:w="4466" w:type="dxa"/>
            <w:gridSpan w:val="2"/>
          </w:tcPr>
          <w:p w14:paraId="327854C2" w14:textId="07B15B2E" w:rsidR="0052270C" w:rsidRPr="007D1918" w:rsidRDefault="00754CD7" w:rsidP="00792F9D">
            <w:pPr>
              <w:spacing w:after="120" w:line="240" w:lineRule="auto"/>
              <w:ind w:left="0"/>
              <w:jc w:val="both"/>
            </w:pPr>
            <w:r w:rsidRPr="007D1918">
              <w:t>H</w:t>
            </w:r>
            <w:r w:rsidR="00B56B5D" w:rsidRPr="007D1918">
              <w:t>ealth technology a</w:t>
            </w:r>
            <w:r w:rsidR="0052270C" w:rsidRPr="007D1918">
              <w:t>ssessment</w:t>
            </w:r>
          </w:p>
        </w:tc>
      </w:tr>
      <w:tr w:rsidR="0052270C" w:rsidRPr="007D1918" w14:paraId="25F54B07" w14:textId="77777777" w:rsidTr="00792F9D">
        <w:trPr>
          <w:gridAfter w:val="1"/>
          <w:wAfter w:w="1205" w:type="dxa"/>
        </w:trPr>
        <w:tc>
          <w:tcPr>
            <w:tcW w:w="3261" w:type="dxa"/>
          </w:tcPr>
          <w:p w14:paraId="5366D5C8" w14:textId="77777777" w:rsidR="0052270C" w:rsidRPr="007D1918" w:rsidRDefault="0052270C" w:rsidP="00792F9D">
            <w:pPr>
              <w:spacing w:after="120" w:line="240" w:lineRule="auto"/>
              <w:ind w:left="0"/>
              <w:jc w:val="both"/>
            </w:pPr>
            <w:r w:rsidRPr="007D1918">
              <w:t>ICER</w:t>
            </w:r>
          </w:p>
        </w:tc>
        <w:tc>
          <w:tcPr>
            <w:tcW w:w="4466" w:type="dxa"/>
            <w:gridSpan w:val="2"/>
          </w:tcPr>
          <w:p w14:paraId="2B242D94" w14:textId="2088D8E9" w:rsidR="0052270C" w:rsidRPr="007D1918" w:rsidRDefault="00754CD7" w:rsidP="00792F9D">
            <w:pPr>
              <w:spacing w:after="120" w:line="240" w:lineRule="auto"/>
              <w:ind w:left="0"/>
              <w:jc w:val="both"/>
            </w:pPr>
            <w:r w:rsidRPr="007D1918">
              <w:t>I</w:t>
            </w:r>
            <w:r w:rsidR="0052270C" w:rsidRPr="007D1918">
              <w:t>ncremental cost-effectiveness ratio</w:t>
            </w:r>
          </w:p>
        </w:tc>
      </w:tr>
      <w:tr w:rsidR="008A19AB" w:rsidRPr="007D1918" w14:paraId="749D23EE" w14:textId="77777777" w:rsidTr="00792F9D">
        <w:trPr>
          <w:gridAfter w:val="1"/>
          <w:wAfter w:w="1205" w:type="dxa"/>
        </w:trPr>
        <w:tc>
          <w:tcPr>
            <w:tcW w:w="3261" w:type="dxa"/>
          </w:tcPr>
          <w:p w14:paraId="6716EED0" w14:textId="4E9203B4" w:rsidR="008A19AB" w:rsidRPr="007D1918" w:rsidRDefault="008A19AB" w:rsidP="00792F9D">
            <w:pPr>
              <w:spacing w:after="120" w:line="240" w:lineRule="auto"/>
              <w:ind w:left="0"/>
            </w:pPr>
            <w:r w:rsidRPr="007D1918">
              <w:t>ICU</w:t>
            </w:r>
          </w:p>
        </w:tc>
        <w:tc>
          <w:tcPr>
            <w:tcW w:w="4466" w:type="dxa"/>
            <w:gridSpan w:val="2"/>
          </w:tcPr>
          <w:p w14:paraId="75D48271" w14:textId="41B28544" w:rsidR="008A19AB" w:rsidRPr="007D1918" w:rsidRDefault="008A19AB" w:rsidP="00792F9D">
            <w:pPr>
              <w:spacing w:after="120" w:line="240" w:lineRule="auto"/>
              <w:ind w:left="0"/>
            </w:pPr>
            <w:r w:rsidRPr="007D1918">
              <w:t>Intensive care unit</w:t>
            </w:r>
          </w:p>
        </w:tc>
      </w:tr>
      <w:tr w:rsidR="008A19AB" w:rsidRPr="007D1918" w14:paraId="1F8CD0A0" w14:textId="77777777" w:rsidTr="00792F9D">
        <w:trPr>
          <w:gridAfter w:val="1"/>
          <w:wAfter w:w="1205" w:type="dxa"/>
        </w:trPr>
        <w:tc>
          <w:tcPr>
            <w:tcW w:w="3261" w:type="dxa"/>
          </w:tcPr>
          <w:p w14:paraId="5D9B7257" w14:textId="764B935D" w:rsidR="008A19AB" w:rsidRPr="007D1918" w:rsidRDefault="008A19AB" w:rsidP="00792F9D">
            <w:pPr>
              <w:spacing w:after="120" w:line="240" w:lineRule="auto"/>
              <w:ind w:left="0"/>
            </w:pPr>
            <w:r w:rsidRPr="007D1918">
              <w:t>IM</w:t>
            </w:r>
          </w:p>
        </w:tc>
        <w:tc>
          <w:tcPr>
            <w:tcW w:w="4466" w:type="dxa"/>
            <w:gridSpan w:val="2"/>
          </w:tcPr>
          <w:p w14:paraId="2F7E68F2" w14:textId="6131AC46" w:rsidR="008A19AB" w:rsidRPr="007D1918" w:rsidRDefault="008A19AB" w:rsidP="00792F9D">
            <w:pPr>
              <w:spacing w:after="120" w:line="240" w:lineRule="auto"/>
              <w:ind w:left="0"/>
            </w:pPr>
            <w:r w:rsidRPr="007D1918">
              <w:t>Immunomodulation therapy</w:t>
            </w:r>
          </w:p>
        </w:tc>
      </w:tr>
      <w:tr w:rsidR="008A19AB" w:rsidRPr="007D1918" w14:paraId="63551AF4" w14:textId="77777777" w:rsidTr="00792F9D">
        <w:trPr>
          <w:gridAfter w:val="1"/>
          <w:wAfter w:w="1205" w:type="dxa"/>
        </w:trPr>
        <w:tc>
          <w:tcPr>
            <w:tcW w:w="3261" w:type="dxa"/>
          </w:tcPr>
          <w:p w14:paraId="4F6F2744" w14:textId="083B452D" w:rsidR="008A19AB" w:rsidRPr="007D1918" w:rsidRDefault="008A19AB" w:rsidP="00792F9D">
            <w:pPr>
              <w:spacing w:after="120" w:line="240" w:lineRule="auto"/>
              <w:ind w:left="0"/>
            </w:pPr>
            <w:r w:rsidRPr="007D1918">
              <w:t>IS</w:t>
            </w:r>
          </w:p>
        </w:tc>
        <w:tc>
          <w:tcPr>
            <w:tcW w:w="4466" w:type="dxa"/>
            <w:gridSpan w:val="2"/>
          </w:tcPr>
          <w:p w14:paraId="76422A13" w14:textId="0D3A7A73" w:rsidR="008A19AB" w:rsidRPr="007D1918" w:rsidRDefault="008A19AB" w:rsidP="00792F9D">
            <w:pPr>
              <w:spacing w:after="120" w:line="240" w:lineRule="auto"/>
              <w:ind w:left="0"/>
            </w:pPr>
            <w:r w:rsidRPr="007D1918">
              <w:t>Immunosuppression therapy</w:t>
            </w:r>
          </w:p>
        </w:tc>
      </w:tr>
      <w:tr w:rsidR="008A19AB" w:rsidRPr="007D1918" w14:paraId="69A22E33" w14:textId="77777777" w:rsidTr="00792F9D">
        <w:trPr>
          <w:gridAfter w:val="1"/>
          <w:wAfter w:w="1205" w:type="dxa"/>
        </w:trPr>
        <w:tc>
          <w:tcPr>
            <w:tcW w:w="3261" w:type="dxa"/>
          </w:tcPr>
          <w:p w14:paraId="03B98E0A" w14:textId="2DF9C66A" w:rsidR="008A19AB" w:rsidRPr="007D1918" w:rsidRDefault="008A19AB" w:rsidP="00792F9D">
            <w:pPr>
              <w:spacing w:after="120" w:line="240" w:lineRule="auto"/>
              <w:ind w:left="0"/>
            </w:pPr>
            <w:r w:rsidRPr="007D1918">
              <w:t>IVIg</w:t>
            </w:r>
          </w:p>
        </w:tc>
        <w:tc>
          <w:tcPr>
            <w:tcW w:w="4466" w:type="dxa"/>
            <w:gridSpan w:val="2"/>
          </w:tcPr>
          <w:p w14:paraId="008AD88C" w14:textId="42D4CF9A" w:rsidR="008A19AB" w:rsidRPr="007D1918" w:rsidRDefault="008A19AB" w:rsidP="00792F9D">
            <w:pPr>
              <w:spacing w:after="120" w:line="240" w:lineRule="auto"/>
              <w:ind w:left="0"/>
            </w:pPr>
            <w:r w:rsidRPr="007D1918">
              <w:t>Intravenous immunoglobulin therapy</w:t>
            </w:r>
          </w:p>
        </w:tc>
      </w:tr>
      <w:tr w:rsidR="00695731" w:rsidRPr="007D1918" w14:paraId="7557FC3A" w14:textId="77777777" w:rsidTr="00792F9D">
        <w:trPr>
          <w:gridAfter w:val="1"/>
          <w:wAfter w:w="1205" w:type="dxa"/>
        </w:trPr>
        <w:tc>
          <w:tcPr>
            <w:tcW w:w="3261" w:type="dxa"/>
          </w:tcPr>
          <w:p w14:paraId="4E4C113A" w14:textId="77777777" w:rsidR="00A10FDF" w:rsidRPr="007D1918" w:rsidRDefault="00695731" w:rsidP="00792F9D">
            <w:pPr>
              <w:spacing w:after="120" w:line="240" w:lineRule="auto"/>
              <w:ind w:left="0"/>
              <w:jc w:val="both"/>
            </w:pPr>
            <w:r w:rsidRPr="007D1918">
              <w:t>MBS</w:t>
            </w:r>
          </w:p>
        </w:tc>
        <w:tc>
          <w:tcPr>
            <w:tcW w:w="4466" w:type="dxa"/>
            <w:gridSpan w:val="2"/>
          </w:tcPr>
          <w:p w14:paraId="573DB510" w14:textId="77777777" w:rsidR="00A10FDF" w:rsidRPr="007D1918" w:rsidRDefault="00695731" w:rsidP="00792F9D">
            <w:pPr>
              <w:spacing w:after="120" w:line="240" w:lineRule="auto"/>
              <w:ind w:left="0"/>
              <w:jc w:val="both"/>
            </w:pPr>
            <w:r w:rsidRPr="007D1918">
              <w:t>Medicare Benefits Schedule</w:t>
            </w:r>
          </w:p>
        </w:tc>
      </w:tr>
      <w:tr w:rsidR="00D15E65" w:rsidRPr="007D1918" w14:paraId="7C791AC4" w14:textId="77777777" w:rsidTr="00792F9D">
        <w:trPr>
          <w:gridAfter w:val="1"/>
          <w:wAfter w:w="1205" w:type="dxa"/>
        </w:trPr>
        <w:tc>
          <w:tcPr>
            <w:tcW w:w="3261" w:type="dxa"/>
          </w:tcPr>
          <w:p w14:paraId="4B743FF8" w14:textId="77777777" w:rsidR="00D15E65" w:rsidRPr="007D1918" w:rsidRDefault="00D15E65" w:rsidP="00792F9D">
            <w:pPr>
              <w:spacing w:after="120" w:line="240" w:lineRule="auto"/>
              <w:ind w:left="0"/>
              <w:jc w:val="both"/>
            </w:pPr>
            <w:r w:rsidRPr="007D1918">
              <w:t>MD</w:t>
            </w:r>
          </w:p>
        </w:tc>
        <w:tc>
          <w:tcPr>
            <w:tcW w:w="4466" w:type="dxa"/>
            <w:gridSpan w:val="2"/>
          </w:tcPr>
          <w:p w14:paraId="45C6F385" w14:textId="40BEE268" w:rsidR="00D15E65" w:rsidRPr="007D1918" w:rsidRDefault="00754CD7" w:rsidP="00792F9D">
            <w:pPr>
              <w:spacing w:after="120" w:line="240" w:lineRule="auto"/>
              <w:ind w:left="0"/>
              <w:jc w:val="both"/>
            </w:pPr>
            <w:r w:rsidRPr="007D1918">
              <w:t>M</w:t>
            </w:r>
            <w:r w:rsidR="00D15E65" w:rsidRPr="007D1918">
              <w:t>ean difference</w:t>
            </w:r>
          </w:p>
        </w:tc>
      </w:tr>
      <w:tr w:rsidR="008A19AB" w:rsidRPr="007D1918" w14:paraId="09FF0802" w14:textId="77777777" w:rsidTr="00792F9D">
        <w:trPr>
          <w:gridAfter w:val="1"/>
          <w:wAfter w:w="1205" w:type="dxa"/>
        </w:trPr>
        <w:tc>
          <w:tcPr>
            <w:tcW w:w="3261" w:type="dxa"/>
          </w:tcPr>
          <w:p w14:paraId="1F1B103D" w14:textId="0E8BFCD5" w:rsidR="008A19AB" w:rsidRPr="007D1918" w:rsidRDefault="008A19AB" w:rsidP="00792F9D">
            <w:pPr>
              <w:spacing w:after="120" w:line="240" w:lineRule="auto"/>
              <w:ind w:left="0"/>
            </w:pPr>
            <w:r w:rsidRPr="007D1918">
              <w:t>MG</w:t>
            </w:r>
          </w:p>
        </w:tc>
        <w:tc>
          <w:tcPr>
            <w:tcW w:w="4466" w:type="dxa"/>
            <w:gridSpan w:val="2"/>
          </w:tcPr>
          <w:p w14:paraId="6C4ABB44" w14:textId="356D125C" w:rsidR="008A19AB" w:rsidRPr="007D1918" w:rsidRDefault="008A19AB" w:rsidP="00792F9D">
            <w:pPr>
              <w:spacing w:after="120" w:line="240" w:lineRule="auto"/>
              <w:ind w:left="0"/>
            </w:pPr>
            <w:r w:rsidRPr="007D1918">
              <w:t>Myasthenia gravis</w:t>
            </w:r>
          </w:p>
        </w:tc>
      </w:tr>
      <w:tr w:rsidR="008A19AB" w:rsidRPr="007D1918" w14:paraId="5A405F80" w14:textId="77777777" w:rsidTr="00792F9D">
        <w:trPr>
          <w:gridAfter w:val="1"/>
          <w:wAfter w:w="1205" w:type="dxa"/>
        </w:trPr>
        <w:tc>
          <w:tcPr>
            <w:tcW w:w="3261" w:type="dxa"/>
          </w:tcPr>
          <w:p w14:paraId="69362A72" w14:textId="35A4F68D" w:rsidR="008A19AB" w:rsidRPr="007D1918" w:rsidRDefault="008A19AB" w:rsidP="00792F9D">
            <w:pPr>
              <w:spacing w:after="120" w:line="240" w:lineRule="auto"/>
              <w:ind w:left="0"/>
            </w:pPr>
            <w:r w:rsidRPr="007D1918">
              <w:t>MG-ADL</w:t>
            </w:r>
          </w:p>
        </w:tc>
        <w:tc>
          <w:tcPr>
            <w:tcW w:w="4466" w:type="dxa"/>
            <w:gridSpan w:val="2"/>
          </w:tcPr>
          <w:p w14:paraId="5E075478" w14:textId="7A3721F5" w:rsidR="008A19AB" w:rsidRPr="007D1918" w:rsidRDefault="008A19AB" w:rsidP="00792F9D">
            <w:pPr>
              <w:spacing w:after="120" w:line="240" w:lineRule="auto"/>
              <w:ind w:left="0"/>
            </w:pPr>
            <w:r w:rsidRPr="007D1918">
              <w:t>Myasthenia gravis activities of daily living tool</w:t>
            </w:r>
          </w:p>
        </w:tc>
      </w:tr>
      <w:tr w:rsidR="00C93714" w:rsidRPr="007D1918" w14:paraId="2F8F5F4B" w14:textId="77777777" w:rsidTr="00792F9D">
        <w:trPr>
          <w:gridAfter w:val="1"/>
          <w:wAfter w:w="1205" w:type="dxa"/>
        </w:trPr>
        <w:tc>
          <w:tcPr>
            <w:tcW w:w="3261" w:type="dxa"/>
          </w:tcPr>
          <w:p w14:paraId="16C28B1D" w14:textId="3DEED195" w:rsidR="00C93714" w:rsidRPr="007D1918" w:rsidRDefault="00C93714" w:rsidP="00792F9D">
            <w:pPr>
              <w:spacing w:after="120" w:line="240" w:lineRule="auto"/>
              <w:ind w:left="0"/>
            </w:pPr>
            <w:r w:rsidRPr="007D1918">
              <w:t>MGAS</w:t>
            </w:r>
          </w:p>
        </w:tc>
        <w:tc>
          <w:tcPr>
            <w:tcW w:w="4466" w:type="dxa"/>
            <w:gridSpan w:val="2"/>
          </w:tcPr>
          <w:p w14:paraId="405FA024" w14:textId="181473DA" w:rsidR="00C93714" w:rsidRPr="007D1918" w:rsidRDefault="00C93714" w:rsidP="00792F9D">
            <w:pPr>
              <w:spacing w:after="120" w:line="240" w:lineRule="auto"/>
              <w:ind w:left="0"/>
            </w:pPr>
            <w:r w:rsidRPr="007D1918">
              <w:t>Myasthenia gravis absolute score</w:t>
            </w:r>
          </w:p>
        </w:tc>
      </w:tr>
      <w:tr w:rsidR="00C93714" w:rsidRPr="007D1918" w14:paraId="010BE122" w14:textId="77777777" w:rsidTr="00792F9D">
        <w:trPr>
          <w:gridAfter w:val="1"/>
          <w:wAfter w:w="1205" w:type="dxa"/>
        </w:trPr>
        <w:tc>
          <w:tcPr>
            <w:tcW w:w="3261" w:type="dxa"/>
          </w:tcPr>
          <w:p w14:paraId="6E358CFB" w14:textId="60B2EE74" w:rsidR="00C93714" w:rsidRPr="007D1918" w:rsidRDefault="00C93714" w:rsidP="00792F9D">
            <w:pPr>
              <w:spacing w:after="120" w:line="240" w:lineRule="auto"/>
              <w:ind w:left="0"/>
            </w:pPr>
            <w:r w:rsidRPr="007D1918">
              <w:t>MGC</w:t>
            </w:r>
          </w:p>
        </w:tc>
        <w:tc>
          <w:tcPr>
            <w:tcW w:w="4466" w:type="dxa"/>
            <w:gridSpan w:val="2"/>
          </w:tcPr>
          <w:p w14:paraId="176E6455" w14:textId="3E6EF166" w:rsidR="00C93714" w:rsidRPr="007D1918" w:rsidRDefault="00C93714" w:rsidP="00792F9D">
            <w:pPr>
              <w:spacing w:after="120" w:line="240" w:lineRule="auto"/>
              <w:ind w:left="0"/>
            </w:pPr>
            <w:r w:rsidRPr="007D1918">
              <w:t>Myasthenia gravis composite score</w:t>
            </w:r>
          </w:p>
        </w:tc>
      </w:tr>
      <w:tr w:rsidR="008A19AB" w:rsidRPr="007D1918" w14:paraId="69F923D6" w14:textId="77777777" w:rsidTr="00792F9D">
        <w:trPr>
          <w:gridAfter w:val="1"/>
          <w:wAfter w:w="1205" w:type="dxa"/>
        </w:trPr>
        <w:tc>
          <w:tcPr>
            <w:tcW w:w="3261" w:type="dxa"/>
          </w:tcPr>
          <w:p w14:paraId="54F01357" w14:textId="18C9ABCC" w:rsidR="008A19AB" w:rsidRPr="007D1918" w:rsidRDefault="008A19AB" w:rsidP="00792F9D">
            <w:pPr>
              <w:spacing w:after="120" w:line="240" w:lineRule="auto"/>
              <w:ind w:left="0"/>
            </w:pPr>
            <w:r w:rsidRPr="007D1918">
              <w:t>MGFA</w:t>
            </w:r>
          </w:p>
        </w:tc>
        <w:tc>
          <w:tcPr>
            <w:tcW w:w="4466" w:type="dxa"/>
            <w:gridSpan w:val="2"/>
          </w:tcPr>
          <w:p w14:paraId="1922E007" w14:textId="174CDCC1" w:rsidR="008A19AB" w:rsidRPr="007D1918" w:rsidRDefault="008A19AB" w:rsidP="00792F9D">
            <w:pPr>
              <w:spacing w:after="120" w:line="240" w:lineRule="auto"/>
              <w:ind w:left="0"/>
            </w:pPr>
            <w:r w:rsidRPr="007D1918">
              <w:t xml:space="preserve">Myasthenia </w:t>
            </w:r>
            <w:r w:rsidR="00C93714" w:rsidRPr="007D1918">
              <w:t>G</w:t>
            </w:r>
            <w:r w:rsidRPr="007D1918">
              <w:t xml:space="preserve">ravis </w:t>
            </w:r>
            <w:r w:rsidR="00C93714" w:rsidRPr="007D1918">
              <w:t>F</w:t>
            </w:r>
            <w:r w:rsidRPr="007D1918">
              <w:t>oundation America</w:t>
            </w:r>
          </w:p>
        </w:tc>
      </w:tr>
      <w:tr w:rsidR="00C93714" w:rsidRPr="007D1918" w14:paraId="3AF846F1" w14:textId="77777777" w:rsidTr="00792F9D">
        <w:trPr>
          <w:gridAfter w:val="1"/>
          <w:wAfter w:w="1205" w:type="dxa"/>
        </w:trPr>
        <w:tc>
          <w:tcPr>
            <w:tcW w:w="3261" w:type="dxa"/>
          </w:tcPr>
          <w:p w14:paraId="24244BEB" w14:textId="1667F328" w:rsidR="00C93714" w:rsidRPr="007D1918" w:rsidRDefault="00C93714" w:rsidP="00792F9D">
            <w:pPr>
              <w:spacing w:after="120" w:line="240" w:lineRule="auto"/>
              <w:ind w:left="0"/>
            </w:pPr>
            <w:r w:rsidRPr="007D1918">
              <w:t>MGFA-PIS</w:t>
            </w:r>
          </w:p>
        </w:tc>
        <w:tc>
          <w:tcPr>
            <w:tcW w:w="4466" w:type="dxa"/>
            <w:gridSpan w:val="2"/>
          </w:tcPr>
          <w:p w14:paraId="1F8135C3" w14:textId="148872D5" w:rsidR="00C93714" w:rsidRPr="007D1918" w:rsidRDefault="00C93714" w:rsidP="00792F9D">
            <w:pPr>
              <w:spacing w:after="120" w:line="240" w:lineRule="auto"/>
              <w:ind w:left="0"/>
            </w:pPr>
            <w:r w:rsidRPr="007D1918">
              <w:t>Myasthenia Gravis Foundation America post-intervention status</w:t>
            </w:r>
          </w:p>
        </w:tc>
      </w:tr>
      <w:tr w:rsidR="00C93714" w:rsidRPr="007D1918" w14:paraId="5505CDEA" w14:textId="77777777" w:rsidTr="00792F9D">
        <w:trPr>
          <w:gridAfter w:val="1"/>
          <w:wAfter w:w="1205" w:type="dxa"/>
        </w:trPr>
        <w:tc>
          <w:tcPr>
            <w:tcW w:w="3261" w:type="dxa"/>
          </w:tcPr>
          <w:p w14:paraId="14AF2C5E" w14:textId="49E1EDE0" w:rsidR="00C93714" w:rsidRPr="007D1918" w:rsidRDefault="00C93714" w:rsidP="00792F9D">
            <w:pPr>
              <w:spacing w:after="120" w:line="240" w:lineRule="auto"/>
              <w:ind w:left="0"/>
            </w:pPr>
            <w:r w:rsidRPr="007D1918">
              <w:t>MG-QoL</w:t>
            </w:r>
          </w:p>
        </w:tc>
        <w:tc>
          <w:tcPr>
            <w:tcW w:w="4466" w:type="dxa"/>
            <w:gridSpan w:val="2"/>
          </w:tcPr>
          <w:p w14:paraId="1F45D4EA" w14:textId="6C6EC4D6" w:rsidR="00C93714" w:rsidRPr="007D1918" w:rsidRDefault="00C93714" w:rsidP="00792F9D">
            <w:pPr>
              <w:spacing w:after="120" w:line="240" w:lineRule="auto"/>
              <w:ind w:left="0"/>
            </w:pPr>
            <w:r w:rsidRPr="007D1918">
              <w:t xml:space="preserve">Myasthenia gravis quality of life questionnaire  </w:t>
            </w:r>
          </w:p>
        </w:tc>
      </w:tr>
      <w:tr w:rsidR="008A19AB" w:rsidRPr="007D1918" w14:paraId="76186159" w14:textId="77777777" w:rsidTr="00792F9D">
        <w:trPr>
          <w:gridAfter w:val="1"/>
          <w:wAfter w:w="1205" w:type="dxa"/>
        </w:trPr>
        <w:tc>
          <w:tcPr>
            <w:tcW w:w="3261" w:type="dxa"/>
          </w:tcPr>
          <w:p w14:paraId="20D39A64" w14:textId="22A82382" w:rsidR="008A19AB" w:rsidRPr="007D1918" w:rsidRDefault="008A19AB" w:rsidP="00792F9D">
            <w:pPr>
              <w:spacing w:after="120" w:line="240" w:lineRule="auto"/>
              <w:ind w:left="0"/>
            </w:pPr>
            <w:r w:rsidRPr="007D1918">
              <w:t>MMS</w:t>
            </w:r>
          </w:p>
        </w:tc>
        <w:tc>
          <w:tcPr>
            <w:tcW w:w="4466" w:type="dxa"/>
            <w:gridSpan w:val="2"/>
          </w:tcPr>
          <w:p w14:paraId="70D6A8D8" w14:textId="480C792F" w:rsidR="008A19AB" w:rsidRPr="007D1918" w:rsidRDefault="008A19AB" w:rsidP="00792F9D">
            <w:pPr>
              <w:spacing w:after="120" w:line="240" w:lineRule="auto"/>
              <w:ind w:left="0"/>
            </w:pPr>
            <w:r w:rsidRPr="007D1918">
              <w:t>Myasthenia muscle score</w:t>
            </w:r>
          </w:p>
        </w:tc>
      </w:tr>
      <w:tr w:rsidR="008A19AB" w:rsidRPr="007D1918" w14:paraId="0136D3E8" w14:textId="77777777" w:rsidTr="00792F9D">
        <w:trPr>
          <w:gridAfter w:val="1"/>
          <w:wAfter w:w="1205" w:type="dxa"/>
        </w:trPr>
        <w:tc>
          <w:tcPr>
            <w:tcW w:w="3261" w:type="dxa"/>
          </w:tcPr>
          <w:p w14:paraId="7A7A3E6E" w14:textId="66AB8AEB" w:rsidR="008A19AB" w:rsidRPr="007D1918" w:rsidRDefault="008A19AB" w:rsidP="00792F9D">
            <w:pPr>
              <w:spacing w:after="120" w:line="240" w:lineRule="auto"/>
              <w:ind w:left="0"/>
            </w:pPr>
            <w:r w:rsidRPr="007D1918">
              <w:t>MMT</w:t>
            </w:r>
          </w:p>
        </w:tc>
        <w:tc>
          <w:tcPr>
            <w:tcW w:w="4466" w:type="dxa"/>
            <w:gridSpan w:val="2"/>
          </w:tcPr>
          <w:p w14:paraId="3EBA03F6" w14:textId="58C4D788" w:rsidR="008A19AB" w:rsidRPr="007D1918" w:rsidRDefault="008A19AB" w:rsidP="00792F9D">
            <w:pPr>
              <w:spacing w:after="120" w:line="240" w:lineRule="auto"/>
              <w:ind w:left="0"/>
            </w:pPr>
            <w:r w:rsidRPr="007D1918">
              <w:t>Manual muscle test</w:t>
            </w:r>
          </w:p>
        </w:tc>
      </w:tr>
      <w:tr w:rsidR="008A19AB" w:rsidRPr="007D1918" w14:paraId="704A41BD" w14:textId="77777777" w:rsidTr="00792F9D">
        <w:trPr>
          <w:gridAfter w:val="1"/>
          <w:wAfter w:w="1205" w:type="dxa"/>
        </w:trPr>
        <w:tc>
          <w:tcPr>
            <w:tcW w:w="3261" w:type="dxa"/>
          </w:tcPr>
          <w:p w14:paraId="06C0A59B" w14:textId="41F52E14" w:rsidR="008A19AB" w:rsidRPr="007D1918" w:rsidRDefault="008A19AB" w:rsidP="00792F9D">
            <w:pPr>
              <w:spacing w:after="120" w:line="240" w:lineRule="auto"/>
              <w:ind w:left="0"/>
            </w:pPr>
            <w:r w:rsidRPr="007D1918">
              <w:t>MPN</w:t>
            </w:r>
          </w:p>
        </w:tc>
        <w:tc>
          <w:tcPr>
            <w:tcW w:w="4466" w:type="dxa"/>
            <w:gridSpan w:val="2"/>
          </w:tcPr>
          <w:p w14:paraId="279DEAED" w14:textId="07713A09" w:rsidR="008A19AB" w:rsidRPr="007D1918" w:rsidRDefault="008A19AB" w:rsidP="00792F9D">
            <w:pPr>
              <w:spacing w:after="120" w:line="240" w:lineRule="auto"/>
              <w:ind w:left="0"/>
            </w:pPr>
            <w:r w:rsidRPr="007D1918">
              <w:t>Methylprednisolone therapy</w:t>
            </w:r>
          </w:p>
        </w:tc>
      </w:tr>
      <w:tr w:rsidR="00C93714" w:rsidRPr="007D1918" w14:paraId="11BAE83E" w14:textId="77777777" w:rsidTr="00792F9D">
        <w:trPr>
          <w:gridAfter w:val="1"/>
          <w:wAfter w:w="1205" w:type="dxa"/>
        </w:trPr>
        <w:tc>
          <w:tcPr>
            <w:tcW w:w="3261" w:type="dxa"/>
          </w:tcPr>
          <w:p w14:paraId="364457A8" w14:textId="708898D3" w:rsidR="00C93714" w:rsidRPr="007D1918" w:rsidRDefault="00C93714" w:rsidP="00792F9D">
            <w:pPr>
              <w:spacing w:after="120" w:line="240" w:lineRule="auto"/>
              <w:ind w:left="0"/>
            </w:pPr>
            <w:r w:rsidRPr="007D1918">
              <w:t>mRS</w:t>
            </w:r>
          </w:p>
        </w:tc>
        <w:tc>
          <w:tcPr>
            <w:tcW w:w="4466" w:type="dxa"/>
            <w:gridSpan w:val="2"/>
          </w:tcPr>
          <w:p w14:paraId="76E386E5" w14:textId="0D50E46A" w:rsidR="00C93714" w:rsidRPr="007D1918" w:rsidRDefault="00C93714" w:rsidP="00792F9D">
            <w:pPr>
              <w:spacing w:after="120" w:line="240" w:lineRule="auto"/>
              <w:ind w:left="0"/>
            </w:pPr>
            <w:r w:rsidRPr="007D1918">
              <w:t>Modified Rankin scale</w:t>
            </w:r>
          </w:p>
        </w:tc>
      </w:tr>
      <w:tr w:rsidR="0052270C" w:rsidRPr="007D1918" w14:paraId="359136AF" w14:textId="77777777" w:rsidTr="00792F9D">
        <w:trPr>
          <w:gridAfter w:val="1"/>
          <w:wAfter w:w="1205" w:type="dxa"/>
        </w:trPr>
        <w:tc>
          <w:tcPr>
            <w:tcW w:w="3261" w:type="dxa"/>
          </w:tcPr>
          <w:p w14:paraId="4D04CF28" w14:textId="77777777" w:rsidR="00A529B5" w:rsidRPr="007D1918" w:rsidRDefault="0052270C" w:rsidP="00792F9D">
            <w:pPr>
              <w:spacing w:after="120" w:line="240" w:lineRule="auto"/>
              <w:ind w:left="0"/>
              <w:jc w:val="both"/>
            </w:pPr>
            <w:r w:rsidRPr="007D1918">
              <w:t>MSAC</w:t>
            </w:r>
          </w:p>
        </w:tc>
        <w:tc>
          <w:tcPr>
            <w:tcW w:w="4466" w:type="dxa"/>
            <w:gridSpan w:val="2"/>
          </w:tcPr>
          <w:p w14:paraId="4C8C1868" w14:textId="77777777" w:rsidR="00A529B5" w:rsidRPr="007D1918" w:rsidRDefault="0052270C" w:rsidP="00792F9D">
            <w:pPr>
              <w:spacing w:after="120" w:line="240" w:lineRule="auto"/>
              <w:ind w:left="0"/>
              <w:jc w:val="both"/>
            </w:pPr>
            <w:r w:rsidRPr="007D1918">
              <w:t>Medical Services Advisory Committee</w:t>
            </w:r>
          </w:p>
        </w:tc>
      </w:tr>
      <w:tr w:rsidR="008A19AB" w:rsidRPr="007D1918" w14:paraId="3AA3BA65" w14:textId="77777777" w:rsidTr="00792F9D">
        <w:trPr>
          <w:gridAfter w:val="1"/>
          <w:wAfter w:w="1205" w:type="dxa"/>
        </w:trPr>
        <w:tc>
          <w:tcPr>
            <w:tcW w:w="3261" w:type="dxa"/>
          </w:tcPr>
          <w:p w14:paraId="148F9F31" w14:textId="5E833384" w:rsidR="008A19AB" w:rsidRPr="007D1918" w:rsidRDefault="001B5924" w:rsidP="00792F9D">
            <w:pPr>
              <w:spacing w:after="120" w:line="240" w:lineRule="auto"/>
              <w:ind w:left="0"/>
            </w:pPr>
            <w:r w:rsidRPr="007D1918">
              <w:t>MSS</w:t>
            </w:r>
          </w:p>
        </w:tc>
        <w:tc>
          <w:tcPr>
            <w:tcW w:w="4466" w:type="dxa"/>
            <w:gridSpan w:val="2"/>
          </w:tcPr>
          <w:p w14:paraId="64DAD82A" w14:textId="15A4E752" w:rsidR="008A19AB" w:rsidRPr="007D1918" w:rsidRDefault="001B5924" w:rsidP="00792F9D">
            <w:pPr>
              <w:spacing w:after="120" w:line="240" w:lineRule="auto"/>
              <w:ind w:left="0"/>
            </w:pPr>
            <w:r w:rsidRPr="007D1918">
              <w:t>Myasthenia severity scale</w:t>
            </w:r>
          </w:p>
        </w:tc>
      </w:tr>
      <w:tr w:rsidR="001B5924" w:rsidRPr="007D1918" w14:paraId="5A115F58" w14:textId="77777777" w:rsidTr="00792F9D">
        <w:trPr>
          <w:gridAfter w:val="1"/>
          <w:wAfter w:w="1205" w:type="dxa"/>
        </w:trPr>
        <w:tc>
          <w:tcPr>
            <w:tcW w:w="3261" w:type="dxa"/>
          </w:tcPr>
          <w:p w14:paraId="5149EC44" w14:textId="4F9F258F" w:rsidR="001B5924" w:rsidRPr="007D1918" w:rsidRDefault="001B5924" w:rsidP="00792F9D">
            <w:pPr>
              <w:spacing w:after="120" w:line="240" w:lineRule="auto"/>
              <w:ind w:left="0"/>
            </w:pPr>
            <w:r w:rsidRPr="007D1918">
              <w:t>MuSK</w:t>
            </w:r>
          </w:p>
        </w:tc>
        <w:tc>
          <w:tcPr>
            <w:tcW w:w="4466" w:type="dxa"/>
            <w:gridSpan w:val="2"/>
          </w:tcPr>
          <w:p w14:paraId="1BF9D29C" w14:textId="0B81468D" w:rsidR="001B5924" w:rsidRPr="007D1918" w:rsidRDefault="001B5924" w:rsidP="00A67936">
            <w:pPr>
              <w:spacing w:after="120" w:line="240" w:lineRule="auto"/>
              <w:ind w:left="0"/>
            </w:pPr>
            <w:r w:rsidRPr="007D1918">
              <w:t xml:space="preserve">Muscle specific kinase </w:t>
            </w:r>
          </w:p>
        </w:tc>
      </w:tr>
      <w:tr w:rsidR="00D15E65" w:rsidRPr="007D1918" w14:paraId="7BEF3275" w14:textId="77777777" w:rsidTr="00792F9D">
        <w:trPr>
          <w:gridAfter w:val="1"/>
          <w:wAfter w:w="1205" w:type="dxa"/>
        </w:trPr>
        <w:tc>
          <w:tcPr>
            <w:tcW w:w="3261" w:type="dxa"/>
          </w:tcPr>
          <w:p w14:paraId="1EEB9671" w14:textId="77777777" w:rsidR="00D15E65" w:rsidRPr="007D1918" w:rsidRDefault="00D15E65" w:rsidP="00792F9D">
            <w:pPr>
              <w:spacing w:after="120" w:line="240" w:lineRule="auto"/>
              <w:ind w:left="0"/>
              <w:jc w:val="both"/>
            </w:pPr>
            <w:r w:rsidRPr="007D1918">
              <w:t>NHMRC</w:t>
            </w:r>
          </w:p>
        </w:tc>
        <w:tc>
          <w:tcPr>
            <w:tcW w:w="4466" w:type="dxa"/>
            <w:gridSpan w:val="2"/>
          </w:tcPr>
          <w:p w14:paraId="4EF72FBD" w14:textId="77777777" w:rsidR="00D15E65" w:rsidRPr="007D1918" w:rsidRDefault="00D15E65" w:rsidP="00792F9D">
            <w:pPr>
              <w:spacing w:after="120" w:line="240" w:lineRule="auto"/>
              <w:ind w:left="0"/>
              <w:jc w:val="both"/>
            </w:pPr>
            <w:r w:rsidRPr="007D1918">
              <w:rPr>
                <w:rFonts w:asciiTheme="minorHAnsi" w:hAnsiTheme="minorHAnsi"/>
                <w:color w:val="000000"/>
                <w:szCs w:val="24"/>
              </w:rPr>
              <w:t>National Health and Medical Research Council</w:t>
            </w:r>
          </w:p>
        </w:tc>
      </w:tr>
      <w:tr w:rsidR="00D15E65" w:rsidRPr="007D1918" w14:paraId="4416F5D2" w14:textId="77777777" w:rsidTr="00792F9D">
        <w:trPr>
          <w:gridAfter w:val="1"/>
          <w:wAfter w:w="1205" w:type="dxa"/>
        </w:trPr>
        <w:tc>
          <w:tcPr>
            <w:tcW w:w="3261" w:type="dxa"/>
          </w:tcPr>
          <w:p w14:paraId="226FB9AD" w14:textId="77777777" w:rsidR="00D15E65" w:rsidRPr="007D1918" w:rsidRDefault="007D763E" w:rsidP="00792F9D">
            <w:pPr>
              <w:spacing w:after="120" w:line="240" w:lineRule="auto"/>
              <w:ind w:left="0"/>
              <w:jc w:val="both"/>
            </w:pPr>
            <w:r w:rsidRPr="007D1918">
              <w:t>PASC</w:t>
            </w:r>
          </w:p>
        </w:tc>
        <w:tc>
          <w:tcPr>
            <w:tcW w:w="4466" w:type="dxa"/>
            <w:gridSpan w:val="2"/>
          </w:tcPr>
          <w:p w14:paraId="3332EF66" w14:textId="77777777" w:rsidR="00D15E65" w:rsidRPr="007D1918" w:rsidRDefault="0088661A" w:rsidP="00792F9D">
            <w:pPr>
              <w:spacing w:after="120" w:line="240" w:lineRule="auto"/>
              <w:ind w:left="0"/>
              <w:jc w:val="both"/>
              <w:rPr>
                <w:rFonts w:asciiTheme="minorHAnsi" w:hAnsiTheme="minorHAnsi"/>
                <w:color w:val="000000"/>
                <w:szCs w:val="24"/>
              </w:rPr>
            </w:pPr>
            <w:r w:rsidRPr="007D1918">
              <w:rPr>
                <w:rFonts w:asciiTheme="minorHAnsi" w:hAnsiTheme="minorHAnsi"/>
                <w:color w:val="000000"/>
                <w:szCs w:val="24"/>
              </w:rPr>
              <w:t>PICO Confirmation</w:t>
            </w:r>
            <w:r w:rsidR="007D763E" w:rsidRPr="007D1918">
              <w:rPr>
                <w:rFonts w:asciiTheme="minorHAnsi" w:hAnsiTheme="minorHAnsi"/>
                <w:color w:val="000000"/>
                <w:szCs w:val="24"/>
              </w:rPr>
              <w:t xml:space="preserve"> Advisory Sub-Committee of the MSAC</w:t>
            </w:r>
          </w:p>
        </w:tc>
      </w:tr>
      <w:tr w:rsidR="001B5924" w:rsidRPr="007D1918" w14:paraId="150C1407" w14:textId="77777777" w:rsidTr="00792F9D">
        <w:trPr>
          <w:gridAfter w:val="1"/>
          <w:wAfter w:w="1205" w:type="dxa"/>
        </w:trPr>
        <w:tc>
          <w:tcPr>
            <w:tcW w:w="3261" w:type="dxa"/>
          </w:tcPr>
          <w:p w14:paraId="56071E5B" w14:textId="7D8154DC" w:rsidR="001B5924" w:rsidRPr="007D1918" w:rsidRDefault="001B5924" w:rsidP="00792F9D">
            <w:pPr>
              <w:spacing w:after="120" w:line="240" w:lineRule="auto"/>
              <w:ind w:left="0"/>
            </w:pPr>
            <w:r w:rsidRPr="007D1918">
              <w:t>PE</w:t>
            </w:r>
          </w:p>
        </w:tc>
        <w:tc>
          <w:tcPr>
            <w:tcW w:w="4466" w:type="dxa"/>
            <w:gridSpan w:val="2"/>
          </w:tcPr>
          <w:p w14:paraId="6A247E3F" w14:textId="66749075" w:rsidR="001B5924" w:rsidRPr="007D1918" w:rsidRDefault="001B5924" w:rsidP="00792F9D">
            <w:pPr>
              <w:spacing w:after="120" w:line="240" w:lineRule="auto"/>
              <w:ind w:left="0"/>
              <w:rPr>
                <w:rFonts w:asciiTheme="minorHAnsi" w:hAnsiTheme="minorHAnsi"/>
                <w:color w:val="000000"/>
                <w:szCs w:val="24"/>
              </w:rPr>
            </w:pPr>
            <w:r w:rsidRPr="007D1918">
              <w:rPr>
                <w:rFonts w:asciiTheme="minorHAnsi" w:hAnsiTheme="minorHAnsi"/>
                <w:color w:val="000000"/>
                <w:szCs w:val="24"/>
              </w:rPr>
              <w:t>Plasma exchange</w:t>
            </w:r>
          </w:p>
        </w:tc>
      </w:tr>
      <w:tr w:rsidR="001B5924" w:rsidRPr="007D1918" w14:paraId="3FCF8915" w14:textId="77777777" w:rsidTr="00792F9D">
        <w:trPr>
          <w:gridAfter w:val="1"/>
          <w:wAfter w:w="1205" w:type="dxa"/>
        </w:trPr>
        <w:tc>
          <w:tcPr>
            <w:tcW w:w="3261" w:type="dxa"/>
          </w:tcPr>
          <w:p w14:paraId="3EE6A828" w14:textId="5AA499F8" w:rsidR="001B5924" w:rsidRPr="007D1918" w:rsidRDefault="001B5924" w:rsidP="00792F9D">
            <w:pPr>
              <w:spacing w:after="120" w:line="240" w:lineRule="auto"/>
              <w:ind w:left="0"/>
            </w:pPr>
            <w:r w:rsidRPr="007D1918">
              <w:t>PN</w:t>
            </w:r>
          </w:p>
        </w:tc>
        <w:tc>
          <w:tcPr>
            <w:tcW w:w="4466" w:type="dxa"/>
            <w:gridSpan w:val="2"/>
          </w:tcPr>
          <w:p w14:paraId="31CDD0C9" w14:textId="1067515B" w:rsidR="001B5924" w:rsidRPr="007D1918" w:rsidRDefault="001B5924" w:rsidP="00792F9D">
            <w:pPr>
              <w:spacing w:after="120" w:line="240" w:lineRule="auto"/>
              <w:ind w:left="0"/>
              <w:rPr>
                <w:rFonts w:asciiTheme="minorHAnsi" w:hAnsiTheme="minorHAnsi"/>
                <w:color w:val="000000"/>
                <w:szCs w:val="24"/>
              </w:rPr>
            </w:pPr>
            <w:r w:rsidRPr="007D1918">
              <w:rPr>
                <w:rFonts w:asciiTheme="minorHAnsi" w:hAnsiTheme="minorHAnsi"/>
                <w:color w:val="000000"/>
                <w:szCs w:val="24"/>
              </w:rPr>
              <w:t>Prednisone therapy</w:t>
            </w:r>
          </w:p>
        </w:tc>
      </w:tr>
      <w:tr w:rsidR="00F458EB" w:rsidRPr="007D1918" w14:paraId="7F2DA0DE" w14:textId="77777777" w:rsidTr="00792F9D">
        <w:trPr>
          <w:gridAfter w:val="1"/>
          <w:wAfter w:w="1205" w:type="dxa"/>
        </w:trPr>
        <w:tc>
          <w:tcPr>
            <w:tcW w:w="3261" w:type="dxa"/>
          </w:tcPr>
          <w:p w14:paraId="3FE143FE" w14:textId="77777777" w:rsidR="00F458EB" w:rsidRPr="007D1918" w:rsidRDefault="001E7F65" w:rsidP="00792F9D">
            <w:pPr>
              <w:spacing w:after="120" w:line="240" w:lineRule="auto"/>
              <w:ind w:left="0"/>
              <w:jc w:val="both"/>
            </w:pPr>
            <w:r w:rsidRPr="007D1918">
              <w:lastRenderedPageBreak/>
              <w:t>QALY</w:t>
            </w:r>
          </w:p>
        </w:tc>
        <w:tc>
          <w:tcPr>
            <w:tcW w:w="4466" w:type="dxa"/>
            <w:gridSpan w:val="2"/>
          </w:tcPr>
          <w:p w14:paraId="3FFA44C9" w14:textId="77777777" w:rsidR="00F458EB" w:rsidRPr="007D1918" w:rsidRDefault="001E7F65" w:rsidP="00792F9D">
            <w:pPr>
              <w:spacing w:after="120" w:line="240" w:lineRule="auto"/>
              <w:ind w:left="0"/>
              <w:jc w:val="both"/>
            </w:pPr>
            <w:r w:rsidRPr="007D1918">
              <w:t>Quality adjusted life year</w:t>
            </w:r>
          </w:p>
        </w:tc>
      </w:tr>
      <w:tr w:rsidR="001B5924" w:rsidRPr="007D1918" w14:paraId="524E77C9" w14:textId="77777777" w:rsidTr="00792F9D">
        <w:trPr>
          <w:gridAfter w:val="1"/>
          <w:wAfter w:w="1205" w:type="dxa"/>
        </w:trPr>
        <w:tc>
          <w:tcPr>
            <w:tcW w:w="3261" w:type="dxa"/>
          </w:tcPr>
          <w:p w14:paraId="3DE5F167" w14:textId="5C9C9CD4" w:rsidR="001B5924" w:rsidRPr="007D1918" w:rsidRDefault="001B5924" w:rsidP="00792F9D">
            <w:pPr>
              <w:spacing w:after="120" w:line="240" w:lineRule="auto"/>
              <w:ind w:left="0"/>
            </w:pPr>
            <w:r w:rsidRPr="007D1918">
              <w:t>QMGS</w:t>
            </w:r>
          </w:p>
        </w:tc>
        <w:tc>
          <w:tcPr>
            <w:tcW w:w="4466" w:type="dxa"/>
            <w:gridSpan w:val="2"/>
          </w:tcPr>
          <w:p w14:paraId="396AD3DC" w14:textId="30762DD8" w:rsidR="001B5924" w:rsidRPr="007D1918" w:rsidRDefault="001B5924" w:rsidP="00792F9D">
            <w:pPr>
              <w:spacing w:after="120" w:line="240" w:lineRule="auto"/>
              <w:ind w:left="0"/>
            </w:pPr>
            <w:r w:rsidRPr="007D1918">
              <w:t>Quantitative myasthenia gravis score</w:t>
            </w:r>
          </w:p>
        </w:tc>
      </w:tr>
      <w:tr w:rsidR="001B5924" w:rsidRPr="007D1918" w14:paraId="1B098FC0" w14:textId="77777777" w:rsidTr="00792F9D">
        <w:trPr>
          <w:gridAfter w:val="1"/>
          <w:wAfter w:w="1205" w:type="dxa"/>
        </w:trPr>
        <w:tc>
          <w:tcPr>
            <w:tcW w:w="3261" w:type="dxa"/>
          </w:tcPr>
          <w:p w14:paraId="41E6DCC6" w14:textId="56A5D162" w:rsidR="001B5924" w:rsidRPr="007D1918" w:rsidRDefault="001B5924" w:rsidP="00792F9D">
            <w:pPr>
              <w:spacing w:after="120" w:line="240" w:lineRule="auto"/>
              <w:ind w:left="0"/>
            </w:pPr>
            <w:r w:rsidRPr="007D1918">
              <w:t>QoL</w:t>
            </w:r>
          </w:p>
        </w:tc>
        <w:tc>
          <w:tcPr>
            <w:tcW w:w="4466" w:type="dxa"/>
            <w:gridSpan w:val="2"/>
          </w:tcPr>
          <w:p w14:paraId="50B06B19" w14:textId="4F9997BF" w:rsidR="001B5924" w:rsidRPr="007D1918" w:rsidRDefault="001B5924" w:rsidP="00792F9D">
            <w:pPr>
              <w:spacing w:after="120" w:line="240" w:lineRule="auto"/>
              <w:ind w:left="0"/>
            </w:pPr>
            <w:r w:rsidRPr="007D1918">
              <w:t>Quality of Life</w:t>
            </w:r>
          </w:p>
        </w:tc>
      </w:tr>
      <w:tr w:rsidR="007D763E" w:rsidRPr="007D1918" w14:paraId="3AC51B32" w14:textId="77777777" w:rsidTr="00792F9D">
        <w:trPr>
          <w:gridAfter w:val="1"/>
          <w:wAfter w:w="1205" w:type="dxa"/>
        </w:trPr>
        <w:tc>
          <w:tcPr>
            <w:tcW w:w="3261" w:type="dxa"/>
          </w:tcPr>
          <w:p w14:paraId="14815A4A" w14:textId="77777777" w:rsidR="007D763E" w:rsidRPr="007D1918" w:rsidRDefault="007D763E" w:rsidP="00792F9D">
            <w:pPr>
              <w:spacing w:after="120" w:line="240" w:lineRule="auto"/>
              <w:ind w:left="0"/>
              <w:jc w:val="both"/>
            </w:pPr>
            <w:r w:rsidRPr="007D1918">
              <w:t>TGA</w:t>
            </w:r>
          </w:p>
        </w:tc>
        <w:tc>
          <w:tcPr>
            <w:tcW w:w="4466" w:type="dxa"/>
            <w:gridSpan w:val="2"/>
          </w:tcPr>
          <w:p w14:paraId="41718341" w14:textId="77777777" w:rsidR="007D763E" w:rsidRPr="007D1918" w:rsidRDefault="007D763E" w:rsidP="00792F9D">
            <w:pPr>
              <w:spacing w:after="120" w:line="240" w:lineRule="auto"/>
              <w:ind w:left="0"/>
              <w:jc w:val="both"/>
            </w:pPr>
            <w:r w:rsidRPr="007D1918">
              <w:t xml:space="preserve">Therapeutic Goods </w:t>
            </w:r>
            <w:r w:rsidR="005C6209" w:rsidRPr="007D1918">
              <w:t>Administration</w:t>
            </w:r>
          </w:p>
        </w:tc>
      </w:tr>
      <w:tr w:rsidR="001B5924" w:rsidRPr="007D1918" w14:paraId="2D316F38" w14:textId="77777777" w:rsidTr="00792F9D">
        <w:trPr>
          <w:gridAfter w:val="1"/>
          <w:wAfter w:w="1205" w:type="dxa"/>
        </w:trPr>
        <w:tc>
          <w:tcPr>
            <w:tcW w:w="3261" w:type="dxa"/>
          </w:tcPr>
          <w:p w14:paraId="23C7FCF9" w14:textId="3E841593" w:rsidR="001B5924" w:rsidRPr="007D1918" w:rsidRDefault="001B5924" w:rsidP="00792F9D">
            <w:pPr>
              <w:spacing w:after="120" w:line="240" w:lineRule="auto"/>
              <w:ind w:left="0"/>
            </w:pPr>
            <w:r w:rsidRPr="007D1918">
              <w:t>VAS</w:t>
            </w:r>
          </w:p>
        </w:tc>
        <w:tc>
          <w:tcPr>
            <w:tcW w:w="4466" w:type="dxa"/>
            <w:gridSpan w:val="2"/>
          </w:tcPr>
          <w:p w14:paraId="4A40A61C" w14:textId="45B3A016" w:rsidR="001B5924" w:rsidRPr="007D1918" w:rsidRDefault="001B5924" w:rsidP="00792F9D">
            <w:pPr>
              <w:spacing w:after="120" w:line="240" w:lineRule="auto"/>
              <w:ind w:left="0"/>
            </w:pPr>
            <w:r w:rsidRPr="007D1918">
              <w:t>Visual analogue scale</w:t>
            </w:r>
          </w:p>
        </w:tc>
      </w:tr>
    </w:tbl>
    <w:p w14:paraId="62918941" w14:textId="77777777" w:rsidR="008A19AB" w:rsidRPr="007D1918" w:rsidRDefault="008A19AB" w:rsidP="008A19AB">
      <w:pPr>
        <w:tabs>
          <w:tab w:val="left" w:pos="1418"/>
        </w:tabs>
        <w:spacing w:line="240" w:lineRule="auto"/>
        <w:jc w:val="both"/>
      </w:pPr>
    </w:p>
    <w:p w14:paraId="6D3EFE4E" w14:textId="77777777" w:rsidR="008A19AB" w:rsidRPr="007D1918" w:rsidRDefault="008A19AB" w:rsidP="008A19AB">
      <w:pPr>
        <w:tabs>
          <w:tab w:val="left" w:pos="1418"/>
        </w:tabs>
        <w:spacing w:line="240" w:lineRule="auto"/>
        <w:jc w:val="both"/>
      </w:pPr>
    </w:p>
    <w:p w14:paraId="45CD5C0D" w14:textId="77777777" w:rsidR="008F59A8" w:rsidRPr="007D1918" w:rsidRDefault="00913620" w:rsidP="00DF343F">
      <w:pPr>
        <w:pStyle w:val="Heading1"/>
        <w:jc w:val="both"/>
      </w:pPr>
      <w:bookmarkStart w:id="101" w:name="_Toc23766936"/>
      <w:bookmarkEnd w:id="100"/>
      <w:r w:rsidRPr="007D1918">
        <w:lastRenderedPageBreak/>
        <w:t>Section A</w:t>
      </w:r>
      <w:r w:rsidRPr="007D1918">
        <w:tab/>
        <w:t>Context</w:t>
      </w:r>
      <w:bookmarkEnd w:id="101"/>
    </w:p>
    <w:p w14:paraId="3207B192" w14:textId="3F52977B" w:rsidR="00E05186" w:rsidRPr="007D1918" w:rsidRDefault="00E05186" w:rsidP="00DF343F">
      <w:pPr>
        <w:jc w:val="both"/>
      </w:pPr>
      <w:r w:rsidRPr="007D1918">
        <w:t xml:space="preserve">This </w:t>
      </w:r>
      <w:r w:rsidR="00FD31FC" w:rsidRPr="007D1918">
        <w:t xml:space="preserve">contracted </w:t>
      </w:r>
      <w:r w:rsidRPr="007D1918">
        <w:t xml:space="preserve">assessment </w:t>
      </w:r>
      <w:r w:rsidR="004A4535" w:rsidRPr="007D1918">
        <w:t xml:space="preserve">(CA) </w:t>
      </w:r>
      <w:r w:rsidR="00FD31FC" w:rsidRPr="007D1918">
        <w:t xml:space="preserve">of </w:t>
      </w:r>
      <w:r w:rsidR="004A4535" w:rsidRPr="007D1918">
        <w:t xml:space="preserve">immunoglobulin (Ig) </w:t>
      </w:r>
      <w:r w:rsidR="00FD31FC" w:rsidRPr="007D1918">
        <w:t xml:space="preserve">for the treatment of </w:t>
      </w:r>
      <w:r w:rsidR="004A4535" w:rsidRPr="007D1918">
        <w:t>myasthenia gravis (MG)</w:t>
      </w:r>
      <w:r w:rsidR="00FD31FC" w:rsidRPr="007D1918">
        <w:t xml:space="preserve"> </w:t>
      </w:r>
      <w:r w:rsidRPr="007D1918">
        <w:t>is intended for the Medical Services Advisory Committee (MSAC). MSAC evaluates new and existing health technologies and procedures for which funding is sought under the Medicare Benefits Schedule (MBS) in terms of their safety, effectiveness and cost-effectiveness, while taking into account other issues such as access and equity. MSAC adopts an evidence-based approach to its assessments, based on reviews of the scientific literature and other information sources, including clinical expertise.</w:t>
      </w:r>
    </w:p>
    <w:p w14:paraId="06EE897C" w14:textId="6A0CCBC0" w:rsidR="00EB4DCD" w:rsidRPr="007D1918" w:rsidRDefault="004A4535" w:rsidP="00C75600">
      <w:pPr>
        <w:jc w:val="both"/>
      </w:pPr>
      <w:r w:rsidRPr="007D1918">
        <w:t>Adelaide Health Technology Assessment (AHTA)</w:t>
      </w:r>
      <w:r w:rsidR="00EB4DCD" w:rsidRPr="007D1918">
        <w:t xml:space="preserve"> has been commissioned by the Australian Government Department of Health to conduct a systematic literature review and economic evaluation of </w:t>
      </w:r>
      <w:r w:rsidRPr="007D1918">
        <w:t>CA 1566 – Ig for MG</w:t>
      </w:r>
      <w:r w:rsidR="00EB4DCD" w:rsidRPr="007D1918">
        <w:t xml:space="preserve">. This assessment has been undertaken </w:t>
      </w:r>
      <w:r w:rsidR="000405F0" w:rsidRPr="007D1918">
        <w:t>as part of the review of immunoglobulin (Ig) use funded under the National Blood Agreement</w:t>
      </w:r>
      <w:r w:rsidR="008B5C5B" w:rsidRPr="007D1918">
        <w:t xml:space="preserve">. </w:t>
      </w:r>
    </w:p>
    <w:p w14:paraId="081D1FA9" w14:textId="7BD7011A" w:rsidR="008B5C5B" w:rsidRPr="007D1918" w:rsidRDefault="009D44E4" w:rsidP="00DF343F">
      <w:pPr>
        <w:jc w:val="both"/>
      </w:pPr>
      <w:r w:rsidRPr="007D1918">
        <w:t xml:space="preserve">Appendix A provides a list of the people involved in the development of this assessment report, including clinical expertise </w:t>
      </w:r>
      <w:r w:rsidR="00F15657" w:rsidRPr="007D1918">
        <w:t xml:space="preserve">provided by </w:t>
      </w:r>
      <w:r w:rsidR="000405F0" w:rsidRPr="007D1918">
        <w:t>the NBA</w:t>
      </w:r>
      <w:r w:rsidRPr="007D1918">
        <w:t xml:space="preserve">. </w:t>
      </w:r>
    </w:p>
    <w:p w14:paraId="614816F8" w14:textId="4546D35D" w:rsidR="000405F0" w:rsidRPr="007D1918" w:rsidRDefault="000405F0" w:rsidP="007C4C79">
      <w:pPr>
        <w:jc w:val="both"/>
      </w:pPr>
      <w:r w:rsidRPr="007D1918">
        <w:t xml:space="preserve">The </w:t>
      </w:r>
      <w:r w:rsidR="003E5E30" w:rsidRPr="007D1918">
        <w:t>National Blood Authority (</w:t>
      </w:r>
      <w:r w:rsidRPr="007D1918">
        <w:t>NBA</w:t>
      </w:r>
      <w:r w:rsidR="003E5E30" w:rsidRPr="007D1918">
        <w:t>)</w:t>
      </w:r>
      <w:r w:rsidRPr="007D1918">
        <w:t xml:space="preserve"> is a statutory authority forming part of the Commonwe</w:t>
      </w:r>
      <w:r w:rsidR="003E5E30" w:rsidRPr="007D1918">
        <w:t>alth of Australia, established i</w:t>
      </w:r>
      <w:r w:rsidRPr="007D1918">
        <w:t xml:space="preserve">n the </w:t>
      </w:r>
      <w:r w:rsidRPr="007D1918">
        <w:rPr>
          <w:i/>
        </w:rPr>
        <w:t>National Blood Authority Act 2003</w:t>
      </w:r>
      <w:r w:rsidRPr="007D1918">
        <w:t xml:space="preserve"> (</w:t>
      </w:r>
      <w:r w:rsidRPr="007D1918">
        <w:rPr>
          <w:i/>
        </w:rPr>
        <w:t>NBA Act</w:t>
      </w:r>
      <w:r w:rsidRPr="007D1918">
        <w:t xml:space="preserve">). There are three frameworks defining the supply of publicly funded Ig products established under the </w:t>
      </w:r>
      <w:r w:rsidRPr="007D1918">
        <w:rPr>
          <w:i/>
        </w:rPr>
        <w:t>NBA Act</w:t>
      </w:r>
      <w:r w:rsidRPr="007D1918">
        <w:t>: a) Therapeutic Goods Authority regulation; b) policy decisio</w:t>
      </w:r>
      <w:r w:rsidR="003B7556" w:rsidRPr="007D1918">
        <w:t>n</w:t>
      </w:r>
      <w:r w:rsidRPr="007D1918">
        <w:t xml:space="preserve">s of all Australian Governments </w:t>
      </w:r>
      <w:r w:rsidR="003E5E30" w:rsidRPr="007D1918">
        <w:t xml:space="preserve">described in </w:t>
      </w:r>
      <w:r w:rsidR="00F9011F" w:rsidRPr="007D1918">
        <w:t xml:space="preserve">Version 3 of </w:t>
      </w:r>
      <w:r w:rsidR="003E5E30" w:rsidRPr="007D1918">
        <w:t>the Criteria for the clinical use of immunoglobulin in Australia (</w:t>
      </w:r>
      <w:r w:rsidR="003E5E30" w:rsidRPr="007D1918">
        <w:rPr>
          <w:i/>
        </w:rPr>
        <w:t>Criteria V3</w:t>
      </w:r>
      <w:r w:rsidR="003E5E30" w:rsidRPr="007D1918">
        <w:t>); and c) supply arrangements implemented under national contracts established by the NBA.</w:t>
      </w:r>
    </w:p>
    <w:p w14:paraId="3848DA65" w14:textId="02EB0EDA" w:rsidR="00BD49CE" w:rsidRPr="007D1918" w:rsidRDefault="0096196A" w:rsidP="00DF343F">
      <w:pPr>
        <w:jc w:val="both"/>
      </w:pPr>
      <w:r w:rsidRPr="007D1918">
        <w:rPr>
          <w:rFonts w:cstheme="minorHAnsi"/>
        </w:rPr>
        <w:t xml:space="preserve">The Ig Review Reference Group </w:t>
      </w:r>
      <w:r w:rsidR="0030481F" w:rsidRPr="007D1918">
        <w:rPr>
          <w:rFonts w:cstheme="minorHAnsi"/>
        </w:rPr>
        <w:t>was convened to</w:t>
      </w:r>
      <w:r w:rsidRPr="007D1918">
        <w:rPr>
          <w:rFonts w:cstheme="minorHAnsi"/>
        </w:rPr>
        <w:t xml:space="preserve"> review the use of Ig products in Australia</w:t>
      </w:r>
      <w:r w:rsidR="00B94FB3" w:rsidRPr="007D1918">
        <w:t xml:space="preserve"> including usage for chronic inflammatory demyelinating polyneuropathy (CA 1564), acquired hypogammaglobulinaemias (CA 1565) and MG (CA</w:t>
      </w:r>
      <w:r w:rsidR="00B94FB3" w:rsidRPr="007D1918">
        <w:rPr>
          <w:rFonts w:cstheme="minorHAnsi"/>
        </w:rPr>
        <w:t xml:space="preserve"> 1566)</w:t>
      </w:r>
      <w:r w:rsidRPr="007D1918">
        <w:rPr>
          <w:rFonts w:cstheme="minorHAnsi"/>
        </w:rPr>
        <w:t xml:space="preserve">. </w:t>
      </w:r>
      <w:r w:rsidR="008728FC" w:rsidRPr="007D1918">
        <w:t xml:space="preserve">This application is following a fit-for-purpose pathway, </w:t>
      </w:r>
      <w:r w:rsidR="00C40E03" w:rsidRPr="007D1918">
        <w:t>in which the</w:t>
      </w:r>
      <w:r w:rsidR="00614B96" w:rsidRPr="007D1918">
        <w:t xml:space="preserve"> </w:t>
      </w:r>
      <w:r w:rsidR="0088661A" w:rsidRPr="007D1918">
        <w:t>PICO Confirmation</w:t>
      </w:r>
      <w:r w:rsidR="00614B96" w:rsidRPr="007D1918">
        <w:t xml:space="preserve"> </w:t>
      </w:r>
      <w:r w:rsidR="00752C99" w:rsidRPr="007D1918">
        <w:t xml:space="preserve">outlining the proposed use of </w:t>
      </w:r>
      <w:r w:rsidR="003662FC" w:rsidRPr="007D1918">
        <w:t>Ig for MG</w:t>
      </w:r>
      <w:r w:rsidR="00752C99" w:rsidRPr="007D1918">
        <w:t xml:space="preserve"> in Australian clinical practice was presented </w:t>
      </w:r>
      <w:r w:rsidR="003662FC" w:rsidRPr="007D1918">
        <w:t xml:space="preserve">to and approved by the Ig Review </w:t>
      </w:r>
      <w:r w:rsidR="00B94FB3" w:rsidRPr="007D1918">
        <w:t xml:space="preserve">Reference Group. </w:t>
      </w:r>
    </w:p>
    <w:p w14:paraId="5DEF216B" w14:textId="18CC6AD6" w:rsidR="003F169D" w:rsidRPr="007D1918" w:rsidRDefault="009545FC" w:rsidP="00CE3A8B">
      <w:pPr>
        <w:pStyle w:val="Heading2"/>
        <w:numPr>
          <w:ilvl w:val="0"/>
          <w:numId w:val="9"/>
        </w:numPr>
      </w:pPr>
      <w:bookmarkStart w:id="102" w:name="_Toc23766937"/>
      <w:r w:rsidRPr="007D1918">
        <w:t xml:space="preserve">Items in the </w:t>
      </w:r>
      <w:r w:rsidR="00D82053" w:rsidRPr="007D1918">
        <w:t>A</w:t>
      </w:r>
      <w:r w:rsidRPr="007D1918">
        <w:t xml:space="preserve">greed </w:t>
      </w:r>
      <w:r w:rsidR="0088661A" w:rsidRPr="007D1918">
        <w:t>PICO Confirmation</w:t>
      </w:r>
      <w:bookmarkEnd w:id="102"/>
    </w:p>
    <w:p w14:paraId="5F260BC4" w14:textId="204618C8" w:rsidR="001773F3" w:rsidRPr="007D1918" w:rsidRDefault="0022247B" w:rsidP="00D563A2">
      <w:pPr>
        <w:jc w:val="both"/>
      </w:pPr>
      <w:r w:rsidRPr="007D1918">
        <w:t xml:space="preserve">This </w:t>
      </w:r>
      <w:r w:rsidR="005B2B2B" w:rsidRPr="007D1918">
        <w:t>CA</w:t>
      </w:r>
      <w:r w:rsidRPr="007D1918">
        <w:t xml:space="preserve"> of </w:t>
      </w:r>
      <w:r w:rsidR="005B2B2B" w:rsidRPr="007D1918">
        <w:t>Ig for MG</w:t>
      </w:r>
      <w:r w:rsidRPr="007D1918">
        <w:t xml:space="preserve"> </w:t>
      </w:r>
      <w:r w:rsidR="00B94FB3" w:rsidRPr="007D1918">
        <w:t xml:space="preserve">(1566) </w:t>
      </w:r>
      <w:r w:rsidRPr="007D1918">
        <w:t xml:space="preserve">addresses most of the PICO elements that were pre-specified in the </w:t>
      </w:r>
      <w:r w:rsidR="0088661A" w:rsidRPr="007D1918">
        <w:t>PICO Confirmation</w:t>
      </w:r>
      <w:r w:rsidRPr="007D1918">
        <w:t xml:space="preserve"> that was ratified </w:t>
      </w:r>
      <w:r w:rsidR="00F15657" w:rsidRPr="007D1918">
        <w:t xml:space="preserve"> and approved by the Ig Review </w:t>
      </w:r>
      <w:r w:rsidR="00464A4D" w:rsidRPr="007D1918">
        <w:t>Reference Group</w:t>
      </w:r>
      <w:r w:rsidRPr="007D1918">
        <w:t>.</w:t>
      </w:r>
    </w:p>
    <w:p w14:paraId="307F77F8" w14:textId="30F66392" w:rsidR="005B2B2B" w:rsidRPr="007D1918" w:rsidRDefault="002960C7" w:rsidP="00E8341E">
      <w:pPr>
        <w:jc w:val="both"/>
      </w:pPr>
      <w:r w:rsidRPr="007D1918">
        <w:t xml:space="preserve">Only one study </w:t>
      </w:r>
      <w:r w:rsidR="00AE327D" w:rsidRPr="007D1918">
        <w:t xml:space="preserve">that met the </w:t>
      </w:r>
      <w:r w:rsidRPr="007D1918">
        <w:t>inclusion criteria used the myasthenia gravis composite (MGC) score to assess symptom severity. The MGC score was specified in the PICO and is the score used to by the NBA to assess patients for I</w:t>
      </w:r>
      <w:r w:rsidR="0030481F" w:rsidRPr="007D1918">
        <w:t>g</w:t>
      </w:r>
      <w:r w:rsidRPr="007D1918">
        <w:t xml:space="preserve"> eligibility. To overcome this deficit in evidence, studies using other assessment scores and scales were included, and a comparison to the MGC score made to make the data relevant to the Australian setting. A full comparison of scores and tools used in the clinical assessment of MG can be seen in </w:t>
      </w:r>
      <w:r w:rsidRPr="007D1918">
        <w:rPr>
          <w:i/>
        </w:rPr>
        <w:t>Section B.5 Outcome measures and analysis</w:t>
      </w:r>
      <w:r w:rsidRPr="007D1918">
        <w:t>.</w:t>
      </w:r>
    </w:p>
    <w:p w14:paraId="2801F8B4" w14:textId="76452DA7" w:rsidR="00011866" w:rsidRPr="007D1918" w:rsidRDefault="00714B88" w:rsidP="00E8341E">
      <w:pPr>
        <w:jc w:val="both"/>
      </w:pPr>
      <w:r w:rsidRPr="007D1918">
        <w:lastRenderedPageBreak/>
        <w:t>The presence of acetyl</w:t>
      </w:r>
      <w:r w:rsidR="00011866" w:rsidRPr="007D1918">
        <w:t>choline receptor antibodies (AChRAb) is a diagnostic factor in the most common form of MG</w:t>
      </w:r>
      <w:r w:rsidR="00131C4B" w:rsidRPr="007D1918">
        <w:t xml:space="preserve"> and the majority of the evidence is conducted in this population. H</w:t>
      </w:r>
      <w:r w:rsidR="00011866" w:rsidRPr="007D1918">
        <w:t xml:space="preserve">owever other forms also exist. </w:t>
      </w:r>
      <w:r w:rsidR="00030C51" w:rsidRPr="007D1918">
        <w:t>Evidence for Ig use in</w:t>
      </w:r>
      <w:r w:rsidR="00011866" w:rsidRPr="007D1918">
        <w:t xml:space="preserve"> muscle specific tyrosine kinase antibody positive MG</w:t>
      </w:r>
      <w:r w:rsidR="00030C51" w:rsidRPr="007D1918">
        <w:t xml:space="preserve"> </w:t>
      </w:r>
      <w:r w:rsidR="008963FC" w:rsidRPr="007D1918">
        <w:t xml:space="preserve">(MuSK-MG) </w:t>
      </w:r>
      <w:r w:rsidR="00131C4B" w:rsidRPr="007D1918">
        <w:t>i</w:t>
      </w:r>
      <w:r w:rsidR="00030C51" w:rsidRPr="007D1918">
        <w:t xml:space="preserve">s discussed in </w:t>
      </w:r>
      <w:r w:rsidR="00030C51" w:rsidRPr="007D1918">
        <w:rPr>
          <w:i/>
        </w:rPr>
        <w:t>Section F Other Relevant Considerations</w:t>
      </w:r>
      <w:r w:rsidR="00030C51" w:rsidRPr="007D1918">
        <w:t xml:space="preserve"> as th</w:t>
      </w:r>
      <w:r w:rsidR="00343082" w:rsidRPr="007D1918">
        <w:t>is</w:t>
      </w:r>
      <w:r w:rsidR="00030C51" w:rsidRPr="007D1918">
        <w:t xml:space="preserve"> sub-population is </w:t>
      </w:r>
      <w:r w:rsidR="00131C4B" w:rsidRPr="007D1918">
        <w:t>less common, requires special consideration and was additional to the PICO</w:t>
      </w:r>
      <w:r w:rsidR="00030C51" w:rsidRPr="007D1918">
        <w:t xml:space="preserve"> </w:t>
      </w:r>
      <w:r w:rsidR="003736AC" w:rsidRPr="007D1918">
        <w:fldChar w:fldCharType="begin"/>
      </w:r>
      <w:r w:rsidR="003736AC" w:rsidRPr="007D1918">
        <w:instrText xml:space="preserve"> ADDIN EN.CITE &lt;EndNote&gt;&lt;Cite&gt;&lt;Author&gt;MSAC&lt;/Author&gt;&lt;Year&gt;2019&lt;/Year&gt;&lt;RecNum&gt;35&lt;/RecNum&gt;&lt;DisplayText&gt;(MSAC 2019)&lt;/DisplayText&gt;&lt;record&gt;&lt;rec-number&gt;35&lt;/rec-number&gt;&lt;foreign-keys&gt;&lt;key app="EN" db-id="2aevrx2slsts5ve9sdavatf125dsx0av2v9d" timestamp="1561425723"&gt;35&lt;/key&gt;&lt;key app="ENWeb" db-id=""&gt;0&lt;/key&gt;&lt;/foreign-keys&gt;&lt;ref-type name="Report"&gt;27&lt;/ref-type&gt;&lt;contributors&gt;&lt;authors&gt;&lt;author&gt;MSAC&lt;/author&gt;&lt;/authors&gt;&lt;secondary-authors&gt;&lt;author&gt;Medical Servoces Advisory Committee&lt;/author&gt;&lt;/secondary-authors&gt;&lt;/contributors&gt;&lt;titles&gt;&lt;title&gt;PICO Confirmtaion 1566: Immunoglobulin for myasthenia gravis­_FINAL Ratified&lt;/title&gt;&lt;secondary-title&gt;PICO confirmation&lt;/secondary-title&gt;&lt;/titles&gt;&lt;dates&gt;&lt;year&gt;2019&lt;/year&gt;&lt;/dates&gt;&lt;pub-location&gt;Canberra&lt;/pub-location&gt;&lt;publisher&gt;Department of Health&lt;/publisher&gt;&lt;urls&gt;&lt;/urls&gt;&lt;/record&gt;&lt;/Cite&gt;&lt;/EndNote&gt;</w:instrText>
      </w:r>
      <w:r w:rsidR="003736AC" w:rsidRPr="007D1918">
        <w:fldChar w:fldCharType="separate"/>
      </w:r>
      <w:r w:rsidR="003736AC" w:rsidRPr="007D1918">
        <w:rPr>
          <w:noProof/>
        </w:rPr>
        <w:t>(</w:t>
      </w:r>
      <w:hyperlink w:anchor="_ENREF_66" w:tooltip="MSAC, 2019 #35" w:history="1">
        <w:r w:rsidR="007D4948" w:rsidRPr="007D1918">
          <w:rPr>
            <w:noProof/>
          </w:rPr>
          <w:t>MSAC 2019</w:t>
        </w:r>
      </w:hyperlink>
      <w:r w:rsidR="003736AC" w:rsidRPr="007D1918">
        <w:rPr>
          <w:noProof/>
        </w:rPr>
        <w:t>)</w:t>
      </w:r>
      <w:r w:rsidR="003736AC" w:rsidRPr="007D1918">
        <w:fldChar w:fldCharType="end"/>
      </w:r>
      <w:r w:rsidR="00030C51" w:rsidRPr="007D1918">
        <w:t xml:space="preserve">. </w:t>
      </w:r>
      <w:r w:rsidR="00131C4B" w:rsidRPr="007D1918">
        <w:t xml:space="preserve">For the same reasons </w:t>
      </w:r>
      <w:r w:rsidR="00011866" w:rsidRPr="007D1918">
        <w:t>MG in pregnancy</w:t>
      </w:r>
      <w:r w:rsidR="000B4F55" w:rsidRPr="007D1918">
        <w:t xml:space="preserve"> </w:t>
      </w:r>
      <w:r w:rsidR="00131C4B" w:rsidRPr="007D1918">
        <w:t xml:space="preserve">is also discussed briefly in </w:t>
      </w:r>
      <w:r w:rsidR="00131C4B" w:rsidRPr="007D1918">
        <w:rPr>
          <w:i/>
        </w:rPr>
        <w:t>Section F</w:t>
      </w:r>
      <w:r w:rsidR="00131C4B" w:rsidRPr="007D1918">
        <w:t xml:space="preserve">. The evidence on Ig for </w:t>
      </w:r>
      <w:r w:rsidR="00011866" w:rsidRPr="007D1918">
        <w:t>MG in juvenile patien</w:t>
      </w:r>
      <w:r w:rsidR="000B4F55" w:rsidRPr="007D1918">
        <w:t>ts</w:t>
      </w:r>
      <w:r w:rsidR="00131C4B" w:rsidRPr="007D1918">
        <w:t xml:space="preserve"> was more substantial and has been presented in </w:t>
      </w:r>
      <w:r w:rsidR="00131C4B" w:rsidRPr="007D1918">
        <w:rPr>
          <w:i/>
        </w:rPr>
        <w:t>Section B</w:t>
      </w:r>
      <w:r w:rsidR="00AE327D" w:rsidRPr="007D1918">
        <w:rPr>
          <w:i/>
        </w:rPr>
        <w:t xml:space="preserve"> Clinical evaluation</w:t>
      </w:r>
      <w:r w:rsidR="00011866" w:rsidRPr="007D1918">
        <w:t>.</w:t>
      </w:r>
      <w:r w:rsidR="000B4F55" w:rsidRPr="007D1918">
        <w:t xml:space="preserve"> Patients </w:t>
      </w:r>
      <w:r w:rsidR="00E8341E" w:rsidRPr="007D1918">
        <w:t xml:space="preserve">with </w:t>
      </w:r>
      <w:r w:rsidR="000B4F55" w:rsidRPr="007D1918">
        <w:t xml:space="preserve">MG who underwent thymectomy, or patients with ocular symptoms were included in Indication 3 if they were patients undergoing maintenance treatment or </w:t>
      </w:r>
      <w:r w:rsidR="00F51265" w:rsidRPr="007D1918">
        <w:t>I</w:t>
      </w:r>
      <w:r w:rsidR="000B4F55" w:rsidRPr="007D1918">
        <w:t xml:space="preserve">ndication </w:t>
      </w:r>
      <w:r w:rsidR="00F83D3D" w:rsidRPr="007D1918">
        <w:t>1</w:t>
      </w:r>
      <w:r w:rsidR="000B4F55" w:rsidRPr="007D1918">
        <w:t xml:space="preserve"> if they were crisis patients, as thymectomy is often used to treat th</w:t>
      </w:r>
      <w:r w:rsidR="00F83D3D" w:rsidRPr="007D1918">
        <w:t>e</w:t>
      </w:r>
      <w:r w:rsidR="000B4F55" w:rsidRPr="007D1918">
        <w:t>s</w:t>
      </w:r>
      <w:r w:rsidR="00F83D3D" w:rsidRPr="007D1918">
        <w:t>e</w:t>
      </w:r>
      <w:r w:rsidR="000B4F55" w:rsidRPr="007D1918">
        <w:t xml:space="preserve"> group</w:t>
      </w:r>
      <w:r w:rsidR="00F83D3D" w:rsidRPr="007D1918">
        <w:t>s</w:t>
      </w:r>
      <w:r w:rsidR="000B4F55" w:rsidRPr="007D1918">
        <w:t>. If patients were given IVIg when preparing for thymectomy they were included in Indication 2. Patients with purely ocular symptoms wer</w:t>
      </w:r>
      <w:r w:rsidR="009C7100" w:rsidRPr="007D1918">
        <w:t>e</w:t>
      </w:r>
      <w:r w:rsidR="000B4F55" w:rsidRPr="007D1918">
        <w:t xml:space="preserve"> not included in this assessment</w:t>
      </w:r>
      <w:r w:rsidR="0013222D" w:rsidRPr="007D1918">
        <w:t xml:space="preserve"> as under the </w:t>
      </w:r>
      <w:r w:rsidR="00EC09DA" w:rsidRPr="007D1918">
        <w:rPr>
          <w:i/>
        </w:rPr>
        <w:t>Criteria V3</w:t>
      </w:r>
      <w:r w:rsidR="0013222D" w:rsidRPr="007D1918">
        <w:t xml:space="preserve"> they are not eligible to receive Ig</w:t>
      </w:r>
      <w:r w:rsidR="000B4F55" w:rsidRPr="007D1918">
        <w:t xml:space="preserve">. </w:t>
      </w:r>
    </w:p>
    <w:p w14:paraId="247E2C49" w14:textId="3F33CAFD" w:rsidR="00B313E2" w:rsidRPr="007D1918" w:rsidRDefault="00F83D3D" w:rsidP="00DF343F">
      <w:pPr>
        <w:jc w:val="both"/>
      </w:pPr>
      <w:r w:rsidRPr="007D1918">
        <w:t xml:space="preserve">Evidence was not found comparing IVIg for MG to all of the comparators listed for </w:t>
      </w:r>
      <w:r w:rsidR="0030481F" w:rsidRPr="007D1918">
        <w:t>I</w:t>
      </w:r>
      <w:r w:rsidRPr="007D1918">
        <w:t xml:space="preserve">ndication 3. Because the treatments listed as comparators were given as </w:t>
      </w:r>
      <w:r w:rsidR="00A155B7" w:rsidRPr="007D1918">
        <w:t xml:space="preserve">primary therapies or </w:t>
      </w:r>
      <w:r w:rsidRPr="007D1918">
        <w:t xml:space="preserve">adjuncts to IVIg or plasma exchange therapy (PE) they were usually very similar in both population arms of study trials. The majority of patients with moderate to severe MG were </w:t>
      </w:r>
      <w:r w:rsidR="00343082" w:rsidRPr="007D1918">
        <w:t>receiving</w:t>
      </w:r>
      <w:r w:rsidRPr="007D1918">
        <w:t xml:space="preserve"> oral steroids or immunosuppressants on inclusion in trials of IVIg and/or PE.</w:t>
      </w:r>
    </w:p>
    <w:p w14:paraId="541FFAB3" w14:textId="439D145C" w:rsidR="002F3DA1" w:rsidRPr="007D1918" w:rsidRDefault="002F3DA1" w:rsidP="00DF343F">
      <w:pPr>
        <w:jc w:val="both"/>
      </w:pPr>
      <w:r w:rsidRPr="007D1918">
        <w:t xml:space="preserve">Although the PICO Confirmation indicated that subgroup analysis of peripheral and central line access safety in PE delivery in comparison with IVIg would be helpful, studies did not separate data in this way and the analysis was not possible. </w:t>
      </w:r>
    </w:p>
    <w:p w14:paraId="1775C3F7" w14:textId="77777777" w:rsidR="00B313E2" w:rsidRPr="007D1918" w:rsidRDefault="00835007" w:rsidP="00CE3A8B">
      <w:pPr>
        <w:pStyle w:val="Heading2"/>
        <w:numPr>
          <w:ilvl w:val="0"/>
          <w:numId w:val="9"/>
        </w:numPr>
      </w:pPr>
      <w:bookmarkStart w:id="103" w:name="_Toc23766938"/>
      <w:bookmarkStart w:id="104" w:name="_Toc381796441"/>
      <w:r w:rsidRPr="007D1918">
        <w:t>Pro</w:t>
      </w:r>
      <w:r w:rsidR="007D2548" w:rsidRPr="007D1918">
        <w:t>posed M</w:t>
      </w:r>
      <w:r w:rsidRPr="007D1918">
        <w:t xml:space="preserve">edical </w:t>
      </w:r>
      <w:r w:rsidR="007D2548" w:rsidRPr="007D1918">
        <w:t>S</w:t>
      </w:r>
      <w:r w:rsidRPr="007D1918">
        <w:t>ervice</w:t>
      </w:r>
      <w:bookmarkEnd w:id="103"/>
    </w:p>
    <w:p w14:paraId="659B45C5" w14:textId="7228A559" w:rsidR="002953E0" w:rsidRPr="007D1918" w:rsidRDefault="002953E0" w:rsidP="006C06A4">
      <w:pPr>
        <w:jc w:val="both"/>
      </w:pPr>
      <w:bookmarkStart w:id="105" w:name="_Toc379118262"/>
      <w:bookmarkEnd w:id="104"/>
      <w:r w:rsidRPr="007D1918">
        <w:t xml:space="preserve">Ig </w:t>
      </w:r>
      <w:r w:rsidR="00603E26" w:rsidRPr="007D1918">
        <w:t xml:space="preserve">delivered intravenously (IVIg) </w:t>
      </w:r>
      <w:r w:rsidRPr="007D1918">
        <w:t xml:space="preserve">has become an alternative therapy for MG </w:t>
      </w:r>
      <w:r w:rsidR="00603E26" w:rsidRPr="007D1918">
        <w:t xml:space="preserve">over the last 10 to 15 years. </w:t>
      </w:r>
      <w:r w:rsidR="006C06A4" w:rsidRPr="007D1918">
        <w:t>It is a therapy now commonly used for immune deficiency diseases. Ig products are made from the plasma of healthy donors, which is pooled and purified to remove red cells and filtered to produce an immunoglobulin rich product, containing a wide variety of antibodies</w:t>
      </w:r>
      <w:r w:rsidR="00D7063C" w:rsidRPr="007D1918">
        <w:t xml:space="preserve"> </w:t>
      </w:r>
      <w:r w:rsidR="0075212A" w:rsidRPr="007D1918">
        <w:fldChar w:fldCharType="begin"/>
      </w:r>
      <w:r w:rsidR="0075212A" w:rsidRPr="007D1918">
        <w:instrText xml:space="preserve"> ADDIN EN.CITE &lt;EndNote&gt;&lt;Cite&gt;&lt;Author&gt;ASCIA&lt;/Author&gt;&lt;Year&gt;2019&lt;/Year&gt;&lt;RecNum&gt;22&lt;/RecNum&gt;&lt;DisplayText&gt;(ASCIA 2019)&lt;/DisplayText&gt;&lt;record&gt;&lt;rec-number&gt;22&lt;/rec-number&gt;&lt;foreign-keys&gt;&lt;key app="EN" db-id="2aevrx2slsts5ve9sdavatf125dsx0av2v9d" timestamp="1558924056"&gt;22&lt;/key&gt;&lt;/foreign-keys&gt;&lt;ref-type name="Web Page"&gt;12&lt;/ref-type&gt;&lt;contributors&gt;&lt;authors&gt;&lt;author&gt;ASCIA&lt;/author&gt;&lt;/authors&gt;&lt;secondary-authors&gt;&lt;author&gt;Australasian Society of Imunnology and Allergy&lt;/author&gt;&lt;/secondary-authors&gt;&lt;/contributors&gt;&lt;titles&gt;&lt;title&gt;Immunoglobulin Replacement Therapy in Primary Immunodefiniciencies&lt;/title&gt;&lt;/titles&gt;&lt;number&gt;27 May 2019&lt;/number&gt;&lt;dates&gt;&lt;year&gt;2019&lt;/year&gt;&lt;/dates&gt;&lt;urls&gt;&lt;related-urls&gt;&lt;url&gt;https://www.allergy.org.au/patients/immunodeficiencies/immunoglobulin-replacement-therapy&lt;/url&gt;&lt;/related-urls&gt;&lt;/urls&gt;&lt;/record&gt;&lt;/Cite&gt;&lt;/EndNote&gt;</w:instrText>
      </w:r>
      <w:r w:rsidR="0075212A" w:rsidRPr="007D1918">
        <w:fldChar w:fldCharType="separate"/>
      </w:r>
      <w:r w:rsidR="0075212A" w:rsidRPr="007D1918">
        <w:rPr>
          <w:noProof/>
        </w:rPr>
        <w:t>(</w:t>
      </w:r>
      <w:hyperlink w:anchor="_ENREF_5" w:tooltip="ASCIA, 2019 #22" w:history="1">
        <w:r w:rsidR="007D4948" w:rsidRPr="007D1918">
          <w:rPr>
            <w:noProof/>
          </w:rPr>
          <w:t>ASCIA 2019</w:t>
        </w:r>
      </w:hyperlink>
      <w:r w:rsidR="0075212A" w:rsidRPr="007D1918">
        <w:rPr>
          <w:noProof/>
        </w:rPr>
        <w:t>)</w:t>
      </w:r>
      <w:r w:rsidR="0075212A" w:rsidRPr="007D1918">
        <w:fldChar w:fldCharType="end"/>
      </w:r>
      <w:r w:rsidR="006C06A4" w:rsidRPr="007D1918">
        <w:t xml:space="preserve">. </w:t>
      </w:r>
      <w:r w:rsidR="00603E26" w:rsidRPr="007D1918">
        <w:t>Although the exact mechanism of action that IVIg has on MG patients</w:t>
      </w:r>
      <w:r w:rsidR="00A155B7" w:rsidRPr="007D1918">
        <w:t xml:space="preserve"> is not fully understood</w:t>
      </w:r>
      <w:r w:rsidR="00603E26" w:rsidRPr="007D1918">
        <w:t xml:space="preserve">, it acts as an immune modulator, reducing the abnormal immune response and the neuromuscular symptoms. It is particularly useful for patients who need urgent treatment </w:t>
      </w:r>
      <w:r w:rsidR="00A155B7" w:rsidRPr="007D1918">
        <w:t>d</w:t>
      </w:r>
      <w:r w:rsidR="00603E26" w:rsidRPr="007D1918">
        <w:t xml:space="preserve">ue to myasthenic crisis, or have worsening symptoms </w:t>
      </w:r>
      <w:r w:rsidR="006C06A4" w:rsidRPr="007D1918">
        <w:t>on other therapies, and need a change in treatment</w:t>
      </w:r>
      <w:r w:rsidR="00D7063C" w:rsidRPr="007D1918">
        <w:t xml:space="preserve"> </w:t>
      </w:r>
      <w:r w:rsidR="0075212A"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75212A" w:rsidRPr="007D1918">
        <w:instrText xml:space="preserve"> ADDIN EN.CITE </w:instrText>
      </w:r>
      <w:r w:rsidR="0075212A"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75212A" w:rsidRPr="007D1918">
        <w:instrText xml:space="preserve"> ADDIN EN.CITE.DATA </w:instrText>
      </w:r>
      <w:r w:rsidR="0075212A" w:rsidRPr="007D1918">
        <w:fldChar w:fldCharType="end"/>
      </w:r>
      <w:r w:rsidR="0075212A" w:rsidRPr="007D1918">
        <w:fldChar w:fldCharType="separate"/>
      </w:r>
      <w:r w:rsidR="0075212A" w:rsidRPr="007D1918">
        <w:rPr>
          <w:noProof/>
        </w:rPr>
        <w:t>(</w:t>
      </w:r>
      <w:hyperlink w:anchor="_ENREF_2" w:tooltip="Alabdali, 2014 #4" w:history="1">
        <w:r w:rsidR="007D4948" w:rsidRPr="007D1918">
          <w:rPr>
            <w:noProof/>
          </w:rPr>
          <w:t>Alabdali et al. 2014</w:t>
        </w:r>
      </w:hyperlink>
      <w:r w:rsidR="0075212A" w:rsidRPr="007D1918">
        <w:rPr>
          <w:noProof/>
        </w:rPr>
        <w:t>)</w:t>
      </w:r>
      <w:r w:rsidR="0075212A" w:rsidRPr="007D1918">
        <w:fldChar w:fldCharType="end"/>
      </w:r>
      <w:r w:rsidR="006C06A4" w:rsidRPr="007D1918">
        <w:t>. Due to its high cost, IVIg is usually given as a short term therapy, although some patients remain on IVIg maintenance therapy longer term.</w:t>
      </w:r>
    </w:p>
    <w:p w14:paraId="327B2E24" w14:textId="34228BD8" w:rsidR="002953E0" w:rsidRPr="007D1918" w:rsidRDefault="002953E0" w:rsidP="006C06A4">
      <w:pPr>
        <w:jc w:val="both"/>
        <w:rPr>
          <w:rFonts w:cstheme="minorHAnsi"/>
        </w:rPr>
      </w:pPr>
      <w:r w:rsidRPr="007D1918">
        <w:rPr>
          <w:rFonts w:cstheme="minorHAnsi"/>
        </w:rPr>
        <w:t xml:space="preserve">Ig therapy </w:t>
      </w:r>
      <w:r w:rsidR="00603E26" w:rsidRPr="007D1918">
        <w:rPr>
          <w:rFonts w:cstheme="minorHAnsi"/>
        </w:rPr>
        <w:t xml:space="preserve">is </w:t>
      </w:r>
      <w:r w:rsidRPr="007D1918">
        <w:rPr>
          <w:rFonts w:cstheme="minorHAnsi"/>
        </w:rPr>
        <w:t>delivered by intravenous</w:t>
      </w:r>
      <w:r w:rsidR="00A155B7" w:rsidRPr="007D1918">
        <w:rPr>
          <w:rFonts w:cstheme="minorHAnsi"/>
        </w:rPr>
        <w:t xml:space="preserve"> (IV)</w:t>
      </w:r>
      <w:r w:rsidRPr="007D1918">
        <w:rPr>
          <w:rFonts w:cstheme="minorHAnsi"/>
        </w:rPr>
        <w:t xml:space="preserve"> infusion </w:t>
      </w:r>
      <w:r w:rsidR="00603E26" w:rsidRPr="007D1918">
        <w:rPr>
          <w:rFonts w:cstheme="minorHAnsi"/>
        </w:rPr>
        <w:t xml:space="preserve">and </w:t>
      </w:r>
      <w:r w:rsidRPr="007D1918">
        <w:rPr>
          <w:rFonts w:cstheme="minorHAnsi"/>
        </w:rPr>
        <w:t>requires that patients attend hospital for a day procedure to be infused. Depending on the dose, which may be split over several days, they may (or may not) be required to attend hospital on a number of days (usually consecutive) each month. For patients in myasthenic crisis, they are likely to already be inpatients at the time of receiving IVIg.</w:t>
      </w:r>
    </w:p>
    <w:p w14:paraId="49FBE1D3" w14:textId="610AC9CE" w:rsidR="00603E26" w:rsidRPr="007D1918" w:rsidRDefault="00603E26" w:rsidP="006C06A4">
      <w:pPr>
        <w:spacing w:after="120"/>
        <w:jc w:val="both"/>
        <w:rPr>
          <w:rFonts w:cstheme="minorHAnsi"/>
        </w:rPr>
      </w:pPr>
      <w:r w:rsidRPr="007D1918">
        <w:rPr>
          <w:rFonts w:cstheme="minorHAnsi"/>
        </w:rPr>
        <w:t xml:space="preserve">Neurologists primarily care for patients with MG. If patients live in regional or rural areas, they may have ongoing care provided by a general medicine physician and/or neurologist. </w:t>
      </w:r>
      <w:r w:rsidRPr="007D1918">
        <w:t xml:space="preserve">To be eligible to </w:t>
      </w:r>
      <w:r w:rsidRPr="007D1918">
        <w:lastRenderedPageBreak/>
        <w:t xml:space="preserve">access IVIg under governance arrangements initially, an </w:t>
      </w:r>
      <w:r w:rsidR="006C06A4" w:rsidRPr="007D1918">
        <w:t xml:space="preserve">Australian Health </w:t>
      </w:r>
      <w:r w:rsidR="00D7063C" w:rsidRPr="007D1918">
        <w:t>Practitioner</w:t>
      </w:r>
      <w:r w:rsidR="006C06A4" w:rsidRPr="007D1918">
        <w:t xml:space="preserve"> Regulation Agency</w:t>
      </w:r>
      <w:r w:rsidR="00D7063C" w:rsidRPr="007D1918">
        <w:t xml:space="preserve"> (</w:t>
      </w:r>
      <w:r w:rsidRPr="007D1918">
        <w:t>AHPRA</w:t>
      </w:r>
      <w:r w:rsidR="00D7063C" w:rsidRPr="007D1918">
        <w:t>)</w:t>
      </w:r>
      <w:r w:rsidRPr="007D1918">
        <w:t xml:space="preserve"> registered neurologist must diagnose MG in the patient.</w:t>
      </w:r>
      <w:r w:rsidRPr="007D1918">
        <w:rPr>
          <w:rFonts w:cstheme="minorHAnsi"/>
        </w:rPr>
        <w:t xml:space="preserve"> The reviewing medical officer must also be an AHPRA registered neurologist.</w:t>
      </w:r>
    </w:p>
    <w:p w14:paraId="1928B6DC" w14:textId="100C072A" w:rsidR="00603E26" w:rsidRPr="007D1918" w:rsidRDefault="00A155B7" w:rsidP="006C06A4">
      <w:pPr>
        <w:spacing w:after="120"/>
        <w:jc w:val="both"/>
        <w:rPr>
          <w:rFonts w:cstheme="minorHAnsi"/>
        </w:rPr>
      </w:pPr>
      <w:r w:rsidRPr="007D1918">
        <w:rPr>
          <w:rFonts w:cstheme="minorHAnsi"/>
        </w:rPr>
        <w:t xml:space="preserve">IV </w:t>
      </w:r>
      <w:r w:rsidR="00603E26" w:rsidRPr="007D1918">
        <w:rPr>
          <w:rFonts w:cstheme="minorHAnsi"/>
        </w:rPr>
        <w:t xml:space="preserve">administration of Ig requires a treating doctor to determine the dose. The administration of intravenously delivered Ig is undertaken by nursing staff and cannot be delegated. The </w:t>
      </w:r>
      <w:r w:rsidRPr="007D1918">
        <w:rPr>
          <w:rFonts w:cstheme="minorHAnsi"/>
        </w:rPr>
        <w:t xml:space="preserve">IV </w:t>
      </w:r>
      <w:r w:rsidR="00603E26" w:rsidRPr="007D1918">
        <w:rPr>
          <w:rFonts w:cstheme="minorHAnsi"/>
        </w:rPr>
        <w:t>infusion is overseen by the hospital medical staff with overarching responsibility h</w:t>
      </w:r>
      <w:r w:rsidR="006C06A4" w:rsidRPr="007D1918">
        <w:rPr>
          <w:rFonts w:cstheme="minorHAnsi"/>
        </w:rPr>
        <w:t xml:space="preserve">eld by the treating clinician. </w:t>
      </w:r>
      <w:r w:rsidR="00603E26" w:rsidRPr="007D1918">
        <w:rPr>
          <w:rFonts w:cstheme="minorHAnsi"/>
        </w:rPr>
        <w:t>Normally, an IV infusion of Ig would be delivered by a registered nurse in a hospital in-patient or outpatient setting. Some facilities may allow an enrolled nurse under the supervision of a registered nurse. Local hospital policies will vary. All sites that administer blood or blood products should be accredited under the National Safety and Quality Health Service Standard for Blood Management.</w:t>
      </w:r>
      <w:r w:rsidR="00603E26" w:rsidRPr="007D1918">
        <w:rPr>
          <w:rStyle w:val="FootnoteReference"/>
          <w:rFonts w:cstheme="minorHAnsi"/>
        </w:rPr>
        <w:footnoteReference w:id="3"/>
      </w:r>
      <w:r w:rsidR="00603E26" w:rsidRPr="007D1918">
        <w:rPr>
          <w:rFonts w:cstheme="minorHAnsi"/>
        </w:rPr>
        <w:t xml:space="preserve"> Patients or their carers can deliver SCIg in an out of hospital setting, where clinically appropriate.</w:t>
      </w:r>
    </w:p>
    <w:p w14:paraId="3AA5F3B8" w14:textId="387B9067" w:rsidR="002953E0" w:rsidRPr="007D1918" w:rsidRDefault="00A155B7" w:rsidP="002953E0">
      <w:pPr>
        <w:spacing w:after="120"/>
        <w:rPr>
          <w:rFonts w:cstheme="minorHAnsi"/>
        </w:rPr>
      </w:pPr>
      <w:r w:rsidRPr="007D1918">
        <w:rPr>
          <w:rFonts w:cstheme="minorHAnsi"/>
        </w:rPr>
        <w:t xml:space="preserve">IV </w:t>
      </w:r>
      <w:r w:rsidR="002953E0" w:rsidRPr="007D1918">
        <w:rPr>
          <w:rFonts w:cstheme="minorHAnsi"/>
        </w:rPr>
        <w:t>infusion involves:</w:t>
      </w:r>
    </w:p>
    <w:p w14:paraId="0B83BD80" w14:textId="2CD4C4C1" w:rsidR="002953E0" w:rsidRPr="007D1918" w:rsidRDefault="002953E0" w:rsidP="00FD3B5B">
      <w:pPr>
        <w:pStyle w:val="ListParagraph"/>
        <w:numPr>
          <w:ilvl w:val="0"/>
          <w:numId w:val="20"/>
        </w:numPr>
        <w:spacing w:after="0" w:line="360" w:lineRule="auto"/>
        <w:ind w:left="714" w:right="85" w:hanging="357"/>
        <w:rPr>
          <w:rFonts w:cstheme="minorHAnsi"/>
        </w:rPr>
      </w:pPr>
      <w:r w:rsidRPr="007D1918">
        <w:rPr>
          <w:rFonts w:cstheme="minorHAnsi"/>
        </w:rPr>
        <w:t>Identification check to ensure the right patient is receiving the right product at the right dose and at the right time. This check is done by two health professionals – usually one must be a doctor or a registered nurse and the other can be either a doctor, regist</w:t>
      </w:r>
      <w:r w:rsidR="00343082" w:rsidRPr="007D1918">
        <w:rPr>
          <w:rFonts w:cstheme="minorHAnsi"/>
        </w:rPr>
        <w:t>ered nurse or an enrolled nurse</w:t>
      </w:r>
      <w:r w:rsidRPr="007D1918">
        <w:rPr>
          <w:rFonts w:cstheme="minorHAnsi"/>
        </w:rPr>
        <w:t xml:space="preserve"> </w:t>
      </w:r>
    </w:p>
    <w:p w14:paraId="5809A14E" w14:textId="77777777" w:rsidR="002953E0" w:rsidRPr="007D1918" w:rsidRDefault="002953E0" w:rsidP="00FD3B5B">
      <w:pPr>
        <w:pStyle w:val="ListParagraph"/>
        <w:numPr>
          <w:ilvl w:val="0"/>
          <w:numId w:val="20"/>
        </w:numPr>
        <w:spacing w:after="0" w:line="360" w:lineRule="auto"/>
        <w:ind w:left="714" w:right="85" w:hanging="357"/>
        <w:rPr>
          <w:rFonts w:cstheme="minorHAnsi"/>
        </w:rPr>
      </w:pPr>
      <w:r w:rsidRPr="007D1918">
        <w:rPr>
          <w:rFonts w:cstheme="minorHAnsi"/>
        </w:rPr>
        <w:t>preparation of equipment (Ig vial/bottle, vented line, aseptic dressing pack, cannula)</w:t>
      </w:r>
    </w:p>
    <w:p w14:paraId="047E03F5" w14:textId="77777777" w:rsidR="002953E0" w:rsidRPr="007D1918" w:rsidRDefault="002953E0" w:rsidP="00FD3B5B">
      <w:pPr>
        <w:pStyle w:val="ListParagraph"/>
        <w:numPr>
          <w:ilvl w:val="0"/>
          <w:numId w:val="20"/>
        </w:numPr>
        <w:spacing w:after="0" w:line="360" w:lineRule="auto"/>
        <w:ind w:left="714" w:right="85" w:hanging="357"/>
        <w:rPr>
          <w:rFonts w:cstheme="minorHAnsi"/>
        </w:rPr>
      </w:pPr>
      <w:r w:rsidRPr="007D1918">
        <w:rPr>
          <w:rFonts w:cstheme="minorHAnsi"/>
        </w:rPr>
        <w:t xml:space="preserve">the procedure is explained to the patient and consent is obtained </w:t>
      </w:r>
    </w:p>
    <w:p w14:paraId="716A8094" w14:textId="77777777" w:rsidR="002953E0" w:rsidRPr="007D1918" w:rsidRDefault="002953E0" w:rsidP="00343082">
      <w:pPr>
        <w:pStyle w:val="ListParagraph"/>
        <w:numPr>
          <w:ilvl w:val="0"/>
          <w:numId w:val="20"/>
        </w:numPr>
        <w:spacing w:after="0" w:line="360" w:lineRule="auto"/>
        <w:ind w:left="714" w:right="85" w:hanging="357"/>
        <w:rPr>
          <w:rFonts w:cstheme="minorHAnsi"/>
        </w:rPr>
      </w:pPr>
      <w:r w:rsidRPr="007D1918">
        <w:rPr>
          <w:rFonts w:cstheme="minorHAnsi"/>
        </w:rPr>
        <w:t xml:space="preserve">cannula is inserted using aseptic technique by a credentialed nurse or doctor </w:t>
      </w:r>
    </w:p>
    <w:p w14:paraId="1DD39EE9" w14:textId="77777777" w:rsidR="002953E0" w:rsidRPr="007D1918" w:rsidRDefault="002953E0" w:rsidP="00FD3B5B">
      <w:pPr>
        <w:pStyle w:val="ListParagraph"/>
        <w:numPr>
          <w:ilvl w:val="0"/>
          <w:numId w:val="20"/>
        </w:numPr>
        <w:spacing w:after="0" w:line="360" w:lineRule="auto"/>
        <w:ind w:left="714" w:right="85" w:hanging="357"/>
        <w:rPr>
          <w:rFonts w:cstheme="minorHAnsi"/>
        </w:rPr>
      </w:pPr>
      <w:r w:rsidRPr="007D1918">
        <w:rPr>
          <w:rFonts w:cstheme="minorHAnsi"/>
        </w:rPr>
        <w:t>the IV line is inserted directly into the Ig vial/bottle and the IV line is primed with Ig product (without dilution) and hung in accordance with the local hospital’s protocol</w:t>
      </w:r>
    </w:p>
    <w:p w14:paraId="5A840EE9" w14:textId="77777777" w:rsidR="002953E0" w:rsidRPr="007D1918" w:rsidRDefault="002953E0" w:rsidP="00FD3B5B">
      <w:pPr>
        <w:pStyle w:val="ListParagraph"/>
        <w:numPr>
          <w:ilvl w:val="0"/>
          <w:numId w:val="20"/>
        </w:numPr>
        <w:spacing w:after="120" w:line="360" w:lineRule="auto"/>
        <w:ind w:left="714" w:right="85" w:hanging="357"/>
        <w:rPr>
          <w:rFonts w:cstheme="minorHAnsi"/>
        </w:rPr>
      </w:pPr>
      <w:r w:rsidRPr="007D1918">
        <w:rPr>
          <w:rFonts w:cstheme="minorHAnsi"/>
        </w:rPr>
        <w:t xml:space="preserve">the patient is monitored for any reactions and the infusion is slowed or stopped depending on the patient’s response. </w:t>
      </w:r>
    </w:p>
    <w:p w14:paraId="173CD850" w14:textId="613E6C86" w:rsidR="002953E0" w:rsidRPr="007D1918" w:rsidRDefault="002953E0" w:rsidP="00081911">
      <w:pPr>
        <w:spacing w:after="120"/>
        <w:jc w:val="both"/>
        <w:rPr>
          <w:rFonts w:cstheme="minorHAnsi"/>
        </w:rPr>
      </w:pPr>
      <w:r w:rsidRPr="007D1918">
        <w:rPr>
          <w:rFonts w:cstheme="minorHAnsi"/>
        </w:rPr>
        <w:t>Subcutaneous administration of Ig (SCIg) means that the patient themselves or their carer can administer the treatment at home. The patient or carer requires education and training on how to administer the product at home. They will undertake more frequent subcutaneous</w:t>
      </w:r>
      <w:r w:rsidR="00A155B7" w:rsidRPr="007D1918">
        <w:rPr>
          <w:rFonts w:cstheme="minorHAnsi"/>
        </w:rPr>
        <w:t xml:space="preserve"> (SC)</w:t>
      </w:r>
      <w:r w:rsidRPr="007D1918">
        <w:rPr>
          <w:rFonts w:cstheme="minorHAnsi"/>
        </w:rPr>
        <w:t xml:space="preserve"> infusions (usually twice weekly) at home. This requires:</w:t>
      </w:r>
    </w:p>
    <w:p w14:paraId="14433C79" w14:textId="77777777" w:rsidR="002953E0" w:rsidRPr="007D1918" w:rsidRDefault="002953E0" w:rsidP="00FD3B5B">
      <w:pPr>
        <w:pStyle w:val="ListParagraph"/>
        <w:numPr>
          <w:ilvl w:val="0"/>
          <w:numId w:val="21"/>
        </w:numPr>
        <w:spacing w:after="0" w:line="360" w:lineRule="auto"/>
        <w:ind w:left="714" w:right="85" w:hanging="357"/>
        <w:rPr>
          <w:rFonts w:cstheme="minorHAnsi"/>
        </w:rPr>
      </w:pPr>
      <w:r w:rsidRPr="007D1918">
        <w:rPr>
          <w:rFonts w:cstheme="minorHAnsi"/>
        </w:rPr>
        <w:t>storing the product in accordance with the manufacturer’s advice</w:t>
      </w:r>
    </w:p>
    <w:p w14:paraId="7273A567" w14:textId="60ECF6AA" w:rsidR="002953E0" w:rsidRPr="007D1918" w:rsidRDefault="002953E0" w:rsidP="00FD3B5B">
      <w:pPr>
        <w:pStyle w:val="ListParagraph"/>
        <w:numPr>
          <w:ilvl w:val="0"/>
          <w:numId w:val="21"/>
        </w:numPr>
        <w:spacing w:after="0" w:line="360" w:lineRule="auto"/>
        <w:ind w:left="714" w:right="85" w:hanging="357"/>
        <w:rPr>
          <w:rFonts w:cstheme="minorHAnsi"/>
        </w:rPr>
      </w:pPr>
      <w:r w:rsidRPr="007D1918">
        <w:rPr>
          <w:rFonts w:cstheme="minorHAnsi"/>
        </w:rPr>
        <w:t xml:space="preserve">insertion of a butterfly </w:t>
      </w:r>
      <w:r w:rsidR="00A155B7" w:rsidRPr="007D1918">
        <w:rPr>
          <w:rFonts w:cstheme="minorHAnsi"/>
        </w:rPr>
        <w:t xml:space="preserve">SC </w:t>
      </w:r>
      <w:r w:rsidRPr="007D1918">
        <w:rPr>
          <w:rFonts w:cstheme="minorHAnsi"/>
        </w:rPr>
        <w:t xml:space="preserve">cannula using aseptic techniques into </w:t>
      </w:r>
      <w:r w:rsidR="00A155B7" w:rsidRPr="007D1918">
        <w:rPr>
          <w:rFonts w:cstheme="minorHAnsi"/>
        </w:rPr>
        <w:t xml:space="preserve">SC </w:t>
      </w:r>
      <w:r w:rsidRPr="007D1918">
        <w:rPr>
          <w:rFonts w:cstheme="minorHAnsi"/>
        </w:rPr>
        <w:t>layer just under t</w:t>
      </w:r>
      <w:r w:rsidR="00343082" w:rsidRPr="007D1918">
        <w:rPr>
          <w:rFonts w:cstheme="minorHAnsi"/>
        </w:rPr>
        <w:t>he skin of the abdomen or thigh</w:t>
      </w:r>
    </w:p>
    <w:p w14:paraId="599D4A24" w14:textId="77777777" w:rsidR="002953E0" w:rsidRPr="007D1918" w:rsidRDefault="002953E0" w:rsidP="00FD3B5B">
      <w:pPr>
        <w:pStyle w:val="ListParagraph"/>
        <w:numPr>
          <w:ilvl w:val="0"/>
          <w:numId w:val="21"/>
        </w:numPr>
        <w:spacing w:after="0" w:line="360" w:lineRule="auto"/>
        <w:ind w:left="714" w:right="85" w:hanging="357"/>
        <w:rPr>
          <w:rFonts w:cstheme="minorHAnsi"/>
        </w:rPr>
      </w:pPr>
      <w:r w:rsidRPr="007D1918">
        <w:rPr>
          <w:rFonts w:cstheme="minorHAnsi"/>
        </w:rPr>
        <w:t>drawing up the required dose into a syringe</w:t>
      </w:r>
    </w:p>
    <w:p w14:paraId="02322C4F" w14:textId="562115E1" w:rsidR="002953E0" w:rsidRPr="007D1918" w:rsidRDefault="002953E0" w:rsidP="00FD3B5B">
      <w:pPr>
        <w:pStyle w:val="ListParagraph"/>
        <w:numPr>
          <w:ilvl w:val="0"/>
          <w:numId w:val="21"/>
        </w:numPr>
        <w:spacing w:after="0" w:line="360" w:lineRule="auto"/>
        <w:ind w:left="714" w:right="85" w:hanging="357"/>
        <w:rPr>
          <w:rFonts w:cstheme="minorHAnsi"/>
        </w:rPr>
      </w:pPr>
      <w:r w:rsidRPr="007D1918">
        <w:rPr>
          <w:rFonts w:cstheme="minorHAnsi"/>
        </w:rPr>
        <w:t xml:space="preserve">connection of the syringe to the </w:t>
      </w:r>
      <w:r w:rsidR="00A155B7" w:rsidRPr="007D1918">
        <w:rPr>
          <w:rFonts w:cstheme="minorHAnsi"/>
        </w:rPr>
        <w:t xml:space="preserve">SC </w:t>
      </w:r>
      <w:r w:rsidRPr="007D1918">
        <w:rPr>
          <w:rFonts w:cstheme="minorHAnsi"/>
        </w:rPr>
        <w:t>line</w:t>
      </w:r>
    </w:p>
    <w:p w14:paraId="59DA9562" w14:textId="77777777" w:rsidR="002953E0" w:rsidRPr="007D1918" w:rsidRDefault="002953E0" w:rsidP="00FD3B5B">
      <w:pPr>
        <w:pStyle w:val="ListParagraph"/>
        <w:numPr>
          <w:ilvl w:val="0"/>
          <w:numId w:val="21"/>
        </w:numPr>
        <w:spacing w:after="120" w:line="360" w:lineRule="auto"/>
        <w:ind w:left="714" w:right="85" w:hanging="357"/>
        <w:rPr>
          <w:rFonts w:cstheme="minorHAnsi"/>
        </w:rPr>
      </w:pPr>
      <w:r w:rsidRPr="007D1918">
        <w:rPr>
          <w:rFonts w:cstheme="minorHAnsi"/>
        </w:rPr>
        <w:lastRenderedPageBreak/>
        <w:t xml:space="preserve">pushing the dose into the abdomen at the required rate which will vary depending on the dose size and the patient’s response. </w:t>
      </w:r>
    </w:p>
    <w:p w14:paraId="0B84180C" w14:textId="6AADE12C" w:rsidR="002953E0" w:rsidRPr="007D1918" w:rsidRDefault="002953E0" w:rsidP="00081911">
      <w:pPr>
        <w:jc w:val="both"/>
        <w:rPr>
          <w:rFonts w:cstheme="minorHAnsi"/>
        </w:rPr>
      </w:pPr>
      <w:r w:rsidRPr="007D1918">
        <w:rPr>
          <w:rFonts w:cstheme="minorHAnsi"/>
        </w:rPr>
        <w:t xml:space="preserve">SCIg is not currently available for MG under the arrangements described above. The </w:t>
      </w:r>
      <w:r w:rsidR="00A67936" w:rsidRPr="007D1918">
        <w:rPr>
          <w:rFonts w:cstheme="minorHAnsi"/>
        </w:rPr>
        <w:t xml:space="preserve">Applicant </w:t>
      </w:r>
      <w:r w:rsidRPr="007D1918">
        <w:rPr>
          <w:rFonts w:cstheme="minorHAnsi"/>
        </w:rPr>
        <w:t>reports that current clinical trials indicate that SCIg may be considered for use in MG in the future. Due to the advanced stage of phase 3 trials, it is anticipated that a Schedule 4 submission is likely to be made in the near future for the use of SCIg in MG. On this basis, SCIg has been in</w:t>
      </w:r>
      <w:r w:rsidR="00D563A2" w:rsidRPr="007D1918">
        <w:rPr>
          <w:rFonts w:cstheme="minorHAnsi"/>
        </w:rPr>
        <w:t>cluded in this assessment, for I</w:t>
      </w:r>
      <w:r w:rsidRPr="007D1918">
        <w:rPr>
          <w:rFonts w:cstheme="minorHAnsi"/>
        </w:rPr>
        <w:t>ndication 3</w:t>
      </w:r>
      <w:r w:rsidR="00A155B7" w:rsidRPr="007D1918">
        <w:rPr>
          <w:rFonts w:cstheme="minorHAnsi"/>
        </w:rPr>
        <w:t xml:space="preserve"> </w:t>
      </w:r>
      <w:r w:rsidR="003736AC" w:rsidRPr="007D1918">
        <w:rPr>
          <w:rFonts w:cstheme="minorHAnsi"/>
        </w:rPr>
        <w:fldChar w:fldCharType="begin"/>
      </w:r>
      <w:r w:rsidR="003736AC" w:rsidRPr="007D1918">
        <w:rPr>
          <w:rFonts w:cstheme="minorHAnsi"/>
        </w:rPr>
        <w:instrText xml:space="preserve"> ADDIN EN.CITE &lt;EndNote&gt;&lt;Cite&gt;&lt;Author&gt;MSAC&lt;/Author&gt;&lt;Year&gt;2019&lt;/Year&gt;&lt;RecNum&gt;35&lt;/RecNum&gt;&lt;DisplayText&gt;(MSAC 2019)&lt;/DisplayText&gt;&lt;record&gt;&lt;rec-number&gt;35&lt;/rec-number&gt;&lt;foreign-keys&gt;&lt;key app="EN" db-id="2aevrx2slsts5ve9sdavatf125dsx0av2v9d" timestamp="1561425723"&gt;35&lt;/key&gt;&lt;key app="ENWeb" db-id=""&gt;0&lt;/key&gt;&lt;/foreign-keys&gt;&lt;ref-type name="Report"&gt;27&lt;/ref-type&gt;&lt;contributors&gt;&lt;authors&gt;&lt;author&gt;MSAC&lt;/author&gt;&lt;/authors&gt;&lt;secondary-authors&gt;&lt;author&gt;Medical Servoces Advisory Committee&lt;/author&gt;&lt;/secondary-authors&gt;&lt;/contributors&gt;&lt;titles&gt;&lt;title&gt;PICO Confirmtaion 1566: Immunoglobulin for myasthenia gravis­_FINAL Ratified&lt;/title&gt;&lt;secondary-title&gt;PICO confirmation&lt;/secondary-title&gt;&lt;/titles&gt;&lt;dates&gt;&lt;year&gt;2019&lt;/year&gt;&lt;/dates&gt;&lt;pub-location&gt;Canberra&lt;/pub-location&gt;&lt;publisher&gt;Department of Health&lt;/publisher&gt;&lt;urls&gt;&lt;/urls&gt;&lt;/record&gt;&lt;/Cite&gt;&lt;/EndNote&gt;</w:instrText>
      </w:r>
      <w:r w:rsidR="003736AC" w:rsidRPr="007D1918">
        <w:rPr>
          <w:rFonts w:cstheme="minorHAnsi"/>
        </w:rPr>
        <w:fldChar w:fldCharType="separate"/>
      </w:r>
      <w:r w:rsidR="003736AC" w:rsidRPr="007D1918">
        <w:rPr>
          <w:rFonts w:cstheme="minorHAnsi"/>
          <w:noProof/>
        </w:rPr>
        <w:t>(</w:t>
      </w:r>
      <w:hyperlink w:anchor="_ENREF_66" w:tooltip="MSAC, 2019 #35" w:history="1">
        <w:r w:rsidR="007D4948" w:rsidRPr="007D1918">
          <w:rPr>
            <w:rFonts w:cstheme="minorHAnsi"/>
            <w:noProof/>
          </w:rPr>
          <w:t>MSAC 2019</w:t>
        </w:r>
      </w:hyperlink>
      <w:r w:rsidR="003736AC" w:rsidRPr="007D1918">
        <w:rPr>
          <w:rFonts w:cstheme="minorHAnsi"/>
          <w:noProof/>
        </w:rPr>
        <w:t>)</w:t>
      </w:r>
      <w:r w:rsidR="003736AC" w:rsidRPr="007D1918">
        <w:rPr>
          <w:rFonts w:cstheme="minorHAnsi"/>
        </w:rPr>
        <w:fldChar w:fldCharType="end"/>
      </w:r>
      <w:r w:rsidR="00816750" w:rsidRPr="007D1918">
        <w:rPr>
          <w:rFonts w:cstheme="minorHAnsi"/>
        </w:rPr>
        <w:t>. It would not be used in I</w:t>
      </w:r>
      <w:r w:rsidRPr="007D1918">
        <w:rPr>
          <w:rFonts w:cstheme="minorHAnsi"/>
        </w:rPr>
        <w:t xml:space="preserve">ndications 1 and 2 as these patients are already likely to be inpatients of hospital given their advanced and serious health states, and would therefore not be suitable to receive SCIg at home. As there could be differences in response rates between IVIg and SCIg for some of the selected outcomes (adverse events, disability, venous damage), and differences in health service consumption (e.g. outpatient day- admission hospital care v self-care), IVIg and SCIg are noted as intervention subgroups in the PICO. </w:t>
      </w:r>
    </w:p>
    <w:p w14:paraId="32BBF4E9" w14:textId="770BF81B" w:rsidR="007D2548" w:rsidRPr="007D1918" w:rsidRDefault="007D2548" w:rsidP="00081911">
      <w:pPr>
        <w:pStyle w:val="Heading3"/>
        <w:jc w:val="both"/>
      </w:pPr>
      <w:bookmarkStart w:id="106" w:name="_Toc381796448"/>
      <w:bookmarkStart w:id="107" w:name="_Toc395200760"/>
      <w:bookmarkStart w:id="108" w:name="_Toc23766939"/>
      <w:bookmarkStart w:id="109" w:name="_Toc381796445"/>
      <w:r w:rsidRPr="007D1918">
        <w:t>Marketing status of device / technology</w:t>
      </w:r>
      <w:bookmarkEnd w:id="106"/>
      <w:bookmarkEnd w:id="107"/>
      <w:bookmarkEnd w:id="108"/>
    </w:p>
    <w:p w14:paraId="34CFCB2C" w14:textId="575B931A" w:rsidR="007D2548" w:rsidRPr="007D1918" w:rsidRDefault="007D2548" w:rsidP="00081911">
      <w:pPr>
        <w:jc w:val="both"/>
      </w:pPr>
      <w:r w:rsidRPr="007D1918">
        <w:t xml:space="preserve">All therapeutic products marketed in Australia require listing on the Australian Register of Therapeutic Goods (ARTG). MSAC will not consider a therapeutic product for reimbursement if the device is not listed on the ARTG. </w:t>
      </w:r>
      <w:r w:rsidR="00AB3CB2" w:rsidRPr="007D1918">
        <w:t>I</w:t>
      </w:r>
      <w:r w:rsidRPr="007D1918">
        <w:t xml:space="preserve">tems on the ARTG </w:t>
      </w:r>
      <w:r w:rsidR="00AB3CB2" w:rsidRPr="007D1918">
        <w:t xml:space="preserve">that are relevant to this application </w:t>
      </w:r>
      <w:r w:rsidRPr="007D1918">
        <w:t xml:space="preserve">are shown in </w:t>
      </w:r>
      <w:r w:rsidR="009B558E" w:rsidRPr="007D1918">
        <w:fldChar w:fldCharType="begin"/>
      </w:r>
      <w:r w:rsidR="009B558E" w:rsidRPr="007D1918">
        <w:instrText xml:space="preserve"> REF _Ref364240778 \h  \* MERGEFORMAT </w:instrText>
      </w:r>
      <w:r w:rsidR="009B558E" w:rsidRPr="007D1918">
        <w:fldChar w:fldCharType="separate"/>
      </w:r>
      <w:r w:rsidR="007C33AD" w:rsidRPr="007D1918">
        <w:t xml:space="preserve">Table </w:t>
      </w:r>
      <w:r w:rsidR="007C33AD" w:rsidRPr="007D1918">
        <w:rPr>
          <w:noProof/>
        </w:rPr>
        <w:t>7</w:t>
      </w:r>
      <w:r w:rsidR="009B558E" w:rsidRPr="007D1918">
        <w:fldChar w:fldCharType="end"/>
      </w:r>
      <w:r w:rsidRPr="007D1918">
        <w:t xml:space="preserve">. </w:t>
      </w:r>
    </w:p>
    <w:p w14:paraId="22B22270" w14:textId="10C99EF4" w:rsidR="007D2548" w:rsidRPr="007D1918" w:rsidRDefault="00AE4F65" w:rsidP="00FD3B5B">
      <w:pPr>
        <w:tabs>
          <w:tab w:val="left" w:pos="1365"/>
        </w:tabs>
        <w:spacing w:after="120"/>
        <w:jc w:val="both"/>
      </w:pPr>
      <w:r w:rsidRPr="007D1918">
        <w:t xml:space="preserve">Two Ig products are registered </w:t>
      </w:r>
      <w:r w:rsidR="000F03E2" w:rsidRPr="007D1918">
        <w:t xml:space="preserve">on the ARTG </w:t>
      </w:r>
      <w:r w:rsidRPr="007D1918">
        <w:t>for MG</w:t>
      </w:r>
      <w:r w:rsidR="000F03E2" w:rsidRPr="007D1918">
        <w:t>;</w:t>
      </w:r>
      <w:r w:rsidRPr="007D1918">
        <w:t xml:space="preserve"> </w:t>
      </w:r>
      <w:r w:rsidR="000F03E2" w:rsidRPr="007D1918">
        <w:t>t</w:t>
      </w:r>
      <w:r w:rsidR="0098313F" w:rsidRPr="007D1918">
        <w:t xml:space="preserve">hey are highlighted green on </w:t>
      </w:r>
      <w:r w:rsidR="0098313F" w:rsidRPr="007D1918">
        <w:fldChar w:fldCharType="begin"/>
      </w:r>
      <w:r w:rsidR="0098313F" w:rsidRPr="007D1918">
        <w:instrText xml:space="preserve"> REF _Ref364240778 \h </w:instrText>
      </w:r>
      <w:r w:rsidR="00B05D32" w:rsidRPr="007D1918">
        <w:instrText xml:space="preserve"> \* MERGEFORMAT </w:instrText>
      </w:r>
      <w:r w:rsidR="0098313F" w:rsidRPr="007D1918">
        <w:fldChar w:fldCharType="separate"/>
      </w:r>
      <w:r w:rsidR="007C33AD" w:rsidRPr="007D1918">
        <w:t xml:space="preserve">Table </w:t>
      </w:r>
      <w:r w:rsidR="007C33AD" w:rsidRPr="007D1918">
        <w:rPr>
          <w:noProof/>
        </w:rPr>
        <w:t>7</w:t>
      </w:r>
      <w:r w:rsidR="0098313F" w:rsidRPr="007D1918">
        <w:fldChar w:fldCharType="end"/>
      </w:r>
      <w:r w:rsidR="000F03E2" w:rsidRPr="007D1918">
        <w:t xml:space="preserve"> and are:</w:t>
      </w:r>
    </w:p>
    <w:p w14:paraId="546221F2" w14:textId="14DB31EE" w:rsidR="00AE4F65" w:rsidRPr="007D1918" w:rsidRDefault="00AE4F65" w:rsidP="00FD3B5B">
      <w:pPr>
        <w:pStyle w:val="ListParagraph"/>
        <w:widowControl w:val="0"/>
        <w:numPr>
          <w:ilvl w:val="0"/>
          <w:numId w:val="16"/>
        </w:numPr>
        <w:autoSpaceDE w:val="0"/>
        <w:autoSpaceDN w:val="0"/>
        <w:adjustRightInd w:val="0"/>
        <w:spacing w:after="0" w:line="360" w:lineRule="auto"/>
        <w:ind w:left="714" w:hanging="357"/>
        <w:jc w:val="both"/>
        <w:rPr>
          <w:rFonts w:cstheme="minorHAnsi"/>
        </w:rPr>
      </w:pPr>
      <w:r w:rsidRPr="007D1918">
        <w:rPr>
          <w:rFonts w:cstheme="minorHAnsi"/>
        </w:rPr>
        <w:t xml:space="preserve">Intragam 10 – can only be administered </w:t>
      </w:r>
      <w:r w:rsidR="00A67936" w:rsidRPr="007D1918">
        <w:rPr>
          <w:rFonts w:cstheme="minorHAnsi"/>
        </w:rPr>
        <w:t>intravenously</w:t>
      </w:r>
      <w:r w:rsidRPr="007D1918">
        <w:rPr>
          <w:rFonts w:cstheme="minorHAnsi"/>
        </w:rPr>
        <w:t>. It is a domestic product. The price excludes the cost of plasma collection. It is available under the National Blood Arrangements for MG.</w:t>
      </w:r>
    </w:p>
    <w:p w14:paraId="53BD2937" w14:textId="3817385A" w:rsidR="00AE4F65" w:rsidRPr="007D1918" w:rsidRDefault="00AE4F65" w:rsidP="00FD3B5B">
      <w:pPr>
        <w:pStyle w:val="ListParagraph"/>
        <w:widowControl w:val="0"/>
        <w:numPr>
          <w:ilvl w:val="0"/>
          <w:numId w:val="16"/>
        </w:numPr>
        <w:autoSpaceDE w:val="0"/>
        <w:autoSpaceDN w:val="0"/>
        <w:adjustRightInd w:val="0"/>
        <w:spacing w:after="120" w:line="360" w:lineRule="auto"/>
        <w:ind w:left="714" w:hanging="357"/>
        <w:jc w:val="both"/>
        <w:rPr>
          <w:rFonts w:cstheme="minorHAnsi"/>
        </w:rPr>
      </w:pPr>
      <w:r w:rsidRPr="007D1918">
        <w:rPr>
          <w:rFonts w:cstheme="minorHAnsi"/>
        </w:rPr>
        <w:t xml:space="preserve">Privigen 10%. – can only be administered </w:t>
      </w:r>
      <w:r w:rsidR="00A67936" w:rsidRPr="007D1918">
        <w:rPr>
          <w:rFonts w:cstheme="minorHAnsi"/>
        </w:rPr>
        <w:t>intravenously</w:t>
      </w:r>
      <w:r w:rsidRPr="007D1918">
        <w:rPr>
          <w:rFonts w:cstheme="minorHAnsi"/>
        </w:rPr>
        <w:t xml:space="preserve">. It is an imported product. It is available in four different doses (5g, 10g, 20g, 40g) and is funded under the National Blood Arrangements for MG. </w:t>
      </w:r>
    </w:p>
    <w:p w14:paraId="16142C8C" w14:textId="31F14D94" w:rsidR="00117D2B" w:rsidRPr="007D1918" w:rsidRDefault="00AE4F65" w:rsidP="00B05D32">
      <w:pPr>
        <w:tabs>
          <w:tab w:val="left" w:pos="1365"/>
        </w:tabs>
        <w:jc w:val="both"/>
        <w:rPr>
          <w:rFonts w:cstheme="minorHAnsi"/>
        </w:rPr>
      </w:pPr>
      <w:r w:rsidRPr="007D1918">
        <w:t xml:space="preserve">The NBA currently provides Ig by </w:t>
      </w:r>
      <w:r w:rsidR="00A67936" w:rsidRPr="007D1918">
        <w:t xml:space="preserve">IV </w:t>
      </w:r>
      <w:r w:rsidRPr="007D1918">
        <w:t xml:space="preserve">infusion for a further three products for MG: </w:t>
      </w:r>
      <w:r w:rsidRPr="007D1918">
        <w:rPr>
          <w:rFonts w:cstheme="minorHAnsi"/>
        </w:rPr>
        <w:t>Flebogamma 5%, Flebogamma 10% and Intragam P. The latter will be removed from the Product List once current stocks expire. It has been replaced by Intragam 10.</w:t>
      </w:r>
      <w:r w:rsidR="00A77189" w:rsidRPr="007D1918">
        <w:rPr>
          <w:rFonts w:cstheme="minorHAnsi"/>
        </w:rPr>
        <w:t xml:space="preserve"> A further 12 Ig products are listed on the ARTG, either for IV or SC infusion</w:t>
      </w:r>
      <w:r w:rsidR="00EF6579" w:rsidRPr="007D1918">
        <w:rPr>
          <w:rFonts w:cstheme="minorHAnsi"/>
        </w:rPr>
        <w:t>, but</w:t>
      </w:r>
      <w:r w:rsidR="000F03E2" w:rsidRPr="007D1918">
        <w:rPr>
          <w:rFonts w:cstheme="minorHAnsi"/>
        </w:rPr>
        <w:t xml:space="preserve"> are</w:t>
      </w:r>
      <w:r w:rsidR="00EF6579" w:rsidRPr="007D1918">
        <w:rPr>
          <w:rFonts w:cstheme="minorHAnsi"/>
        </w:rPr>
        <w:t xml:space="preserve"> not indicated for MG</w:t>
      </w:r>
      <w:r w:rsidR="00A77189" w:rsidRPr="007D1918">
        <w:rPr>
          <w:rFonts w:cstheme="minorHAnsi"/>
        </w:rPr>
        <w:t>.</w:t>
      </w:r>
    </w:p>
    <w:p w14:paraId="1EFDB726" w14:textId="77777777" w:rsidR="00117D2B" w:rsidRPr="007D1918" w:rsidRDefault="00117D2B" w:rsidP="00B05D32">
      <w:pPr>
        <w:tabs>
          <w:tab w:val="left" w:pos="1365"/>
        </w:tabs>
        <w:jc w:val="both"/>
        <w:rPr>
          <w:rFonts w:cstheme="minorHAnsi"/>
        </w:rPr>
      </w:pPr>
    </w:p>
    <w:p w14:paraId="066800CE" w14:textId="77777777" w:rsidR="00117D2B" w:rsidRPr="007D1918" w:rsidRDefault="00117D2B" w:rsidP="00B05D32">
      <w:pPr>
        <w:tabs>
          <w:tab w:val="left" w:pos="1365"/>
        </w:tabs>
        <w:jc w:val="both"/>
      </w:pPr>
    </w:p>
    <w:p w14:paraId="26DFF928" w14:textId="551B4EAD" w:rsidR="007D2548" w:rsidRPr="007D1918" w:rsidRDefault="007D2548" w:rsidP="00117D2B">
      <w:pPr>
        <w:pStyle w:val="Caption"/>
        <w:keepNext/>
        <w:keepLines/>
        <w:tabs>
          <w:tab w:val="left" w:pos="1134"/>
        </w:tabs>
        <w:ind w:left="1134" w:hanging="1134"/>
        <w:jc w:val="both"/>
      </w:pPr>
      <w:bookmarkStart w:id="110" w:name="_Ref364240778"/>
      <w:bookmarkStart w:id="111" w:name="_Toc381969859"/>
      <w:bookmarkStart w:id="112" w:name="_Toc23769494"/>
      <w:r w:rsidRPr="007D1918">
        <w:lastRenderedPageBreak/>
        <w:t xml:space="preserve">Table </w:t>
      </w:r>
      <w:r w:rsidR="0050102B" w:rsidRPr="007D1918">
        <w:rPr>
          <w:noProof/>
        </w:rPr>
        <w:fldChar w:fldCharType="begin"/>
      </w:r>
      <w:r w:rsidR="0050102B" w:rsidRPr="007D1918">
        <w:rPr>
          <w:noProof/>
        </w:rPr>
        <w:instrText xml:space="preserve"> SEQ Table \* ARABIC </w:instrText>
      </w:r>
      <w:r w:rsidR="0050102B" w:rsidRPr="007D1918">
        <w:rPr>
          <w:noProof/>
        </w:rPr>
        <w:fldChar w:fldCharType="separate"/>
      </w:r>
      <w:r w:rsidR="007C33AD" w:rsidRPr="007D1918">
        <w:rPr>
          <w:noProof/>
        </w:rPr>
        <w:t>7</w:t>
      </w:r>
      <w:r w:rsidR="0050102B" w:rsidRPr="007D1918">
        <w:rPr>
          <w:noProof/>
        </w:rPr>
        <w:fldChar w:fldCharType="end"/>
      </w:r>
      <w:bookmarkEnd w:id="110"/>
      <w:r w:rsidRPr="007D1918">
        <w:tab/>
      </w:r>
      <w:r w:rsidR="00A77189" w:rsidRPr="007D1918">
        <w:t>Ig products</w:t>
      </w:r>
      <w:r w:rsidRPr="007D1918">
        <w:t xml:space="preserve"> listed on the ARTG</w:t>
      </w:r>
      <w:bookmarkEnd w:id="111"/>
      <w:bookmarkEnd w:id="112"/>
    </w:p>
    <w:tbl>
      <w:tblPr>
        <w:tblStyle w:val="TableGrid"/>
        <w:tblW w:w="9214" w:type="dxa"/>
        <w:tblInd w:w="-5" w:type="dxa"/>
        <w:tblLook w:val="04A0" w:firstRow="1" w:lastRow="0" w:firstColumn="1" w:lastColumn="0" w:noHBand="0" w:noVBand="1"/>
        <w:tblCaption w:val="Table 5 Ig products listed on the ARTG"/>
        <w:tblDescription w:val="Ig products listed on the TGA, their route of administration (SC or IV), whether or not they are indicated for MG, and whether or not they are NBA fubnded for MG,"/>
      </w:tblPr>
      <w:tblGrid>
        <w:gridCol w:w="2552"/>
        <w:gridCol w:w="2410"/>
        <w:gridCol w:w="1417"/>
        <w:gridCol w:w="1418"/>
        <w:gridCol w:w="1417"/>
      </w:tblGrid>
      <w:tr w:rsidR="00A77189" w:rsidRPr="007D1918" w14:paraId="78AA4593" w14:textId="77777777" w:rsidTr="00C245A4">
        <w:trPr>
          <w:tblHeader/>
        </w:trPr>
        <w:tc>
          <w:tcPr>
            <w:tcW w:w="2552" w:type="dxa"/>
          </w:tcPr>
          <w:p w14:paraId="05F43AC3" w14:textId="5CF6B67A" w:rsidR="00A77189" w:rsidRPr="007D1918" w:rsidRDefault="00A77189" w:rsidP="00117D2B">
            <w:pPr>
              <w:pStyle w:val="TableHeading"/>
              <w:keepLines/>
              <w:ind w:left="0"/>
            </w:pPr>
            <w:r w:rsidRPr="007D1918">
              <w:t xml:space="preserve">ARTG no. </w:t>
            </w:r>
          </w:p>
        </w:tc>
        <w:tc>
          <w:tcPr>
            <w:tcW w:w="2410" w:type="dxa"/>
          </w:tcPr>
          <w:p w14:paraId="1369FE42" w14:textId="0F8BEC48" w:rsidR="00A77189" w:rsidRPr="007D1918" w:rsidRDefault="00A77189" w:rsidP="00117D2B">
            <w:pPr>
              <w:pStyle w:val="TableHeading"/>
              <w:keepLines/>
              <w:ind w:left="0"/>
            </w:pPr>
            <w:r w:rsidRPr="007D1918">
              <w:t>TGA registered indications including MG</w:t>
            </w:r>
          </w:p>
        </w:tc>
        <w:tc>
          <w:tcPr>
            <w:tcW w:w="1417" w:type="dxa"/>
          </w:tcPr>
          <w:p w14:paraId="644BE5D8" w14:textId="77777777" w:rsidR="00A77189" w:rsidRPr="007D1918" w:rsidRDefault="00A77189" w:rsidP="00117D2B">
            <w:pPr>
              <w:pStyle w:val="TableHeading"/>
              <w:keepLines/>
              <w:ind w:left="0"/>
            </w:pPr>
            <w:r w:rsidRPr="007D1918">
              <w:t>Route of Administration</w:t>
            </w:r>
          </w:p>
        </w:tc>
        <w:tc>
          <w:tcPr>
            <w:tcW w:w="1418" w:type="dxa"/>
          </w:tcPr>
          <w:p w14:paraId="4EBD6E54" w14:textId="77777777" w:rsidR="00A77189" w:rsidRPr="007D1918" w:rsidRDefault="00A77189" w:rsidP="00117D2B">
            <w:pPr>
              <w:pStyle w:val="TableHeading"/>
              <w:keepLines/>
              <w:ind w:left="0"/>
            </w:pPr>
            <w:r w:rsidRPr="007D1918">
              <w:t>TGA indication for MG?</w:t>
            </w:r>
          </w:p>
        </w:tc>
        <w:tc>
          <w:tcPr>
            <w:tcW w:w="1417" w:type="dxa"/>
          </w:tcPr>
          <w:p w14:paraId="543E64B5" w14:textId="77777777" w:rsidR="00A77189" w:rsidRPr="007D1918" w:rsidRDefault="00A77189" w:rsidP="00117D2B">
            <w:pPr>
              <w:pStyle w:val="TableHeading"/>
              <w:keepLines/>
              <w:ind w:left="0"/>
            </w:pPr>
            <w:r w:rsidRPr="007D1918">
              <w:t>NBA Funded for MG*?</w:t>
            </w:r>
          </w:p>
        </w:tc>
      </w:tr>
      <w:tr w:rsidR="00A77189" w:rsidRPr="007D1918" w14:paraId="39DFC403" w14:textId="77777777" w:rsidTr="005C4901">
        <w:tc>
          <w:tcPr>
            <w:tcW w:w="2552" w:type="dxa"/>
          </w:tcPr>
          <w:p w14:paraId="71209B6D" w14:textId="25939211" w:rsidR="00A77189" w:rsidRPr="007D1918" w:rsidRDefault="006B04DB" w:rsidP="00117D2B">
            <w:pPr>
              <w:pStyle w:val="Tabletext1"/>
              <w:keepNext/>
              <w:keepLines/>
              <w:ind w:left="0"/>
            </w:pPr>
            <w:r w:rsidRPr="007D1918">
              <w:t xml:space="preserve">199979-199981, </w:t>
            </w:r>
            <w:r w:rsidR="0037427C" w:rsidRPr="007D1918">
              <w:t>16248</w:t>
            </w:r>
            <w:r w:rsidRPr="007D1918">
              <w:t>6-</w:t>
            </w:r>
            <w:r w:rsidR="0037427C" w:rsidRPr="007D1918">
              <w:t>162489</w:t>
            </w:r>
          </w:p>
        </w:tc>
        <w:tc>
          <w:tcPr>
            <w:tcW w:w="2410" w:type="dxa"/>
          </w:tcPr>
          <w:p w14:paraId="373BFFBB" w14:textId="057EEB96" w:rsidR="00A77189" w:rsidRPr="007D1918" w:rsidRDefault="00A77189" w:rsidP="00117D2B">
            <w:pPr>
              <w:pStyle w:val="Tabletext1"/>
              <w:keepNext/>
              <w:keepLines/>
              <w:ind w:left="0"/>
            </w:pPr>
            <w:r w:rsidRPr="007D1918">
              <w:t xml:space="preserve">Intragam 10 – CSL Behring Australia P/L  </w:t>
            </w:r>
          </w:p>
        </w:tc>
        <w:tc>
          <w:tcPr>
            <w:tcW w:w="1417" w:type="dxa"/>
          </w:tcPr>
          <w:p w14:paraId="13CE6EFF" w14:textId="77777777" w:rsidR="00A77189" w:rsidRPr="007D1918" w:rsidRDefault="00A77189" w:rsidP="00117D2B">
            <w:pPr>
              <w:pStyle w:val="Tabletext1"/>
              <w:keepNext/>
              <w:keepLines/>
              <w:ind w:left="0"/>
            </w:pPr>
            <w:r w:rsidRPr="007D1918">
              <w:t>IV</w:t>
            </w:r>
          </w:p>
        </w:tc>
        <w:tc>
          <w:tcPr>
            <w:tcW w:w="1418" w:type="dxa"/>
            <w:shd w:val="clear" w:color="auto" w:fill="C2D69B" w:themeFill="accent3" w:themeFillTint="99"/>
          </w:tcPr>
          <w:p w14:paraId="7184D9BE" w14:textId="77777777" w:rsidR="00A77189" w:rsidRPr="007D1918" w:rsidRDefault="00A77189" w:rsidP="00117D2B">
            <w:pPr>
              <w:pStyle w:val="Tabletext1"/>
              <w:keepNext/>
              <w:keepLines/>
              <w:ind w:left="0"/>
            </w:pPr>
            <w:r w:rsidRPr="007D1918">
              <w:t>Yes</w:t>
            </w:r>
          </w:p>
        </w:tc>
        <w:tc>
          <w:tcPr>
            <w:tcW w:w="1417" w:type="dxa"/>
          </w:tcPr>
          <w:p w14:paraId="10A23534" w14:textId="76DCF9C4" w:rsidR="00A77189" w:rsidRPr="007D1918" w:rsidRDefault="00A77189" w:rsidP="00117D2B">
            <w:pPr>
              <w:pStyle w:val="Tabletext1"/>
              <w:keepNext/>
              <w:keepLines/>
              <w:ind w:left="0"/>
            </w:pPr>
            <w:r w:rsidRPr="007D1918">
              <w:t>Yes</w:t>
            </w:r>
            <w:r w:rsidR="008878E3" w:rsidRPr="007D1918">
              <w:rPr>
                <w:vertAlign w:val="superscript"/>
              </w:rPr>
              <w:t>a</w:t>
            </w:r>
          </w:p>
        </w:tc>
      </w:tr>
      <w:tr w:rsidR="00A77189" w:rsidRPr="007D1918" w14:paraId="3AB15B3A" w14:textId="77777777" w:rsidTr="005C4901">
        <w:tc>
          <w:tcPr>
            <w:tcW w:w="2552" w:type="dxa"/>
          </w:tcPr>
          <w:p w14:paraId="58942890" w14:textId="7906973A" w:rsidR="00A77189" w:rsidRPr="007D1918" w:rsidRDefault="00E565DD" w:rsidP="00E565DD">
            <w:pPr>
              <w:pStyle w:val="Tabletext1"/>
              <w:ind w:left="0"/>
            </w:pPr>
            <w:r w:rsidRPr="007D1918">
              <w:t>146273, 143337, 143368, 219160, 265147, 269</w:t>
            </w:r>
            <w:r w:rsidR="0037427C" w:rsidRPr="007D1918">
              <w:t xml:space="preserve">689-269691, 306801, </w:t>
            </w:r>
          </w:p>
        </w:tc>
        <w:tc>
          <w:tcPr>
            <w:tcW w:w="2410" w:type="dxa"/>
          </w:tcPr>
          <w:p w14:paraId="586F82CD" w14:textId="0AF79ECF" w:rsidR="00A77189" w:rsidRPr="007D1918" w:rsidRDefault="00A77189" w:rsidP="00A77189">
            <w:pPr>
              <w:pStyle w:val="Tabletext1"/>
              <w:ind w:left="0"/>
            </w:pPr>
            <w:r w:rsidRPr="007D1918">
              <w:t xml:space="preserve">Privigen 10% – CSL Behring Australia P/L  </w:t>
            </w:r>
          </w:p>
        </w:tc>
        <w:tc>
          <w:tcPr>
            <w:tcW w:w="1417" w:type="dxa"/>
          </w:tcPr>
          <w:p w14:paraId="48F9D8E6" w14:textId="77777777" w:rsidR="00A77189" w:rsidRPr="007D1918" w:rsidRDefault="00A77189" w:rsidP="00A77189">
            <w:pPr>
              <w:pStyle w:val="Tabletext1"/>
              <w:ind w:left="0"/>
            </w:pPr>
            <w:r w:rsidRPr="007D1918">
              <w:t>IV</w:t>
            </w:r>
          </w:p>
        </w:tc>
        <w:tc>
          <w:tcPr>
            <w:tcW w:w="1418" w:type="dxa"/>
            <w:shd w:val="clear" w:color="auto" w:fill="C2D69B" w:themeFill="accent3" w:themeFillTint="99"/>
          </w:tcPr>
          <w:p w14:paraId="3402D502" w14:textId="77777777" w:rsidR="00A77189" w:rsidRPr="007D1918" w:rsidRDefault="00A77189" w:rsidP="00A77189">
            <w:pPr>
              <w:pStyle w:val="Tabletext1"/>
              <w:ind w:left="0"/>
            </w:pPr>
            <w:r w:rsidRPr="007D1918">
              <w:t>Yes</w:t>
            </w:r>
          </w:p>
        </w:tc>
        <w:tc>
          <w:tcPr>
            <w:tcW w:w="1417" w:type="dxa"/>
          </w:tcPr>
          <w:p w14:paraId="6BB28551" w14:textId="7EF5ADDF" w:rsidR="00A77189" w:rsidRPr="007D1918" w:rsidRDefault="00A77189" w:rsidP="008878E3">
            <w:pPr>
              <w:pStyle w:val="Tabletext1"/>
              <w:ind w:left="0"/>
            </w:pPr>
            <w:r w:rsidRPr="007D1918">
              <w:t>Yes</w:t>
            </w:r>
            <w:r w:rsidR="008878E3" w:rsidRPr="007D1918">
              <w:rPr>
                <w:vertAlign w:val="superscript"/>
              </w:rPr>
              <w:t>a</w:t>
            </w:r>
          </w:p>
        </w:tc>
      </w:tr>
      <w:tr w:rsidR="00A77189" w:rsidRPr="007D1918" w14:paraId="4C4E90C6" w14:textId="77777777" w:rsidTr="00FD3B5B">
        <w:tc>
          <w:tcPr>
            <w:tcW w:w="2552" w:type="dxa"/>
          </w:tcPr>
          <w:p w14:paraId="5D27F546" w14:textId="121FFE41" w:rsidR="00A77189" w:rsidRPr="007D1918" w:rsidRDefault="0037427C" w:rsidP="00A77189">
            <w:pPr>
              <w:pStyle w:val="Tabletext1"/>
              <w:ind w:left="0"/>
            </w:pPr>
            <w:r w:rsidRPr="007D1918">
              <w:t>285345, 285344, 207386, 207385, 207384, 207383</w:t>
            </w:r>
          </w:p>
        </w:tc>
        <w:tc>
          <w:tcPr>
            <w:tcW w:w="2410" w:type="dxa"/>
          </w:tcPr>
          <w:p w14:paraId="4105A200" w14:textId="46E51373" w:rsidR="00A77189" w:rsidRPr="007D1918" w:rsidRDefault="00A77189" w:rsidP="00A77189">
            <w:pPr>
              <w:pStyle w:val="Tabletext1"/>
              <w:ind w:left="0"/>
            </w:pPr>
            <w:r w:rsidRPr="007D1918">
              <w:t xml:space="preserve">Hizentra – CSL Behring Australia P/L   </w:t>
            </w:r>
          </w:p>
        </w:tc>
        <w:tc>
          <w:tcPr>
            <w:tcW w:w="1417" w:type="dxa"/>
          </w:tcPr>
          <w:p w14:paraId="1024C35A" w14:textId="77777777" w:rsidR="00A77189" w:rsidRPr="007D1918" w:rsidRDefault="00A77189" w:rsidP="00A77189">
            <w:pPr>
              <w:pStyle w:val="Tabletext1"/>
              <w:ind w:left="0"/>
            </w:pPr>
            <w:r w:rsidRPr="007D1918">
              <w:t>SC</w:t>
            </w:r>
          </w:p>
        </w:tc>
        <w:tc>
          <w:tcPr>
            <w:tcW w:w="1418" w:type="dxa"/>
          </w:tcPr>
          <w:p w14:paraId="6D671601" w14:textId="77777777" w:rsidR="00A77189" w:rsidRPr="007D1918" w:rsidRDefault="00A77189" w:rsidP="00A77189">
            <w:pPr>
              <w:pStyle w:val="Tabletext1"/>
              <w:ind w:left="0"/>
            </w:pPr>
            <w:r w:rsidRPr="007D1918">
              <w:t>No</w:t>
            </w:r>
          </w:p>
        </w:tc>
        <w:tc>
          <w:tcPr>
            <w:tcW w:w="1417" w:type="dxa"/>
          </w:tcPr>
          <w:p w14:paraId="26C41B0D" w14:textId="00666FD5" w:rsidR="00A77189" w:rsidRPr="007D1918" w:rsidRDefault="00A77189" w:rsidP="008878E3">
            <w:pPr>
              <w:pStyle w:val="Tabletext1"/>
              <w:ind w:left="0"/>
            </w:pPr>
            <w:r w:rsidRPr="007D1918">
              <w:t>No</w:t>
            </w:r>
            <w:r w:rsidR="008878E3" w:rsidRPr="007D1918">
              <w:rPr>
                <w:vertAlign w:val="superscript"/>
              </w:rPr>
              <w:t>b</w:t>
            </w:r>
          </w:p>
        </w:tc>
      </w:tr>
      <w:tr w:rsidR="00A77189" w:rsidRPr="007D1918" w14:paraId="3D0080AE" w14:textId="77777777" w:rsidTr="00FD3B5B">
        <w:tc>
          <w:tcPr>
            <w:tcW w:w="2552" w:type="dxa"/>
          </w:tcPr>
          <w:p w14:paraId="58A801A4" w14:textId="2731FBB8" w:rsidR="00A77189" w:rsidRPr="007D1918" w:rsidRDefault="0037427C" w:rsidP="006B04DB">
            <w:pPr>
              <w:pStyle w:val="Tabletext1"/>
              <w:ind w:left="0"/>
            </w:pPr>
            <w:r w:rsidRPr="007D1918">
              <w:t>116689, 117237</w:t>
            </w:r>
            <w:r w:rsidR="006B04DB" w:rsidRPr="007D1918">
              <w:t>-</w:t>
            </w:r>
            <w:r w:rsidRPr="007D1918">
              <w:t>11</w:t>
            </w:r>
            <w:r w:rsidR="006B04DB" w:rsidRPr="007D1918">
              <w:t>7240</w:t>
            </w:r>
          </w:p>
        </w:tc>
        <w:tc>
          <w:tcPr>
            <w:tcW w:w="2410" w:type="dxa"/>
          </w:tcPr>
          <w:p w14:paraId="7D14C79B" w14:textId="60F957BE" w:rsidR="00A77189" w:rsidRPr="007D1918" w:rsidRDefault="00A77189" w:rsidP="00A77189">
            <w:pPr>
              <w:pStyle w:val="Tabletext1"/>
              <w:ind w:left="0"/>
            </w:pPr>
            <w:r w:rsidRPr="007D1918">
              <w:t xml:space="preserve">Gamunex 10% – Grifols Australia P/L </w:t>
            </w:r>
          </w:p>
        </w:tc>
        <w:tc>
          <w:tcPr>
            <w:tcW w:w="1417" w:type="dxa"/>
          </w:tcPr>
          <w:p w14:paraId="213A70AF" w14:textId="77777777" w:rsidR="00A77189" w:rsidRPr="007D1918" w:rsidRDefault="00A77189" w:rsidP="00A77189">
            <w:pPr>
              <w:pStyle w:val="Tabletext1"/>
              <w:ind w:left="0"/>
            </w:pPr>
            <w:r w:rsidRPr="007D1918">
              <w:t>IV and SC</w:t>
            </w:r>
          </w:p>
        </w:tc>
        <w:tc>
          <w:tcPr>
            <w:tcW w:w="1418" w:type="dxa"/>
          </w:tcPr>
          <w:p w14:paraId="5A01A84A" w14:textId="77777777" w:rsidR="00A77189" w:rsidRPr="007D1918" w:rsidRDefault="00A77189" w:rsidP="00A77189">
            <w:pPr>
              <w:pStyle w:val="Tabletext1"/>
              <w:ind w:left="0"/>
            </w:pPr>
            <w:r w:rsidRPr="007D1918">
              <w:t>No</w:t>
            </w:r>
          </w:p>
        </w:tc>
        <w:tc>
          <w:tcPr>
            <w:tcW w:w="1417" w:type="dxa"/>
          </w:tcPr>
          <w:p w14:paraId="0CA1FA00" w14:textId="77777777" w:rsidR="00A77189" w:rsidRPr="007D1918" w:rsidRDefault="00A77189" w:rsidP="00A77189">
            <w:pPr>
              <w:pStyle w:val="Tabletext1"/>
              <w:ind w:left="0"/>
            </w:pPr>
            <w:r w:rsidRPr="007D1918">
              <w:t>No</w:t>
            </w:r>
          </w:p>
        </w:tc>
      </w:tr>
      <w:tr w:rsidR="00A77189" w:rsidRPr="007D1918" w14:paraId="523864F0" w14:textId="77777777" w:rsidTr="00FD3B5B">
        <w:tc>
          <w:tcPr>
            <w:tcW w:w="2552" w:type="dxa"/>
          </w:tcPr>
          <w:p w14:paraId="6DCAAB87" w14:textId="4392953D" w:rsidR="00A77189" w:rsidRPr="007D1918" w:rsidRDefault="006B04DB" w:rsidP="00A77189">
            <w:pPr>
              <w:pStyle w:val="Tabletext1"/>
              <w:ind w:left="0"/>
            </w:pPr>
            <w:r w:rsidRPr="007D1918">
              <w:t>182358, 182359, 184353</w:t>
            </w:r>
          </w:p>
        </w:tc>
        <w:tc>
          <w:tcPr>
            <w:tcW w:w="2410" w:type="dxa"/>
          </w:tcPr>
          <w:p w14:paraId="57557345" w14:textId="4053E6D1" w:rsidR="00A77189" w:rsidRPr="007D1918" w:rsidRDefault="00A77189" w:rsidP="00A77189">
            <w:pPr>
              <w:pStyle w:val="Tabletext1"/>
              <w:ind w:left="0"/>
            </w:pPr>
            <w:r w:rsidRPr="007D1918">
              <w:t xml:space="preserve">Flebogamma 10% – Grifols Australia P/L </w:t>
            </w:r>
          </w:p>
        </w:tc>
        <w:tc>
          <w:tcPr>
            <w:tcW w:w="1417" w:type="dxa"/>
          </w:tcPr>
          <w:p w14:paraId="0433F2AA" w14:textId="77777777" w:rsidR="00A77189" w:rsidRPr="007D1918" w:rsidRDefault="00A77189" w:rsidP="00A77189">
            <w:pPr>
              <w:pStyle w:val="Tabletext1"/>
              <w:ind w:left="0"/>
            </w:pPr>
            <w:r w:rsidRPr="007D1918">
              <w:t>IV</w:t>
            </w:r>
          </w:p>
        </w:tc>
        <w:tc>
          <w:tcPr>
            <w:tcW w:w="1418" w:type="dxa"/>
          </w:tcPr>
          <w:p w14:paraId="57F11A01" w14:textId="77777777" w:rsidR="00A77189" w:rsidRPr="007D1918" w:rsidRDefault="00A77189" w:rsidP="00A77189">
            <w:pPr>
              <w:pStyle w:val="Tabletext1"/>
              <w:ind w:left="0"/>
            </w:pPr>
            <w:r w:rsidRPr="007D1918">
              <w:t>No</w:t>
            </w:r>
          </w:p>
        </w:tc>
        <w:tc>
          <w:tcPr>
            <w:tcW w:w="1417" w:type="dxa"/>
          </w:tcPr>
          <w:p w14:paraId="577F85AF" w14:textId="5D2E3999" w:rsidR="00A77189" w:rsidRPr="007D1918" w:rsidRDefault="00A77189" w:rsidP="008878E3">
            <w:pPr>
              <w:pStyle w:val="Tabletext1"/>
              <w:ind w:left="0"/>
            </w:pPr>
            <w:r w:rsidRPr="007D1918">
              <w:t>Yes</w:t>
            </w:r>
            <w:r w:rsidR="008878E3" w:rsidRPr="007D1918">
              <w:rPr>
                <w:vertAlign w:val="superscript"/>
              </w:rPr>
              <w:t>a</w:t>
            </w:r>
          </w:p>
        </w:tc>
      </w:tr>
      <w:tr w:rsidR="00A77189" w:rsidRPr="007D1918" w14:paraId="0A26977C" w14:textId="77777777" w:rsidTr="00FD3B5B">
        <w:tc>
          <w:tcPr>
            <w:tcW w:w="2552" w:type="dxa"/>
          </w:tcPr>
          <w:p w14:paraId="4A1F848A" w14:textId="6974255E" w:rsidR="00A77189" w:rsidRPr="007D1918" w:rsidRDefault="006B04DB" w:rsidP="00A77189">
            <w:pPr>
              <w:pStyle w:val="Tabletext1"/>
              <w:ind w:left="0"/>
            </w:pPr>
            <w:r w:rsidRPr="007D1918">
              <w:t>140602, 143800-143803</w:t>
            </w:r>
          </w:p>
        </w:tc>
        <w:tc>
          <w:tcPr>
            <w:tcW w:w="2410" w:type="dxa"/>
          </w:tcPr>
          <w:p w14:paraId="58852746" w14:textId="13233E73" w:rsidR="00A77189" w:rsidRPr="007D1918" w:rsidRDefault="00A77189" w:rsidP="00A77189">
            <w:pPr>
              <w:pStyle w:val="Tabletext1"/>
              <w:ind w:left="0"/>
            </w:pPr>
            <w:r w:rsidRPr="007D1918">
              <w:t xml:space="preserve">Flebogamma 5% – Grifols Australia P/L </w:t>
            </w:r>
          </w:p>
        </w:tc>
        <w:tc>
          <w:tcPr>
            <w:tcW w:w="1417" w:type="dxa"/>
          </w:tcPr>
          <w:p w14:paraId="07408B57" w14:textId="77777777" w:rsidR="00A77189" w:rsidRPr="007D1918" w:rsidRDefault="00A77189" w:rsidP="00A77189">
            <w:pPr>
              <w:pStyle w:val="Tabletext1"/>
              <w:ind w:left="0"/>
            </w:pPr>
            <w:r w:rsidRPr="007D1918">
              <w:t>IV</w:t>
            </w:r>
          </w:p>
        </w:tc>
        <w:tc>
          <w:tcPr>
            <w:tcW w:w="1418" w:type="dxa"/>
          </w:tcPr>
          <w:p w14:paraId="522E3317" w14:textId="77777777" w:rsidR="00A77189" w:rsidRPr="007D1918" w:rsidRDefault="00A77189" w:rsidP="00A77189">
            <w:pPr>
              <w:pStyle w:val="Tabletext1"/>
              <w:ind w:left="0"/>
            </w:pPr>
            <w:r w:rsidRPr="007D1918">
              <w:t>No</w:t>
            </w:r>
          </w:p>
        </w:tc>
        <w:tc>
          <w:tcPr>
            <w:tcW w:w="1417" w:type="dxa"/>
          </w:tcPr>
          <w:p w14:paraId="516AD2D2" w14:textId="1A47A768" w:rsidR="00A77189" w:rsidRPr="007D1918" w:rsidRDefault="00A77189" w:rsidP="008878E3">
            <w:pPr>
              <w:pStyle w:val="Tabletext1"/>
              <w:ind w:left="0"/>
            </w:pPr>
            <w:r w:rsidRPr="007D1918">
              <w:t>Yes</w:t>
            </w:r>
            <w:r w:rsidR="008878E3" w:rsidRPr="007D1918">
              <w:rPr>
                <w:vertAlign w:val="superscript"/>
              </w:rPr>
              <w:t>a</w:t>
            </w:r>
          </w:p>
        </w:tc>
      </w:tr>
      <w:tr w:rsidR="00A77189" w:rsidRPr="007D1918" w14:paraId="146C875C" w14:textId="77777777" w:rsidTr="00FD3B5B">
        <w:tc>
          <w:tcPr>
            <w:tcW w:w="2552" w:type="dxa"/>
          </w:tcPr>
          <w:p w14:paraId="62B3FB9A" w14:textId="1A4BBCCF" w:rsidR="00A77189" w:rsidRPr="007D1918" w:rsidRDefault="006B04DB" w:rsidP="006B04DB">
            <w:pPr>
              <w:pStyle w:val="Tabletext1"/>
              <w:ind w:left="0"/>
            </w:pPr>
            <w:r w:rsidRPr="007D1918">
              <w:t>219007, 171139, 171140, 158712, 154210, 66295, 66300, 68632-68635, 74356, 74540</w:t>
            </w:r>
          </w:p>
        </w:tc>
        <w:tc>
          <w:tcPr>
            <w:tcW w:w="2410" w:type="dxa"/>
          </w:tcPr>
          <w:p w14:paraId="058E37AF" w14:textId="362C75E7" w:rsidR="00A77189" w:rsidRPr="007D1918" w:rsidRDefault="00A77189" w:rsidP="00A77189">
            <w:pPr>
              <w:pStyle w:val="Tabletext1"/>
              <w:ind w:left="0"/>
            </w:pPr>
            <w:r w:rsidRPr="007D1918">
              <w:t xml:space="preserve">Intragam P – CSL Behring Australia P/L   </w:t>
            </w:r>
          </w:p>
        </w:tc>
        <w:tc>
          <w:tcPr>
            <w:tcW w:w="1417" w:type="dxa"/>
          </w:tcPr>
          <w:p w14:paraId="3BFADA90" w14:textId="77777777" w:rsidR="00A77189" w:rsidRPr="007D1918" w:rsidRDefault="00A77189" w:rsidP="00A77189">
            <w:pPr>
              <w:pStyle w:val="Tabletext1"/>
              <w:ind w:left="0"/>
            </w:pPr>
            <w:r w:rsidRPr="007D1918">
              <w:t>IV</w:t>
            </w:r>
          </w:p>
        </w:tc>
        <w:tc>
          <w:tcPr>
            <w:tcW w:w="1418" w:type="dxa"/>
          </w:tcPr>
          <w:p w14:paraId="219FA3AD" w14:textId="77777777" w:rsidR="00A77189" w:rsidRPr="007D1918" w:rsidRDefault="00A77189" w:rsidP="00A77189">
            <w:pPr>
              <w:pStyle w:val="Tabletext1"/>
              <w:ind w:left="0"/>
            </w:pPr>
            <w:r w:rsidRPr="007D1918">
              <w:t>No</w:t>
            </w:r>
          </w:p>
        </w:tc>
        <w:tc>
          <w:tcPr>
            <w:tcW w:w="1417" w:type="dxa"/>
          </w:tcPr>
          <w:p w14:paraId="0456E3C4" w14:textId="47CEE483" w:rsidR="00A77189" w:rsidRPr="007D1918" w:rsidRDefault="00A77189" w:rsidP="008878E3">
            <w:pPr>
              <w:pStyle w:val="Tabletext1"/>
              <w:ind w:left="0"/>
            </w:pPr>
            <w:r w:rsidRPr="007D1918">
              <w:t>Yes</w:t>
            </w:r>
            <w:r w:rsidR="008878E3" w:rsidRPr="007D1918">
              <w:rPr>
                <w:vertAlign w:val="superscript"/>
              </w:rPr>
              <w:t>b</w:t>
            </w:r>
          </w:p>
        </w:tc>
      </w:tr>
      <w:tr w:rsidR="00A77189" w:rsidRPr="007D1918" w14:paraId="78D518FD" w14:textId="77777777" w:rsidTr="00FD3B5B">
        <w:tc>
          <w:tcPr>
            <w:tcW w:w="2552" w:type="dxa"/>
          </w:tcPr>
          <w:p w14:paraId="74FBCF09" w14:textId="6697136F" w:rsidR="00A77189" w:rsidRPr="007D1918" w:rsidRDefault="006B04DB" w:rsidP="00A77189">
            <w:pPr>
              <w:pStyle w:val="Tabletext1"/>
              <w:ind w:left="0"/>
            </w:pPr>
            <w:r w:rsidRPr="007D1918">
              <w:t>291644-291648, 291740</w:t>
            </w:r>
          </w:p>
        </w:tc>
        <w:tc>
          <w:tcPr>
            <w:tcW w:w="2410" w:type="dxa"/>
          </w:tcPr>
          <w:p w14:paraId="22918DE5" w14:textId="2DC8373C" w:rsidR="00A77189" w:rsidRPr="007D1918" w:rsidRDefault="00A77189" w:rsidP="00A77189">
            <w:pPr>
              <w:pStyle w:val="Tabletext1"/>
              <w:ind w:left="0"/>
            </w:pPr>
            <w:r w:rsidRPr="007D1918">
              <w:t xml:space="preserve">Panzyga – Octaphama Australia P/L </w:t>
            </w:r>
          </w:p>
        </w:tc>
        <w:tc>
          <w:tcPr>
            <w:tcW w:w="1417" w:type="dxa"/>
          </w:tcPr>
          <w:p w14:paraId="44FD49E1" w14:textId="77777777" w:rsidR="00A77189" w:rsidRPr="007D1918" w:rsidRDefault="00A77189" w:rsidP="00A77189">
            <w:pPr>
              <w:pStyle w:val="Tabletext1"/>
              <w:ind w:left="0"/>
            </w:pPr>
            <w:r w:rsidRPr="007D1918">
              <w:t>IV</w:t>
            </w:r>
          </w:p>
        </w:tc>
        <w:tc>
          <w:tcPr>
            <w:tcW w:w="1418" w:type="dxa"/>
          </w:tcPr>
          <w:p w14:paraId="440825B7" w14:textId="77777777" w:rsidR="00A77189" w:rsidRPr="007D1918" w:rsidRDefault="00A77189" w:rsidP="00A77189">
            <w:pPr>
              <w:pStyle w:val="Tabletext1"/>
              <w:ind w:left="0"/>
            </w:pPr>
            <w:r w:rsidRPr="007D1918">
              <w:t>No</w:t>
            </w:r>
          </w:p>
        </w:tc>
        <w:tc>
          <w:tcPr>
            <w:tcW w:w="1417" w:type="dxa"/>
          </w:tcPr>
          <w:p w14:paraId="079BA351" w14:textId="77777777" w:rsidR="00A77189" w:rsidRPr="007D1918" w:rsidRDefault="00A77189" w:rsidP="00A77189">
            <w:pPr>
              <w:pStyle w:val="Tabletext1"/>
              <w:ind w:left="0"/>
            </w:pPr>
            <w:r w:rsidRPr="007D1918">
              <w:t>No</w:t>
            </w:r>
          </w:p>
        </w:tc>
      </w:tr>
      <w:tr w:rsidR="00A77189" w:rsidRPr="007D1918" w14:paraId="2C88C66C" w14:textId="77777777" w:rsidTr="00FD3B5B">
        <w:tc>
          <w:tcPr>
            <w:tcW w:w="2552" w:type="dxa"/>
          </w:tcPr>
          <w:p w14:paraId="43786B41" w14:textId="4CD1790B" w:rsidR="00A77189" w:rsidRPr="007D1918" w:rsidRDefault="006B04DB" w:rsidP="00A77189">
            <w:pPr>
              <w:pStyle w:val="Tabletext1"/>
              <w:ind w:left="0"/>
            </w:pPr>
            <w:r w:rsidRPr="007D1918">
              <w:t>235178</w:t>
            </w:r>
          </w:p>
        </w:tc>
        <w:tc>
          <w:tcPr>
            <w:tcW w:w="2410" w:type="dxa"/>
          </w:tcPr>
          <w:p w14:paraId="222C9574" w14:textId="7B428F17" w:rsidR="00A77189" w:rsidRPr="007D1918" w:rsidRDefault="00A77189" w:rsidP="00A77189">
            <w:pPr>
              <w:pStyle w:val="Tabletext1"/>
              <w:ind w:left="0"/>
            </w:pPr>
            <w:r w:rsidRPr="007D1918">
              <w:t xml:space="preserve">Hyqvia – Shire Australia P/L </w:t>
            </w:r>
          </w:p>
        </w:tc>
        <w:tc>
          <w:tcPr>
            <w:tcW w:w="1417" w:type="dxa"/>
          </w:tcPr>
          <w:p w14:paraId="236E3A37" w14:textId="77777777" w:rsidR="00A77189" w:rsidRPr="007D1918" w:rsidRDefault="00A77189" w:rsidP="00A77189">
            <w:pPr>
              <w:pStyle w:val="Tabletext1"/>
              <w:ind w:left="0"/>
            </w:pPr>
            <w:r w:rsidRPr="007D1918">
              <w:t>SC</w:t>
            </w:r>
          </w:p>
        </w:tc>
        <w:tc>
          <w:tcPr>
            <w:tcW w:w="1418" w:type="dxa"/>
          </w:tcPr>
          <w:p w14:paraId="56BC16DD" w14:textId="77777777" w:rsidR="00A77189" w:rsidRPr="007D1918" w:rsidRDefault="00A77189" w:rsidP="00A77189">
            <w:pPr>
              <w:pStyle w:val="Tabletext1"/>
              <w:ind w:left="0"/>
            </w:pPr>
            <w:r w:rsidRPr="007D1918">
              <w:t>No</w:t>
            </w:r>
          </w:p>
        </w:tc>
        <w:tc>
          <w:tcPr>
            <w:tcW w:w="1417" w:type="dxa"/>
          </w:tcPr>
          <w:p w14:paraId="08C5EFAF" w14:textId="77777777" w:rsidR="00A77189" w:rsidRPr="007D1918" w:rsidRDefault="00A77189" w:rsidP="00A77189">
            <w:pPr>
              <w:pStyle w:val="Tabletext1"/>
              <w:ind w:left="0"/>
            </w:pPr>
            <w:r w:rsidRPr="007D1918">
              <w:t>No</w:t>
            </w:r>
          </w:p>
        </w:tc>
      </w:tr>
      <w:tr w:rsidR="00A77189" w:rsidRPr="007D1918" w14:paraId="64CC63F5" w14:textId="77777777" w:rsidTr="00FD3B5B">
        <w:tc>
          <w:tcPr>
            <w:tcW w:w="2552" w:type="dxa"/>
          </w:tcPr>
          <w:p w14:paraId="7FF22CB5" w14:textId="6310E581" w:rsidR="00A77189" w:rsidRPr="007D1918" w:rsidRDefault="00E565DD" w:rsidP="00A77189">
            <w:pPr>
              <w:pStyle w:val="Tabletext1"/>
              <w:ind w:left="0"/>
            </w:pPr>
            <w:r w:rsidRPr="007D1918">
              <w:t>232077, 232078, 232084, 232085</w:t>
            </w:r>
          </w:p>
        </w:tc>
        <w:tc>
          <w:tcPr>
            <w:tcW w:w="2410" w:type="dxa"/>
          </w:tcPr>
          <w:p w14:paraId="1630D968" w14:textId="7DB766DD" w:rsidR="00A77189" w:rsidRPr="007D1918" w:rsidRDefault="00A77189" w:rsidP="00A77189">
            <w:pPr>
              <w:pStyle w:val="Tabletext1"/>
              <w:ind w:left="0"/>
            </w:pPr>
            <w:r w:rsidRPr="007D1918">
              <w:t xml:space="preserve">Intratect – Pfizer Australia P/L </w:t>
            </w:r>
          </w:p>
        </w:tc>
        <w:tc>
          <w:tcPr>
            <w:tcW w:w="1417" w:type="dxa"/>
          </w:tcPr>
          <w:p w14:paraId="6B1118C9" w14:textId="77777777" w:rsidR="00A77189" w:rsidRPr="007D1918" w:rsidRDefault="00A77189" w:rsidP="00A77189">
            <w:pPr>
              <w:pStyle w:val="Tabletext1"/>
              <w:ind w:left="0"/>
            </w:pPr>
            <w:r w:rsidRPr="007D1918">
              <w:t>IV</w:t>
            </w:r>
          </w:p>
        </w:tc>
        <w:tc>
          <w:tcPr>
            <w:tcW w:w="1418" w:type="dxa"/>
          </w:tcPr>
          <w:p w14:paraId="09F0C518" w14:textId="77777777" w:rsidR="00A77189" w:rsidRPr="007D1918" w:rsidRDefault="00A77189" w:rsidP="00A77189">
            <w:pPr>
              <w:pStyle w:val="Tabletext1"/>
              <w:ind w:left="0"/>
            </w:pPr>
            <w:r w:rsidRPr="007D1918">
              <w:t>No</w:t>
            </w:r>
          </w:p>
        </w:tc>
        <w:tc>
          <w:tcPr>
            <w:tcW w:w="1417" w:type="dxa"/>
          </w:tcPr>
          <w:p w14:paraId="74C5D6BF" w14:textId="77777777" w:rsidR="00A77189" w:rsidRPr="007D1918" w:rsidRDefault="00A77189" w:rsidP="00A77189">
            <w:pPr>
              <w:pStyle w:val="Tabletext1"/>
              <w:ind w:left="0"/>
            </w:pPr>
            <w:r w:rsidRPr="007D1918">
              <w:t>No</w:t>
            </w:r>
          </w:p>
        </w:tc>
      </w:tr>
      <w:tr w:rsidR="00A77189" w:rsidRPr="007D1918" w14:paraId="40DFB4D8" w14:textId="77777777" w:rsidTr="00FD3B5B">
        <w:tc>
          <w:tcPr>
            <w:tcW w:w="2552" w:type="dxa"/>
          </w:tcPr>
          <w:p w14:paraId="02EDC183" w14:textId="751934F1" w:rsidR="00A77189" w:rsidRPr="007D1918" w:rsidRDefault="00E565DD" w:rsidP="00A77189">
            <w:pPr>
              <w:pStyle w:val="Tabletext1"/>
              <w:ind w:left="0"/>
            </w:pPr>
            <w:r w:rsidRPr="007D1918">
              <w:t>164548-164551</w:t>
            </w:r>
          </w:p>
        </w:tc>
        <w:tc>
          <w:tcPr>
            <w:tcW w:w="2410" w:type="dxa"/>
          </w:tcPr>
          <w:p w14:paraId="1023908A" w14:textId="08AA28D9" w:rsidR="00A77189" w:rsidRPr="007D1918" w:rsidRDefault="00A77189" w:rsidP="00A77189">
            <w:pPr>
              <w:pStyle w:val="Tabletext1"/>
              <w:ind w:left="0"/>
            </w:pPr>
            <w:r w:rsidRPr="007D1918">
              <w:t xml:space="preserve">Intratect 5%  – Pfizer Australia P/L </w:t>
            </w:r>
          </w:p>
        </w:tc>
        <w:tc>
          <w:tcPr>
            <w:tcW w:w="1417" w:type="dxa"/>
          </w:tcPr>
          <w:p w14:paraId="3F6CAC24" w14:textId="77777777" w:rsidR="00A77189" w:rsidRPr="007D1918" w:rsidRDefault="00A77189" w:rsidP="00A77189">
            <w:pPr>
              <w:pStyle w:val="Tabletext1"/>
              <w:ind w:left="0"/>
            </w:pPr>
            <w:r w:rsidRPr="007D1918">
              <w:t>IV</w:t>
            </w:r>
          </w:p>
        </w:tc>
        <w:tc>
          <w:tcPr>
            <w:tcW w:w="1418" w:type="dxa"/>
          </w:tcPr>
          <w:p w14:paraId="4714A8C9" w14:textId="77777777" w:rsidR="00A77189" w:rsidRPr="007D1918" w:rsidRDefault="00A77189" w:rsidP="00A77189">
            <w:pPr>
              <w:pStyle w:val="Tabletext1"/>
              <w:ind w:left="0"/>
            </w:pPr>
            <w:r w:rsidRPr="007D1918">
              <w:t>No</w:t>
            </w:r>
          </w:p>
        </w:tc>
        <w:tc>
          <w:tcPr>
            <w:tcW w:w="1417" w:type="dxa"/>
          </w:tcPr>
          <w:p w14:paraId="7E9BFA56" w14:textId="77777777" w:rsidR="00A77189" w:rsidRPr="007D1918" w:rsidRDefault="00A77189" w:rsidP="00A77189">
            <w:pPr>
              <w:pStyle w:val="Tabletext1"/>
              <w:ind w:left="0"/>
            </w:pPr>
            <w:r w:rsidRPr="007D1918">
              <w:t>No</w:t>
            </w:r>
          </w:p>
        </w:tc>
      </w:tr>
      <w:tr w:rsidR="00A77189" w:rsidRPr="007D1918" w14:paraId="3EA167A9" w14:textId="77777777" w:rsidTr="00FD3B5B">
        <w:tc>
          <w:tcPr>
            <w:tcW w:w="2552" w:type="dxa"/>
          </w:tcPr>
          <w:p w14:paraId="13D27C28" w14:textId="5ACD395E" w:rsidR="00A77189" w:rsidRPr="007D1918" w:rsidRDefault="00E565DD" w:rsidP="00A77189">
            <w:pPr>
              <w:pStyle w:val="Tabletext1"/>
              <w:ind w:left="0"/>
            </w:pPr>
            <w:r w:rsidRPr="007D1918">
              <w:t>173315, 173323, 173324, 204954-204956</w:t>
            </w:r>
          </w:p>
        </w:tc>
        <w:tc>
          <w:tcPr>
            <w:tcW w:w="2410" w:type="dxa"/>
          </w:tcPr>
          <w:p w14:paraId="6129A932" w14:textId="7625664D" w:rsidR="00A77189" w:rsidRPr="007D1918" w:rsidRDefault="00A77189" w:rsidP="00A77189">
            <w:pPr>
              <w:pStyle w:val="Tabletext1"/>
              <w:ind w:left="0"/>
            </w:pPr>
            <w:r w:rsidRPr="007D1918">
              <w:t xml:space="preserve">Evogam 16% – CSL Behring Australia P/L  </w:t>
            </w:r>
          </w:p>
        </w:tc>
        <w:tc>
          <w:tcPr>
            <w:tcW w:w="1417" w:type="dxa"/>
          </w:tcPr>
          <w:p w14:paraId="164CBE21" w14:textId="77777777" w:rsidR="00A77189" w:rsidRPr="007D1918" w:rsidRDefault="00A77189" w:rsidP="00A77189">
            <w:pPr>
              <w:pStyle w:val="Tabletext1"/>
              <w:ind w:left="0"/>
            </w:pPr>
            <w:r w:rsidRPr="007D1918">
              <w:t>SC</w:t>
            </w:r>
          </w:p>
        </w:tc>
        <w:tc>
          <w:tcPr>
            <w:tcW w:w="1418" w:type="dxa"/>
          </w:tcPr>
          <w:p w14:paraId="1926BF19" w14:textId="77777777" w:rsidR="00A77189" w:rsidRPr="007D1918" w:rsidRDefault="00A77189" w:rsidP="00A77189">
            <w:pPr>
              <w:pStyle w:val="Tabletext1"/>
              <w:ind w:left="0"/>
            </w:pPr>
            <w:r w:rsidRPr="007D1918">
              <w:t>No</w:t>
            </w:r>
          </w:p>
        </w:tc>
        <w:tc>
          <w:tcPr>
            <w:tcW w:w="1417" w:type="dxa"/>
          </w:tcPr>
          <w:p w14:paraId="7E7DE404" w14:textId="77777777" w:rsidR="00A77189" w:rsidRPr="007D1918" w:rsidRDefault="00A77189" w:rsidP="00A77189">
            <w:pPr>
              <w:pStyle w:val="Tabletext1"/>
              <w:ind w:left="0"/>
            </w:pPr>
            <w:r w:rsidRPr="007D1918">
              <w:t>No</w:t>
            </w:r>
          </w:p>
        </w:tc>
      </w:tr>
      <w:tr w:rsidR="00A77189" w:rsidRPr="007D1918" w14:paraId="7C31C863" w14:textId="77777777" w:rsidTr="00FD3B5B">
        <w:tc>
          <w:tcPr>
            <w:tcW w:w="2552" w:type="dxa"/>
          </w:tcPr>
          <w:p w14:paraId="33AE0665" w14:textId="2E6B8FAD" w:rsidR="00A77189" w:rsidRPr="007D1918" w:rsidRDefault="00E565DD" w:rsidP="00A77189">
            <w:pPr>
              <w:pStyle w:val="Tabletext1"/>
              <w:ind w:left="0"/>
            </w:pPr>
            <w:r w:rsidRPr="007D1918">
              <w:t>113925-113928, 155601-155604</w:t>
            </w:r>
          </w:p>
        </w:tc>
        <w:tc>
          <w:tcPr>
            <w:tcW w:w="2410" w:type="dxa"/>
          </w:tcPr>
          <w:p w14:paraId="5112A220" w14:textId="0CF1CF65" w:rsidR="00A77189" w:rsidRPr="007D1918" w:rsidRDefault="00A77189" w:rsidP="00A77189">
            <w:pPr>
              <w:pStyle w:val="Tabletext1"/>
              <w:ind w:left="0"/>
            </w:pPr>
            <w:r w:rsidRPr="007D1918">
              <w:t xml:space="preserve">Octagam – Octapharma P/L </w:t>
            </w:r>
          </w:p>
        </w:tc>
        <w:tc>
          <w:tcPr>
            <w:tcW w:w="1417" w:type="dxa"/>
          </w:tcPr>
          <w:p w14:paraId="52E27666" w14:textId="77777777" w:rsidR="00A77189" w:rsidRPr="007D1918" w:rsidRDefault="00A77189" w:rsidP="00A77189">
            <w:pPr>
              <w:pStyle w:val="Tabletext1"/>
              <w:ind w:left="0"/>
            </w:pPr>
            <w:r w:rsidRPr="007D1918">
              <w:t>IV</w:t>
            </w:r>
          </w:p>
        </w:tc>
        <w:tc>
          <w:tcPr>
            <w:tcW w:w="1418" w:type="dxa"/>
          </w:tcPr>
          <w:p w14:paraId="54E4F98D" w14:textId="77777777" w:rsidR="00A77189" w:rsidRPr="007D1918" w:rsidRDefault="00A77189" w:rsidP="00A77189">
            <w:pPr>
              <w:pStyle w:val="Tabletext1"/>
              <w:ind w:left="0"/>
            </w:pPr>
            <w:r w:rsidRPr="007D1918">
              <w:t>No</w:t>
            </w:r>
          </w:p>
        </w:tc>
        <w:tc>
          <w:tcPr>
            <w:tcW w:w="1417" w:type="dxa"/>
          </w:tcPr>
          <w:p w14:paraId="6F466F89" w14:textId="77777777" w:rsidR="00A77189" w:rsidRPr="007D1918" w:rsidRDefault="00A77189" w:rsidP="00A77189">
            <w:pPr>
              <w:pStyle w:val="Tabletext1"/>
              <w:ind w:left="0"/>
            </w:pPr>
            <w:r w:rsidRPr="007D1918">
              <w:t>No</w:t>
            </w:r>
          </w:p>
        </w:tc>
      </w:tr>
      <w:tr w:rsidR="00A77189" w:rsidRPr="007D1918" w14:paraId="696CE04C" w14:textId="77777777" w:rsidTr="00FD3B5B">
        <w:tc>
          <w:tcPr>
            <w:tcW w:w="2552" w:type="dxa"/>
          </w:tcPr>
          <w:p w14:paraId="242630AF" w14:textId="45A1A6DE" w:rsidR="00A77189" w:rsidRPr="007D1918" w:rsidRDefault="00E565DD" w:rsidP="00A77189">
            <w:pPr>
              <w:pStyle w:val="Tabletext1"/>
              <w:ind w:left="0"/>
            </w:pPr>
            <w:r w:rsidRPr="007D1918">
              <w:t>128703, 128705</w:t>
            </w:r>
          </w:p>
        </w:tc>
        <w:tc>
          <w:tcPr>
            <w:tcW w:w="2410" w:type="dxa"/>
          </w:tcPr>
          <w:p w14:paraId="1CE17447" w14:textId="36382D14" w:rsidR="00A77189" w:rsidRPr="007D1918" w:rsidRDefault="00A77189" w:rsidP="00A77189">
            <w:pPr>
              <w:pStyle w:val="Tabletext1"/>
              <w:ind w:left="0"/>
            </w:pPr>
            <w:r w:rsidRPr="007D1918">
              <w:t xml:space="preserve">Gammanorm – Octapharma P/L </w:t>
            </w:r>
          </w:p>
        </w:tc>
        <w:tc>
          <w:tcPr>
            <w:tcW w:w="1417" w:type="dxa"/>
          </w:tcPr>
          <w:p w14:paraId="10369A71" w14:textId="77777777" w:rsidR="00A77189" w:rsidRPr="007D1918" w:rsidRDefault="00A77189" w:rsidP="00A77189">
            <w:pPr>
              <w:pStyle w:val="Tabletext1"/>
              <w:ind w:left="0"/>
            </w:pPr>
            <w:r w:rsidRPr="007D1918">
              <w:t>SC and IM</w:t>
            </w:r>
          </w:p>
        </w:tc>
        <w:tc>
          <w:tcPr>
            <w:tcW w:w="1418" w:type="dxa"/>
          </w:tcPr>
          <w:p w14:paraId="19CFA1F1" w14:textId="77777777" w:rsidR="00A77189" w:rsidRPr="007D1918" w:rsidRDefault="00A77189" w:rsidP="00A77189">
            <w:pPr>
              <w:pStyle w:val="Tabletext1"/>
              <w:ind w:left="0"/>
            </w:pPr>
            <w:r w:rsidRPr="007D1918">
              <w:t>No</w:t>
            </w:r>
          </w:p>
        </w:tc>
        <w:tc>
          <w:tcPr>
            <w:tcW w:w="1417" w:type="dxa"/>
          </w:tcPr>
          <w:p w14:paraId="4D845991" w14:textId="77777777" w:rsidR="00A77189" w:rsidRPr="007D1918" w:rsidRDefault="00A77189" w:rsidP="00A77189">
            <w:pPr>
              <w:pStyle w:val="Tabletext1"/>
              <w:ind w:left="0"/>
            </w:pPr>
            <w:r w:rsidRPr="007D1918">
              <w:t>No</w:t>
            </w:r>
          </w:p>
        </w:tc>
      </w:tr>
      <w:tr w:rsidR="00A77189" w:rsidRPr="007D1918" w14:paraId="6542EEB7" w14:textId="77777777" w:rsidTr="00FD3B5B">
        <w:tc>
          <w:tcPr>
            <w:tcW w:w="2552" w:type="dxa"/>
          </w:tcPr>
          <w:p w14:paraId="24BAF727" w14:textId="658B7447" w:rsidR="00A77189" w:rsidRPr="007D1918" w:rsidRDefault="00E565DD" w:rsidP="00E565DD">
            <w:pPr>
              <w:pStyle w:val="Tabletext1"/>
              <w:ind w:left="0"/>
            </w:pPr>
            <w:r w:rsidRPr="007D1918">
              <w:t>131953, 131966, 131968, 131969, 131973, 198488</w:t>
            </w:r>
          </w:p>
        </w:tc>
        <w:tc>
          <w:tcPr>
            <w:tcW w:w="2410" w:type="dxa"/>
          </w:tcPr>
          <w:p w14:paraId="10E5AE89" w14:textId="682669EF" w:rsidR="00A77189" w:rsidRPr="007D1918" w:rsidRDefault="00A77189" w:rsidP="00A77189">
            <w:pPr>
              <w:pStyle w:val="Tabletext1"/>
              <w:ind w:left="0"/>
            </w:pPr>
            <w:r w:rsidRPr="007D1918">
              <w:t xml:space="preserve">Kiovig – Shire Australia P/L </w:t>
            </w:r>
          </w:p>
        </w:tc>
        <w:tc>
          <w:tcPr>
            <w:tcW w:w="1417" w:type="dxa"/>
          </w:tcPr>
          <w:p w14:paraId="566578F6" w14:textId="77777777" w:rsidR="00A77189" w:rsidRPr="007D1918" w:rsidRDefault="00A77189" w:rsidP="00A77189">
            <w:pPr>
              <w:pStyle w:val="Tabletext1"/>
              <w:ind w:left="0"/>
            </w:pPr>
            <w:r w:rsidRPr="007D1918">
              <w:t>IV and SC</w:t>
            </w:r>
          </w:p>
        </w:tc>
        <w:tc>
          <w:tcPr>
            <w:tcW w:w="1418" w:type="dxa"/>
          </w:tcPr>
          <w:p w14:paraId="0DDE623E" w14:textId="77777777" w:rsidR="00A77189" w:rsidRPr="007D1918" w:rsidRDefault="00A77189" w:rsidP="00A77189">
            <w:pPr>
              <w:pStyle w:val="Tabletext1"/>
              <w:ind w:left="0"/>
            </w:pPr>
            <w:r w:rsidRPr="007D1918">
              <w:t>No</w:t>
            </w:r>
          </w:p>
        </w:tc>
        <w:tc>
          <w:tcPr>
            <w:tcW w:w="1417" w:type="dxa"/>
          </w:tcPr>
          <w:p w14:paraId="276B9514" w14:textId="77777777" w:rsidR="00A77189" w:rsidRPr="007D1918" w:rsidRDefault="00A77189" w:rsidP="00A77189">
            <w:pPr>
              <w:pStyle w:val="Tabletext1"/>
              <w:ind w:left="0"/>
            </w:pPr>
            <w:r w:rsidRPr="007D1918">
              <w:t>No</w:t>
            </w:r>
          </w:p>
        </w:tc>
      </w:tr>
      <w:tr w:rsidR="00A77189" w:rsidRPr="007D1918" w14:paraId="28AB9A39" w14:textId="77777777" w:rsidTr="00FD3B5B">
        <w:tc>
          <w:tcPr>
            <w:tcW w:w="2552" w:type="dxa"/>
          </w:tcPr>
          <w:p w14:paraId="5C9C17BA" w14:textId="31F8BBA2" w:rsidR="00A77189" w:rsidRPr="007D1918" w:rsidRDefault="00E565DD" w:rsidP="00A77189">
            <w:pPr>
              <w:pStyle w:val="Tabletext1"/>
              <w:ind w:left="0"/>
            </w:pPr>
            <w:r w:rsidRPr="007D1918">
              <w:t>282579</w:t>
            </w:r>
          </w:p>
        </w:tc>
        <w:tc>
          <w:tcPr>
            <w:tcW w:w="2410" w:type="dxa"/>
          </w:tcPr>
          <w:p w14:paraId="53CCC323" w14:textId="33A85A47" w:rsidR="00A77189" w:rsidRPr="007D1918" w:rsidRDefault="00A77189" w:rsidP="00A77189">
            <w:pPr>
              <w:pStyle w:val="Tabletext1"/>
              <w:ind w:left="0"/>
            </w:pPr>
            <w:r w:rsidRPr="007D1918">
              <w:t>Cuvitru – Shire Australia P/L</w:t>
            </w:r>
          </w:p>
        </w:tc>
        <w:tc>
          <w:tcPr>
            <w:tcW w:w="1417" w:type="dxa"/>
          </w:tcPr>
          <w:p w14:paraId="7166FBB1" w14:textId="77777777" w:rsidR="00A77189" w:rsidRPr="007D1918" w:rsidRDefault="00A77189" w:rsidP="00A77189">
            <w:pPr>
              <w:pStyle w:val="Tabletext1"/>
              <w:ind w:left="0"/>
            </w:pPr>
            <w:r w:rsidRPr="007D1918">
              <w:t>SC</w:t>
            </w:r>
          </w:p>
        </w:tc>
        <w:tc>
          <w:tcPr>
            <w:tcW w:w="1418" w:type="dxa"/>
          </w:tcPr>
          <w:p w14:paraId="16D2974F" w14:textId="77777777" w:rsidR="00A77189" w:rsidRPr="007D1918" w:rsidRDefault="00A77189" w:rsidP="00A77189">
            <w:pPr>
              <w:pStyle w:val="Tabletext1"/>
              <w:ind w:left="0"/>
            </w:pPr>
            <w:r w:rsidRPr="007D1918">
              <w:t>No</w:t>
            </w:r>
          </w:p>
        </w:tc>
        <w:tc>
          <w:tcPr>
            <w:tcW w:w="1417" w:type="dxa"/>
          </w:tcPr>
          <w:p w14:paraId="28037BA8" w14:textId="77777777" w:rsidR="00A77189" w:rsidRPr="007D1918" w:rsidRDefault="00A77189" w:rsidP="00A77189">
            <w:pPr>
              <w:pStyle w:val="Tabletext1"/>
              <w:ind w:left="0"/>
            </w:pPr>
            <w:r w:rsidRPr="007D1918">
              <w:t>No</w:t>
            </w:r>
          </w:p>
        </w:tc>
      </w:tr>
      <w:tr w:rsidR="00A77189" w:rsidRPr="007D1918" w14:paraId="7F0EA7F9" w14:textId="77777777" w:rsidTr="00FD3B5B">
        <w:tc>
          <w:tcPr>
            <w:tcW w:w="2552" w:type="dxa"/>
          </w:tcPr>
          <w:p w14:paraId="25C099F3" w14:textId="2E4308A6" w:rsidR="00A77189" w:rsidRPr="007D1918" w:rsidRDefault="00E565DD" w:rsidP="00A77189">
            <w:pPr>
              <w:pStyle w:val="Tabletext1"/>
              <w:ind w:left="0"/>
            </w:pPr>
            <w:r w:rsidRPr="007D1918">
              <w:t>61215, 61216</w:t>
            </w:r>
          </w:p>
        </w:tc>
        <w:tc>
          <w:tcPr>
            <w:tcW w:w="2410" w:type="dxa"/>
          </w:tcPr>
          <w:p w14:paraId="5A484D67" w14:textId="6B4734C7" w:rsidR="00A77189" w:rsidRPr="007D1918" w:rsidRDefault="00A77189" w:rsidP="00A77189">
            <w:pPr>
              <w:pStyle w:val="Tabletext1"/>
              <w:ind w:left="0"/>
            </w:pPr>
            <w:r w:rsidRPr="007D1918">
              <w:t>CSL Normal Immunoglobulin VF- CSL Behring Australia P/L</w:t>
            </w:r>
          </w:p>
        </w:tc>
        <w:tc>
          <w:tcPr>
            <w:tcW w:w="1417" w:type="dxa"/>
          </w:tcPr>
          <w:p w14:paraId="22CE5A50" w14:textId="77777777" w:rsidR="00A77189" w:rsidRPr="007D1918" w:rsidRDefault="00A77189" w:rsidP="00A77189">
            <w:pPr>
              <w:pStyle w:val="Tabletext1"/>
              <w:ind w:left="0"/>
            </w:pPr>
            <w:r w:rsidRPr="007D1918">
              <w:t>IM</w:t>
            </w:r>
          </w:p>
        </w:tc>
        <w:tc>
          <w:tcPr>
            <w:tcW w:w="1418" w:type="dxa"/>
          </w:tcPr>
          <w:p w14:paraId="616B6622" w14:textId="77777777" w:rsidR="00A77189" w:rsidRPr="007D1918" w:rsidRDefault="00A77189" w:rsidP="00A77189">
            <w:pPr>
              <w:pStyle w:val="Tabletext1"/>
              <w:ind w:left="0"/>
            </w:pPr>
            <w:r w:rsidRPr="007D1918">
              <w:t>No</w:t>
            </w:r>
          </w:p>
        </w:tc>
        <w:tc>
          <w:tcPr>
            <w:tcW w:w="1417" w:type="dxa"/>
          </w:tcPr>
          <w:p w14:paraId="703A1398" w14:textId="04023FDC" w:rsidR="00A77189" w:rsidRPr="007D1918" w:rsidRDefault="00A77189" w:rsidP="008878E3">
            <w:pPr>
              <w:pStyle w:val="Tabletext1"/>
              <w:ind w:left="0"/>
            </w:pPr>
            <w:r w:rsidRPr="007D1918">
              <w:t>No</w:t>
            </w:r>
            <w:r w:rsidR="008878E3" w:rsidRPr="007D1918">
              <w:rPr>
                <w:vertAlign w:val="superscript"/>
              </w:rPr>
              <w:t>c</w:t>
            </w:r>
          </w:p>
        </w:tc>
      </w:tr>
    </w:tbl>
    <w:p w14:paraId="5B38686B" w14:textId="21E3BFB3" w:rsidR="007D2548" w:rsidRPr="007D1918" w:rsidRDefault="007D2548" w:rsidP="00214815">
      <w:pPr>
        <w:pStyle w:val="Tablenotes0"/>
        <w:spacing w:after="80"/>
        <w:contextualSpacing w:val="0"/>
        <w:rPr>
          <w:rStyle w:val="Hyperlink"/>
          <w:sz w:val="20"/>
        </w:rPr>
      </w:pPr>
      <w:r w:rsidRPr="007D1918">
        <w:t xml:space="preserve">Source: Therapeutic Goods Administration, accessed </w:t>
      </w:r>
      <w:r w:rsidR="00B05D32" w:rsidRPr="007D1918">
        <w:t>20</w:t>
      </w:r>
      <w:r w:rsidRPr="007D1918">
        <w:t xml:space="preserve"> </w:t>
      </w:r>
      <w:r w:rsidR="00B05D32" w:rsidRPr="007D1918">
        <w:t>May</w:t>
      </w:r>
      <w:r w:rsidRPr="007D1918">
        <w:t xml:space="preserve"> </w:t>
      </w:r>
      <w:r w:rsidR="00A77189" w:rsidRPr="007D1918">
        <w:t>2019</w:t>
      </w:r>
      <w:r w:rsidRPr="007D1918">
        <w:t xml:space="preserve"> </w:t>
      </w:r>
      <w:hyperlink r:id="rId28" w:history="1">
        <w:r w:rsidR="00397669" w:rsidRPr="007D1918">
          <w:rPr>
            <w:rStyle w:val="Hyperlink"/>
            <w:sz w:val="20"/>
          </w:rPr>
          <w:t>Link to TGA.gov.au</w:t>
        </w:r>
      </w:hyperlink>
    </w:p>
    <w:p w14:paraId="048CCDB3" w14:textId="750B04C3" w:rsidR="008878E3" w:rsidRPr="007D1918" w:rsidRDefault="00214815" w:rsidP="00214815">
      <w:pPr>
        <w:pStyle w:val="Tablenotes0"/>
        <w:spacing w:after="80"/>
        <w:contextualSpacing w:val="0"/>
        <w:rPr>
          <w:rFonts w:eastAsia="Arial Narrow" w:cs="Calibri"/>
          <w:szCs w:val="18"/>
          <w:lang w:val="en-US"/>
        </w:rPr>
      </w:pPr>
      <w:r w:rsidRPr="007D1918">
        <w:rPr>
          <w:rFonts w:eastAsia="Arial Narrow" w:cs="Calibri"/>
          <w:szCs w:val="18"/>
          <w:lang w:val="en-US"/>
        </w:rPr>
        <w:t xml:space="preserve">ARTG = Australian Register of </w:t>
      </w:r>
      <w:r w:rsidR="00DA62E7" w:rsidRPr="007D1918">
        <w:rPr>
          <w:rFonts w:eastAsia="Arial Narrow" w:cs="Calibri"/>
          <w:szCs w:val="18"/>
          <w:lang w:val="en-US"/>
        </w:rPr>
        <w:t>Therapeutic</w:t>
      </w:r>
      <w:r w:rsidRPr="007D1918">
        <w:rPr>
          <w:rFonts w:eastAsia="Arial Narrow" w:cs="Calibri"/>
          <w:szCs w:val="18"/>
          <w:lang w:val="en-US"/>
        </w:rPr>
        <w:t xml:space="preserve"> Goods; </w:t>
      </w:r>
      <w:r w:rsidR="008878E3" w:rsidRPr="007D1918">
        <w:rPr>
          <w:rFonts w:eastAsia="Arial Narrow" w:cs="Calibri"/>
          <w:szCs w:val="18"/>
          <w:lang w:val="en-US"/>
        </w:rPr>
        <w:t>IV = intravenous; SC = subcutaneous; IM =</w:t>
      </w:r>
      <w:r w:rsidRPr="007D1918">
        <w:rPr>
          <w:rFonts w:eastAsia="Arial Narrow" w:cs="Calibri"/>
          <w:szCs w:val="18"/>
          <w:lang w:val="en-US"/>
        </w:rPr>
        <w:t xml:space="preserve"> intramuscular; MG = myasthenia gravis; NBA = national Blood Authority; TGA = Therapeutic Goods Administration</w:t>
      </w:r>
    </w:p>
    <w:p w14:paraId="270FA711" w14:textId="7B5065CC" w:rsidR="008878E3" w:rsidRPr="007D1918" w:rsidRDefault="008878E3" w:rsidP="00214815">
      <w:pPr>
        <w:pStyle w:val="Tablenotes0"/>
        <w:rPr>
          <w:rFonts w:eastAsia="Arial Narrow" w:cs="Calibri"/>
          <w:szCs w:val="18"/>
          <w:lang w:val="en-US"/>
        </w:rPr>
      </w:pPr>
      <w:r w:rsidRPr="007D1918">
        <w:rPr>
          <w:rFonts w:eastAsia="Arial Narrow" w:cs="Calibri"/>
          <w:szCs w:val="18"/>
          <w:vertAlign w:val="superscript"/>
          <w:lang w:val="en-US"/>
        </w:rPr>
        <w:t>a</w:t>
      </w:r>
      <w:r w:rsidRPr="007D1918">
        <w:rPr>
          <w:rFonts w:eastAsia="Arial Narrow" w:cs="Calibri"/>
          <w:szCs w:val="18"/>
          <w:lang w:val="en-US"/>
        </w:rPr>
        <w:t xml:space="preserve"> Indicates that Ig is </w:t>
      </w:r>
      <w:r w:rsidRPr="007D1918">
        <w:rPr>
          <w:rFonts w:eastAsia="Arial Narrow" w:cs="Calibri"/>
          <w:i/>
          <w:szCs w:val="18"/>
          <w:lang w:val="en-US"/>
        </w:rPr>
        <w:t xml:space="preserve">currently </w:t>
      </w:r>
      <w:r w:rsidRPr="007D1918">
        <w:rPr>
          <w:rFonts w:eastAsia="Arial Narrow" w:cs="Calibri"/>
          <w:szCs w:val="18"/>
          <w:lang w:val="en-US"/>
        </w:rPr>
        <w:t>funded for MG.  Note that tendering arrangements may change products funded in the future.</w:t>
      </w:r>
    </w:p>
    <w:p w14:paraId="1E88EC3A" w14:textId="5507185A" w:rsidR="008878E3" w:rsidRPr="007D1918" w:rsidRDefault="008878E3" w:rsidP="00214815">
      <w:pPr>
        <w:pStyle w:val="Tablenotes0"/>
        <w:rPr>
          <w:rFonts w:eastAsia="Arial Narrow" w:cs="Calibri"/>
          <w:szCs w:val="18"/>
          <w:lang w:val="en-US"/>
        </w:rPr>
      </w:pPr>
      <w:r w:rsidRPr="007D1918">
        <w:rPr>
          <w:rFonts w:eastAsia="Arial Narrow" w:cs="Calibri"/>
          <w:szCs w:val="18"/>
          <w:vertAlign w:val="superscript"/>
          <w:lang w:val="en-US"/>
        </w:rPr>
        <w:t>b</w:t>
      </w:r>
      <w:r w:rsidR="00BC7070" w:rsidRPr="007D1918">
        <w:rPr>
          <w:rFonts w:eastAsia="Arial Narrow" w:cs="Calibri"/>
          <w:szCs w:val="18"/>
          <w:vertAlign w:val="superscript"/>
          <w:lang w:val="en-US"/>
        </w:rPr>
        <w:t xml:space="preserve"> </w:t>
      </w:r>
      <w:r w:rsidRPr="007D1918">
        <w:rPr>
          <w:rFonts w:eastAsia="Arial Narrow" w:cs="Calibri"/>
          <w:szCs w:val="18"/>
          <w:lang w:val="en-US"/>
        </w:rPr>
        <w:t>Intragam P will be removed from funded access under the National Blood Arrangements once current inventory reserves have expired</w:t>
      </w:r>
    </w:p>
    <w:p w14:paraId="05DB37A1" w14:textId="1D3FAAEB" w:rsidR="008878E3" w:rsidRPr="007D1918" w:rsidRDefault="008878E3" w:rsidP="00214815">
      <w:pPr>
        <w:pStyle w:val="Tablenotes0"/>
        <w:rPr>
          <w:rFonts w:eastAsia="Arial Narrow" w:cs="Calibri"/>
          <w:szCs w:val="18"/>
          <w:lang w:val="en-US"/>
        </w:rPr>
      </w:pPr>
      <w:r w:rsidRPr="007D1918">
        <w:rPr>
          <w:rFonts w:eastAsia="Arial Narrow" w:cs="Calibri"/>
          <w:szCs w:val="18"/>
          <w:vertAlign w:val="superscript"/>
          <w:lang w:val="en-US"/>
        </w:rPr>
        <w:t>c</w:t>
      </w:r>
      <w:r w:rsidRPr="007D1918">
        <w:rPr>
          <w:rFonts w:eastAsia="Arial Narrow" w:cs="Calibri"/>
          <w:szCs w:val="18"/>
          <w:lang w:val="en-US"/>
        </w:rPr>
        <w:t xml:space="preserve"> IMIg is not in scope for this review.</w:t>
      </w:r>
    </w:p>
    <w:p w14:paraId="2208A60D" w14:textId="77777777" w:rsidR="00593792" w:rsidRPr="007D1918" w:rsidRDefault="00593792" w:rsidP="00214815">
      <w:pPr>
        <w:pStyle w:val="Tablenotes0"/>
        <w:rPr>
          <w:rFonts w:eastAsia="Arial Narrow" w:cs="Calibri"/>
          <w:szCs w:val="18"/>
          <w:lang w:val="en-US"/>
        </w:rPr>
      </w:pPr>
    </w:p>
    <w:p w14:paraId="1C1584D7" w14:textId="014F242A" w:rsidR="00483A86" w:rsidRPr="007D1918" w:rsidRDefault="0005232D" w:rsidP="00DF343F">
      <w:pPr>
        <w:pStyle w:val="Heading3"/>
        <w:jc w:val="both"/>
      </w:pPr>
      <w:bookmarkStart w:id="113" w:name="_Toc395200761"/>
      <w:bookmarkStart w:id="114" w:name="_Toc23766940"/>
      <w:r w:rsidRPr="007D1918">
        <w:t xml:space="preserve">Other </w:t>
      </w:r>
      <w:r w:rsidR="00816750" w:rsidRPr="007D1918">
        <w:t>i</w:t>
      </w:r>
      <w:r w:rsidR="00483A86" w:rsidRPr="007D1918">
        <w:t>ndications</w:t>
      </w:r>
      <w:bookmarkEnd w:id="105"/>
      <w:bookmarkEnd w:id="109"/>
      <w:bookmarkEnd w:id="113"/>
      <w:bookmarkEnd w:id="114"/>
    </w:p>
    <w:p w14:paraId="0095F610" w14:textId="29B8A3DA" w:rsidR="007D2548" w:rsidRPr="007D1918" w:rsidRDefault="0092494A" w:rsidP="00225EF4">
      <w:pPr>
        <w:jc w:val="both"/>
      </w:pPr>
      <w:r w:rsidRPr="007D1918">
        <w:t>Ig is used for treating other indications in Australia, including acquired hypogammaglobulinaemia</w:t>
      </w:r>
      <w:r w:rsidR="004323BC" w:rsidRPr="007D1918">
        <w:t xml:space="preserve"> secondary to haematological malignancies or post-haemopoietic stem cell transplantation</w:t>
      </w:r>
      <w:r w:rsidRPr="007D1918">
        <w:t>, which is being assessed in CA</w:t>
      </w:r>
      <w:r w:rsidR="00EF2B0F" w:rsidRPr="007D1918">
        <w:t xml:space="preserve"> </w:t>
      </w:r>
      <w:r w:rsidRPr="007D1918">
        <w:t>1565</w:t>
      </w:r>
      <w:r w:rsidR="00EF6579" w:rsidRPr="007D1918">
        <w:t>, and chronic inflammatory demyelinating polyneuropathy, which is being assessed in CA 1564</w:t>
      </w:r>
      <w:r w:rsidRPr="007D1918">
        <w:t>.</w:t>
      </w:r>
    </w:p>
    <w:p w14:paraId="140D8202" w14:textId="77777777" w:rsidR="007D2548" w:rsidRPr="007D1918" w:rsidRDefault="007D2548" w:rsidP="007D2548">
      <w:pPr>
        <w:pStyle w:val="Heading3"/>
        <w:jc w:val="both"/>
      </w:pPr>
      <w:bookmarkStart w:id="115" w:name="_Toc379118071"/>
      <w:bookmarkStart w:id="116" w:name="_Toc381796449"/>
      <w:bookmarkStart w:id="117" w:name="_Toc395200762"/>
      <w:bookmarkStart w:id="118" w:name="_Toc23766941"/>
      <w:r w:rsidRPr="007D1918">
        <w:lastRenderedPageBreak/>
        <w:t xml:space="preserve">Current </w:t>
      </w:r>
      <w:r w:rsidR="000F3B50" w:rsidRPr="007D1918">
        <w:t xml:space="preserve">funding </w:t>
      </w:r>
      <w:r w:rsidRPr="007D1918">
        <w:t>arrangements</w:t>
      </w:r>
      <w:bookmarkEnd w:id="115"/>
      <w:bookmarkEnd w:id="116"/>
      <w:bookmarkEnd w:id="117"/>
      <w:bookmarkEnd w:id="118"/>
    </w:p>
    <w:p w14:paraId="7ACD921E" w14:textId="3F1E794B" w:rsidR="00D266F4" w:rsidRPr="007D1918" w:rsidRDefault="00871091" w:rsidP="007D2548">
      <w:pPr>
        <w:jc w:val="both"/>
      </w:pPr>
      <w:r w:rsidRPr="007D1918">
        <w:t>Ig is currently supplied and funded through the National Blood Agreement and the NBA.</w:t>
      </w:r>
      <w:r w:rsidR="00A076EE" w:rsidRPr="007D1918">
        <w:t xml:space="preserve"> MG patients must </w:t>
      </w:r>
      <w:r w:rsidR="00724FCA" w:rsidRPr="007D1918">
        <w:t xml:space="preserve">be approved </w:t>
      </w:r>
      <w:r w:rsidR="00FC2B21" w:rsidRPr="007D1918">
        <w:t>by</w:t>
      </w:r>
      <w:r w:rsidR="00724FCA" w:rsidRPr="007D1918">
        <w:t xml:space="preserve"> </w:t>
      </w:r>
      <w:r w:rsidR="00A076EE" w:rsidRPr="007D1918">
        <w:t>meet</w:t>
      </w:r>
      <w:r w:rsidR="00724FCA" w:rsidRPr="007D1918">
        <w:t>ing</w:t>
      </w:r>
      <w:r w:rsidR="00A076EE" w:rsidRPr="007D1918">
        <w:t xml:space="preserve"> the criteria for Indication 1, 2 or 3 (NBA </w:t>
      </w:r>
      <w:r w:rsidR="00EC09DA" w:rsidRPr="007D1918">
        <w:rPr>
          <w:i/>
        </w:rPr>
        <w:t>Criteria V3</w:t>
      </w:r>
      <w:r w:rsidR="00A076EE" w:rsidRPr="007D1918">
        <w:t>)</w:t>
      </w:r>
      <w:r w:rsidR="00724FCA" w:rsidRPr="007D1918">
        <w:t xml:space="preserve"> by an APHRA accredited neurologist</w:t>
      </w:r>
      <w:r w:rsidR="00A076EE" w:rsidRPr="007D1918">
        <w:t xml:space="preserve"> to access the </w:t>
      </w:r>
      <w:r w:rsidR="00EF6579" w:rsidRPr="007D1918">
        <w:t>products.</w:t>
      </w:r>
    </w:p>
    <w:p w14:paraId="110409D8" w14:textId="77777777" w:rsidR="00835007" w:rsidRPr="007D1918" w:rsidDel="00A134DA" w:rsidRDefault="00AB3CB2" w:rsidP="00CE3A8B">
      <w:pPr>
        <w:pStyle w:val="Heading2"/>
        <w:numPr>
          <w:ilvl w:val="0"/>
          <w:numId w:val="9"/>
        </w:numPr>
      </w:pPr>
      <w:bookmarkStart w:id="119" w:name="_Toc381796450"/>
      <w:bookmarkStart w:id="120" w:name="_Toc23766942"/>
      <w:bookmarkStart w:id="121" w:name="_Toc327540865"/>
      <w:bookmarkStart w:id="122" w:name="_Toc379118069"/>
      <w:bookmarkStart w:id="123" w:name="_Toc381796447"/>
      <w:r w:rsidRPr="007D1918" w:rsidDel="00A134DA">
        <w:t>Proposal for Public F</w:t>
      </w:r>
      <w:r w:rsidR="00835007" w:rsidRPr="007D1918" w:rsidDel="00A134DA">
        <w:t>unding</w:t>
      </w:r>
      <w:bookmarkEnd w:id="119"/>
      <w:bookmarkEnd w:id="120"/>
    </w:p>
    <w:p w14:paraId="75F28CEF" w14:textId="17D7FE60" w:rsidR="00644CF2" w:rsidRPr="007D1918" w:rsidDel="00A134DA" w:rsidRDefault="00644CF2" w:rsidP="00D0770E">
      <w:pPr>
        <w:jc w:val="both"/>
      </w:pPr>
      <w:bookmarkStart w:id="124" w:name="_Toc379118076"/>
      <w:bookmarkStart w:id="125" w:name="_Toc381796455"/>
      <w:bookmarkStart w:id="126" w:name="_Toc379118072"/>
      <w:bookmarkStart w:id="127" w:name="_Toc355274709"/>
      <w:bookmarkEnd w:id="121"/>
      <w:bookmarkEnd w:id="122"/>
      <w:bookmarkEnd w:id="123"/>
      <w:r w:rsidRPr="007D1918">
        <w:t xml:space="preserve">The application for this CA has followed a fit-for-purpose pathway and a MBS item descriptor has not been provided. Recommended therapies will be supplied through the National Blood Agreement and accessed through the NBA </w:t>
      </w:r>
      <w:r w:rsidR="00EC09DA" w:rsidRPr="007D1918">
        <w:rPr>
          <w:i/>
        </w:rPr>
        <w:t>Criteria V3</w:t>
      </w:r>
      <w:r w:rsidR="00724FCA" w:rsidRPr="007D1918">
        <w:t xml:space="preserve"> </w:t>
      </w:r>
      <w:r w:rsidRPr="007D1918">
        <w:t xml:space="preserve">for MG. </w:t>
      </w:r>
    </w:p>
    <w:p w14:paraId="00B383C6" w14:textId="7B558BB7" w:rsidR="00C3360E" w:rsidRPr="007D1918" w:rsidRDefault="00C3360E" w:rsidP="00CE3A8B">
      <w:pPr>
        <w:pStyle w:val="Heading2"/>
        <w:numPr>
          <w:ilvl w:val="0"/>
          <w:numId w:val="9"/>
        </w:numPr>
      </w:pPr>
      <w:bookmarkStart w:id="128" w:name="_Toc23766943"/>
      <w:r w:rsidRPr="007D1918">
        <w:t xml:space="preserve">Proposed </w:t>
      </w:r>
      <w:r w:rsidR="00D82053" w:rsidRPr="007D1918">
        <w:t>P</w:t>
      </w:r>
      <w:r w:rsidRPr="007D1918">
        <w:t>opulation</w:t>
      </w:r>
      <w:bookmarkEnd w:id="128"/>
    </w:p>
    <w:p w14:paraId="5EF5070F" w14:textId="35FB83B0" w:rsidR="00AE4F65" w:rsidRPr="007D1918" w:rsidRDefault="00AE4F65" w:rsidP="00AE4F65">
      <w:pPr>
        <w:widowControl w:val="0"/>
        <w:autoSpaceDE w:val="0"/>
        <w:autoSpaceDN w:val="0"/>
        <w:adjustRightInd w:val="0"/>
        <w:jc w:val="both"/>
        <w:rPr>
          <w:rFonts w:cstheme="minorHAnsi"/>
        </w:rPr>
      </w:pPr>
      <w:r w:rsidRPr="007D1918">
        <w:rPr>
          <w:rFonts w:cstheme="minorHAnsi"/>
        </w:rPr>
        <w:t xml:space="preserve">MG is a debilitating autoimmune disease affecting the nervous system and causing muscle weakness. MG is associated in the majority of patients (85%) with the presence of </w:t>
      </w:r>
      <w:r w:rsidR="00714B88" w:rsidRPr="007D1918">
        <w:rPr>
          <w:rFonts w:cstheme="minorHAnsi"/>
        </w:rPr>
        <w:t>a high</w:t>
      </w:r>
      <w:r w:rsidR="005C0631" w:rsidRPr="007D1918">
        <w:rPr>
          <w:rFonts w:cstheme="minorHAnsi"/>
        </w:rPr>
        <w:t>er than normal</w:t>
      </w:r>
      <w:r w:rsidR="00714B88" w:rsidRPr="007D1918">
        <w:rPr>
          <w:rFonts w:cstheme="minorHAnsi"/>
        </w:rPr>
        <w:t xml:space="preserve"> AChRAb titre</w:t>
      </w:r>
      <w:r w:rsidRPr="007D1918">
        <w:rPr>
          <w:rFonts w:cstheme="minorHAnsi"/>
        </w:rPr>
        <w:t>. In a smaller proportion of cases, MG is associated with antibodies to muscle specific tyrosine kinase</w:t>
      </w:r>
      <w:r w:rsidR="00B015A0" w:rsidRPr="007D1918">
        <w:rPr>
          <w:rFonts w:cstheme="minorHAnsi"/>
        </w:rPr>
        <w:t xml:space="preserve"> (MuSK)</w:t>
      </w:r>
      <w:r w:rsidR="008963FC" w:rsidRPr="007D1918">
        <w:rPr>
          <w:rFonts w:cstheme="minorHAnsi"/>
        </w:rPr>
        <w:t>,</w:t>
      </w:r>
      <w:r w:rsidRPr="007D1918">
        <w:rPr>
          <w:rFonts w:cstheme="minorHAnsi"/>
        </w:rPr>
        <w:t xml:space="preserve"> a protein found at the neuromuscular junction which has a role in </w:t>
      </w:r>
      <w:r w:rsidR="00714B88" w:rsidRPr="007D1918">
        <w:rPr>
          <w:rFonts w:cstheme="minorHAnsi"/>
        </w:rPr>
        <w:t>acetylcholine receptor</w:t>
      </w:r>
      <w:r w:rsidRPr="007D1918">
        <w:rPr>
          <w:rFonts w:cstheme="minorHAnsi"/>
        </w:rPr>
        <w:t xml:space="preserve"> function. A very small</w:t>
      </w:r>
      <w:r w:rsidR="00E403A6" w:rsidRPr="007D1918">
        <w:rPr>
          <w:rFonts w:cstheme="minorHAnsi"/>
        </w:rPr>
        <w:t xml:space="preserve"> number of MG patients are sero</w:t>
      </w:r>
      <w:r w:rsidRPr="007D1918">
        <w:rPr>
          <w:rFonts w:cstheme="minorHAnsi"/>
        </w:rPr>
        <w:t>negative, that is, they do not have antibodies to either of these two proteins.</w:t>
      </w:r>
    </w:p>
    <w:p w14:paraId="4C78FF4E" w14:textId="725F70F8" w:rsidR="00D0770E" w:rsidRPr="007D1918" w:rsidRDefault="00AE4F65" w:rsidP="00C437BA">
      <w:pPr>
        <w:widowControl w:val="0"/>
        <w:autoSpaceDE w:val="0"/>
        <w:autoSpaceDN w:val="0"/>
        <w:adjustRightInd w:val="0"/>
        <w:spacing w:before="240"/>
        <w:jc w:val="both"/>
        <w:rPr>
          <w:rFonts w:cstheme="minorHAnsi"/>
        </w:rPr>
      </w:pPr>
      <w:r w:rsidRPr="007D1918">
        <w:rPr>
          <w:rFonts w:cstheme="minorHAnsi"/>
        </w:rPr>
        <w:t xml:space="preserve">Symptoms of muscle weakness are have a common pattern in MG, most commonly causing unilateral or bilateral drooping of the eyelid (ptosis), double vision (diplopia), difficulty swallowing (dysphagia), weakness of the proximal muscles and respiratory system. Disease onset is on average earlier in women at 28 years, </w:t>
      </w:r>
      <w:r w:rsidR="002C5648" w:rsidRPr="007D1918">
        <w:rPr>
          <w:rFonts w:cstheme="minorHAnsi"/>
        </w:rPr>
        <w:t>compared to</w:t>
      </w:r>
      <w:r w:rsidRPr="007D1918">
        <w:rPr>
          <w:rFonts w:cstheme="minorHAnsi"/>
        </w:rPr>
        <w:t xml:space="preserve"> 42 years </w:t>
      </w:r>
      <w:r w:rsidR="002C5648" w:rsidRPr="007D1918">
        <w:rPr>
          <w:rFonts w:cstheme="minorHAnsi"/>
        </w:rPr>
        <w:t>in men</w:t>
      </w:r>
      <w:r w:rsidR="001F598F" w:rsidRPr="007D1918">
        <w:rPr>
          <w:rFonts w:cstheme="minorHAnsi"/>
        </w:rPr>
        <w:t>, this difference contributing to women being affected 50</w:t>
      </w:r>
      <w:r w:rsidR="00225EF4" w:rsidRPr="007D1918">
        <w:rPr>
          <w:rFonts w:cstheme="minorHAnsi"/>
        </w:rPr>
        <w:t>%</w:t>
      </w:r>
      <w:r w:rsidR="001F598F" w:rsidRPr="007D1918">
        <w:rPr>
          <w:rFonts w:cstheme="minorHAnsi"/>
        </w:rPr>
        <w:t xml:space="preserve"> more often than men</w:t>
      </w:r>
      <w:r w:rsidRPr="007D1918">
        <w:rPr>
          <w:rFonts w:cstheme="minorHAnsi"/>
        </w:rPr>
        <w:t xml:space="preserve">. Symptoms can appear at any age however, and 10% of cases begin in childhood. Severity worsens over </w:t>
      </w:r>
      <w:r w:rsidR="00F32053" w:rsidRPr="007D1918">
        <w:rPr>
          <w:rFonts w:cstheme="minorHAnsi"/>
        </w:rPr>
        <w:t xml:space="preserve">1 </w:t>
      </w:r>
      <w:r w:rsidRPr="007D1918">
        <w:rPr>
          <w:rFonts w:cstheme="minorHAnsi"/>
        </w:rPr>
        <w:t xml:space="preserve">to </w:t>
      </w:r>
      <w:r w:rsidR="00F32053" w:rsidRPr="007D1918">
        <w:rPr>
          <w:rFonts w:cstheme="minorHAnsi"/>
        </w:rPr>
        <w:t xml:space="preserve">3 </w:t>
      </w:r>
      <w:r w:rsidRPr="007D1918">
        <w:rPr>
          <w:rFonts w:cstheme="minorHAnsi"/>
        </w:rPr>
        <w:t xml:space="preserve">years to its maximum degree. </w:t>
      </w:r>
      <w:r w:rsidR="00C437BA" w:rsidRPr="007D1918">
        <w:rPr>
          <w:rFonts w:cstheme="minorHAnsi"/>
        </w:rPr>
        <w:fldChar w:fldCharType="begin"/>
      </w:r>
      <w:r w:rsidR="00C437BA" w:rsidRPr="007D1918">
        <w:rPr>
          <w:rFonts w:cstheme="minorHAnsi"/>
        </w:rPr>
        <w:instrText xml:space="preserve"> ADDIN EN.CITE &lt;EndNote&gt;&lt;Cite&gt;&lt;Author&gt;Australia&lt;/Author&gt;&lt;Year&gt;2012&lt;/Year&gt;&lt;RecNum&gt;67&lt;/RecNum&gt;&lt;DisplayText&gt;(Muscular Dystrophy Foundation Australia 2012)&lt;/DisplayText&gt;&lt;record&gt;&lt;rec-number&gt;67&lt;/rec-number&gt;&lt;foreign-keys&gt;&lt;key app="EN" db-id="2aevrx2slsts5ve9sdavatf125dsx0av2v9d" timestamp="1563239063"&gt;67&lt;/key&gt;&lt;key app="ENWeb" db-id=""&gt;0&lt;/key&gt;&lt;/foreign-keys&gt;&lt;ref-type name="Report"&gt;27&lt;/ref-type&gt;&lt;contributors&gt;&lt;authors&gt;&lt;author&gt;Muscular Dystrophy Foundation Australia, &lt;/author&gt;&lt;/authors&gt;&lt;secondary-authors&gt;&lt;author&gt;Muscular Dystrophy Foundation Limited&lt;/author&gt;&lt;/secondary-authors&gt;&lt;/contributors&gt;&lt;titles&gt;&lt;title&gt;Facts About Myasthenia Gravis&lt;/title&gt;&lt;/titles&gt;&lt;dates&gt;&lt;year&gt;2012&lt;/year&gt;&lt;/dates&gt;&lt;pub-location&gt;Sydney, NSW&lt;/pub-location&gt;&lt;urls&gt;&lt;/urls&gt;&lt;/record&gt;&lt;/Cite&gt;&lt;Cite&gt;&lt;Author&gt;Muscular Dystrophy Foundation Australia&lt;/Author&gt;&lt;Year&gt;2012&lt;/Year&gt;&lt;RecNum&gt;67&lt;/RecNum&gt;&lt;record&gt;&lt;rec-number&gt;67&lt;/rec-number&gt;&lt;foreign-keys&gt;&lt;key app="EN" db-id="2aevrx2slsts5ve9sdavatf125dsx0av2v9d" timestamp="1563239063"&gt;67&lt;/key&gt;&lt;key app="ENWeb" db-id=""&gt;0&lt;/key&gt;&lt;/foreign-keys&gt;&lt;ref-type name="Report"&gt;27&lt;/ref-type&gt;&lt;contributors&gt;&lt;authors&gt;&lt;author&gt;Muscular Dystrophy Foundation Australia, &lt;/author&gt;&lt;/authors&gt;&lt;secondary-authors&gt;&lt;author&gt;Muscular Dystrophy Foundation Limited&lt;/author&gt;&lt;/secondary-authors&gt;&lt;/contributors&gt;&lt;titles&gt;&lt;title&gt;Facts About Myasthenia Gravis&lt;/title&gt;&lt;/titles&gt;&lt;dates&gt;&lt;year&gt;2012&lt;/year&gt;&lt;/dates&gt;&lt;pub-location&gt;Sydney, NSW&lt;/pub-location&gt;&lt;urls&gt;&lt;/urls&gt;&lt;/record&gt;&lt;/Cite&gt;&lt;/EndNote&gt;</w:instrText>
      </w:r>
      <w:r w:rsidR="00C437BA" w:rsidRPr="007D1918">
        <w:rPr>
          <w:rFonts w:cstheme="minorHAnsi"/>
        </w:rPr>
        <w:fldChar w:fldCharType="separate"/>
      </w:r>
      <w:r w:rsidR="00C437BA" w:rsidRPr="007D1918">
        <w:rPr>
          <w:rFonts w:cstheme="minorHAnsi"/>
          <w:noProof/>
        </w:rPr>
        <w:t>(</w:t>
      </w:r>
      <w:hyperlink w:anchor="_ENREF_69" w:tooltip="Muscular Dystrophy Foundation Australia, 2012 #67" w:history="1">
        <w:r w:rsidR="007D4948" w:rsidRPr="007D1918">
          <w:rPr>
            <w:rFonts w:cstheme="minorHAnsi"/>
            <w:noProof/>
          </w:rPr>
          <w:t>Muscular Dystrophy Foundation Australia 2012</w:t>
        </w:r>
      </w:hyperlink>
      <w:r w:rsidR="00C437BA" w:rsidRPr="007D1918">
        <w:rPr>
          <w:rFonts w:cstheme="minorHAnsi"/>
          <w:noProof/>
        </w:rPr>
        <w:t>)</w:t>
      </w:r>
      <w:r w:rsidR="00C437BA" w:rsidRPr="007D1918">
        <w:rPr>
          <w:rFonts w:cstheme="minorHAnsi"/>
        </w:rPr>
        <w:fldChar w:fldCharType="end"/>
      </w:r>
      <w:r w:rsidR="00C437BA" w:rsidRPr="007D1918">
        <w:rPr>
          <w:rFonts w:cstheme="minorHAnsi"/>
        </w:rPr>
        <w:t>.</w:t>
      </w:r>
    </w:p>
    <w:p w14:paraId="5B617658" w14:textId="6E5789B4" w:rsidR="00AE4F65" w:rsidRPr="007D1918" w:rsidRDefault="00724FCA" w:rsidP="00D0770E">
      <w:pPr>
        <w:widowControl w:val="0"/>
        <w:autoSpaceDE w:val="0"/>
        <w:autoSpaceDN w:val="0"/>
        <w:adjustRightInd w:val="0"/>
        <w:spacing w:before="240"/>
        <w:jc w:val="both"/>
        <w:rPr>
          <w:rFonts w:cstheme="minorHAnsi"/>
        </w:rPr>
      </w:pPr>
      <w:r w:rsidRPr="007D1918">
        <w:rPr>
          <w:rFonts w:cstheme="minorHAnsi"/>
        </w:rPr>
        <w:t xml:space="preserve">MG affects two to seven out of every 10,000 people in Western countries. </w:t>
      </w:r>
      <w:r w:rsidR="00AE4F65" w:rsidRPr="007D1918">
        <w:rPr>
          <w:rFonts w:cstheme="minorHAnsi"/>
        </w:rPr>
        <w:t xml:space="preserve">Quality of life is severely impacted by MG with everyday activities made difficult due to the weakness in muscles, especially in the limbs. Over </w:t>
      </w:r>
      <w:r w:rsidR="00AE4F65" w:rsidRPr="007D1918">
        <w:t>30</w:t>
      </w:r>
      <w:r w:rsidR="00225EF4" w:rsidRPr="007D1918">
        <w:t xml:space="preserve">% </w:t>
      </w:r>
      <w:r w:rsidR="00AE4F65" w:rsidRPr="007D1918">
        <w:rPr>
          <w:rFonts w:cstheme="minorHAnsi"/>
        </w:rPr>
        <w:t>of patients experience very severe symptoms requiring hospitalisation and/or intensive care.</w:t>
      </w:r>
    </w:p>
    <w:p w14:paraId="49119416" w14:textId="48BFED32" w:rsidR="00081911" w:rsidRPr="007D1918" w:rsidRDefault="00A076EE" w:rsidP="00AE4F65">
      <w:pPr>
        <w:widowControl w:val="0"/>
        <w:autoSpaceDE w:val="0"/>
        <w:autoSpaceDN w:val="0"/>
        <w:adjustRightInd w:val="0"/>
        <w:jc w:val="both"/>
        <w:rPr>
          <w:rFonts w:cstheme="minorHAnsi"/>
        </w:rPr>
      </w:pPr>
      <w:r w:rsidRPr="007D1918">
        <w:rPr>
          <w:rFonts w:cstheme="minorHAnsi"/>
        </w:rPr>
        <w:fldChar w:fldCharType="begin"/>
      </w:r>
      <w:r w:rsidRPr="007D1918">
        <w:rPr>
          <w:rFonts w:cstheme="minorHAnsi"/>
        </w:rPr>
        <w:instrText xml:space="preserve"> REF _Ref9859342 \h </w:instrText>
      </w:r>
      <w:r w:rsidR="00E07567" w:rsidRPr="007D1918">
        <w:rPr>
          <w:rFonts w:cstheme="minorHAnsi"/>
        </w:rPr>
        <w:instrText xml:space="preserve"> \* MERGEFORMAT </w:instrText>
      </w:r>
      <w:r w:rsidRPr="007D1918">
        <w:rPr>
          <w:rFonts w:cstheme="minorHAnsi"/>
        </w:rPr>
      </w:r>
      <w:r w:rsidRPr="007D1918">
        <w:rPr>
          <w:rFonts w:cstheme="minorHAnsi"/>
        </w:rPr>
        <w:fldChar w:fldCharType="separate"/>
      </w:r>
      <w:r w:rsidR="007C33AD" w:rsidRPr="007D1918">
        <w:t xml:space="preserve">Table </w:t>
      </w:r>
      <w:r w:rsidR="007C33AD" w:rsidRPr="007D1918">
        <w:rPr>
          <w:noProof/>
        </w:rPr>
        <w:t>8</w:t>
      </w:r>
      <w:r w:rsidRPr="007D1918">
        <w:rPr>
          <w:rFonts w:cstheme="minorHAnsi"/>
        </w:rPr>
        <w:fldChar w:fldCharType="end"/>
      </w:r>
      <w:r w:rsidRPr="007D1918">
        <w:rPr>
          <w:rFonts w:cstheme="minorHAnsi"/>
        </w:rPr>
        <w:t xml:space="preserve"> </w:t>
      </w:r>
      <w:r w:rsidR="00081911" w:rsidRPr="007D1918">
        <w:rPr>
          <w:rFonts w:cstheme="minorHAnsi"/>
        </w:rPr>
        <w:t>gives an estimate of the number of patients treated for Indications 1, 2 and 3 in Australia, and the Ig usage per patient</w:t>
      </w:r>
      <w:r w:rsidR="00724FCA" w:rsidRPr="007D1918">
        <w:rPr>
          <w:rFonts w:cstheme="minorHAnsi"/>
        </w:rPr>
        <w:t>, calculated with data from NBA BloodSTAR</w:t>
      </w:r>
      <w:r w:rsidR="00724FCA" w:rsidRPr="007D1918">
        <w:rPr>
          <w:rStyle w:val="FootnoteReference"/>
          <w:rFonts w:cstheme="minorHAnsi"/>
        </w:rPr>
        <w:footnoteReference w:id="4"/>
      </w:r>
      <w:r w:rsidR="00081911" w:rsidRPr="007D1918">
        <w:rPr>
          <w:rFonts w:cstheme="minorHAnsi"/>
        </w:rPr>
        <w:t xml:space="preserve">. </w:t>
      </w:r>
      <w:r w:rsidRPr="007D1918">
        <w:rPr>
          <w:rFonts w:cstheme="minorHAnsi"/>
        </w:rPr>
        <w:t xml:space="preserve">By far the largest number of patients with MG use IVIg for </w:t>
      </w:r>
      <w:r w:rsidR="003C6329" w:rsidRPr="007D1918">
        <w:rPr>
          <w:rFonts w:cstheme="minorHAnsi"/>
        </w:rPr>
        <w:t>maintenance</w:t>
      </w:r>
      <w:r w:rsidRPr="007D1918">
        <w:rPr>
          <w:rFonts w:cstheme="minorHAnsi"/>
        </w:rPr>
        <w:t xml:space="preserve"> therapy.</w:t>
      </w:r>
      <w:r w:rsidR="00F5269A" w:rsidRPr="007D1918">
        <w:rPr>
          <w:rFonts w:cstheme="minorHAnsi"/>
        </w:rPr>
        <w:t xml:space="preserve"> In total there were 15,079 treatment episodes, in which 514,257 g of Ig were administered in the period Ju</w:t>
      </w:r>
      <w:r w:rsidR="002C5648" w:rsidRPr="007D1918">
        <w:rPr>
          <w:rFonts w:cstheme="minorHAnsi"/>
        </w:rPr>
        <w:t>ly</w:t>
      </w:r>
      <w:r w:rsidR="00724FCA" w:rsidRPr="007D1918">
        <w:rPr>
          <w:rFonts w:cstheme="minorHAnsi"/>
        </w:rPr>
        <w:t xml:space="preserve"> </w:t>
      </w:r>
      <w:r w:rsidR="00F5269A" w:rsidRPr="007D1918">
        <w:rPr>
          <w:rFonts w:cstheme="minorHAnsi"/>
        </w:rPr>
        <w:t>2017 to Jun</w:t>
      </w:r>
      <w:r w:rsidR="002C5648" w:rsidRPr="007D1918">
        <w:rPr>
          <w:rFonts w:cstheme="minorHAnsi"/>
        </w:rPr>
        <w:t>e</w:t>
      </w:r>
      <w:r w:rsidR="00F5269A" w:rsidRPr="007D1918">
        <w:rPr>
          <w:rFonts w:cstheme="minorHAnsi"/>
        </w:rPr>
        <w:t xml:space="preserve"> 2018. The IVIg usage per treatment episode based on this rate was 34.1 g and the usage per patient for all indications was </w:t>
      </w:r>
      <w:r w:rsidR="00F5269A" w:rsidRPr="007D1918">
        <w:rPr>
          <w:rFonts w:cstheme="minorHAnsi"/>
        </w:rPr>
        <w:lastRenderedPageBreak/>
        <w:t>438.04 g.</w:t>
      </w:r>
    </w:p>
    <w:p w14:paraId="45D68008" w14:textId="6733DD49" w:rsidR="003B66C8" w:rsidRPr="007D1918" w:rsidRDefault="003B66C8" w:rsidP="00225EF4">
      <w:pPr>
        <w:pStyle w:val="Caption"/>
        <w:keepNext/>
        <w:keepLines/>
        <w:tabs>
          <w:tab w:val="left" w:pos="851"/>
        </w:tabs>
        <w:jc w:val="both"/>
      </w:pPr>
      <w:bookmarkStart w:id="129" w:name="_Ref9859342"/>
      <w:bookmarkStart w:id="130" w:name="_Toc23769495"/>
      <w:r w:rsidRPr="007D1918">
        <w:t xml:space="preserve">Table </w:t>
      </w:r>
      <w:r w:rsidR="00153891" w:rsidRPr="007D1918">
        <w:rPr>
          <w:noProof/>
        </w:rPr>
        <w:fldChar w:fldCharType="begin"/>
      </w:r>
      <w:r w:rsidR="00153891" w:rsidRPr="007D1918">
        <w:rPr>
          <w:noProof/>
        </w:rPr>
        <w:instrText xml:space="preserve"> SEQ Table \* ARABIC </w:instrText>
      </w:r>
      <w:r w:rsidR="00153891" w:rsidRPr="007D1918">
        <w:rPr>
          <w:noProof/>
        </w:rPr>
        <w:fldChar w:fldCharType="separate"/>
      </w:r>
      <w:r w:rsidR="007C33AD" w:rsidRPr="007D1918">
        <w:rPr>
          <w:noProof/>
        </w:rPr>
        <w:t>8</w:t>
      </w:r>
      <w:r w:rsidR="00153891" w:rsidRPr="007D1918">
        <w:rPr>
          <w:noProof/>
        </w:rPr>
        <w:fldChar w:fldCharType="end"/>
      </w:r>
      <w:bookmarkEnd w:id="129"/>
      <w:r w:rsidRPr="007D1918">
        <w:tab/>
      </w:r>
      <w:r w:rsidR="002C5648" w:rsidRPr="007D1918">
        <w:t>Number of patients using</w:t>
      </w:r>
      <w:r w:rsidRPr="007D1918">
        <w:t xml:space="preserve"> IVIg for M</w:t>
      </w:r>
      <w:r w:rsidR="002664ED" w:rsidRPr="007D1918">
        <w:t xml:space="preserve">G </w:t>
      </w:r>
      <w:r w:rsidRPr="007D1918">
        <w:t>in A</w:t>
      </w:r>
      <w:r w:rsidR="002664ED" w:rsidRPr="007D1918">
        <w:t>u</w:t>
      </w:r>
      <w:r w:rsidRPr="007D1918">
        <w:t>stralia</w:t>
      </w:r>
      <w:r w:rsidR="002664ED" w:rsidRPr="007D1918">
        <w:t xml:space="preserve"> for the period of July 2017 to June 2018</w:t>
      </w:r>
      <w:bookmarkEnd w:id="1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Incidence and IVIg usage for MG in Australia for the period of July 2017 to June 2018"/>
        <w:tblDescription w:val="The number of MG patients, treatment episodes, total Ig usage, and usage for indications 1, 2 and 3. over the period of July 2017 o june 2018."/>
      </w:tblPr>
      <w:tblGrid>
        <w:gridCol w:w="3856"/>
        <w:gridCol w:w="3402"/>
      </w:tblGrid>
      <w:tr w:rsidR="00F5269A" w:rsidRPr="007D1918" w14:paraId="6ED050AE" w14:textId="11F0206D" w:rsidTr="00F5269A">
        <w:trPr>
          <w:tblHeader/>
        </w:trPr>
        <w:tc>
          <w:tcPr>
            <w:tcW w:w="3856" w:type="dxa"/>
          </w:tcPr>
          <w:p w14:paraId="50FA8ACC" w14:textId="68962B4E" w:rsidR="00F5269A" w:rsidRPr="007D1918" w:rsidRDefault="00F5269A" w:rsidP="00225EF4">
            <w:pPr>
              <w:pStyle w:val="TableHeading"/>
              <w:keepLines/>
            </w:pPr>
            <w:r w:rsidRPr="007D1918">
              <w:t>Item</w:t>
            </w:r>
          </w:p>
        </w:tc>
        <w:tc>
          <w:tcPr>
            <w:tcW w:w="3402" w:type="dxa"/>
          </w:tcPr>
          <w:p w14:paraId="34F30471" w14:textId="5F3CF369" w:rsidR="00F5269A" w:rsidRPr="007D1918" w:rsidRDefault="00724FCA" w:rsidP="00225EF4">
            <w:pPr>
              <w:pStyle w:val="TableHeading"/>
              <w:keepLines/>
              <w:rPr>
                <w:vertAlign w:val="superscript"/>
              </w:rPr>
            </w:pPr>
            <w:r w:rsidRPr="007D1918">
              <w:t xml:space="preserve">Patient </w:t>
            </w:r>
            <w:r w:rsidR="00F5269A" w:rsidRPr="007D1918">
              <w:t>Number</w:t>
            </w:r>
          </w:p>
        </w:tc>
      </w:tr>
      <w:tr w:rsidR="00F5269A" w:rsidRPr="007D1918" w14:paraId="23217A01" w14:textId="0220A3CF" w:rsidTr="00F5269A">
        <w:tc>
          <w:tcPr>
            <w:tcW w:w="3856" w:type="dxa"/>
          </w:tcPr>
          <w:p w14:paraId="48B40E0F" w14:textId="49CA90A1" w:rsidR="00F5269A" w:rsidRPr="007D1918" w:rsidRDefault="00F5269A" w:rsidP="00225EF4">
            <w:pPr>
              <w:keepNext/>
              <w:keepLines/>
              <w:spacing w:before="40" w:after="40" w:line="240" w:lineRule="auto"/>
              <w:rPr>
                <w:rFonts w:ascii="Arial Narrow" w:hAnsi="Arial Narrow"/>
                <w:sz w:val="20"/>
                <w:szCs w:val="20"/>
              </w:rPr>
            </w:pPr>
            <w:r w:rsidRPr="007D1918">
              <w:rPr>
                <w:rFonts w:ascii="Arial Narrow" w:hAnsi="Arial Narrow"/>
                <w:sz w:val="20"/>
                <w:szCs w:val="20"/>
              </w:rPr>
              <w:t>All MG patients (n)</w:t>
            </w:r>
          </w:p>
        </w:tc>
        <w:tc>
          <w:tcPr>
            <w:tcW w:w="3402" w:type="dxa"/>
          </w:tcPr>
          <w:p w14:paraId="55388931" w14:textId="7609B46A" w:rsidR="00F5269A" w:rsidRPr="007D1918" w:rsidRDefault="00F5269A" w:rsidP="00225EF4">
            <w:pPr>
              <w:keepNext/>
              <w:keepLines/>
              <w:spacing w:before="40" w:after="40" w:line="240" w:lineRule="auto"/>
              <w:rPr>
                <w:rFonts w:ascii="Arial Narrow" w:hAnsi="Arial Narrow"/>
                <w:sz w:val="20"/>
                <w:szCs w:val="20"/>
              </w:rPr>
            </w:pPr>
            <w:r w:rsidRPr="007D1918">
              <w:rPr>
                <w:rFonts w:ascii="Arial Narrow" w:hAnsi="Arial Narrow"/>
                <w:sz w:val="20"/>
                <w:szCs w:val="20"/>
              </w:rPr>
              <w:t>1,174</w:t>
            </w:r>
          </w:p>
        </w:tc>
      </w:tr>
      <w:tr w:rsidR="00F5269A" w:rsidRPr="007D1918" w14:paraId="4775DD24" w14:textId="77777777" w:rsidTr="00F5269A">
        <w:tc>
          <w:tcPr>
            <w:tcW w:w="3856" w:type="dxa"/>
          </w:tcPr>
          <w:p w14:paraId="3DCCC83A" w14:textId="1DBF0F5E" w:rsidR="00F5269A" w:rsidRPr="007D1918" w:rsidRDefault="00F5269A" w:rsidP="005C39D4">
            <w:pPr>
              <w:spacing w:before="40" w:after="40" w:line="240" w:lineRule="auto"/>
              <w:rPr>
                <w:rFonts w:ascii="Arial Narrow" w:hAnsi="Arial Narrow"/>
                <w:sz w:val="20"/>
                <w:szCs w:val="20"/>
              </w:rPr>
            </w:pPr>
            <w:r w:rsidRPr="007D1918">
              <w:rPr>
                <w:rFonts w:ascii="Arial Narrow" w:hAnsi="Arial Narrow"/>
                <w:sz w:val="20"/>
                <w:szCs w:val="20"/>
              </w:rPr>
              <w:t>Indication 1 (</w:t>
            </w:r>
            <w:r w:rsidR="00724FCA" w:rsidRPr="007D1918">
              <w:rPr>
                <w:rFonts w:ascii="Arial Narrow" w:hAnsi="Arial Narrow"/>
                <w:sz w:val="20"/>
                <w:szCs w:val="20"/>
              </w:rPr>
              <w:t xml:space="preserve">% </w:t>
            </w:r>
            <w:r w:rsidR="005C39D4" w:rsidRPr="007D1918">
              <w:rPr>
                <w:rFonts w:ascii="Arial Narrow" w:hAnsi="Arial Narrow"/>
                <w:sz w:val="20"/>
                <w:szCs w:val="20"/>
              </w:rPr>
              <w:t>g</w:t>
            </w:r>
            <w:r w:rsidRPr="007D1918">
              <w:rPr>
                <w:rFonts w:ascii="Arial Narrow" w:hAnsi="Arial Narrow"/>
                <w:sz w:val="20"/>
                <w:szCs w:val="20"/>
              </w:rPr>
              <w:t>)</w:t>
            </w:r>
          </w:p>
        </w:tc>
        <w:tc>
          <w:tcPr>
            <w:tcW w:w="3402" w:type="dxa"/>
          </w:tcPr>
          <w:p w14:paraId="742A221F" w14:textId="77672FCE" w:rsidR="00F5269A" w:rsidRPr="007D1918" w:rsidRDefault="00F5269A" w:rsidP="00A7047B">
            <w:pPr>
              <w:spacing w:before="40" w:after="40" w:line="240" w:lineRule="auto"/>
              <w:rPr>
                <w:rFonts w:ascii="Arial Narrow" w:hAnsi="Arial Narrow"/>
                <w:sz w:val="20"/>
                <w:szCs w:val="20"/>
                <w:vertAlign w:val="superscript"/>
              </w:rPr>
            </w:pPr>
            <w:r w:rsidRPr="007D1918">
              <w:rPr>
                <w:rFonts w:ascii="Arial Narrow" w:hAnsi="Arial Narrow"/>
                <w:sz w:val="20"/>
                <w:szCs w:val="20"/>
              </w:rPr>
              <w:t>201 (17.1%)</w:t>
            </w:r>
            <w:r w:rsidR="002C5648" w:rsidRPr="007D1918">
              <w:rPr>
                <w:rFonts w:ascii="Arial Narrow" w:hAnsi="Arial Narrow"/>
                <w:sz w:val="20"/>
                <w:szCs w:val="20"/>
                <w:vertAlign w:val="superscript"/>
              </w:rPr>
              <w:t>a</w:t>
            </w:r>
          </w:p>
        </w:tc>
      </w:tr>
      <w:tr w:rsidR="00F5269A" w:rsidRPr="007D1918" w14:paraId="2636627F" w14:textId="77777777" w:rsidTr="00F5269A">
        <w:tc>
          <w:tcPr>
            <w:tcW w:w="3856" w:type="dxa"/>
          </w:tcPr>
          <w:p w14:paraId="69645F72" w14:textId="44973E8F" w:rsidR="00F5269A" w:rsidRPr="007D1918" w:rsidRDefault="00F5269A" w:rsidP="005C39D4">
            <w:pPr>
              <w:spacing w:before="40" w:after="40" w:line="240" w:lineRule="auto"/>
              <w:rPr>
                <w:rFonts w:ascii="Arial Narrow" w:hAnsi="Arial Narrow"/>
                <w:sz w:val="20"/>
                <w:szCs w:val="20"/>
              </w:rPr>
            </w:pPr>
            <w:r w:rsidRPr="007D1918">
              <w:rPr>
                <w:rFonts w:ascii="Arial Narrow" w:hAnsi="Arial Narrow"/>
                <w:sz w:val="20"/>
                <w:szCs w:val="20"/>
              </w:rPr>
              <w:t>Indication 2 (</w:t>
            </w:r>
            <w:r w:rsidR="00724FCA" w:rsidRPr="007D1918">
              <w:rPr>
                <w:rFonts w:ascii="Arial Narrow" w:hAnsi="Arial Narrow"/>
                <w:sz w:val="20"/>
                <w:szCs w:val="20"/>
              </w:rPr>
              <w:t xml:space="preserve">% </w:t>
            </w:r>
            <w:r w:rsidR="005C39D4" w:rsidRPr="007D1918">
              <w:rPr>
                <w:rFonts w:ascii="Arial Narrow" w:hAnsi="Arial Narrow"/>
                <w:sz w:val="20"/>
                <w:szCs w:val="20"/>
              </w:rPr>
              <w:t>g</w:t>
            </w:r>
            <w:r w:rsidRPr="007D1918">
              <w:rPr>
                <w:rFonts w:ascii="Arial Narrow" w:hAnsi="Arial Narrow"/>
                <w:sz w:val="20"/>
                <w:szCs w:val="20"/>
              </w:rPr>
              <w:t>)</w:t>
            </w:r>
          </w:p>
        </w:tc>
        <w:tc>
          <w:tcPr>
            <w:tcW w:w="3402" w:type="dxa"/>
          </w:tcPr>
          <w:p w14:paraId="4AAE82A9" w14:textId="25720F15" w:rsidR="00F5269A" w:rsidRPr="007D1918" w:rsidRDefault="00F5269A" w:rsidP="00A7047B">
            <w:pPr>
              <w:spacing w:before="40" w:after="40" w:line="240" w:lineRule="auto"/>
              <w:rPr>
                <w:rFonts w:ascii="Arial Narrow" w:hAnsi="Arial Narrow"/>
                <w:sz w:val="20"/>
                <w:szCs w:val="20"/>
                <w:vertAlign w:val="superscript"/>
              </w:rPr>
            </w:pPr>
            <w:r w:rsidRPr="007D1918">
              <w:rPr>
                <w:rFonts w:ascii="Arial Narrow" w:hAnsi="Arial Narrow"/>
                <w:sz w:val="20"/>
                <w:szCs w:val="20"/>
              </w:rPr>
              <w:t>33 (2.8%)</w:t>
            </w:r>
            <w:r w:rsidR="002C5648" w:rsidRPr="007D1918">
              <w:rPr>
                <w:rFonts w:ascii="Arial Narrow" w:hAnsi="Arial Narrow"/>
                <w:sz w:val="20"/>
                <w:szCs w:val="20"/>
                <w:vertAlign w:val="superscript"/>
              </w:rPr>
              <w:t>a</w:t>
            </w:r>
          </w:p>
        </w:tc>
      </w:tr>
      <w:tr w:rsidR="00F5269A" w:rsidRPr="007D1918" w14:paraId="51442B99" w14:textId="77777777" w:rsidTr="00F5269A">
        <w:tc>
          <w:tcPr>
            <w:tcW w:w="3856" w:type="dxa"/>
          </w:tcPr>
          <w:p w14:paraId="2D20C395" w14:textId="51B50BEE" w:rsidR="00F5269A" w:rsidRPr="007D1918" w:rsidRDefault="00F5269A" w:rsidP="005C39D4">
            <w:pPr>
              <w:spacing w:before="40" w:after="40" w:line="240" w:lineRule="auto"/>
              <w:rPr>
                <w:rFonts w:ascii="Arial Narrow" w:hAnsi="Arial Narrow"/>
                <w:sz w:val="20"/>
                <w:szCs w:val="20"/>
              </w:rPr>
            </w:pPr>
            <w:r w:rsidRPr="007D1918">
              <w:rPr>
                <w:rFonts w:ascii="Arial Narrow" w:hAnsi="Arial Narrow"/>
                <w:sz w:val="20"/>
                <w:szCs w:val="20"/>
              </w:rPr>
              <w:t>Indication 3 (</w:t>
            </w:r>
            <w:r w:rsidR="00724FCA" w:rsidRPr="007D1918">
              <w:rPr>
                <w:rFonts w:ascii="Arial Narrow" w:hAnsi="Arial Narrow"/>
                <w:sz w:val="20"/>
                <w:szCs w:val="20"/>
              </w:rPr>
              <w:t xml:space="preserve">% </w:t>
            </w:r>
            <w:r w:rsidR="005C39D4" w:rsidRPr="007D1918">
              <w:rPr>
                <w:rFonts w:ascii="Arial Narrow" w:hAnsi="Arial Narrow"/>
                <w:sz w:val="20"/>
                <w:szCs w:val="20"/>
              </w:rPr>
              <w:t>g</w:t>
            </w:r>
            <w:r w:rsidRPr="007D1918">
              <w:rPr>
                <w:rFonts w:ascii="Arial Narrow" w:hAnsi="Arial Narrow"/>
                <w:sz w:val="20"/>
                <w:szCs w:val="20"/>
              </w:rPr>
              <w:t>)</w:t>
            </w:r>
          </w:p>
        </w:tc>
        <w:tc>
          <w:tcPr>
            <w:tcW w:w="3402" w:type="dxa"/>
          </w:tcPr>
          <w:p w14:paraId="5CFBF8E7" w14:textId="23B96C07" w:rsidR="00F5269A" w:rsidRPr="007D1918" w:rsidRDefault="00F5269A" w:rsidP="00A7047B">
            <w:pPr>
              <w:spacing w:before="40" w:after="40" w:line="240" w:lineRule="auto"/>
              <w:rPr>
                <w:rFonts w:ascii="Arial Narrow" w:hAnsi="Arial Narrow"/>
                <w:sz w:val="20"/>
                <w:szCs w:val="20"/>
                <w:vertAlign w:val="superscript"/>
              </w:rPr>
            </w:pPr>
            <w:r w:rsidRPr="007D1918">
              <w:rPr>
                <w:rFonts w:ascii="Arial Narrow" w:hAnsi="Arial Narrow"/>
                <w:sz w:val="20"/>
                <w:szCs w:val="20"/>
              </w:rPr>
              <w:t>940 (80.11%)</w:t>
            </w:r>
            <w:r w:rsidR="002C5648" w:rsidRPr="007D1918">
              <w:rPr>
                <w:rFonts w:ascii="Arial Narrow" w:hAnsi="Arial Narrow"/>
                <w:sz w:val="20"/>
                <w:szCs w:val="20"/>
                <w:vertAlign w:val="superscript"/>
              </w:rPr>
              <w:t>a</w:t>
            </w:r>
          </w:p>
        </w:tc>
      </w:tr>
    </w:tbl>
    <w:p w14:paraId="40464EAD" w14:textId="1126F255" w:rsidR="00081911" w:rsidRPr="007D1918" w:rsidRDefault="002664ED" w:rsidP="002664ED">
      <w:pPr>
        <w:pStyle w:val="Tablenotes0"/>
      </w:pPr>
      <w:r w:rsidRPr="007D1918">
        <w:rPr>
          <w:vertAlign w:val="superscript"/>
        </w:rPr>
        <w:t>a</w:t>
      </w:r>
      <w:r w:rsidRPr="007D1918">
        <w:t xml:space="preserve"> Patient numbers for </w:t>
      </w:r>
      <w:r w:rsidR="00F51265" w:rsidRPr="007D1918">
        <w:t>I</w:t>
      </w:r>
      <w:r w:rsidRPr="007D1918">
        <w:t>ndication 1,</w:t>
      </w:r>
      <w:r w:rsidR="00F21AD9" w:rsidRPr="007D1918">
        <w:t xml:space="preserve"> </w:t>
      </w:r>
      <w:r w:rsidRPr="007D1918">
        <w:t xml:space="preserve">2 and 3 are calculated </w:t>
      </w:r>
      <w:r w:rsidR="00F21AD9" w:rsidRPr="007D1918">
        <w:t xml:space="preserve">using percentages extracted from NBA BloodSTAR data which </w:t>
      </w:r>
      <w:r w:rsidR="004D5244" w:rsidRPr="007D1918">
        <w:t xml:space="preserve">were </w:t>
      </w:r>
      <w:r w:rsidR="00F21AD9" w:rsidRPr="007D1918">
        <w:t>exclusive</w:t>
      </w:r>
      <w:r w:rsidR="00724FCA" w:rsidRPr="007D1918">
        <w:t>ly</w:t>
      </w:r>
      <w:r w:rsidR="00F21AD9" w:rsidRPr="007D1918">
        <w:t xml:space="preserve"> of NSW patients</w:t>
      </w:r>
    </w:p>
    <w:p w14:paraId="507CBA13" w14:textId="77777777" w:rsidR="00A076EE" w:rsidRPr="007D1918" w:rsidRDefault="00A076EE" w:rsidP="002664ED">
      <w:pPr>
        <w:pStyle w:val="Tablenotes0"/>
      </w:pPr>
    </w:p>
    <w:p w14:paraId="450607E1" w14:textId="3897CA6E" w:rsidR="00AE4F65" w:rsidRPr="007D1918" w:rsidRDefault="00AE4F65" w:rsidP="00AE4F65">
      <w:pPr>
        <w:widowControl w:val="0"/>
        <w:autoSpaceDE w:val="0"/>
        <w:autoSpaceDN w:val="0"/>
        <w:adjustRightInd w:val="0"/>
        <w:jc w:val="both"/>
        <w:rPr>
          <w:rFonts w:cstheme="minorHAnsi"/>
        </w:rPr>
      </w:pPr>
      <w:r w:rsidRPr="007D1918">
        <w:rPr>
          <w:rFonts w:cstheme="minorHAnsi"/>
        </w:rPr>
        <w:t>There is evidence that the natural history of MG is characterised by exacerbations and remissions similar to those seen in other autoimmune diseases. The most striking initiating factor of exacerbation has been infection. Respiratory failure is the most common cause of death. Advance</w:t>
      </w:r>
      <w:r w:rsidR="005C39D4" w:rsidRPr="007D1918">
        <w:rPr>
          <w:rFonts w:cstheme="minorHAnsi"/>
        </w:rPr>
        <w:t>d</w:t>
      </w:r>
      <w:r w:rsidRPr="007D1918">
        <w:rPr>
          <w:rFonts w:cstheme="minorHAnsi"/>
        </w:rPr>
        <w:t xml:space="preserve"> technology in artificial ventilation has significantly contributed to </w:t>
      </w:r>
      <w:r w:rsidR="002C5648" w:rsidRPr="007D1918">
        <w:rPr>
          <w:rFonts w:cstheme="minorHAnsi"/>
        </w:rPr>
        <w:t>a decrease in</w:t>
      </w:r>
      <w:r w:rsidRPr="007D1918">
        <w:rPr>
          <w:rFonts w:cstheme="minorHAnsi"/>
        </w:rPr>
        <w:t xml:space="preserve"> mortality</w:t>
      </w:r>
      <w:r w:rsidR="002C5648" w:rsidRPr="007D1918">
        <w:rPr>
          <w:rFonts w:cstheme="minorHAnsi"/>
        </w:rPr>
        <w:t>,</w:t>
      </w:r>
      <w:r w:rsidRPr="007D1918">
        <w:rPr>
          <w:rFonts w:cstheme="minorHAnsi"/>
        </w:rPr>
        <w:t xml:space="preserve"> from 40% to 5%. Similarly, improved antibiotics have also reduced mortality from respiratory and other infections in patients with severe exacerbations. More recent publications have reported that most individuals with the condition have normal life expectancy.</w:t>
      </w:r>
    </w:p>
    <w:p w14:paraId="13690A86" w14:textId="44BC7255" w:rsidR="00AE4F65" w:rsidRPr="007D1918" w:rsidRDefault="00AE4F65" w:rsidP="00AE4F65">
      <w:pPr>
        <w:widowControl w:val="0"/>
        <w:autoSpaceDE w:val="0"/>
        <w:autoSpaceDN w:val="0"/>
        <w:adjustRightInd w:val="0"/>
        <w:jc w:val="both"/>
        <w:rPr>
          <w:rFonts w:cstheme="minorHAnsi"/>
        </w:rPr>
      </w:pPr>
      <w:r w:rsidRPr="007D1918">
        <w:rPr>
          <w:rFonts w:cstheme="minorHAnsi"/>
        </w:rPr>
        <w:t>Remission occurs in about 20</w:t>
      </w:r>
      <w:r w:rsidR="00225EF4" w:rsidRPr="007D1918">
        <w:rPr>
          <w:rFonts w:cstheme="minorHAnsi"/>
        </w:rPr>
        <w:t>%</w:t>
      </w:r>
      <w:r w:rsidRPr="007D1918">
        <w:rPr>
          <w:rFonts w:cstheme="minorHAnsi"/>
        </w:rPr>
        <w:t xml:space="preserve"> of people with MG. Usually, the remissions are temporary, with an average duration of </w:t>
      </w:r>
      <w:r w:rsidR="00F32053" w:rsidRPr="007D1918">
        <w:rPr>
          <w:rFonts w:cstheme="minorHAnsi"/>
        </w:rPr>
        <w:t xml:space="preserve">5 </w:t>
      </w:r>
      <w:r w:rsidRPr="007D1918">
        <w:rPr>
          <w:rFonts w:cstheme="minorHAnsi"/>
        </w:rPr>
        <w:t>years, but some people experience more than one remission during their lifetime. Occasionally permanent remission can occur, lasting over 20 years.</w:t>
      </w:r>
    </w:p>
    <w:p w14:paraId="1EC650EB" w14:textId="04AA1EED" w:rsidR="00615BDD" w:rsidRPr="007D1918" w:rsidRDefault="00615BDD" w:rsidP="005C39D4">
      <w:pPr>
        <w:spacing w:after="120"/>
        <w:jc w:val="both"/>
      </w:pPr>
      <w:r w:rsidRPr="007D1918">
        <w:t xml:space="preserve">Ig products are registered by the TGA for the treatment of a range of indications under two main categories: ‘replacement therapy’ and ‘immunomodulatory effect’. Under the National Blood Agreement, the basis for access to publicly funded Ig products is specified in the </w:t>
      </w:r>
      <w:r w:rsidRPr="007D1918">
        <w:rPr>
          <w:i/>
        </w:rPr>
        <w:t>Criteria for the Clinical Use of Intravenous Immunoglobulin in Australia, Version 3</w:t>
      </w:r>
      <w:r w:rsidRPr="007D1918">
        <w:rPr>
          <w:rStyle w:val="FootnoteReference"/>
          <w:i/>
        </w:rPr>
        <w:footnoteReference w:id="5"/>
      </w:r>
      <w:r w:rsidRPr="007D1918">
        <w:rPr>
          <w:i/>
        </w:rPr>
        <w:t xml:space="preserve">. </w:t>
      </w:r>
      <w:r w:rsidRPr="007D1918">
        <w:t xml:space="preserve">The </w:t>
      </w:r>
      <w:r w:rsidRPr="007D1918">
        <w:rPr>
          <w:i/>
        </w:rPr>
        <w:t>Criteria</w:t>
      </w:r>
      <w:r w:rsidR="005C39D4" w:rsidRPr="007D1918">
        <w:rPr>
          <w:i/>
        </w:rPr>
        <w:t xml:space="preserve"> V</w:t>
      </w:r>
      <w:r w:rsidRPr="007D1918">
        <w:rPr>
          <w:i/>
        </w:rPr>
        <w:t>3</w:t>
      </w:r>
      <w:r w:rsidRPr="007D1918">
        <w:t xml:space="preserve">, list three specific indications in MG </w:t>
      </w:r>
      <w:r w:rsidR="005C39D4" w:rsidRPr="007D1918">
        <w:t xml:space="preserve">for </w:t>
      </w:r>
      <w:r w:rsidRPr="007D1918">
        <w:t>which Ig treatment is publicly funded through the National Blood Arrangements (see also App</w:t>
      </w:r>
      <w:r w:rsidR="00644CF2" w:rsidRPr="007D1918">
        <w:t xml:space="preserve">endix F for </w:t>
      </w:r>
      <w:r w:rsidR="00EC09DA" w:rsidRPr="007D1918">
        <w:rPr>
          <w:i/>
        </w:rPr>
        <w:t>Criteria V3</w:t>
      </w:r>
      <w:r w:rsidR="00644CF2" w:rsidRPr="007D1918">
        <w:t xml:space="preserve"> on MG):</w:t>
      </w:r>
    </w:p>
    <w:p w14:paraId="391AF9B9" w14:textId="77777777" w:rsidR="00615BDD" w:rsidRPr="007D1918" w:rsidRDefault="00615BDD" w:rsidP="001F598F">
      <w:pPr>
        <w:numPr>
          <w:ilvl w:val="0"/>
          <w:numId w:val="17"/>
        </w:numPr>
        <w:spacing w:after="120" w:line="240" w:lineRule="auto"/>
        <w:ind w:left="851" w:hanging="425"/>
        <w:jc w:val="both"/>
      </w:pPr>
      <w:r w:rsidRPr="007D1918">
        <w:t>Patients with, or at risk of, myasthenic crisis.</w:t>
      </w:r>
    </w:p>
    <w:p w14:paraId="5AEB0A71" w14:textId="77777777" w:rsidR="00615BDD" w:rsidRPr="007D1918" w:rsidRDefault="00615BDD" w:rsidP="001F598F">
      <w:pPr>
        <w:numPr>
          <w:ilvl w:val="0"/>
          <w:numId w:val="17"/>
        </w:numPr>
        <w:spacing w:after="120" w:line="240" w:lineRule="auto"/>
        <w:ind w:left="851" w:hanging="425"/>
        <w:jc w:val="both"/>
      </w:pPr>
      <w:r w:rsidRPr="007D1918">
        <w:t>Patients with advanced MG, bulbar symptoms or respiratory involvement, prior to surgery and/or thymectomy.</w:t>
      </w:r>
    </w:p>
    <w:p w14:paraId="05FC81E6" w14:textId="77777777" w:rsidR="00615BDD" w:rsidRPr="007D1918" w:rsidRDefault="00615BDD" w:rsidP="001F598F">
      <w:pPr>
        <w:numPr>
          <w:ilvl w:val="0"/>
          <w:numId w:val="17"/>
        </w:numPr>
        <w:spacing w:line="240" w:lineRule="auto"/>
        <w:ind w:left="851" w:hanging="425"/>
        <w:jc w:val="both"/>
      </w:pPr>
      <w:r w:rsidRPr="007D1918">
        <w:t>As maintenance therapy in patients with moderate to severe MG when other treatments have been ineffective or caused intolerable side effects.</w:t>
      </w:r>
    </w:p>
    <w:p w14:paraId="7DCC72D1" w14:textId="5B55DB22" w:rsidR="00C3360E" w:rsidRPr="007D1918" w:rsidRDefault="00615BDD" w:rsidP="00581A33">
      <w:pPr>
        <w:jc w:val="both"/>
      </w:pPr>
      <w:r w:rsidRPr="007D1918">
        <w:t xml:space="preserve">Various criteria around each of these indications must be met for patients to qualify for treatment. </w:t>
      </w:r>
    </w:p>
    <w:p w14:paraId="275DC90E" w14:textId="77777777" w:rsidR="005602D3" w:rsidRPr="007D1918" w:rsidRDefault="005602D3" w:rsidP="00CE3A8B">
      <w:pPr>
        <w:pStyle w:val="Heading2"/>
        <w:numPr>
          <w:ilvl w:val="0"/>
          <w:numId w:val="9"/>
        </w:numPr>
      </w:pPr>
      <w:bookmarkStart w:id="131" w:name="_Toc23766944"/>
      <w:r w:rsidRPr="007D1918">
        <w:lastRenderedPageBreak/>
        <w:t>Comparator</w:t>
      </w:r>
      <w:bookmarkEnd w:id="124"/>
      <w:bookmarkEnd w:id="125"/>
      <w:r w:rsidR="00106705" w:rsidRPr="007D1918">
        <w:t xml:space="preserve"> D</w:t>
      </w:r>
      <w:r w:rsidRPr="007D1918">
        <w:t>etails</w:t>
      </w:r>
      <w:bookmarkEnd w:id="131"/>
    </w:p>
    <w:p w14:paraId="4765FB32" w14:textId="11C9F523" w:rsidR="008878E3" w:rsidRPr="007D1918" w:rsidRDefault="00816750" w:rsidP="00CE3A8B">
      <w:pPr>
        <w:spacing w:after="120"/>
        <w:jc w:val="both"/>
        <w:rPr>
          <w:rFonts w:cstheme="minorHAnsi"/>
        </w:rPr>
      </w:pPr>
      <w:r w:rsidRPr="007D1918">
        <w:rPr>
          <w:rFonts w:cstheme="minorHAnsi"/>
        </w:rPr>
        <w:t>The comparator for I</w:t>
      </w:r>
      <w:r w:rsidR="008878E3" w:rsidRPr="007D1918">
        <w:rPr>
          <w:rFonts w:cstheme="minorHAnsi"/>
        </w:rPr>
        <w:t>ndications 1 and 2 is plasma exchange</w:t>
      </w:r>
      <w:r w:rsidR="00CE3A8B" w:rsidRPr="007D1918">
        <w:rPr>
          <w:rFonts w:cstheme="minorHAnsi"/>
        </w:rPr>
        <w:t xml:space="preserve"> (PE)</w:t>
      </w:r>
      <w:r w:rsidR="001B6F2B" w:rsidRPr="007D1918">
        <w:rPr>
          <w:rFonts w:cstheme="minorHAnsi"/>
        </w:rPr>
        <w:t xml:space="preserve">. As a blood product, </w:t>
      </w:r>
      <w:r w:rsidR="00EF24AF" w:rsidRPr="007D1918">
        <w:rPr>
          <w:rFonts w:cstheme="minorHAnsi"/>
        </w:rPr>
        <w:t xml:space="preserve">plasma </w:t>
      </w:r>
      <w:r w:rsidR="001B6F2B" w:rsidRPr="007D1918">
        <w:rPr>
          <w:rFonts w:cstheme="minorHAnsi"/>
        </w:rPr>
        <w:t>is supplied</w:t>
      </w:r>
      <w:r w:rsidR="00EF24AF" w:rsidRPr="007D1918">
        <w:rPr>
          <w:rFonts w:cstheme="minorHAnsi"/>
        </w:rPr>
        <w:t xml:space="preserve"> and regulated</w:t>
      </w:r>
      <w:r w:rsidR="001B6F2B" w:rsidRPr="007D1918">
        <w:rPr>
          <w:rFonts w:cstheme="minorHAnsi"/>
        </w:rPr>
        <w:t xml:space="preserve"> through the NBA</w:t>
      </w:r>
      <w:r w:rsidR="008878E3" w:rsidRPr="007D1918">
        <w:rPr>
          <w:rFonts w:cstheme="minorHAnsi"/>
        </w:rPr>
        <w:t xml:space="preserve">. Both </w:t>
      </w:r>
      <w:r w:rsidR="00CE3A8B" w:rsidRPr="007D1918">
        <w:rPr>
          <w:rFonts w:cstheme="minorHAnsi"/>
        </w:rPr>
        <w:t>IV</w:t>
      </w:r>
      <w:r w:rsidR="008878E3" w:rsidRPr="007D1918">
        <w:rPr>
          <w:rFonts w:cstheme="minorHAnsi"/>
        </w:rPr>
        <w:t xml:space="preserve">Ig and </w:t>
      </w:r>
      <w:r w:rsidR="00CE3A8B" w:rsidRPr="007D1918">
        <w:rPr>
          <w:rFonts w:cstheme="minorHAnsi"/>
        </w:rPr>
        <w:t xml:space="preserve">PE </w:t>
      </w:r>
      <w:r w:rsidR="008878E3" w:rsidRPr="007D1918">
        <w:rPr>
          <w:rFonts w:cstheme="minorHAnsi"/>
        </w:rPr>
        <w:t xml:space="preserve">are seen as short term therapies to be used to stabilise a patient whilst waiting for other therapies to become effective. </w:t>
      </w:r>
      <w:r w:rsidR="00DF4B4F" w:rsidRPr="007D1918">
        <w:rPr>
          <w:rFonts w:cstheme="minorHAnsi"/>
        </w:rPr>
        <w:t>Apart from</w:t>
      </w:r>
      <w:r w:rsidR="008878E3" w:rsidRPr="007D1918">
        <w:rPr>
          <w:rFonts w:cstheme="minorHAnsi"/>
        </w:rPr>
        <w:t xml:space="preserve"> the choice of stabilising therapy</w:t>
      </w:r>
      <w:r w:rsidR="00DF4B4F" w:rsidRPr="007D1918">
        <w:rPr>
          <w:rFonts w:cstheme="minorHAnsi"/>
        </w:rPr>
        <w:t xml:space="preserve"> (IVIg or PE)</w:t>
      </w:r>
      <w:r w:rsidR="008878E3" w:rsidRPr="007D1918">
        <w:rPr>
          <w:rFonts w:cstheme="minorHAnsi"/>
        </w:rPr>
        <w:t>, other treatment</w:t>
      </w:r>
      <w:r w:rsidR="00DF4B4F" w:rsidRPr="007D1918">
        <w:rPr>
          <w:rFonts w:cstheme="minorHAnsi"/>
        </w:rPr>
        <w:t>s</w:t>
      </w:r>
      <w:r w:rsidR="008878E3" w:rsidRPr="007D1918">
        <w:rPr>
          <w:rFonts w:cstheme="minorHAnsi"/>
        </w:rPr>
        <w:t xml:space="preserve"> </w:t>
      </w:r>
      <w:r w:rsidR="00DF4B4F" w:rsidRPr="007D1918">
        <w:rPr>
          <w:rFonts w:cstheme="minorHAnsi"/>
        </w:rPr>
        <w:t xml:space="preserve">are </w:t>
      </w:r>
      <w:r w:rsidR="008878E3" w:rsidRPr="007D1918">
        <w:rPr>
          <w:rFonts w:cstheme="minorHAnsi"/>
        </w:rPr>
        <w:t>expected to be the same for both intervention and comparator.</w:t>
      </w:r>
    </w:p>
    <w:p w14:paraId="2E6285F5" w14:textId="060DBA18" w:rsidR="008878E3" w:rsidRPr="007D1918" w:rsidRDefault="008878E3" w:rsidP="00CE3A8B">
      <w:pPr>
        <w:spacing w:after="120"/>
        <w:jc w:val="both"/>
        <w:rPr>
          <w:rFonts w:cstheme="minorHAnsi"/>
        </w:rPr>
      </w:pPr>
      <w:r w:rsidRPr="007D1918">
        <w:rPr>
          <w:rFonts w:cstheme="minorHAnsi"/>
        </w:rPr>
        <w:t xml:space="preserve">The Ig Review Reference Group noted that the safety and effectiveness of </w:t>
      </w:r>
      <w:r w:rsidR="006644A2" w:rsidRPr="007D1918">
        <w:rPr>
          <w:rFonts w:cstheme="minorHAnsi"/>
        </w:rPr>
        <w:t>PE</w:t>
      </w:r>
      <w:r w:rsidRPr="007D1918">
        <w:rPr>
          <w:rFonts w:cstheme="minorHAnsi"/>
        </w:rPr>
        <w:t xml:space="preserve"> were likely to be different based on how it is delivered (via central or peripheral venous access) and thus these </w:t>
      </w:r>
      <w:r w:rsidR="003362EE" w:rsidRPr="007D1918">
        <w:rPr>
          <w:rFonts w:cstheme="minorHAnsi"/>
        </w:rPr>
        <w:t xml:space="preserve">would </w:t>
      </w:r>
      <w:r w:rsidRPr="007D1918">
        <w:rPr>
          <w:rFonts w:cstheme="minorHAnsi"/>
        </w:rPr>
        <w:t>be considered as subgroups of the comparator in the review</w:t>
      </w:r>
      <w:r w:rsidR="000956D4" w:rsidRPr="007D1918">
        <w:rPr>
          <w:rFonts w:cstheme="minorHAnsi"/>
        </w:rPr>
        <w:t xml:space="preserve"> if evidence </w:t>
      </w:r>
      <w:r w:rsidR="003362EE" w:rsidRPr="007D1918">
        <w:rPr>
          <w:rFonts w:cstheme="minorHAnsi"/>
        </w:rPr>
        <w:t>were</w:t>
      </w:r>
      <w:r w:rsidR="000956D4" w:rsidRPr="007D1918">
        <w:rPr>
          <w:rFonts w:cstheme="minorHAnsi"/>
        </w:rPr>
        <w:t xml:space="preserve"> </w:t>
      </w:r>
      <w:r w:rsidR="0037626D" w:rsidRPr="007D1918">
        <w:rPr>
          <w:rFonts w:cstheme="minorHAnsi"/>
        </w:rPr>
        <w:t>available</w:t>
      </w:r>
      <w:r w:rsidRPr="007D1918">
        <w:rPr>
          <w:rFonts w:cstheme="minorHAnsi"/>
        </w:rPr>
        <w:t>.</w:t>
      </w:r>
      <w:r w:rsidR="007B6363" w:rsidRPr="007D1918">
        <w:rPr>
          <w:rFonts w:cstheme="minorHAnsi"/>
        </w:rPr>
        <w:t xml:space="preserve"> </w:t>
      </w:r>
    </w:p>
    <w:p w14:paraId="14B9C4D9" w14:textId="217DC811" w:rsidR="008878E3" w:rsidRPr="007D1918" w:rsidRDefault="008878E3" w:rsidP="00CE3A8B">
      <w:pPr>
        <w:spacing w:after="120"/>
        <w:jc w:val="both"/>
        <w:rPr>
          <w:rFonts w:cstheme="minorHAnsi"/>
        </w:rPr>
      </w:pPr>
      <w:r w:rsidRPr="007D1918">
        <w:rPr>
          <w:rFonts w:cstheme="minorHAnsi"/>
        </w:rPr>
        <w:t xml:space="preserve">The </w:t>
      </w:r>
      <w:r w:rsidR="003362EE" w:rsidRPr="007D1918">
        <w:rPr>
          <w:rFonts w:cstheme="minorHAnsi"/>
        </w:rPr>
        <w:t xml:space="preserve">Applicant </w:t>
      </w:r>
      <w:r w:rsidRPr="007D1918">
        <w:rPr>
          <w:rFonts w:cstheme="minorHAnsi"/>
        </w:rPr>
        <w:t xml:space="preserve">stated that </w:t>
      </w:r>
      <w:r w:rsidR="006644A2" w:rsidRPr="007D1918">
        <w:rPr>
          <w:rFonts w:cstheme="minorHAnsi"/>
        </w:rPr>
        <w:t>PE</w:t>
      </w:r>
      <w:r w:rsidRPr="007D1918">
        <w:rPr>
          <w:rFonts w:cstheme="minorHAnsi"/>
        </w:rPr>
        <w:t xml:space="preserve"> is not usually provided on an outpatient basis and cannot be used long term in most places, </w:t>
      </w:r>
      <w:r w:rsidR="003362EE" w:rsidRPr="007D1918">
        <w:rPr>
          <w:rFonts w:cstheme="minorHAnsi"/>
        </w:rPr>
        <w:t xml:space="preserve">however </w:t>
      </w:r>
      <w:r w:rsidRPr="007D1918">
        <w:rPr>
          <w:rFonts w:cstheme="minorHAnsi"/>
        </w:rPr>
        <w:t xml:space="preserve">it should be noted that the </w:t>
      </w:r>
      <w:r w:rsidR="00EC09DA" w:rsidRPr="007D1918">
        <w:rPr>
          <w:rFonts w:cstheme="minorHAnsi"/>
          <w:i/>
          <w:iCs/>
        </w:rPr>
        <w:t>Criteria V3</w:t>
      </w:r>
      <w:r w:rsidRPr="007D1918">
        <w:rPr>
          <w:rFonts w:cstheme="minorHAnsi"/>
        </w:rPr>
        <w:t xml:space="preserve"> for ongoing use of Ig in </w:t>
      </w:r>
      <w:r w:rsidR="00053196" w:rsidRPr="007D1918">
        <w:rPr>
          <w:rFonts w:cstheme="minorHAnsi"/>
        </w:rPr>
        <w:t xml:space="preserve">the maintenance </w:t>
      </w:r>
      <w:r w:rsidRPr="007D1918">
        <w:rPr>
          <w:rFonts w:cstheme="minorHAnsi"/>
        </w:rPr>
        <w:t xml:space="preserve">population lists </w:t>
      </w:r>
      <w:r w:rsidR="00296F63" w:rsidRPr="007D1918">
        <w:rPr>
          <w:rFonts w:cstheme="minorHAnsi"/>
        </w:rPr>
        <w:t>PE</w:t>
      </w:r>
      <w:r w:rsidRPr="007D1918">
        <w:rPr>
          <w:rFonts w:cstheme="minorHAnsi"/>
        </w:rPr>
        <w:t xml:space="preserve"> as an alternative therapy. Expert advice from the Ig Review Reference Group indicated that </w:t>
      </w:r>
      <w:r w:rsidR="003362EE" w:rsidRPr="007D1918">
        <w:rPr>
          <w:rFonts w:cstheme="minorHAnsi"/>
        </w:rPr>
        <w:t>PE</w:t>
      </w:r>
      <w:r w:rsidRPr="007D1918">
        <w:rPr>
          <w:rFonts w:cstheme="minorHAnsi"/>
        </w:rPr>
        <w:t xml:space="preserve"> should be a comparator in this indication. </w:t>
      </w:r>
    </w:p>
    <w:p w14:paraId="5FDF88A2" w14:textId="197FDE3A" w:rsidR="00490F49" w:rsidRPr="007D1918" w:rsidRDefault="00490F49" w:rsidP="00CE3A8B">
      <w:pPr>
        <w:spacing w:after="120"/>
        <w:jc w:val="both"/>
        <w:rPr>
          <w:rFonts w:cstheme="minorHAnsi"/>
        </w:rPr>
      </w:pPr>
      <w:r w:rsidRPr="007D1918">
        <w:rPr>
          <w:rFonts w:cstheme="minorHAnsi"/>
        </w:rPr>
        <w:t xml:space="preserve">The Ig </w:t>
      </w:r>
      <w:r w:rsidR="00B8503A" w:rsidRPr="007D1918">
        <w:rPr>
          <w:rFonts w:cstheme="minorHAnsi"/>
        </w:rPr>
        <w:t xml:space="preserve">Review </w:t>
      </w:r>
      <w:r w:rsidRPr="007D1918">
        <w:rPr>
          <w:rFonts w:cstheme="minorHAnsi"/>
        </w:rPr>
        <w:t xml:space="preserve">Reference Group has indicated that access to PE is limited in Australia, restricting the use of this service for both clinicians and patients. The time taken to access PE services is </w:t>
      </w:r>
      <w:r w:rsidR="00B8503A" w:rsidRPr="007D1918">
        <w:rPr>
          <w:rFonts w:cstheme="minorHAnsi"/>
        </w:rPr>
        <w:t>usually considerabl</w:t>
      </w:r>
      <w:r w:rsidRPr="007D1918">
        <w:rPr>
          <w:rFonts w:cstheme="minorHAnsi"/>
        </w:rPr>
        <w:t xml:space="preserve">y longer than the time it takes to access IVIg (days for PE compared witih hours for IVIg). It is necessary for PE to be delivered in hospital centres with central vein delivery cababilities, in the event that peripheral venous access breaks down, therefore limiting the number of hospitals that can provide PE. It should be noted therefore, that the choice of treatment by clinicians may be pragmatic, based on the </w:t>
      </w:r>
      <w:r w:rsidR="00CC732B" w:rsidRPr="007D1918">
        <w:rPr>
          <w:rFonts w:cstheme="minorHAnsi"/>
        </w:rPr>
        <w:t xml:space="preserve">different </w:t>
      </w:r>
      <w:r w:rsidRPr="007D1918">
        <w:rPr>
          <w:rFonts w:cstheme="minorHAnsi"/>
        </w:rPr>
        <w:t>accessibility of PE and IVIg.</w:t>
      </w:r>
    </w:p>
    <w:p w14:paraId="29F19B37" w14:textId="799688A8" w:rsidR="007B6363" w:rsidRPr="007D1918" w:rsidRDefault="008878E3" w:rsidP="00CE3A8B">
      <w:pPr>
        <w:jc w:val="both"/>
        <w:rPr>
          <w:rFonts w:cstheme="minorHAnsi"/>
        </w:rPr>
      </w:pPr>
      <w:r w:rsidRPr="007D1918">
        <w:rPr>
          <w:rFonts w:cstheme="minorHAnsi"/>
        </w:rPr>
        <w:t xml:space="preserve">For </w:t>
      </w:r>
      <w:r w:rsidR="00623A14" w:rsidRPr="007D1918">
        <w:rPr>
          <w:rFonts w:cstheme="minorHAnsi"/>
        </w:rPr>
        <w:t xml:space="preserve">Indication </w:t>
      </w:r>
      <w:r w:rsidRPr="007D1918">
        <w:rPr>
          <w:rFonts w:cstheme="minorHAnsi"/>
        </w:rPr>
        <w:t>3, patients may or may not be using other treatments at the same time as Ig; these include drugs in the categories of corticosteroids, anticholinesterase</w:t>
      </w:r>
      <w:r w:rsidR="00847875" w:rsidRPr="007D1918">
        <w:rPr>
          <w:rFonts w:cstheme="minorHAnsi"/>
        </w:rPr>
        <w:t>s</w:t>
      </w:r>
      <w:r w:rsidRPr="007D1918">
        <w:rPr>
          <w:rFonts w:cstheme="minorHAnsi"/>
        </w:rPr>
        <w:t xml:space="preserve">, immunosuppressants </w:t>
      </w:r>
      <w:r w:rsidR="0037626D" w:rsidRPr="007D1918">
        <w:rPr>
          <w:rFonts w:cstheme="minorHAnsi"/>
        </w:rPr>
        <w:t xml:space="preserve">(IS) </w:t>
      </w:r>
      <w:r w:rsidRPr="007D1918">
        <w:rPr>
          <w:rFonts w:cstheme="minorHAnsi"/>
        </w:rPr>
        <w:t>and immunomodulators</w:t>
      </w:r>
      <w:r w:rsidR="0037626D" w:rsidRPr="007D1918">
        <w:rPr>
          <w:rFonts w:cstheme="minorHAnsi"/>
        </w:rPr>
        <w:t xml:space="preserve"> (IM)</w:t>
      </w:r>
      <w:r w:rsidRPr="007D1918">
        <w:rPr>
          <w:rFonts w:cstheme="minorHAnsi"/>
        </w:rPr>
        <w:t xml:space="preserve">, as listed in </w:t>
      </w:r>
      <w:r w:rsidR="00CE3A8B" w:rsidRPr="007D1918">
        <w:rPr>
          <w:rFonts w:cstheme="minorHAnsi"/>
        </w:rPr>
        <w:fldChar w:fldCharType="begin"/>
      </w:r>
      <w:r w:rsidR="00CE3A8B" w:rsidRPr="007D1918">
        <w:rPr>
          <w:rFonts w:cstheme="minorHAnsi"/>
        </w:rPr>
        <w:instrText xml:space="preserve"> REF _Ref9851934 \h  \* MERGEFORMAT </w:instrText>
      </w:r>
      <w:r w:rsidR="00CE3A8B" w:rsidRPr="007D1918">
        <w:rPr>
          <w:rFonts w:cstheme="minorHAnsi"/>
        </w:rPr>
      </w:r>
      <w:r w:rsidR="00CE3A8B" w:rsidRPr="007D1918">
        <w:rPr>
          <w:rFonts w:cstheme="minorHAnsi"/>
        </w:rPr>
        <w:fldChar w:fldCharType="separate"/>
      </w:r>
      <w:r w:rsidR="007C33AD" w:rsidRPr="007D1918">
        <w:t xml:space="preserve">Table </w:t>
      </w:r>
      <w:r w:rsidR="007C33AD" w:rsidRPr="007D1918">
        <w:rPr>
          <w:noProof/>
        </w:rPr>
        <w:t>9</w:t>
      </w:r>
      <w:r w:rsidR="00CE3A8B" w:rsidRPr="007D1918">
        <w:rPr>
          <w:rFonts w:cstheme="minorHAnsi"/>
        </w:rPr>
        <w:fldChar w:fldCharType="end"/>
      </w:r>
      <w:r w:rsidRPr="007D1918">
        <w:rPr>
          <w:rFonts w:cstheme="minorHAnsi"/>
        </w:rPr>
        <w:t xml:space="preserve"> (provided by the </w:t>
      </w:r>
      <w:r w:rsidR="003362EE" w:rsidRPr="007D1918">
        <w:rPr>
          <w:rFonts w:cstheme="minorHAnsi"/>
        </w:rPr>
        <w:t>Applicant</w:t>
      </w:r>
      <w:r w:rsidRPr="007D1918">
        <w:rPr>
          <w:rFonts w:cstheme="minorHAnsi"/>
        </w:rPr>
        <w:t xml:space="preserve">). </w:t>
      </w:r>
      <w:r w:rsidR="00623A14" w:rsidRPr="007D1918">
        <w:rPr>
          <w:rFonts w:cstheme="minorHAnsi"/>
        </w:rPr>
        <w:t xml:space="preserve">It is likely that most patients with moderate to severe MG would be on two other therapies. </w:t>
      </w:r>
      <w:r w:rsidR="00EF24AF" w:rsidRPr="007D1918">
        <w:rPr>
          <w:rFonts w:cstheme="minorHAnsi"/>
        </w:rPr>
        <w:t xml:space="preserve">The majority </w:t>
      </w:r>
      <w:r w:rsidR="009B33E0" w:rsidRPr="007D1918">
        <w:rPr>
          <w:rFonts w:cstheme="minorHAnsi"/>
        </w:rPr>
        <w:t xml:space="preserve">of those listed </w:t>
      </w:r>
      <w:r w:rsidR="00EF24AF" w:rsidRPr="007D1918">
        <w:rPr>
          <w:rFonts w:cstheme="minorHAnsi"/>
        </w:rPr>
        <w:t>can be prescribed for MG</w:t>
      </w:r>
      <w:r w:rsidR="009B33E0" w:rsidRPr="007D1918">
        <w:rPr>
          <w:rFonts w:cstheme="minorHAnsi"/>
        </w:rPr>
        <w:t xml:space="preserve"> through the PBS</w:t>
      </w:r>
      <w:r w:rsidR="00EF24AF" w:rsidRPr="007D1918">
        <w:rPr>
          <w:rFonts w:cstheme="minorHAnsi"/>
        </w:rPr>
        <w:t>, the exceptions being mycophenolate mofetil</w:t>
      </w:r>
      <w:r w:rsidR="007D1CA4" w:rsidRPr="007D1918">
        <w:rPr>
          <w:rFonts w:cstheme="minorHAnsi"/>
        </w:rPr>
        <w:t xml:space="preserve">, ciclosporin </w:t>
      </w:r>
      <w:r w:rsidR="00EF24AF" w:rsidRPr="007D1918">
        <w:rPr>
          <w:rFonts w:cstheme="minorHAnsi"/>
        </w:rPr>
        <w:t>and rituximab</w:t>
      </w:r>
      <w:r w:rsidR="009B33E0" w:rsidRPr="007D1918">
        <w:rPr>
          <w:rFonts w:cstheme="minorHAnsi"/>
        </w:rPr>
        <w:t xml:space="preserve">. </w:t>
      </w:r>
      <w:r w:rsidRPr="007D1918">
        <w:rPr>
          <w:rFonts w:cstheme="minorHAnsi"/>
        </w:rPr>
        <w:t xml:space="preserve">Future </w:t>
      </w:r>
      <w:r w:rsidR="00E403A6" w:rsidRPr="007D1918">
        <w:rPr>
          <w:rFonts w:cstheme="minorHAnsi"/>
        </w:rPr>
        <w:t xml:space="preserve">comparator therapies are </w:t>
      </w:r>
      <w:r w:rsidR="0068189B" w:rsidRPr="007D1918">
        <w:rPr>
          <w:rFonts w:cstheme="minorHAnsi"/>
        </w:rPr>
        <w:t>e</w:t>
      </w:r>
      <w:r w:rsidR="00E403A6" w:rsidRPr="007D1918">
        <w:rPr>
          <w:rFonts w:cstheme="minorHAnsi"/>
        </w:rPr>
        <w:t>culizu</w:t>
      </w:r>
      <w:r w:rsidRPr="007D1918">
        <w:rPr>
          <w:rFonts w:cstheme="minorHAnsi"/>
        </w:rPr>
        <w:t>mab and FcRn inhibitors</w:t>
      </w:r>
      <w:r w:rsidR="003362EE" w:rsidRPr="007D1918">
        <w:rPr>
          <w:rFonts w:cstheme="minorHAnsi"/>
        </w:rPr>
        <w:t xml:space="preserve"> but</w:t>
      </w:r>
      <w:r w:rsidRPr="007D1918">
        <w:rPr>
          <w:rFonts w:cstheme="minorHAnsi"/>
        </w:rPr>
        <w:t xml:space="preserve"> these are yet to be approved for use in Australia for this indication. </w:t>
      </w:r>
      <w:r w:rsidR="007B6363" w:rsidRPr="007D1918">
        <w:rPr>
          <w:rFonts w:cstheme="minorHAnsi"/>
        </w:rPr>
        <w:t>It was noted from clinical input that it can take a long time to induce immunosuppression with a new therapeutic in MG patients, with a latency period of up to 18 months.</w:t>
      </w:r>
    </w:p>
    <w:p w14:paraId="35C17F31" w14:textId="0D7968A1" w:rsidR="008878E3" w:rsidRPr="007D1918" w:rsidRDefault="008878E3" w:rsidP="00CE3A8B">
      <w:pPr>
        <w:jc w:val="both"/>
        <w:rPr>
          <w:rFonts w:cstheme="minorHAnsi"/>
        </w:rPr>
      </w:pPr>
      <w:r w:rsidRPr="007D1918">
        <w:rPr>
          <w:rFonts w:cstheme="minorHAnsi"/>
        </w:rPr>
        <w:t>To be eligible for Ig for maintenance therapy, at least two other treatments must have been ineffective, contraindicated, unavailable</w:t>
      </w:r>
      <w:r w:rsidR="005D2112" w:rsidRPr="007D1918">
        <w:rPr>
          <w:rFonts w:cstheme="minorHAnsi"/>
        </w:rPr>
        <w:t>,</w:t>
      </w:r>
      <w:r w:rsidRPr="007D1918">
        <w:rPr>
          <w:rFonts w:cstheme="minorHAnsi"/>
        </w:rPr>
        <w:t xml:space="preserve"> or have caused intolerable side effects. Evidence of effectiveness is required for ongoing Ig therapy and other indicated treatments should be </w:t>
      </w:r>
      <w:r w:rsidR="003362EE" w:rsidRPr="007D1918">
        <w:rPr>
          <w:rFonts w:cstheme="minorHAnsi"/>
        </w:rPr>
        <w:t>trialled</w:t>
      </w:r>
      <w:r w:rsidRPr="007D1918">
        <w:rPr>
          <w:rFonts w:cstheme="minorHAnsi"/>
        </w:rPr>
        <w:t xml:space="preserve"> concurrently. It should be noted that the NBA </w:t>
      </w:r>
      <w:r w:rsidR="00EC09DA" w:rsidRPr="007D1918">
        <w:rPr>
          <w:rFonts w:cstheme="minorHAnsi"/>
          <w:i/>
          <w:iCs/>
        </w:rPr>
        <w:t>Criteria V3</w:t>
      </w:r>
      <w:r w:rsidRPr="007D1918">
        <w:rPr>
          <w:rFonts w:cstheme="minorHAnsi"/>
        </w:rPr>
        <w:t xml:space="preserve"> state that IVIg “should be regarded as a stopgap treatment while using short-term drugs such as pyridostigmine and while introducing effective immunotherapy”. </w:t>
      </w:r>
    </w:p>
    <w:p w14:paraId="3EEA2659" w14:textId="77C3D69C" w:rsidR="008878E3" w:rsidRPr="007D1918" w:rsidRDefault="00CE3A8B" w:rsidP="00CE3A8B">
      <w:pPr>
        <w:pStyle w:val="Caption"/>
        <w:keepNext/>
      </w:pPr>
      <w:bookmarkStart w:id="132" w:name="_Ref9851934"/>
      <w:bookmarkStart w:id="133" w:name="_Toc23769496"/>
      <w:r w:rsidRPr="007D1918">
        <w:lastRenderedPageBreak/>
        <w:t xml:space="preserve">Table </w:t>
      </w:r>
      <w:r w:rsidR="00153891" w:rsidRPr="007D1918">
        <w:rPr>
          <w:noProof/>
        </w:rPr>
        <w:fldChar w:fldCharType="begin"/>
      </w:r>
      <w:r w:rsidR="00153891" w:rsidRPr="007D1918">
        <w:rPr>
          <w:noProof/>
        </w:rPr>
        <w:instrText xml:space="preserve"> SEQ Table \* ARABIC </w:instrText>
      </w:r>
      <w:r w:rsidR="00153891" w:rsidRPr="007D1918">
        <w:rPr>
          <w:noProof/>
        </w:rPr>
        <w:fldChar w:fldCharType="separate"/>
      </w:r>
      <w:r w:rsidR="007C33AD" w:rsidRPr="007D1918">
        <w:rPr>
          <w:noProof/>
        </w:rPr>
        <w:t>9</w:t>
      </w:r>
      <w:r w:rsidR="00153891" w:rsidRPr="007D1918">
        <w:rPr>
          <w:noProof/>
        </w:rPr>
        <w:fldChar w:fldCharType="end"/>
      </w:r>
      <w:bookmarkEnd w:id="132"/>
      <w:r w:rsidR="00DA62E7" w:rsidRPr="007D1918">
        <w:rPr>
          <w:noProof/>
        </w:rPr>
        <w:tab/>
      </w:r>
      <w:r w:rsidR="000956D4" w:rsidRPr="007D1918">
        <w:tab/>
      </w:r>
      <w:r w:rsidR="008878E3" w:rsidRPr="007D1918">
        <w:t>Dr</w:t>
      </w:r>
      <w:r w:rsidR="00F51265" w:rsidRPr="007D1918">
        <w:t>ug comparators for patients in I</w:t>
      </w:r>
      <w:r w:rsidR="008878E3" w:rsidRPr="007D1918">
        <w:t>ndication 3</w:t>
      </w:r>
      <w:bookmarkEnd w:id="133"/>
    </w:p>
    <w:tbl>
      <w:tblPr>
        <w:tblStyle w:val="TableGrid"/>
        <w:tblW w:w="9433" w:type="dxa"/>
        <w:tblInd w:w="-147" w:type="dxa"/>
        <w:tblLook w:val="04A0" w:firstRow="1" w:lastRow="0" w:firstColumn="1" w:lastColumn="0" w:noHBand="0" w:noVBand="1"/>
        <w:tblCaption w:val="Table 7  Drug comparators for patients in indication 3"/>
        <w:tblDescription w:val="Oral steroids, immunosuppressant drugs, immunomodulatory  and other drugs available for MG patients through the PBS. Also included on the list are those which on the pBS but restricted for use with MG (rituxmimab, ciclosporin and mycophenolate mofetil)&#10;"/>
      </w:tblPr>
      <w:tblGrid>
        <w:gridCol w:w="2410"/>
        <w:gridCol w:w="1276"/>
        <w:gridCol w:w="2268"/>
        <w:gridCol w:w="3479"/>
      </w:tblGrid>
      <w:tr w:rsidR="00CE3A8B" w:rsidRPr="007D1918" w14:paraId="00889319" w14:textId="77777777" w:rsidTr="00945DB8">
        <w:trPr>
          <w:tblHeader/>
        </w:trPr>
        <w:tc>
          <w:tcPr>
            <w:tcW w:w="2410" w:type="dxa"/>
            <w:shd w:val="clear" w:color="auto" w:fill="FFFFFF" w:themeFill="background1"/>
          </w:tcPr>
          <w:p w14:paraId="37CE043E" w14:textId="77777777" w:rsidR="008878E3" w:rsidRPr="007D1918" w:rsidRDefault="008878E3" w:rsidP="003C6329">
            <w:pPr>
              <w:spacing w:before="40" w:after="40" w:line="240" w:lineRule="auto"/>
              <w:ind w:left="0"/>
              <w:rPr>
                <w:rFonts w:cstheme="minorHAnsi"/>
                <w:b/>
                <w:sz w:val="20"/>
                <w:szCs w:val="20"/>
              </w:rPr>
            </w:pPr>
            <w:r w:rsidRPr="007D1918">
              <w:rPr>
                <w:rFonts w:cstheme="minorHAnsi"/>
                <w:b/>
                <w:sz w:val="20"/>
                <w:szCs w:val="20"/>
              </w:rPr>
              <w:t>Generic Name (Brand names)</w:t>
            </w:r>
          </w:p>
        </w:tc>
        <w:tc>
          <w:tcPr>
            <w:tcW w:w="1276" w:type="dxa"/>
            <w:shd w:val="clear" w:color="auto" w:fill="FFFFFF" w:themeFill="background1"/>
          </w:tcPr>
          <w:p w14:paraId="7585852E" w14:textId="77777777" w:rsidR="008878E3" w:rsidRPr="007D1918" w:rsidRDefault="008878E3" w:rsidP="003C6329">
            <w:pPr>
              <w:spacing w:before="40" w:after="40" w:line="240" w:lineRule="auto"/>
              <w:ind w:left="0"/>
              <w:rPr>
                <w:rFonts w:cstheme="minorHAnsi"/>
                <w:b/>
                <w:sz w:val="20"/>
                <w:szCs w:val="20"/>
              </w:rPr>
            </w:pPr>
            <w:r w:rsidRPr="007D1918">
              <w:rPr>
                <w:rFonts w:cstheme="minorHAnsi"/>
                <w:b/>
                <w:sz w:val="20"/>
                <w:szCs w:val="20"/>
              </w:rPr>
              <w:t>PBS subsidised for MG</w:t>
            </w:r>
          </w:p>
        </w:tc>
        <w:tc>
          <w:tcPr>
            <w:tcW w:w="2268" w:type="dxa"/>
            <w:shd w:val="clear" w:color="auto" w:fill="FFFFFF" w:themeFill="background1"/>
          </w:tcPr>
          <w:p w14:paraId="1E531A91" w14:textId="77777777" w:rsidR="008878E3" w:rsidRPr="007D1918" w:rsidRDefault="008878E3" w:rsidP="003C6329">
            <w:pPr>
              <w:spacing w:before="40" w:after="40" w:line="240" w:lineRule="auto"/>
              <w:ind w:left="0"/>
              <w:rPr>
                <w:rFonts w:cstheme="minorHAnsi"/>
                <w:b/>
                <w:sz w:val="20"/>
                <w:szCs w:val="20"/>
              </w:rPr>
            </w:pPr>
            <w:r w:rsidRPr="007D1918">
              <w:rPr>
                <w:rFonts w:cstheme="minorHAnsi"/>
                <w:b/>
                <w:sz w:val="20"/>
                <w:szCs w:val="20"/>
              </w:rPr>
              <w:t>PBS unrestricted, restricted or Authority Required.</w:t>
            </w:r>
          </w:p>
        </w:tc>
        <w:tc>
          <w:tcPr>
            <w:tcW w:w="3479" w:type="dxa"/>
            <w:shd w:val="clear" w:color="auto" w:fill="FFFFFF" w:themeFill="background1"/>
          </w:tcPr>
          <w:p w14:paraId="752EF308" w14:textId="77777777" w:rsidR="008878E3" w:rsidRPr="007D1918" w:rsidRDefault="008878E3" w:rsidP="003C6329">
            <w:pPr>
              <w:spacing w:before="40" w:after="40" w:line="240" w:lineRule="auto"/>
              <w:ind w:left="0"/>
              <w:rPr>
                <w:rFonts w:cstheme="minorHAnsi"/>
                <w:b/>
                <w:sz w:val="20"/>
                <w:szCs w:val="20"/>
              </w:rPr>
            </w:pPr>
            <w:r w:rsidRPr="007D1918">
              <w:rPr>
                <w:rFonts w:cstheme="minorHAnsi"/>
                <w:b/>
                <w:sz w:val="20"/>
                <w:szCs w:val="20"/>
              </w:rPr>
              <w:t>PBS item numbers and presentations If available for MG</w:t>
            </w:r>
          </w:p>
          <w:p w14:paraId="252E6940" w14:textId="77777777" w:rsidR="008878E3" w:rsidRPr="007D1918" w:rsidRDefault="008878E3" w:rsidP="003C6329">
            <w:pPr>
              <w:spacing w:before="40" w:after="40" w:line="240" w:lineRule="auto"/>
              <w:ind w:left="0"/>
              <w:rPr>
                <w:rFonts w:cstheme="minorHAnsi"/>
                <w:b/>
                <w:sz w:val="20"/>
                <w:szCs w:val="20"/>
              </w:rPr>
            </w:pPr>
            <w:r w:rsidRPr="007D1918">
              <w:rPr>
                <w:rFonts w:cstheme="minorHAnsi"/>
                <w:b/>
                <w:sz w:val="20"/>
                <w:szCs w:val="20"/>
              </w:rPr>
              <w:t>See Attachment D for ARTG indications</w:t>
            </w:r>
          </w:p>
        </w:tc>
      </w:tr>
      <w:tr w:rsidR="008878E3" w:rsidRPr="007D1918" w14:paraId="4B09D44F" w14:textId="77777777" w:rsidTr="00B11541">
        <w:tc>
          <w:tcPr>
            <w:tcW w:w="9433" w:type="dxa"/>
            <w:gridSpan w:val="4"/>
            <w:shd w:val="clear" w:color="auto" w:fill="EEECE1" w:themeFill="background2"/>
          </w:tcPr>
          <w:p w14:paraId="127FC734" w14:textId="77777777" w:rsidR="008878E3" w:rsidRPr="007D1918" w:rsidRDefault="008878E3" w:rsidP="003C6329">
            <w:pPr>
              <w:keepNext/>
              <w:keepLines/>
              <w:spacing w:before="40" w:after="40" w:line="240" w:lineRule="auto"/>
              <w:ind w:left="0"/>
              <w:rPr>
                <w:rFonts w:cstheme="minorHAnsi"/>
                <w:sz w:val="20"/>
                <w:szCs w:val="20"/>
              </w:rPr>
            </w:pPr>
            <w:r w:rsidRPr="007D1918">
              <w:rPr>
                <w:rFonts w:cstheme="minorHAnsi"/>
                <w:sz w:val="20"/>
                <w:szCs w:val="20"/>
              </w:rPr>
              <w:t>Oral Steroids</w:t>
            </w:r>
          </w:p>
        </w:tc>
      </w:tr>
      <w:tr w:rsidR="008878E3" w:rsidRPr="007D1918" w14:paraId="34BF6E2A" w14:textId="77777777" w:rsidTr="00CE3A8B">
        <w:tc>
          <w:tcPr>
            <w:tcW w:w="2410" w:type="dxa"/>
          </w:tcPr>
          <w:p w14:paraId="5322A570" w14:textId="77777777" w:rsidR="008878E3" w:rsidRPr="007D1918" w:rsidRDefault="008878E3" w:rsidP="003C6329">
            <w:pPr>
              <w:keepNext/>
              <w:keepLines/>
              <w:spacing w:before="40" w:after="40" w:line="240" w:lineRule="auto"/>
              <w:ind w:left="0"/>
              <w:rPr>
                <w:rFonts w:cstheme="minorHAnsi"/>
                <w:sz w:val="20"/>
                <w:szCs w:val="20"/>
              </w:rPr>
            </w:pPr>
            <w:r w:rsidRPr="007D1918">
              <w:rPr>
                <w:rFonts w:cstheme="minorHAnsi"/>
                <w:sz w:val="20"/>
                <w:szCs w:val="20"/>
              </w:rPr>
              <w:t>Prednisone</w:t>
            </w:r>
          </w:p>
          <w:p w14:paraId="7331ADD3" w14:textId="77777777" w:rsidR="008878E3" w:rsidRPr="007D1918" w:rsidRDefault="008878E3" w:rsidP="003C6329">
            <w:pPr>
              <w:keepNext/>
              <w:keepLines/>
              <w:spacing w:before="40" w:after="40" w:line="240" w:lineRule="auto"/>
              <w:ind w:left="0"/>
              <w:rPr>
                <w:rFonts w:cstheme="minorHAnsi"/>
                <w:sz w:val="20"/>
                <w:szCs w:val="20"/>
              </w:rPr>
            </w:pPr>
            <w:r w:rsidRPr="007D1918">
              <w:rPr>
                <w:rFonts w:cstheme="minorHAnsi"/>
                <w:sz w:val="20"/>
                <w:szCs w:val="20"/>
              </w:rPr>
              <w:t>(Panafcort, Sone)</w:t>
            </w:r>
          </w:p>
        </w:tc>
        <w:tc>
          <w:tcPr>
            <w:tcW w:w="1276" w:type="dxa"/>
          </w:tcPr>
          <w:p w14:paraId="53E66652" w14:textId="77777777" w:rsidR="008878E3" w:rsidRPr="007D1918" w:rsidRDefault="008878E3" w:rsidP="003C6329">
            <w:pPr>
              <w:keepNext/>
              <w:keepLines/>
              <w:spacing w:before="40" w:after="40" w:line="240" w:lineRule="auto"/>
              <w:ind w:left="0"/>
              <w:rPr>
                <w:rFonts w:cstheme="minorHAnsi"/>
                <w:sz w:val="20"/>
                <w:szCs w:val="20"/>
              </w:rPr>
            </w:pPr>
            <w:r w:rsidRPr="007D1918">
              <w:rPr>
                <w:rFonts w:cstheme="minorHAnsi"/>
                <w:sz w:val="20"/>
                <w:szCs w:val="20"/>
              </w:rPr>
              <w:t>Yes</w:t>
            </w:r>
          </w:p>
        </w:tc>
        <w:tc>
          <w:tcPr>
            <w:tcW w:w="2268" w:type="dxa"/>
          </w:tcPr>
          <w:p w14:paraId="48F03C91" w14:textId="77777777" w:rsidR="008878E3" w:rsidRPr="007D1918" w:rsidRDefault="008878E3" w:rsidP="003C6329">
            <w:pPr>
              <w:keepNext/>
              <w:keepLines/>
              <w:spacing w:before="40" w:after="40" w:line="240" w:lineRule="auto"/>
              <w:ind w:left="0"/>
              <w:rPr>
                <w:rFonts w:cstheme="minorHAnsi"/>
                <w:sz w:val="20"/>
                <w:szCs w:val="20"/>
              </w:rPr>
            </w:pPr>
            <w:r w:rsidRPr="007D1918">
              <w:rPr>
                <w:rFonts w:cstheme="minorHAnsi"/>
                <w:sz w:val="20"/>
                <w:szCs w:val="20"/>
              </w:rPr>
              <w:t>Unrestricted</w:t>
            </w:r>
          </w:p>
        </w:tc>
        <w:tc>
          <w:tcPr>
            <w:tcW w:w="3479" w:type="dxa"/>
          </w:tcPr>
          <w:p w14:paraId="43506C47" w14:textId="77777777" w:rsidR="008878E3" w:rsidRPr="007D1918" w:rsidRDefault="008878E3" w:rsidP="003C6329">
            <w:pPr>
              <w:pStyle w:val="ListParagraph"/>
              <w:keepNext/>
              <w:keepLines/>
              <w:spacing w:before="40" w:after="40" w:line="240" w:lineRule="auto"/>
              <w:ind w:left="0"/>
              <w:rPr>
                <w:rFonts w:cstheme="minorHAnsi"/>
                <w:sz w:val="20"/>
                <w:szCs w:val="20"/>
              </w:rPr>
            </w:pPr>
            <w:r w:rsidRPr="007D1918">
              <w:rPr>
                <w:rFonts w:cstheme="minorHAnsi"/>
                <w:sz w:val="20"/>
                <w:szCs w:val="20"/>
              </w:rPr>
              <w:t>25mg tablet, 30) (1936X)</w:t>
            </w:r>
          </w:p>
          <w:p w14:paraId="7F56C551" w14:textId="77777777" w:rsidR="008878E3" w:rsidRPr="007D1918" w:rsidRDefault="008878E3" w:rsidP="003C6329">
            <w:pPr>
              <w:pStyle w:val="ListParagraph"/>
              <w:keepNext/>
              <w:keepLines/>
              <w:spacing w:before="40" w:after="40" w:line="240" w:lineRule="auto"/>
              <w:ind w:left="0"/>
              <w:rPr>
                <w:rFonts w:cstheme="minorHAnsi"/>
                <w:sz w:val="20"/>
                <w:szCs w:val="20"/>
              </w:rPr>
            </w:pPr>
            <w:r w:rsidRPr="007D1918">
              <w:rPr>
                <w:rFonts w:cstheme="minorHAnsi"/>
                <w:sz w:val="20"/>
                <w:szCs w:val="20"/>
              </w:rPr>
              <w:t>5mg tablet, 60 (1935W)</w:t>
            </w:r>
          </w:p>
          <w:p w14:paraId="3EDCB959" w14:textId="77777777" w:rsidR="008878E3" w:rsidRPr="007D1918" w:rsidRDefault="008878E3" w:rsidP="003C6329">
            <w:pPr>
              <w:pStyle w:val="ListParagraph"/>
              <w:keepNext/>
              <w:keepLines/>
              <w:spacing w:before="40" w:after="40" w:line="240" w:lineRule="auto"/>
              <w:ind w:left="0"/>
              <w:rPr>
                <w:rFonts w:cstheme="minorHAnsi"/>
                <w:sz w:val="20"/>
                <w:szCs w:val="20"/>
              </w:rPr>
            </w:pPr>
            <w:r w:rsidRPr="007D1918">
              <w:rPr>
                <w:rFonts w:cstheme="minorHAnsi"/>
                <w:sz w:val="20"/>
                <w:szCs w:val="20"/>
              </w:rPr>
              <w:t>1mg tablet, 100 (1934T)</w:t>
            </w:r>
          </w:p>
        </w:tc>
      </w:tr>
      <w:tr w:rsidR="008878E3" w:rsidRPr="007D1918" w14:paraId="039E3CD7" w14:textId="77777777" w:rsidTr="00CE3A8B">
        <w:tc>
          <w:tcPr>
            <w:tcW w:w="2410" w:type="dxa"/>
          </w:tcPr>
          <w:p w14:paraId="2EF20B23"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Prednisolone</w:t>
            </w:r>
          </w:p>
          <w:p w14:paraId="16A21B4E"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(Panafcortelone, Solone)</w:t>
            </w:r>
          </w:p>
        </w:tc>
        <w:tc>
          <w:tcPr>
            <w:tcW w:w="1276" w:type="dxa"/>
          </w:tcPr>
          <w:p w14:paraId="63FE2DCA"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292F8FE7"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w:t>
            </w:r>
          </w:p>
        </w:tc>
        <w:tc>
          <w:tcPr>
            <w:tcW w:w="3479" w:type="dxa"/>
          </w:tcPr>
          <w:p w14:paraId="20B04B84"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25mg tablet, 30) (1916W)</w:t>
            </w:r>
          </w:p>
          <w:p w14:paraId="264DBC14"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5mg tablet, 60 (1917X)</w:t>
            </w:r>
          </w:p>
          <w:p w14:paraId="0F351CCA"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1mg tablet, 100 (3152X)</w:t>
            </w:r>
          </w:p>
        </w:tc>
      </w:tr>
      <w:tr w:rsidR="008878E3" w:rsidRPr="007D1918" w14:paraId="0C34D218" w14:textId="77777777" w:rsidTr="00CE3A8B">
        <w:tc>
          <w:tcPr>
            <w:tcW w:w="2410" w:type="dxa"/>
          </w:tcPr>
          <w:p w14:paraId="6890B435"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Dexamethasone</w:t>
            </w:r>
          </w:p>
          <w:p w14:paraId="45C814C8" w14:textId="7F08CB79"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(Dexamethasone Mylan, Dexmethsone)</w:t>
            </w:r>
          </w:p>
        </w:tc>
        <w:tc>
          <w:tcPr>
            <w:tcW w:w="1276" w:type="dxa"/>
          </w:tcPr>
          <w:p w14:paraId="27D22063"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433146BD"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w:t>
            </w:r>
          </w:p>
        </w:tc>
        <w:tc>
          <w:tcPr>
            <w:tcW w:w="3479" w:type="dxa"/>
          </w:tcPr>
          <w:p w14:paraId="54739328"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4mg Tablet, 30 (2507Y)</w:t>
            </w:r>
          </w:p>
          <w:p w14:paraId="70E13ED8"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500 mcg tablet, 30 (1292B)</w:t>
            </w:r>
          </w:p>
        </w:tc>
      </w:tr>
      <w:tr w:rsidR="008878E3" w:rsidRPr="007D1918" w14:paraId="6F726AC9" w14:textId="77777777" w:rsidTr="00CE3A8B">
        <w:tc>
          <w:tcPr>
            <w:tcW w:w="2410" w:type="dxa"/>
          </w:tcPr>
          <w:p w14:paraId="616C8C4D"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Methylprednisolone</w:t>
            </w:r>
          </w:p>
          <w:p w14:paraId="1C4F5EE9"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(Solu-Medrol, Methylpred, Methylprednisolone Alphapharm)</w:t>
            </w:r>
          </w:p>
        </w:tc>
        <w:tc>
          <w:tcPr>
            <w:tcW w:w="1276" w:type="dxa"/>
          </w:tcPr>
          <w:p w14:paraId="2BF8CA91"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027FDFD1"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w:t>
            </w:r>
          </w:p>
        </w:tc>
        <w:tc>
          <w:tcPr>
            <w:tcW w:w="3479" w:type="dxa"/>
          </w:tcPr>
          <w:p w14:paraId="7EB9FECF"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40mg/ml injection, 5x1ml vials (1928L)</w:t>
            </w:r>
          </w:p>
          <w:p w14:paraId="407139A5"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40mg injection, 5 vials &amp; inert substance diluent, 5x1ml vials (2981X)</w:t>
            </w:r>
          </w:p>
          <w:p w14:paraId="52BD55D1"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40mg/ml injection, 5x1ml vials (5148Y)</w:t>
            </w:r>
          </w:p>
          <w:p w14:paraId="44921BD3"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40mg powder for injection, 5 (5263B)</w:t>
            </w:r>
          </w:p>
          <w:p w14:paraId="344252E2"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1g powder for injection, 1 (5264C)</w:t>
            </w:r>
          </w:p>
        </w:tc>
      </w:tr>
      <w:tr w:rsidR="008878E3" w:rsidRPr="007D1918" w14:paraId="6D7CAFF4" w14:textId="77777777" w:rsidTr="00B11541">
        <w:tc>
          <w:tcPr>
            <w:tcW w:w="9433" w:type="dxa"/>
            <w:gridSpan w:val="4"/>
            <w:shd w:val="clear" w:color="auto" w:fill="EEECE1" w:themeFill="background2"/>
          </w:tcPr>
          <w:p w14:paraId="13779430"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Immunosuppressant and immunomodulatory drugs</w:t>
            </w:r>
          </w:p>
        </w:tc>
      </w:tr>
      <w:tr w:rsidR="008878E3" w:rsidRPr="007D1918" w14:paraId="6DFB0965" w14:textId="77777777" w:rsidTr="00CE3A8B">
        <w:tc>
          <w:tcPr>
            <w:tcW w:w="2410" w:type="dxa"/>
          </w:tcPr>
          <w:p w14:paraId="63771E85"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 xml:space="preserve">Azathioprine </w:t>
            </w:r>
          </w:p>
          <w:p w14:paraId="6BDAD052"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(APO-Azathioprine, Azathioprine GH, Azathioprine Sandoz, Imuran)</w:t>
            </w:r>
          </w:p>
        </w:tc>
        <w:tc>
          <w:tcPr>
            <w:tcW w:w="1276" w:type="dxa"/>
          </w:tcPr>
          <w:p w14:paraId="4476CB3B"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1C5F7093"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w:t>
            </w:r>
          </w:p>
        </w:tc>
        <w:tc>
          <w:tcPr>
            <w:tcW w:w="3479" w:type="dxa"/>
          </w:tcPr>
          <w:p w14:paraId="032D9F4F"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25mg tablet, 200 (2688L)</w:t>
            </w:r>
          </w:p>
          <w:p w14:paraId="146E7E96" w14:textId="2A1CC49F" w:rsidR="001C0062" w:rsidRPr="007D1918" w:rsidRDefault="001C0062" w:rsidP="003C6329">
            <w:pPr>
              <w:pStyle w:val="ListParagraph"/>
              <w:spacing w:before="40" w:after="40" w:line="240" w:lineRule="auto"/>
              <w:ind w:left="0"/>
              <w:rPr>
                <w:rFonts w:cstheme="minorHAnsi"/>
                <w:sz w:val="20"/>
                <w:szCs w:val="20"/>
              </w:rPr>
            </w:pPr>
            <w:r w:rsidRPr="007D1918">
              <w:rPr>
                <w:rFonts w:cstheme="minorHAnsi"/>
                <w:sz w:val="20"/>
                <w:szCs w:val="20"/>
              </w:rPr>
              <w:t>50mg tablet, 100 (2687K)</w:t>
            </w:r>
          </w:p>
        </w:tc>
      </w:tr>
      <w:tr w:rsidR="008878E3" w:rsidRPr="007D1918" w14:paraId="6B047DC6" w14:textId="77777777" w:rsidTr="00CE3A8B">
        <w:tc>
          <w:tcPr>
            <w:tcW w:w="2410" w:type="dxa"/>
          </w:tcPr>
          <w:p w14:paraId="52A45DC7"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Cyclophosphamide</w:t>
            </w:r>
          </w:p>
          <w:p w14:paraId="06AE7F53"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(Cyclonex, Endoxan)</w:t>
            </w:r>
          </w:p>
        </w:tc>
        <w:tc>
          <w:tcPr>
            <w:tcW w:w="1276" w:type="dxa"/>
          </w:tcPr>
          <w:p w14:paraId="6F57596F"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050EDFB4"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w:t>
            </w:r>
          </w:p>
        </w:tc>
        <w:tc>
          <w:tcPr>
            <w:tcW w:w="3479" w:type="dxa"/>
          </w:tcPr>
          <w:p w14:paraId="26A8B0EB"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50mg tablet, 50 (1266P)</w:t>
            </w:r>
          </w:p>
          <w:p w14:paraId="3097E783"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Injection 2,800mg (4327R)</w:t>
            </w:r>
          </w:p>
          <w:p w14:paraId="4E9952A6"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Injection 2,800mg (7226H)</w:t>
            </w:r>
          </w:p>
        </w:tc>
      </w:tr>
      <w:tr w:rsidR="008878E3" w:rsidRPr="007D1918" w14:paraId="6E6577CB" w14:textId="77777777" w:rsidTr="00CE3A8B">
        <w:tc>
          <w:tcPr>
            <w:tcW w:w="2410" w:type="dxa"/>
          </w:tcPr>
          <w:p w14:paraId="2659FC1C"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Ciclosporin</w:t>
            </w:r>
          </w:p>
          <w:p w14:paraId="6529764B"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(Neoral, Neoral 25, Neoral 50, Neoral 100, Cyclosporin Sandoz</w:t>
            </w:r>
          </w:p>
        </w:tc>
        <w:tc>
          <w:tcPr>
            <w:tcW w:w="1276" w:type="dxa"/>
          </w:tcPr>
          <w:p w14:paraId="02ABF6F6"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7113906A" w14:textId="0F72CB82"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 For General Schedule listings only</w:t>
            </w:r>
          </w:p>
          <w:p w14:paraId="1698211B"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 xml:space="preserve">S100 listings are ‘Authority Required’ and do not include MG. </w:t>
            </w:r>
          </w:p>
        </w:tc>
        <w:tc>
          <w:tcPr>
            <w:tcW w:w="3479" w:type="dxa"/>
          </w:tcPr>
          <w:p w14:paraId="653AC02E"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10MG capsule, 60 (8657P)</w:t>
            </w:r>
          </w:p>
          <w:p w14:paraId="19EB8778"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25mg capsule, 30 (8659Q)</w:t>
            </w:r>
          </w:p>
          <w:p w14:paraId="7BB8C980"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50mg capsule, 30 (8659Q)</w:t>
            </w:r>
          </w:p>
          <w:p w14:paraId="7B173B91"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100mg capsule, 30 (8660T)</w:t>
            </w:r>
          </w:p>
          <w:p w14:paraId="4555247C"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100mg/mL oral liquid, 50mL (8661W)</w:t>
            </w:r>
          </w:p>
        </w:tc>
      </w:tr>
      <w:tr w:rsidR="008878E3" w:rsidRPr="007D1918" w14:paraId="34693AA9" w14:textId="77777777" w:rsidTr="00CE3A8B">
        <w:tc>
          <w:tcPr>
            <w:tcW w:w="2410" w:type="dxa"/>
          </w:tcPr>
          <w:p w14:paraId="45B1A347"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Mycophenolate mofetil</w:t>
            </w:r>
          </w:p>
          <w:p w14:paraId="4AD1B070"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(Ceptolate, Myfortic, APO-Mycophenolate, CellCept, Mycophenolate Sandoz, Pharmacor Mycophenolate 250,  Mycophenolate AN, Mycophenolate Sandoz, Pharmacore Mycophenolate 500,</w:t>
            </w:r>
          </w:p>
        </w:tc>
        <w:tc>
          <w:tcPr>
            <w:tcW w:w="1276" w:type="dxa"/>
          </w:tcPr>
          <w:p w14:paraId="696A83C3"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364DD031"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 in General Schedule</w:t>
            </w:r>
          </w:p>
          <w:p w14:paraId="3746D84B"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 xml:space="preserve">Authority required in S100 and MG not included. </w:t>
            </w:r>
          </w:p>
        </w:tc>
        <w:tc>
          <w:tcPr>
            <w:tcW w:w="3479" w:type="dxa"/>
          </w:tcPr>
          <w:p w14:paraId="33E48439"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250mg capsule, 50 (1836P)</w:t>
            </w:r>
          </w:p>
          <w:p w14:paraId="60B1436A"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180mg enteric tablet, 120 (2150E)</w:t>
            </w:r>
          </w:p>
          <w:p w14:paraId="0B742901"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360mg enteric tablet, 120 (2150E)</w:t>
            </w:r>
          </w:p>
          <w:p w14:paraId="0255C9A2"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250mg capsule, 100 (8649F)</w:t>
            </w:r>
          </w:p>
          <w:p w14:paraId="3024FD28"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500mg tablet, 50 (8650G)</w:t>
            </w:r>
          </w:p>
          <w:p w14:paraId="1610AEF1"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1g/5mL powder for oral liquid, 165 mL (8651H</w:t>
            </w:r>
          </w:p>
          <w:p w14:paraId="19142201" w14:textId="77777777" w:rsidR="008878E3" w:rsidRPr="007D1918" w:rsidRDefault="008878E3" w:rsidP="003C6329">
            <w:pPr>
              <w:pStyle w:val="ListParagraph"/>
              <w:spacing w:before="40" w:after="40" w:line="240" w:lineRule="auto"/>
              <w:ind w:left="0"/>
              <w:rPr>
                <w:rFonts w:cstheme="minorHAnsi"/>
                <w:sz w:val="20"/>
                <w:szCs w:val="20"/>
              </w:rPr>
            </w:pPr>
          </w:p>
        </w:tc>
      </w:tr>
      <w:tr w:rsidR="008878E3" w:rsidRPr="007D1918" w14:paraId="26A33F0C" w14:textId="77777777" w:rsidTr="00CE3A8B">
        <w:tc>
          <w:tcPr>
            <w:tcW w:w="2410" w:type="dxa"/>
          </w:tcPr>
          <w:p w14:paraId="43FC2502"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Methotrexate</w:t>
            </w:r>
          </w:p>
          <w:p w14:paraId="3B249FBC"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 xml:space="preserve">(Methoblastin </w:t>
            </w:r>
          </w:p>
        </w:tc>
        <w:tc>
          <w:tcPr>
            <w:tcW w:w="1276" w:type="dxa"/>
          </w:tcPr>
          <w:p w14:paraId="0710B941"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279FB0CE"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 in General Schedule</w:t>
            </w:r>
          </w:p>
        </w:tc>
        <w:tc>
          <w:tcPr>
            <w:tcW w:w="3479" w:type="dxa"/>
          </w:tcPr>
          <w:p w14:paraId="344E9F89"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2.5mg tablet, 30 (1622J)</w:t>
            </w:r>
          </w:p>
          <w:p w14:paraId="474B164C"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10mg tablet, 15 (2272N)</w:t>
            </w:r>
          </w:p>
        </w:tc>
      </w:tr>
      <w:tr w:rsidR="008878E3" w:rsidRPr="007D1918" w14:paraId="2CB44DE4" w14:textId="77777777" w:rsidTr="00CE3A8B">
        <w:tc>
          <w:tcPr>
            <w:tcW w:w="2410" w:type="dxa"/>
          </w:tcPr>
          <w:p w14:paraId="5FB6763D"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Rituximab</w:t>
            </w:r>
          </w:p>
          <w:p w14:paraId="75E2FBEA"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 xml:space="preserve">(Mabthera) </w:t>
            </w:r>
          </w:p>
        </w:tc>
        <w:tc>
          <w:tcPr>
            <w:tcW w:w="1276" w:type="dxa"/>
          </w:tcPr>
          <w:p w14:paraId="1FE74695"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No</w:t>
            </w:r>
          </w:p>
        </w:tc>
        <w:tc>
          <w:tcPr>
            <w:tcW w:w="2268" w:type="dxa"/>
          </w:tcPr>
          <w:p w14:paraId="068B7E4D"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 xml:space="preserve">Chemotherapy Items, General Schedule and S100 listings are </w:t>
            </w:r>
            <w:r w:rsidRPr="007D1918">
              <w:rPr>
                <w:rFonts w:cstheme="minorHAnsi"/>
                <w:sz w:val="20"/>
                <w:szCs w:val="20"/>
              </w:rPr>
              <w:lastRenderedPageBreak/>
              <w:t>‘Authority Required’ and MG not included</w:t>
            </w:r>
          </w:p>
        </w:tc>
        <w:tc>
          <w:tcPr>
            <w:tcW w:w="3479" w:type="dxa"/>
          </w:tcPr>
          <w:p w14:paraId="3078FDFB" w14:textId="1EC1099E" w:rsidR="008878E3" w:rsidRPr="007D1918" w:rsidRDefault="005C4901" w:rsidP="003C6329">
            <w:pPr>
              <w:pStyle w:val="ListParagraph"/>
              <w:spacing w:before="40" w:after="40" w:line="240" w:lineRule="auto"/>
              <w:ind w:left="0"/>
              <w:rPr>
                <w:rFonts w:cstheme="minorHAnsi"/>
                <w:sz w:val="20"/>
                <w:szCs w:val="20"/>
              </w:rPr>
            </w:pPr>
            <w:r w:rsidRPr="007D1918">
              <w:rPr>
                <w:rFonts w:cstheme="minorHAnsi"/>
                <w:sz w:val="20"/>
                <w:szCs w:val="20"/>
              </w:rPr>
              <w:lastRenderedPageBreak/>
              <w:t>N</w:t>
            </w:r>
            <w:r w:rsidR="008878E3" w:rsidRPr="007D1918">
              <w:rPr>
                <w:rFonts w:cstheme="minorHAnsi"/>
                <w:sz w:val="20"/>
                <w:szCs w:val="20"/>
              </w:rPr>
              <w:t>A</w:t>
            </w:r>
          </w:p>
        </w:tc>
      </w:tr>
      <w:tr w:rsidR="008878E3" w:rsidRPr="007D1918" w14:paraId="1E42460C" w14:textId="77777777" w:rsidTr="00945DB8">
        <w:tc>
          <w:tcPr>
            <w:tcW w:w="9433" w:type="dxa"/>
            <w:gridSpan w:val="4"/>
            <w:shd w:val="clear" w:color="auto" w:fill="EEECE1" w:themeFill="background2"/>
          </w:tcPr>
          <w:p w14:paraId="1C1CF727"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Other drugs</w:t>
            </w:r>
          </w:p>
        </w:tc>
      </w:tr>
      <w:tr w:rsidR="008878E3" w:rsidRPr="007D1918" w14:paraId="7541505B" w14:textId="77777777" w:rsidTr="00CE3A8B">
        <w:tc>
          <w:tcPr>
            <w:tcW w:w="2410" w:type="dxa"/>
          </w:tcPr>
          <w:p w14:paraId="6F85FAA5"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Pyridostigmine</w:t>
            </w:r>
          </w:p>
          <w:p w14:paraId="01ED864E"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(Mestinon Timespan, Mestinon)</w:t>
            </w:r>
          </w:p>
        </w:tc>
        <w:tc>
          <w:tcPr>
            <w:tcW w:w="1276" w:type="dxa"/>
          </w:tcPr>
          <w:p w14:paraId="10460347"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Yes</w:t>
            </w:r>
          </w:p>
        </w:tc>
        <w:tc>
          <w:tcPr>
            <w:tcW w:w="2268" w:type="dxa"/>
          </w:tcPr>
          <w:p w14:paraId="68F88353" w14:textId="77777777" w:rsidR="008878E3" w:rsidRPr="007D1918" w:rsidRDefault="008878E3" w:rsidP="003C6329">
            <w:pPr>
              <w:spacing w:before="40" w:after="40" w:line="240" w:lineRule="auto"/>
              <w:ind w:left="0"/>
              <w:rPr>
                <w:rFonts w:cstheme="minorHAnsi"/>
                <w:sz w:val="20"/>
                <w:szCs w:val="20"/>
              </w:rPr>
            </w:pPr>
            <w:r w:rsidRPr="007D1918">
              <w:rPr>
                <w:rFonts w:cstheme="minorHAnsi"/>
                <w:sz w:val="20"/>
                <w:szCs w:val="20"/>
              </w:rPr>
              <w:t>Unrestricted in General Schedule</w:t>
            </w:r>
          </w:p>
        </w:tc>
        <w:tc>
          <w:tcPr>
            <w:tcW w:w="3479" w:type="dxa"/>
          </w:tcPr>
          <w:p w14:paraId="20D2F167"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180mg modified release tablet, 50 (2608G)</w:t>
            </w:r>
          </w:p>
          <w:p w14:paraId="5783C59F" w14:textId="77777777" w:rsidR="008878E3" w:rsidRPr="007D1918" w:rsidRDefault="008878E3" w:rsidP="003C6329">
            <w:pPr>
              <w:pStyle w:val="ListParagraph"/>
              <w:spacing w:before="40" w:after="40" w:line="240" w:lineRule="auto"/>
              <w:ind w:left="0"/>
              <w:rPr>
                <w:rFonts w:cstheme="minorHAnsi"/>
                <w:sz w:val="20"/>
                <w:szCs w:val="20"/>
              </w:rPr>
            </w:pPr>
            <w:r w:rsidRPr="007D1918">
              <w:rPr>
                <w:rFonts w:cstheme="minorHAnsi"/>
                <w:sz w:val="20"/>
                <w:szCs w:val="20"/>
              </w:rPr>
              <w:t>10mg tablet, 50 (2724J)</w:t>
            </w:r>
          </w:p>
        </w:tc>
      </w:tr>
    </w:tbl>
    <w:p w14:paraId="65B4ACF7" w14:textId="3AFA430A" w:rsidR="008878E3" w:rsidRPr="007D1918" w:rsidRDefault="005C4901" w:rsidP="005C4901">
      <w:pPr>
        <w:pStyle w:val="Tablenotes0"/>
      </w:pPr>
      <w:r w:rsidRPr="007D1918">
        <w:t>ARTG = Australian Therapeutic Goods Administration; MG = myasthenia gravis; NA = not available; PBS = Pharmaceutical Benefits Scheme</w:t>
      </w:r>
    </w:p>
    <w:p w14:paraId="4FA300B4" w14:textId="77777777" w:rsidR="005C4901" w:rsidRPr="007D1918" w:rsidRDefault="005C4901" w:rsidP="005C4901">
      <w:pPr>
        <w:spacing w:after="0"/>
      </w:pPr>
    </w:p>
    <w:p w14:paraId="7B9F6E9F" w14:textId="28C4ABA2" w:rsidR="005602D3" w:rsidRPr="007D1918" w:rsidRDefault="005602D3" w:rsidP="00CE3A8B">
      <w:pPr>
        <w:pStyle w:val="Heading2"/>
        <w:numPr>
          <w:ilvl w:val="0"/>
          <w:numId w:val="9"/>
        </w:numPr>
      </w:pPr>
      <w:bookmarkStart w:id="134" w:name="_Toc381796446"/>
      <w:bookmarkStart w:id="135" w:name="_Toc23766945"/>
      <w:r w:rsidRPr="007D1918">
        <w:t xml:space="preserve">Clinical </w:t>
      </w:r>
      <w:bookmarkEnd w:id="134"/>
      <w:r w:rsidR="00D82053" w:rsidRPr="007D1918">
        <w:t>M</w:t>
      </w:r>
      <w:r w:rsidR="00715135" w:rsidRPr="007D1918">
        <w:t>anagement Algorithm(s)</w:t>
      </w:r>
      <w:bookmarkEnd w:id="135"/>
      <w:r w:rsidRPr="007D1918">
        <w:t xml:space="preserve"> </w:t>
      </w:r>
    </w:p>
    <w:p w14:paraId="5B0644FC" w14:textId="77777777" w:rsidR="00492083" w:rsidRPr="007D1918" w:rsidRDefault="00492083" w:rsidP="00492083">
      <w:pPr>
        <w:jc w:val="both"/>
        <w:rPr>
          <w:lang w:val="en-US"/>
        </w:rPr>
      </w:pPr>
      <w:r w:rsidRPr="007D1918">
        <w:rPr>
          <w:lang w:val="en-US"/>
        </w:rPr>
        <w:t xml:space="preserve">Clinical questions are partly defined through the development of flow charts, which help define the place of the intervention in clinical management. This includes whether the new intervention will be used incrementally or will replace a current intervention. This assists with identifying the correct comparator for the new intervention. </w:t>
      </w:r>
    </w:p>
    <w:p w14:paraId="76C2C17A" w14:textId="0529118E" w:rsidR="007C33AD" w:rsidRPr="007D1918" w:rsidRDefault="00813DAE" w:rsidP="007C33AD">
      <w:pPr>
        <w:jc w:val="both"/>
      </w:pPr>
      <w:r w:rsidRPr="007D1918">
        <w:rPr>
          <w:lang w:val="en-US"/>
        </w:rPr>
        <w:t>The cl</w:t>
      </w:r>
      <w:r w:rsidR="00816750" w:rsidRPr="007D1918">
        <w:rPr>
          <w:lang w:val="en-US"/>
        </w:rPr>
        <w:t>inical management pathways for I</w:t>
      </w:r>
      <w:r w:rsidRPr="007D1918">
        <w:rPr>
          <w:lang w:val="en-US"/>
        </w:rPr>
        <w:t xml:space="preserve">ndications 1, 2, and 3 are shown in </w:t>
      </w:r>
      <w:r w:rsidRPr="007D1918">
        <w:rPr>
          <w:lang w:val="en-US"/>
        </w:rPr>
        <w:fldChar w:fldCharType="begin"/>
      </w:r>
      <w:r w:rsidRPr="007D1918">
        <w:rPr>
          <w:lang w:val="en-US"/>
        </w:rPr>
        <w:instrText xml:space="preserve"> REF _Ref2780635 \h </w:instrText>
      </w:r>
      <w:r w:rsidR="00E45809" w:rsidRPr="007D1918">
        <w:rPr>
          <w:lang w:val="en-US"/>
        </w:rPr>
        <w:instrText xml:space="preserve"> \* MERGEFORMAT </w:instrText>
      </w:r>
      <w:r w:rsidRPr="007D1918">
        <w:rPr>
          <w:lang w:val="en-US"/>
        </w:rPr>
      </w:r>
      <w:r w:rsidRPr="007D1918">
        <w:rPr>
          <w:lang w:val="en-US"/>
        </w:rPr>
        <w:fldChar w:fldCharType="separate"/>
      </w:r>
      <w:r w:rsidR="007C33AD" w:rsidRPr="007D1918">
        <w:t xml:space="preserve">Figure </w:t>
      </w:r>
      <w:r w:rsidR="007C33AD" w:rsidRPr="007D1918">
        <w:rPr>
          <w:noProof/>
        </w:rPr>
        <w:t>1</w:t>
      </w:r>
      <w:r w:rsidRPr="007D1918">
        <w:rPr>
          <w:lang w:val="en-US"/>
        </w:rPr>
        <w:fldChar w:fldCharType="end"/>
      </w:r>
      <w:r w:rsidRPr="007D1918">
        <w:rPr>
          <w:lang w:val="en-US"/>
        </w:rPr>
        <w:t xml:space="preserve">, </w:t>
      </w:r>
      <w:r w:rsidRPr="007D1918">
        <w:rPr>
          <w:lang w:val="en-US"/>
        </w:rPr>
        <w:fldChar w:fldCharType="begin"/>
      </w:r>
      <w:r w:rsidRPr="007D1918">
        <w:rPr>
          <w:lang w:val="en-US"/>
        </w:rPr>
        <w:instrText xml:space="preserve"> REF _Ref2780636 \h </w:instrText>
      </w:r>
      <w:r w:rsidR="00E45809" w:rsidRPr="007D1918">
        <w:rPr>
          <w:lang w:val="en-US"/>
        </w:rPr>
        <w:instrText xml:space="preserve"> \* MERGEFORMAT </w:instrText>
      </w:r>
      <w:r w:rsidRPr="007D1918">
        <w:rPr>
          <w:lang w:val="en-US"/>
        </w:rPr>
      </w:r>
      <w:r w:rsidRPr="007D1918">
        <w:rPr>
          <w:lang w:val="en-US"/>
        </w:rPr>
        <w:fldChar w:fldCharType="separate"/>
      </w:r>
    </w:p>
    <w:p w14:paraId="0F257C66" w14:textId="0AC3529E" w:rsidR="00813DAE" w:rsidRPr="007D1918" w:rsidRDefault="007C33AD" w:rsidP="00813DAE">
      <w:pPr>
        <w:jc w:val="both"/>
        <w:rPr>
          <w:lang w:val="en-US"/>
        </w:rPr>
      </w:pPr>
      <w:r w:rsidRPr="007D1918">
        <w:rPr>
          <w:noProof/>
        </w:rPr>
        <w:t>Figure</w:t>
      </w:r>
      <w:r w:rsidRPr="007D1918">
        <w:t xml:space="preserve"> </w:t>
      </w:r>
      <w:r w:rsidRPr="007D1918">
        <w:rPr>
          <w:noProof/>
        </w:rPr>
        <w:t>2</w:t>
      </w:r>
      <w:r w:rsidR="00813DAE" w:rsidRPr="007D1918">
        <w:rPr>
          <w:lang w:val="en-US"/>
        </w:rPr>
        <w:fldChar w:fldCharType="end"/>
      </w:r>
      <w:r w:rsidR="00813DAE" w:rsidRPr="007D1918">
        <w:rPr>
          <w:lang w:val="en-US"/>
        </w:rPr>
        <w:t xml:space="preserve"> and </w:t>
      </w:r>
      <w:r w:rsidR="00813DAE" w:rsidRPr="007D1918">
        <w:rPr>
          <w:lang w:val="en-US"/>
        </w:rPr>
        <w:fldChar w:fldCharType="begin"/>
      </w:r>
      <w:r w:rsidR="00813DAE" w:rsidRPr="007D1918">
        <w:rPr>
          <w:lang w:val="en-US"/>
        </w:rPr>
        <w:instrText xml:space="preserve"> REF _Ref2780638 \h </w:instrText>
      </w:r>
      <w:r w:rsidR="00E45809" w:rsidRPr="007D1918">
        <w:rPr>
          <w:lang w:val="en-US"/>
        </w:rPr>
        <w:instrText xml:space="preserve"> \* MERGEFORMAT </w:instrText>
      </w:r>
      <w:r w:rsidR="00813DAE" w:rsidRPr="007D1918">
        <w:rPr>
          <w:lang w:val="en-US"/>
        </w:rPr>
      </w:r>
      <w:r w:rsidR="00813DAE" w:rsidRPr="007D1918">
        <w:rPr>
          <w:lang w:val="en-US"/>
        </w:rPr>
        <w:fldChar w:fldCharType="separate"/>
      </w:r>
      <w:r w:rsidRPr="007D1918">
        <w:t xml:space="preserve">Figure </w:t>
      </w:r>
      <w:r w:rsidRPr="007D1918">
        <w:rPr>
          <w:noProof/>
        </w:rPr>
        <w:t>3</w:t>
      </w:r>
      <w:r w:rsidR="00813DAE" w:rsidRPr="007D1918">
        <w:rPr>
          <w:lang w:val="en-US"/>
        </w:rPr>
        <w:fldChar w:fldCharType="end"/>
      </w:r>
      <w:r w:rsidR="00813DAE" w:rsidRPr="007D1918">
        <w:rPr>
          <w:lang w:val="en-US"/>
        </w:rPr>
        <w:t xml:space="preserve">, below. Initially, patients must be diagnosed with MG by tests recommended by the Association of British Neurologist MG management guidelines. To be eligible for Ig for all indications covered by NBA </w:t>
      </w:r>
      <w:r w:rsidR="00EC09DA" w:rsidRPr="007D1918">
        <w:rPr>
          <w:i/>
          <w:lang w:val="en-US"/>
        </w:rPr>
        <w:t>Criteria V3</w:t>
      </w:r>
      <w:r w:rsidR="00813DAE" w:rsidRPr="007D1918">
        <w:rPr>
          <w:lang w:val="en-US"/>
        </w:rPr>
        <w:t xml:space="preserve"> a neurologist must make the diagnosis. Detailed criteria for eligibility are given in Appendix F. </w:t>
      </w:r>
    </w:p>
    <w:p w14:paraId="2C221B0A" w14:textId="41C39CA3" w:rsidR="00813DAE" w:rsidRPr="007D1918" w:rsidRDefault="00813DAE" w:rsidP="00813DAE">
      <w:pPr>
        <w:jc w:val="both"/>
        <w:rPr>
          <w:lang w:val="en-US"/>
        </w:rPr>
      </w:pPr>
      <w:r w:rsidRPr="007D1918">
        <w:rPr>
          <w:lang w:val="en-US"/>
        </w:rPr>
        <w:t xml:space="preserve">To meet criteria for </w:t>
      </w:r>
      <w:r w:rsidR="00F51265" w:rsidRPr="007D1918">
        <w:rPr>
          <w:lang w:val="en-US"/>
        </w:rPr>
        <w:t>I</w:t>
      </w:r>
      <w:r w:rsidRPr="007D1918">
        <w:rPr>
          <w:lang w:val="en-US"/>
        </w:rPr>
        <w:t xml:space="preserve">ndication 1 a patient must have respiratory insufficiency requiring intubation and assisted ventilation, or have symptoms to show they are at risk of life-threatening myasthenic crisis. Persistent respiratory or bulbar symptoms are considered to be life threatening. Patients are often already receiving IS or CS therapy or a combination of therapies. In these circumstances, the neurologist may consider IVIg or PE treatment. The availability of treatment, comorbidities and the type of MG (AChRAb, MuSK or seronegative) are factors to consider when choosing between IVIg and PE. If the patient is still receiving IVIg after 12 months a weaning off trial should be attempted. </w:t>
      </w:r>
    </w:p>
    <w:p w14:paraId="33741B23" w14:textId="4EE99721" w:rsidR="00813DAE" w:rsidRPr="007D1918" w:rsidRDefault="00813DAE" w:rsidP="00813DAE">
      <w:pPr>
        <w:jc w:val="both"/>
        <w:rPr>
          <w:lang w:val="en-US"/>
        </w:rPr>
      </w:pPr>
      <w:r w:rsidRPr="007D1918">
        <w:rPr>
          <w:lang w:val="en-US"/>
        </w:rPr>
        <w:t>Thymectomy is treatment often considered in MG patients to reduce the autoimmune response. Patients undergoing surgery can be at an advance</w:t>
      </w:r>
      <w:r w:rsidR="000956D4" w:rsidRPr="007D1918">
        <w:rPr>
          <w:lang w:val="en-US"/>
        </w:rPr>
        <w:t>d</w:t>
      </w:r>
      <w:r w:rsidRPr="007D1918">
        <w:rPr>
          <w:lang w:val="en-US"/>
        </w:rPr>
        <w:t xml:space="preserve"> stage in the disease, and require stabilization prior to surgery. This may be achieved through treatment with IVIg if patients meet the criteria for </w:t>
      </w:r>
      <w:r w:rsidR="00CF0463" w:rsidRPr="007D1918">
        <w:rPr>
          <w:lang w:val="en-US"/>
        </w:rPr>
        <w:t>Indication 2</w:t>
      </w:r>
      <w:r w:rsidRPr="007D1918">
        <w:rPr>
          <w:lang w:val="en-US"/>
        </w:rPr>
        <w:t xml:space="preserve">. The patient </w:t>
      </w:r>
      <w:r w:rsidR="000956D4" w:rsidRPr="007D1918">
        <w:rPr>
          <w:lang w:val="en-US"/>
        </w:rPr>
        <w:t>should</w:t>
      </w:r>
      <w:r w:rsidRPr="007D1918">
        <w:rPr>
          <w:lang w:val="en-US"/>
        </w:rPr>
        <w:t xml:space="preserve"> be monitored for </w:t>
      </w:r>
      <w:r w:rsidR="000956D4" w:rsidRPr="007D1918">
        <w:rPr>
          <w:lang w:val="en-US"/>
        </w:rPr>
        <w:t>stabilization</w:t>
      </w:r>
      <w:r w:rsidRPr="007D1918">
        <w:rPr>
          <w:lang w:val="en-US"/>
        </w:rPr>
        <w:t xml:space="preserve"> post-surgery.</w:t>
      </w:r>
    </w:p>
    <w:p w14:paraId="0841D2A7" w14:textId="25F32FDB" w:rsidR="00813DAE" w:rsidRPr="007D1918" w:rsidRDefault="00F51265" w:rsidP="00813DAE">
      <w:pPr>
        <w:jc w:val="both"/>
        <w:rPr>
          <w:lang w:val="en-US"/>
        </w:rPr>
      </w:pPr>
      <w:r w:rsidRPr="007D1918">
        <w:rPr>
          <w:lang w:val="en-US"/>
        </w:rPr>
        <w:t>To qualify for IVIg for I</w:t>
      </w:r>
      <w:r w:rsidR="00813DAE" w:rsidRPr="007D1918">
        <w:rPr>
          <w:lang w:val="en-US"/>
        </w:rPr>
        <w:t>ndication 3, a patient with non</w:t>
      </w:r>
      <w:r w:rsidR="00F11009" w:rsidRPr="007D1918">
        <w:rPr>
          <w:lang w:val="en-US"/>
        </w:rPr>
        <w:t>-</w:t>
      </w:r>
      <w:r w:rsidR="00813DAE" w:rsidRPr="007D1918">
        <w:rPr>
          <w:lang w:val="en-US"/>
        </w:rPr>
        <w:t xml:space="preserve">life-threatening moderate to severe MG symptoms must have already tried and failed at least two standard therapies, either CS, IS or a combination of the two. Alternatively patients may have </w:t>
      </w:r>
      <w:r w:rsidR="000956D4" w:rsidRPr="007D1918">
        <w:rPr>
          <w:lang w:val="en-US"/>
        </w:rPr>
        <w:t>developed side effects to</w:t>
      </w:r>
      <w:r w:rsidR="00F11009" w:rsidRPr="007D1918">
        <w:rPr>
          <w:lang w:val="en-US"/>
        </w:rPr>
        <w:t>,</w:t>
      </w:r>
      <w:r w:rsidR="000956D4" w:rsidRPr="007D1918">
        <w:rPr>
          <w:lang w:val="en-US"/>
        </w:rPr>
        <w:t xml:space="preserve"> or </w:t>
      </w:r>
      <w:r w:rsidR="00813DAE" w:rsidRPr="007D1918">
        <w:rPr>
          <w:lang w:val="en-US"/>
        </w:rPr>
        <w:t>become contraindicated for</w:t>
      </w:r>
      <w:r w:rsidR="00F11009" w:rsidRPr="007D1918">
        <w:rPr>
          <w:lang w:val="en-US"/>
        </w:rPr>
        <w:t>,</w:t>
      </w:r>
      <w:r w:rsidR="00813DAE" w:rsidRPr="007D1918">
        <w:rPr>
          <w:lang w:val="en-US"/>
        </w:rPr>
        <w:t xml:space="preserve"> alternative therapies by development of comorbidities. Azathioprine is </w:t>
      </w:r>
      <w:r w:rsidR="00813DAE" w:rsidRPr="007D1918">
        <w:rPr>
          <w:lang w:val="en-US"/>
        </w:rPr>
        <w:lastRenderedPageBreak/>
        <w:t>considere</w:t>
      </w:r>
      <w:r w:rsidR="00F11009" w:rsidRPr="007D1918">
        <w:rPr>
          <w:lang w:val="en-US"/>
        </w:rPr>
        <w:t xml:space="preserve">d the first-line IS agent, but </w:t>
      </w:r>
      <w:r w:rsidR="00813DAE" w:rsidRPr="007D1918">
        <w:rPr>
          <w:lang w:val="en-US"/>
        </w:rPr>
        <w:t xml:space="preserve">other non-steroidal IS therapies for use in MG include, </w:t>
      </w:r>
      <w:r w:rsidR="00652C51" w:rsidRPr="007D1918">
        <w:rPr>
          <w:lang w:val="en-US"/>
        </w:rPr>
        <w:t>ciclosporin</w:t>
      </w:r>
      <w:r w:rsidR="00813DAE" w:rsidRPr="007D1918">
        <w:rPr>
          <w:lang w:val="en-US"/>
        </w:rPr>
        <w:t xml:space="preserve">, mycophenolate mofetil, methotrexate and tacrolimus. </w:t>
      </w:r>
      <w:r w:rsidR="00E403A6" w:rsidRPr="007D1918">
        <w:rPr>
          <w:lang w:val="en-US"/>
        </w:rPr>
        <w:t>Rituximab</w:t>
      </w:r>
      <w:r w:rsidR="00813DAE" w:rsidRPr="007D1918">
        <w:rPr>
          <w:lang w:val="en-US"/>
        </w:rPr>
        <w:t xml:space="preserve"> and </w:t>
      </w:r>
      <w:r w:rsidR="008D157B" w:rsidRPr="007D1918">
        <w:rPr>
          <w:lang w:val="en-US"/>
        </w:rPr>
        <w:t>c</w:t>
      </w:r>
      <w:r w:rsidR="00813DAE" w:rsidRPr="007D1918">
        <w:rPr>
          <w:lang w:val="en-US"/>
        </w:rPr>
        <w:t xml:space="preserve">yclophosphamide are considered for second-line therapies. A patient given IVIg (or PE) under </w:t>
      </w:r>
      <w:r w:rsidR="00F11009" w:rsidRPr="007D1918">
        <w:rPr>
          <w:lang w:val="en-US"/>
        </w:rPr>
        <w:t>I</w:t>
      </w:r>
      <w:r w:rsidR="00813DAE" w:rsidRPr="007D1918">
        <w:rPr>
          <w:lang w:val="en-US"/>
        </w:rPr>
        <w:t xml:space="preserve">ndication 3 should be using it as a stop-gap measure while </w:t>
      </w:r>
      <w:r w:rsidR="000956D4" w:rsidRPr="007D1918">
        <w:rPr>
          <w:lang w:val="en-US"/>
        </w:rPr>
        <w:t xml:space="preserve">he or she becomes </w:t>
      </w:r>
      <w:r w:rsidR="00813DAE" w:rsidRPr="007D1918">
        <w:rPr>
          <w:lang w:val="en-US"/>
        </w:rPr>
        <w:t xml:space="preserve">stabilized on other standard therapies, as they cannot lead to remission </w:t>
      </w:r>
      <w:r w:rsidR="000956D4" w:rsidRPr="007D1918">
        <w:rPr>
          <w:lang w:val="en-US"/>
        </w:rPr>
        <w:t>o</w:t>
      </w:r>
      <w:r w:rsidR="00813DAE" w:rsidRPr="007D1918">
        <w:rPr>
          <w:lang w:val="en-US"/>
        </w:rPr>
        <w:t>f disease.</w:t>
      </w:r>
    </w:p>
    <w:p w14:paraId="525F225A" w14:textId="77777777" w:rsidR="00F607A7" w:rsidRPr="007D1918" w:rsidRDefault="00F607A7" w:rsidP="00492083">
      <w:pPr>
        <w:jc w:val="both"/>
        <w:rPr>
          <w:lang w:val="en-US"/>
        </w:rPr>
      </w:pPr>
    </w:p>
    <w:p w14:paraId="58784042" w14:textId="6032FEE6" w:rsidR="00492083" w:rsidRPr="007D1918" w:rsidRDefault="00492083" w:rsidP="00492083">
      <w:pPr>
        <w:jc w:val="both"/>
        <w:rPr>
          <w:lang w:val="en-US"/>
        </w:rPr>
      </w:pPr>
      <w:r w:rsidRPr="007D1918">
        <w:rPr>
          <w:noProof/>
        </w:rPr>
        <w:drawing>
          <wp:inline distT="0" distB="0" distL="0" distR="0" wp14:anchorId="5B77B7E9" wp14:editId="11AE5B5A">
            <wp:extent cx="5006842" cy="3609975"/>
            <wp:effectExtent l="0" t="0" r="3810" b="0"/>
            <wp:docPr id="11" name="Picture 11" descr="Patients meeting Criteria V3 for Indication 1 are given IVIg plus other therapies or PE plus other therapies. If patients responds, they stabilise and receive usual care. if patient does not respond, other treatment are required." title="Figure 1: Clinical management pathway for patients with, or at risk of, myasthenic cri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16981" cy="3617285"/>
                    </a:xfrm>
                    <a:prstGeom prst="rect">
                      <a:avLst/>
                    </a:prstGeom>
                    <a:noFill/>
                    <a:ln>
                      <a:noFill/>
                    </a:ln>
                  </pic:spPr>
                </pic:pic>
              </a:graphicData>
            </a:graphic>
          </wp:inline>
        </w:drawing>
      </w:r>
    </w:p>
    <w:p w14:paraId="18461053" w14:textId="043FA962" w:rsidR="00492083" w:rsidRPr="007D1918" w:rsidRDefault="00492083" w:rsidP="0055384A">
      <w:pPr>
        <w:pStyle w:val="Caption"/>
        <w:spacing w:before="240"/>
      </w:pPr>
      <w:bookmarkStart w:id="136" w:name="_Ref2780635"/>
      <w:bookmarkStart w:id="137" w:name="_Toc23769606"/>
      <w:r w:rsidRPr="007D1918">
        <w:t xml:space="preserve">Figure </w:t>
      </w:r>
      <w:r w:rsidR="00153891" w:rsidRPr="007D1918">
        <w:rPr>
          <w:noProof/>
        </w:rPr>
        <w:fldChar w:fldCharType="begin"/>
      </w:r>
      <w:r w:rsidR="00153891" w:rsidRPr="007D1918">
        <w:rPr>
          <w:noProof/>
        </w:rPr>
        <w:instrText xml:space="preserve"> SEQ Figure \* ARABIC </w:instrText>
      </w:r>
      <w:r w:rsidR="00153891" w:rsidRPr="007D1918">
        <w:rPr>
          <w:noProof/>
        </w:rPr>
        <w:fldChar w:fldCharType="separate"/>
      </w:r>
      <w:r w:rsidR="007C33AD" w:rsidRPr="007D1918">
        <w:rPr>
          <w:noProof/>
        </w:rPr>
        <w:t>1</w:t>
      </w:r>
      <w:r w:rsidR="00153891" w:rsidRPr="007D1918">
        <w:rPr>
          <w:noProof/>
        </w:rPr>
        <w:fldChar w:fldCharType="end"/>
      </w:r>
      <w:bookmarkEnd w:id="136"/>
      <w:r w:rsidR="0057254F" w:rsidRPr="007D1918">
        <w:rPr>
          <w:noProof/>
        </w:rPr>
        <w:tab/>
      </w:r>
      <w:r w:rsidRPr="007D1918">
        <w:t>Clinical management pathway for patients with, or at risk of, myasthenic crisis</w:t>
      </w:r>
      <w:bookmarkEnd w:id="137"/>
    </w:p>
    <w:p w14:paraId="47135E61" w14:textId="77777777" w:rsidR="005C4901" w:rsidRPr="007D1918" w:rsidRDefault="005C4901" w:rsidP="005C4901">
      <w:pPr>
        <w:spacing w:after="60" w:line="240" w:lineRule="auto"/>
        <w:rPr>
          <w:rFonts w:ascii="Arial Narrow" w:hAnsi="Arial Narrow"/>
          <w:sz w:val="18"/>
          <w:szCs w:val="18"/>
          <w:lang w:eastAsia="en-US"/>
        </w:rPr>
      </w:pPr>
      <w:r w:rsidRPr="007D1918">
        <w:rPr>
          <w:rFonts w:ascii="Arial Narrow" w:hAnsi="Arial Narrow"/>
          <w:sz w:val="18"/>
          <w:szCs w:val="18"/>
          <w:lang w:eastAsia="en-US"/>
        </w:rPr>
        <w:t>IVIg = intravenous immunoglobulin therapy</w:t>
      </w:r>
    </w:p>
    <w:p w14:paraId="52ED0CA7" w14:textId="359AE3B9" w:rsidR="00492083" w:rsidRPr="007D1918" w:rsidRDefault="00492083" w:rsidP="00E63B12">
      <w:pPr>
        <w:spacing w:after="60" w:line="240" w:lineRule="auto"/>
        <w:rPr>
          <w:rFonts w:ascii="Arial Narrow" w:hAnsi="Arial Narrow"/>
          <w:sz w:val="18"/>
          <w:szCs w:val="18"/>
          <w:lang w:eastAsia="en-US"/>
        </w:rPr>
      </w:pPr>
      <w:r w:rsidRPr="007D1918">
        <w:rPr>
          <w:rFonts w:ascii="Arial Narrow" w:hAnsi="Arial Narrow"/>
          <w:sz w:val="18"/>
          <w:szCs w:val="18"/>
          <w:lang w:eastAsia="en-US"/>
        </w:rPr>
        <w:t>*Other therapies include corticosteroids, anticholinesterase</w:t>
      </w:r>
      <w:r w:rsidR="00847875" w:rsidRPr="007D1918">
        <w:rPr>
          <w:rFonts w:ascii="Arial Narrow" w:hAnsi="Arial Narrow"/>
          <w:sz w:val="18"/>
          <w:szCs w:val="18"/>
          <w:lang w:eastAsia="en-US"/>
        </w:rPr>
        <w:t>s</w:t>
      </w:r>
      <w:r w:rsidRPr="007D1918">
        <w:rPr>
          <w:rFonts w:ascii="Arial Narrow" w:hAnsi="Arial Narrow"/>
          <w:sz w:val="18"/>
          <w:szCs w:val="18"/>
          <w:lang w:eastAsia="en-US"/>
        </w:rPr>
        <w:t>, and immunotherapy; patients would not receive IVIg and plasma exchange concurrently.</w:t>
      </w:r>
    </w:p>
    <w:p w14:paraId="0EC7847B" w14:textId="77777777" w:rsidR="0057254F" w:rsidRPr="007D1918" w:rsidRDefault="0057254F" w:rsidP="00E63B12">
      <w:pPr>
        <w:spacing w:after="60" w:line="240" w:lineRule="auto"/>
        <w:rPr>
          <w:rFonts w:ascii="Arial Narrow" w:hAnsi="Arial Narrow"/>
          <w:sz w:val="18"/>
          <w:szCs w:val="18"/>
          <w:lang w:eastAsia="en-US"/>
        </w:rPr>
      </w:pPr>
    </w:p>
    <w:p w14:paraId="6B0B4DF7" w14:textId="193F3D66" w:rsidR="00492083" w:rsidRPr="007D1918" w:rsidRDefault="00492083" w:rsidP="0057254F">
      <w:bookmarkStart w:id="138" w:name="_Ref366576810"/>
      <w:bookmarkStart w:id="139" w:name="_Toc529293471"/>
      <w:bookmarkStart w:id="140" w:name="_Toc530995616"/>
      <w:bookmarkStart w:id="141" w:name="_Toc531425957"/>
      <w:bookmarkStart w:id="142" w:name="_Toc534625310"/>
      <w:bookmarkStart w:id="143" w:name="_Toc126574750"/>
      <w:bookmarkStart w:id="144" w:name="_Toc146454616"/>
      <w:bookmarkStart w:id="145" w:name="_Toc146514338"/>
      <w:bookmarkStart w:id="146" w:name="_Toc148261374"/>
      <w:bookmarkStart w:id="147" w:name="_Toc153262435"/>
      <w:bookmarkStart w:id="148" w:name="_Toc153264156"/>
      <w:bookmarkStart w:id="149" w:name="_Toc188867141"/>
      <w:bookmarkStart w:id="150" w:name="_Toc188867713"/>
      <w:bookmarkStart w:id="151" w:name="_Toc188868373"/>
    </w:p>
    <w:p w14:paraId="7ACF5767" w14:textId="7CB72624" w:rsidR="0057254F" w:rsidRPr="007D1918" w:rsidRDefault="0057254F" w:rsidP="0057254F">
      <w:bookmarkStart w:id="152" w:name="_Ref2780636"/>
      <w:r w:rsidRPr="007D1918">
        <w:rPr>
          <w:noProof/>
        </w:rPr>
        <w:lastRenderedPageBreak/>
        <w:drawing>
          <wp:inline distT="0" distB="0" distL="0" distR="0" wp14:anchorId="147B017F" wp14:editId="6716324E">
            <wp:extent cx="4950460" cy="3457575"/>
            <wp:effectExtent l="0" t="0" r="2540" b="9525"/>
            <wp:docPr id="6" name="Picture 6" title="Figure 2 Clinical management pathway for patients with MG awaiting surgery and/or thym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0460" cy="3457575"/>
                    </a:xfrm>
                    <a:prstGeom prst="rect">
                      <a:avLst/>
                    </a:prstGeom>
                    <a:noFill/>
                  </pic:spPr>
                </pic:pic>
              </a:graphicData>
            </a:graphic>
          </wp:inline>
        </w:drawing>
      </w:r>
    </w:p>
    <w:p w14:paraId="2BBADAC4" w14:textId="72BB7058" w:rsidR="00492083" w:rsidRPr="007D1918" w:rsidRDefault="00492083" w:rsidP="0055384A">
      <w:pPr>
        <w:pStyle w:val="Caption"/>
        <w:spacing w:before="240"/>
      </w:pPr>
      <w:bookmarkStart w:id="153" w:name="_Toc23769607"/>
      <w:r w:rsidRPr="007D1918">
        <w:t xml:space="preserve">Figure </w:t>
      </w:r>
      <w:r w:rsidR="00153891" w:rsidRPr="007D1918">
        <w:rPr>
          <w:noProof/>
        </w:rPr>
        <w:fldChar w:fldCharType="begin"/>
      </w:r>
      <w:r w:rsidR="00153891" w:rsidRPr="007D1918">
        <w:rPr>
          <w:noProof/>
        </w:rPr>
        <w:instrText xml:space="preserve"> SEQ Figure \* ARABIC </w:instrText>
      </w:r>
      <w:r w:rsidR="00153891" w:rsidRPr="007D1918">
        <w:rPr>
          <w:noProof/>
        </w:rPr>
        <w:fldChar w:fldCharType="separate"/>
      </w:r>
      <w:r w:rsidR="007C33AD" w:rsidRPr="007D1918">
        <w:rPr>
          <w:noProof/>
        </w:rPr>
        <w:t>2</w:t>
      </w:r>
      <w:r w:rsidR="00153891" w:rsidRPr="007D1918">
        <w:rPr>
          <w:noProof/>
        </w:rPr>
        <w:fldChar w:fldCharType="end"/>
      </w:r>
      <w:bookmarkEnd w:id="152"/>
      <w:r w:rsidR="0057254F" w:rsidRPr="007D1918">
        <w:tab/>
      </w:r>
      <w:r w:rsidRPr="007D1918">
        <w:t>Clinical management pathway for patients with MG awaiting surgery and/or thymectomy</w:t>
      </w:r>
      <w:bookmarkEnd w:id="153"/>
    </w:p>
    <w:p w14:paraId="1B98E2DE" w14:textId="2A233185" w:rsidR="00E63B12" w:rsidRPr="007D1918" w:rsidRDefault="00E63B12" w:rsidP="00E63B12">
      <w:pPr>
        <w:spacing w:after="60" w:line="240" w:lineRule="auto"/>
        <w:rPr>
          <w:rFonts w:ascii="Arial Narrow" w:hAnsi="Arial Narrow"/>
          <w:sz w:val="18"/>
          <w:szCs w:val="18"/>
          <w:lang w:eastAsia="en-US"/>
        </w:rPr>
      </w:pPr>
      <w:r w:rsidRPr="007D1918">
        <w:rPr>
          <w:rFonts w:ascii="Arial Narrow" w:hAnsi="Arial Narrow"/>
          <w:sz w:val="18"/>
          <w:szCs w:val="18"/>
          <w:lang w:eastAsia="en-US"/>
        </w:rPr>
        <w:t>IVIg = intravenous immunoglobulin therapy</w:t>
      </w:r>
      <w:r w:rsidR="0057254F" w:rsidRPr="007D1918">
        <w:rPr>
          <w:rFonts w:ascii="Arial Narrow" w:hAnsi="Arial Narrow"/>
          <w:sz w:val="18"/>
          <w:szCs w:val="18"/>
          <w:lang w:eastAsia="en-US"/>
        </w:rPr>
        <w:t>; MG = myasthenia gravis</w:t>
      </w:r>
    </w:p>
    <w:p w14:paraId="3A67698B" w14:textId="77777777" w:rsidR="00492083" w:rsidRPr="007D1918" w:rsidRDefault="00492083" w:rsidP="0057254F"/>
    <w:p w14:paraId="2C48D942" w14:textId="229D7CC0" w:rsidR="00492083" w:rsidRPr="007D1918" w:rsidRDefault="0057254F" w:rsidP="0057254F">
      <w:r w:rsidRPr="007D1918">
        <w:rPr>
          <w:noProof/>
        </w:rPr>
        <w:drawing>
          <wp:inline distT="0" distB="0" distL="0" distR="0" wp14:anchorId="6D2B93A3" wp14:editId="6540213C">
            <wp:extent cx="5887146" cy="4095750"/>
            <wp:effectExtent l="0" t="0" r="0" b="0"/>
            <wp:docPr id="15" name="Picture 15" title="Figure 3 Clinical management pathway for patients with moderate to severe MG on maintenanc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9107" cy="4097114"/>
                    </a:xfrm>
                    <a:prstGeom prst="rect">
                      <a:avLst/>
                    </a:prstGeom>
                    <a:noFill/>
                  </pic:spPr>
                </pic:pic>
              </a:graphicData>
            </a:graphic>
          </wp:inline>
        </w:drawing>
      </w:r>
    </w:p>
    <w:p w14:paraId="41EDA6C3" w14:textId="62FB6C50" w:rsidR="00492083" w:rsidRPr="007D1918" w:rsidRDefault="00492083" w:rsidP="0055384A">
      <w:pPr>
        <w:pStyle w:val="Caption"/>
        <w:spacing w:before="240"/>
      </w:pPr>
      <w:bookmarkStart w:id="154" w:name="_Ref2780638"/>
      <w:bookmarkStart w:id="155" w:name="_Toc23769608"/>
      <w:bookmarkEnd w:id="138"/>
      <w:r w:rsidRPr="007D1918">
        <w:t xml:space="preserve">Figure </w:t>
      </w:r>
      <w:r w:rsidR="00153891" w:rsidRPr="007D1918">
        <w:rPr>
          <w:noProof/>
        </w:rPr>
        <w:fldChar w:fldCharType="begin"/>
      </w:r>
      <w:r w:rsidR="00153891" w:rsidRPr="007D1918">
        <w:rPr>
          <w:noProof/>
        </w:rPr>
        <w:instrText xml:space="preserve"> SEQ Figure \* ARABIC </w:instrText>
      </w:r>
      <w:r w:rsidR="00153891" w:rsidRPr="007D1918">
        <w:rPr>
          <w:noProof/>
        </w:rPr>
        <w:fldChar w:fldCharType="separate"/>
      </w:r>
      <w:r w:rsidR="007C33AD" w:rsidRPr="007D1918">
        <w:rPr>
          <w:noProof/>
        </w:rPr>
        <w:t>3</w:t>
      </w:r>
      <w:r w:rsidR="00153891" w:rsidRPr="007D1918">
        <w:rPr>
          <w:noProof/>
        </w:rPr>
        <w:fldChar w:fldCharType="end"/>
      </w:r>
      <w:bookmarkEnd w:id="154"/>
      <w:r w:rsidR="0057254F" w:rsidRPr="007D1918">
        <w:tab/>
        <w:t>C</w:t>
      </w:r>
      <w:r w:rsidRPr="007D1918">
        <w:t xml:space="preserve">linical management pathway for patients with moderate to severe MG </w:t>
      </w:r>
      <w:r w:rsidR="0057254F" w:rsidRPr="007D1918">
        <w:t>on</w:t>
      </w:r>
      <w:r w:rsidRPr="007D1918">
        <w:t xml:space="preserve"> maintenance therapy</w:t>
      </w:r>
      <w:bookmarkEnd w:id="155"/>
    </w:p>
    <w:p w14:paraId="60A86540" w14:textId="7D2F190F" w:rsidR="0057254F" w:rsidRPr="007D1918" w:rsidRDefault="00E63B12" w:rsidP="00E63B12">
      <w:pPr>
        <w:spacing w:after="60" w:line="240" w:lineRule="auto"/>
        <w:rPr>
          <w:rFonts w:ascii="Arial Narrow" w:hAnsi="Arial Narrow"/>
          <w:sz w:val="18"/>
          <w:szCs w:val="18"/>
          <w:lang w:eastAsia="en-US"/>
        </w:rPr>
      </w:pPr>
      <w:r w:rsidRPr="007D1918">
        <w:rPr>
          <w:rFonts w:ascii="Arial Narrow" w:hAnsi="Arial Narrow"/>
          <w:sz w:val="18"/>
          <w:szCs w:val="18"/>
          <w:lang w:eastAsia="en-US"/>
        </w:rPr>
        <w:t>IVIg = intravenous immunoglobulin therapy</w:t>
      </w:r>
      <w:r w:rsidR="0057254F" w:rsidRPr="007D1918">
        <w:rPr>
          <w:rFonts w:ascii="Arial Narrow" w:hAnsi="Arial Narrow"/>
          <w:sz w:val="18"/>
          <w:szCs w:val="18"/>
          <w:lang w:eastAsia="en-US"/>
        </w:rPr>
        <w:t>; MG = myasthenia gravis</w:t>
      </w:r>
    </w:p>
    <w:p w14:paraId="1EB938C7" w14:textId="2AEA2193" w:rsidR="00E63B12" w:rsidRPr="007D1918" w:rsidRDefault="00E63B12" w:rsidP="00694811">
      <w:pPr>
        <w:rPr>
          <w:b/>
          <w:bCs/>
        </w:rPr>
        <w:sectPr w:rsidR="00E63B12" w:rsidRPr="007D1918" w:rsidSect="00945DB8">
          <w:headerReference w:type="even" r:id="rId32"/>
          <w:headerReference w:type="default" r:id="rId33"/>
          <w:footerReference w:type="default" r:id="rId34"/>
          <w:headerReference w:type="first" r:id="rId35"/>
          <w:pgSz w:w="11909" w:h="16834" w:code="9"/>
          <w:pgMar w:top="1134" w:right="1701" w:bottom="1134" w:left="1276" w:header="709" w:footer="351" w:gutter="0"/>
          <w:cols w:space="720"/>
        </w:sectPr>
      </w:pPr>
    </w:p>
    <w:p w14:paraId="310F4612" w14:textId="77777777" w:rsidR="005354F8" w:rsidRPr="007D1918" w:rsidRDefault="005354F8" w:rsidP="00CE3A8B">
      <w:pPr>
        <w:pStyle w:val="Heading2"/>
        <w:numPr>
          <w:ilvl w:val="0"/>
          <w:numId w:val="9"/>
        </w:numPr>
      </w:pPr>
      <w:bookmarkStart w:id="156" w:name="_Toc23766946"/>
      <w:bookmarkEnd w:id="139"/>
      <w:bookmarkEnd w:id="140"/>
      <w:bookmarkEnd w:id="141"/>
      <w:bookmarkEnd w:id="142"/>
      <w:bookmarkEnd w:id="143"/>
      <w:bookmarkEnd w:id="144"/>
      <w:bookmarkEnd w:id="145"/>
      <w:bookmarkEnd w:id="146"/>
      <w:bookmarkEnd w:id="147"/>
      <w:bookmarkEnd w:id="148"/>
      <w:bookmarkEnd w:id="149"/>
      <w:bookmarkEnd w:id="150"/>
      <w:bookmarkEnd w:id="151"/>
      <w:r w:rsidRPr="007D1918">
        <w:lastRenderedPageBreak/>
        <w:t>Key Differences in the Delivery of the Proposed Medical Service and the Main Comparator</w:t>
      </w:r>
      <w:bookmarkEnd w:id="156"/>
      <w:r w:rsidRPr="007D1918">
        <w:t xml:space="preserve"> </w:t>
      </w:r>
    </w:p>
    <w:p w14:paraId="765FB073" w14:textId="597D1615" w:rsidR="00592EC5" w:rsidRPr="007D1918" w:rsidRDefault="0018118E" w:rsidP="00DF756B">
      <w:pPr>
        <w:jc w:val="both"/>
      </w:pPr>
      <w:r w:rsidRPr="007D1918">
        <w:t>The proposed medical service IVIg</w:t>
      </w:r>
      <w:r w:rsidR="00F00910" w:rsidRPr="007D1918">
        <w:t>,</w:t>
      </w:r>
      <w:r w:rsidRPr="007D1918">
        <w:t xml:space="preserve"> is delivered </w:t>
      </w:r>
      <w:r w:rsidR="00F00910" w:rsidRPr="007D1918">
        <w:t xml:space="preserve">intravenously, </w:t>
      </w:r>
      <w:r w:rsidR="00F11009" w:rsidRPr="007D1918">
        <w:t>as is</w:t>
      </w:r>
      <w:r w:rsidRPr="007D1918">
        <w:t xml:space="preserve"> the main comparator</w:t>
      </w:r>
      <w:r w:rsidR="00F11009" w:rsidRPr="007D1918">
        <w:t>,</w:t>
      </w:r>
      <w:r w:rsidRPr="007D1918">
        <w:t xml:space="preserve"> PE. IVIg is generally delivered over a shorter timeframe than PE, and uses a specific dosage per person. The dosage is based on a patient’s weight and is usually a total of 1 or 2 g/kg. The infusion rate of IVIg is determined by the TGA’s approved rate for the particular product and the hospital protocol</w:t>
      </w:r>
      <w:r w:rsidR="009D1A84" w:rsidRPr="007D1918">
        <w:t>, but is usually delivered on consecutive days until complete (for example</w:t>
      </w:r>
      <w:r w:rsidR="00F11009" w:rsidRPr="007D1918">
        <w:t>,</w:t>
      </w:r>
      <w:r w:rsidR="009D1A84" w:rsidRPr="007D1918">
        <w:t xml:space="preserve"> 2 to 5 days)</w:t>
      </w:r>
      <w:r w:rsidR="005D2112" w:rsidRPr="007D1918">
        <w:t>. If the patient</w:t>
      </w:r>
      <w:r w:rsidRPr="007D1918">
        <w:t xml:space="preserve"> experiences side effects such as headache, the infusion rate can be slowed to reduce the impact. </w:t>
      </w:r>
    </w:p>
    <w:p w14:paraId="58C7A3A8" w14:textId="744FECD5" w:rsidR="0018118E" w:rsidRPr="007D1918" w:rsidRDefault="0018118E" w:rsidP="00DF756B">
      <w:pPr>
        <w:jc w:val="both"/>
      </w:pPr>
      <w:r w:rsidRPr="007D1918">
        <w:t xml:space="preserve">In comparison, PE is delivered </w:t>
      </w:r>
      <w:r w:rsidR="009D1A84" w:rsidRPr="007D1918">
        <w:t xml:space="preserve">on alternate days </w:t>
      </w:r>
      <w:r w:rsidRPr="007D1918">
        <w:t xml:space="preserve">to achieve the number of plasma volume exchanges </w:t>
      </w:r>
      <w:r w:rsidR="009D1A84" w:rsidRPr="007D1918">
        <w:t>desired (for example</w:t>
      </w:r>
      <w:r w:rsidR="00F11009" w:rsidRPr="007D1918">
        <w:t>,</w:t>
      </w:r>
      <w:r w:rsidR="009D1A84" w:rsidRPr="007D1918">
        <w:t xml:space="preserve"> five plasma volume exchanges over 10 days)</w:t>
      </w:r>
      <w:r w:rsidRPr="007D1918">
        <w:t xml:space="preserve">. </w:t>
      </w:r>
      <w:r w:rsidR="008D157B" w:rsidRPr="007D1918">
        <w:t>If peripheral venous access breaks down</w:t>
      </w:r>
      <w:r w:rsidR="00F11009" w:rsidRPr="007D1918">
        <w:t>,</w:t>
      </w:r>
      <w:r w:rsidR="008D157B" w:rsidRPr="007D1918">
        <w:t xml:space="preserve"> PE may require </w:t>
      </w:r>
      <w:r w:rsidR="008D157B" w:rsidRPr="007D1918">
        <w:rPr>
          <w:rFonts w:cstheme="minorHAnsi"/>
        </w:rPr>
        <w:t>delivery via a central vein which may carry greater risk of infection. This added risk of infection may impact on the safety profile of PE when compared to IVIg.</w:t>
      </w:r>
      <w:r w:rsidR="00E87B17" w:rsidRPr="007D1918">
        <w:rPr>
          <w:rFonts w:cstheme="minorHAnsi"/>
        </w:rPr>
        <w:t xml:space="preserve"> Delivery by central vein access is only be performed in major city teaching hospitals in Australia, thereby restricting access for patients in rural areas. </w:t>
      </w:r>
      <w:r w:rsidR="00E7776D" w:rsidRPr="007D1918">
        <w:rPr>
          <w:rFonts w:cstheme="minorHAnsi"/>
        </w:rPr>
        <w:t xml:space="preserve">A large proportion of patients receiving PE long-term are likely to require central vein delivery, so those not living near to services would need to travel or temporarily move closer. </w:t>
      </w:r>
    </w:p>
    <w:p w14:paraId="69DA2768" w14:textId="7CECA2D6" w:rsidR="00F00910" w:rsidRPr="007D1918" w:rsidRDefault="0018118E" w:rsidP="00DF756B">
      <w:pPr>
        <w:jc w:val="both"/>
      </w:pPr>
      <w:r w:rsidRPr="007D1918">
        <w:t>Ig also has the potential</w:t>
      </w:r>
      <w:r w:rsidR="009D1A84" w:rsidRPr="007D1918">
        <w:t xml:space="preserve"> </w:t>
      </w:r>
      <w:r w:rsidRPr="007D1918">
        <w:t xml:space="preserve">to be delivered subcutaneously for patients on </w:t>
      </w:r>
      <w:r w:rsidR="009D1A84" w:rsidRPr="007D1918">
        <w:t>maintenance</w:t>
      </w:r>
      <w:r w:rsidR="004A7EF4" w:rsidRPr="007D1918">
        <w:t xml:space="preserve"> therapy. </w:t>
      </w:r>
      <w:r w:rsidR="009D1A84" w:rsidRPr="007D1918">
        <w:t xml:space="preserve">In this circumstance, a patient would receive a </w:t>
      </w:r>
      <w:r w:rsidR="00F11009" w:rsidRPr="007D1918">
        <w:t xml:space="preserve">lower dose of </w:t>
      </w:r>
      <w:r w:rsidR="009D1A84" w:rsidRPr="007D1918">
        <w:t xml:space="preserve">Ig than for IV therapy, and may require infusion twice weekly. </w:t>
      </w:r>
      <w:r w:rsidR="004A7EF4" w:rsidRPr="007D1918">
        <w:t>A carer who is educated to administer the SCIg</w:t>
      </w:r>
      <w:r w:rsidR="00F11009" w:rsidRPr="007D1918">
        <w:t xml:space="preserve">, or the patient </w:t>
      </w:r>
      <w:r w:rsidR="00670525" w:rsidRPr="007D1918">
        <w:t>themself</w:t>
      </w:r>
      <w:r w:rsidR="00F11009" w:rsidRPr="007D1918">
        <w:t>,</w:t>
      </w:r>
      <w:r w:rsidR="004A7EF4" w:rsidRPr="007D1918">
        <w:t xml:space="preserve"> could perform this at the patient’s home. </w:t>
      </w:r>
    </w:p>
    <w:p w14:paraId="00C0E13C" w14:textId="393D8B56" w:rsidR="00F00910" w:rsidRPr="007D1918" w:rsidRDefault="00F00910" w:rsidP="00DF756B">
      <w:pPr>
        <w:jc w:val="both"/>
      </w:pPr>
      <w:r w:rsidRPr="007D1918">
        <w:t xml:space="preserve">Both IVIg and PE use blood products that can be sourced both through collection and processing of blood donations from the Australian public, or through purchase from overseas. </w:t>
      </w:r>
      <w:r w:rsidR="00E7776D" w:rsidRPr="007D1918">
        <w:t xml:space="preserve">The majority of IVIg supplies are imported to meet the needs of Australians. </w:t>
      </w:r>
    </w:p>
    <w:p w14:paraId="44C7C651" w14:textId="43D0DDB0" w:rsidR="005354F8" w:rsidRPr="007D1918" w:rsidRDefault="005354F8" w:rsidP="00CE3A8B">
      <w:pPr>
        <w:pStyle w:val="Heading2"/>
        <w:numPr>
          <w:ilvl w:val="0"/>
          <w:numId w:val="9"/>
        </w:numPr>
      </w:pPr>
      <w:bookmarkStart w:id="157" w:name="_Toc23766947"/>
      <w:r w:rsidRPr="007D1918">
        <w:t xml:space="preserve">Clinical </w:t>
      </w:r>
      <w:r w:rsidR="00D82053" w:rsidRPr="007D1918">
        <w:t>C</w:t>
      </w:r>
      <w:r w:rsidRPr="007D1918">
        <w:t>laim</w:t>
      </w:r>
      <w:bookmarkEnd w:id="157"/>
    </w:p>
    <w:p w14:paraId="07501D25" w14:textId="1C5BCB6B" w:rsidR="003C6329" w:rsidRPr="007D1918" w:rsidRDefault="003C6329" w:rsidP="003C6329">
      <w:pPr>
        <w:jc w:val="both"/>
      </w:pPr>
      <w:r w:rsidRPr="007D1918">
        <w:t xml:space="preserve">A </w:t>
      </w:r>
      <w:r w:rsidRPr="007D1918">
        <w:rPr>
          <w:b/>
        </w:rPr>
        <w:t>non-inferiority</w:t>
      </w:r>
      <w:r w:rsidRPr="007D1918">
        <w:t xml:space="preserve"> claim was proposed by the </w:t>
      </w:r>
      <w:r w:rsidR="001A1DDB" w:rsidRPr="007D1918">
        <w:t>A</w:t>
      </w:r>
      <w:r w:rsidRPr="007D1918">
        <w:t xml:space="preserve">pplicant for Indications 1 and 2 (where Ig is intended to be used for a limited time frame to manage a patient through a crisis or surgery, and has a direct comparator in plasma exchange). </w:t>
      </w:r>
    </w:p>
    <w:bookmarkEnd w:id="126"/>
    <w:bookmarkEnd w:id="127"/>
    <w:p w14:paraId="262871FF" w14:textId="3E058459" w:rsidR="00DA62E7" w:rsidRPr="007D1918" w:rsidRDefault="00DA62E7" w:rsidP="00DA62E7">
      <w:pPr>
        <w:jc w:val="both"/>
      </w:pPr>
      <w:r w:rsidRPr="007D1918">
        <w:t xml:space="preserve">For Indication 3, where Ig may be used as an adjunct therapy to immunotherapy or other standard therapeutics (not PE), there would need to be an additional benefit from the Ig therapy to justify its use i.e., a </w:t>
      </w:r>
      <w:r w:rsidRPr="007D1918">
        <w:rPr>
          <w:b/>
        </w:rPr>
        <w:t xml:space="preserve">superiority </w:t>
      </w:r>
      <w:r w:rsidRPr="007D1918">
        <w:t xml:space="preserve">claim </w:t>
      </w:r>
      <w:r w:rsidR="003736AC" w:rsidRPr="007D1918">
        <w:fldChar w:fldCharType="begin"/>
      </w:r>
      <w:r w:rsidR="003736AC" w:rsidRPr="007D1918">
        <w:instrText xml:space="preserve"> ADDIN EN.CITE &lt;EndNote&gt;&lt;Cite&gt;&lt;Author&gt;MSAC&lt;/Author&gt;&lt;Year&gt;2019&lt;/Year&gt;&lt;RecNum&gt;35&lt;/RecNum&gt;&lt;DisplayText&gt;(MSAC 2019)&lt;/DisplayText&gt;&lt;record&gt;&lt;rec-number&gt;35&lt;/rec-number&gt;&lt;foreign-keys&gt;&lt;key app="EN" db-id="2aevrx2slsts5ve9sdavatf125dsx0av2v9d" timestamp="1561425723"&gt;35&lt;/key&gt;&lt;key app="ENWeb" db-id=""&gt;0&lt;/key&gt;&lt;/foreign-keys&gt;&lt;ref-type name="Report"&gt;27&lt;/ref-type&gt;&lt;contributors&gt;&lt;authors&gt;&lt;author&gt;MSAC&lt;/author&gt;&lt;/authors&gt;&lt;secondary-authors&gt;&lt;author&gt;Medical Servoces Advisory Committee&lt;/author&gt;&lt;/secondary-authors&gt;&lt;/contributors&gt;&lt;titles&gt;&lt;title&gt;PICO Confirmtaion 1566: Immunoglobulin for myasthenia gravis­_FINAL Ratified&lt;/title&gt;&lt;secondary-title&gt;PICO confirmation&lt;/secondary-title&gt;&lt;/titles&gt;&lt;dates&gt;&lt;year&gt;2019&lt;/year&gt;&lt;/dates&gt;&lt;pub-location&gt;Canberra&lt;/pub-location&gt;&lt;publisher&gt;Department of Health&lt;/publisher&gt;&lt;urls&gt;&lt;/urls&gt;&lt;/record&gt;&lt;/Cite&gt;&lt;/EndNote&gt;</w:instrText>
      </w:r>
      <w:r w:rsidR="003736AC" w:rsidRPr="007D1918">
        <w:fldChar w:fldCharType="separate"/>
      </w:r>
      <w:r w:rsidR="003736AC" w:rsidRPr="007D1918">
        <w:rPr>
          <w:noProof/>
        </w:rPr>
        <w:t>(</w:t>
      </w:r>
      <w:hyperlink w:anchor="_ENREF_66" w:tooltip="MSAC, 2019 #35" w:history="1">
        <w:r w:rsidR="007D4948" w:rsidRPr="007D1918">
          <w:rPr>
            <w:noProof/>
          </w:rPr>
          <w:t>MSAC 2019</w:t>
        </w:r>
      </w:hyperlink>
      <w:r w:rsidR="003736AC" w:rsidRPr="007D1918">
        <w:rPr>
          <w:noProof/>
        </w:rPr>
        <w:t>)</w:t>
      </w:r>
      <w:r w:rsidR="003736AC" w:rsidRPr="007D1918">
        <w:fldChar w:fldCharType="end"/>
      </w:r>
      <w:r w:rsidRPr="007D1918">
        <w:t xml:space="preserve">. </w:t>
      </w:r>
    </w:p>
    <w:p w14:paraId="5DEFE1D6" w14:textId="00EE54FF" w:rsidR="00903492" w:rsidRPr="007D1918" w:rsidRDefault="00D461C4" w:rsidP="00CE3A8B">
      <w:pPr>
        <w:pStyle w:val="Heading2"/>
        <w:numPr>
          <w:ilvl w:val="0"/>
          <w:numId w:val="9"/>
        </w:numPr>
      </w:pPr>
      <w:bookmarkStart w:id="158" w:name="_Toc23766948"/>
      <w:r w:rsidRPr="007D1918">
        <w:lastRenderedPageBreak/>
        <w:t>Summary of the PICO</w:t>
      </w:r>
      <w:bookmarkEnd w:id="158"/>
    </w:p>
    <w:p w14:paraId="56B7A6B5" w14:textId="78AA04E5" w:rsidR="004F36F1" w:rsidRPr="007D1918" w:rsidRDefault="006C5B34" w:rsidP="004F36F1">
      <w:pPr>
        <w:spacing w:before="240"/>
        <w:jc w:val="both"/>
      </w:pPr>
      <w:r w:rsidRPr="007D1918">
        <w:t xml:space="preserve">The guiding framework of </w:t>
      </w:r>
      <w:r w:rsidR="00783C0F" w:rsidRPr="007D1918">
        <w:t>a</w:t>
      </w:r>
      <w:r w:rsidRPr="007D1918">
        <w:t xml:space="preserve"> </w:t>
      </w:r>
      <w:r w:rsidR="0088661A" w:rsidRPr="007D1918">
        <w:t>PICO Confirmation</w:t>
      </w:r>
      <w:r w:rsidRPr="007D1918">
        <w:t xml:space="preserve"> </w:t>
      </w:r>
      <w:r w:rsidR="00783C0F" w:rsidRPr="007D1918">
        <w:t>i</w:t>
      </w:r>
      <w:r w:rsidRPr="007D1918">
        <w:t xml:space="preserve">s </w:t>
      </w:r>
      <w:r w:rsidR="007822AD" w:rsidRPr="007D1918">
        <w:t xml:space="preserve">recommended </w:t>
      </w:r>
      <w:r w:rsidR="00783C0F" w:rsidRPr="007D1918">
        <w:t xml:space="preserve">by MSAC </w:t>
      </w:r>
      <w:r w:rsidR="007822AD" w:rsidRPr="007D1918">
        <w:t>for</w:t>
      </w:r>
      <w:r w:rsidRPr="007D1918">
        <w:t xml:space="preserve"> </w:t>
      </w:r>
      <w:r w:rsidR="00783C0F" w:rsidRPr="007D1918">
        <w:t>each</w:t>
      </w:r>
      <w:r w:rsidRPr="007D1918">
        <w:t xml:space="preserve"> assessment. </w:t>
      </w:r>
      <w:r w:rsidR="00E511FF" w:rsidRPr="007D1918">
        <w:t>The</w:t>
      </w:r>
      <w:r w:rsidR="00D52A25" w:rsidRPr="007D1918">
        <w:t xml:space="preserve"> </w:t>
      </w:r>
      <w:r w:rsidR="0088661A" w:rsidRPr="007D1918">
        <w:t>PICO Confirmation</w:t>
      </w:r>
      <w:r w:rsidRPr="007D1918">
        <w:t xml:space="preserve"> </w:t>
      </w:r>
      <w:r w:rsidR="00E511FF" w:rsidRPr="007D1918">
        <w:t>describ</w:t>
      </w:r>
      <w:r w:rsidRPr="007D1918">
        <w:t>es current clinical practice and reflects the likely future practice with the proposed</w:t>
      </w:r>
      <w:r w:rsidR="00B62EB7" w:rsidRPr="007D1918">
        <w:t xml:space="preserve"> </w:t>
      </w:r>
      <w:r w:rsidRPr="007D1918">
        <w:t>medical service.</w:t>
      </w:r>
      <w:r w:rsidR="00EA39D2" w:rsidRPr="007D1918">
        <w:t xml:space="preserve"> </w:t>
      </w:r>
    </w:p>
    <w:p w14:paraId="5E835108" w14:textId="4A13FF3B" w:rsidR="004F36F1" w:rsidRPr="007D1918" w:rsidRDefault="004F36F1" w:rsidP="004F36F1">
      <w:pPr>
        <w:spacing w:before="240"/>
        <w:jc w:val="both"/>
        <w:rPr>
          <w:sz w:val="24"/>
        </w:rPr>
      </w:pPr>
      <w:r w:rsidRPr="007D1918">
        <w:t xml:space="preserve">The Population, Intervention, Comparator and Outcomes (PICO) </w:t>
      </w:r>
      <w:r w:rsidR="00BB381C" w:rsidRPr="007D1918">
        <w:t xml:space="preserve">that were pre-specified to guide the </w:t>
      </w:r>
      <w:r w:rsidR="001A5EF8" w:rsidRPr="007D1918">
        <w:t>systematic literature review</w:t>
      </w:r>
      <w:r w:rsidR="00F9372D" w:rsidRPr="007D1918">
        <w:t xml:space="preserve"> </w:t>
      </w:r>
      <w:r w:rsidR="00BB381C" w:rsidRPr="007D1918">
        <w:t xml:space="preserve">are presented </w:t>
      </w:r>
      <w:r w:rsidRPr="007D1918">
        <w:rPr>
          <w:sz w:val="24"/>
        </w:rPr>
        <w:t xml:space="preserve">in </w:t>
      </w:r>
      <w:r w:rsidR="00255B28" w:rsidRPr="007D1918">
        <w:fldChar w:fldCharType="begin"/>
      </w:r>
      <w:r w:rsidR="00255B28" w:rsidRPr="007D1918">
        <w:rPr>
          <w:sz w:val="24"/>
        </w:rPr>
        <w:instrText xml:space="preserve"> REF _Ref395200496 \h </w:instrText>
      </w:r>
      <w:r w:rsidR="00E07567" w:rsidRPr="007D1918">
        <w:instrText xml:space="preserve"> \* MERGEFORMAT </w:instrText>
      </w:r>
      <w:r w:rsidR="00255B28" w:rsidRPr="007D1918">
        <w:fldChar w:fldCharType="separate"/>
      </w:r>
      <w:r w:rsidR="007C33AD" w:rsidRPr="007D1918">
        <w:t xml:space="preserve">Box </w:t>
      </w:r>
      <w:r w:rsidR="007C33AD" w:rsidRPr="007D1918">
        <w:rPr>
          <w:noProof/>
        </w:rPr>
        <w:t>1</w:t>
      </w:r>
      <w:r w:rsidR="00255B28" w:rsidRPr="007D1918">
        <w:fldChar w:fldCharType="end"/>
      </w:r>
      <w:r w:rsidR="000D3317" w:rsidRPr="007D1918">
        <w:t xml:space="preserve"> </w:t>
      </w:r>
      <w:r w:rsidR="008605E1" w:rsidRPr="007D1918">
        <w:t>to</w:t>
      </w:r>
      <w:r w:rsidR="000D3317" w:rsidRPr="007D1918">
        <w:t xml:space="preserve"> </w:t>
      </w:r>
      <w:r w:rsidR="008605E1" w:rsidRPr="007D1918">
        <w:rPr>
          <w:sz w:val="24"/>
        </w:rPr>
        <w:fldChar w:fldCharType="begin"/>
      </w:r>
      <w:r w:rsidR="008605E1" w:rsidRPr="007D1918">
        <w:instrText xml:space="preserve"> REF _Ref9853001 \h </w:instrText>
      </w:r>
      <w:r w:rsidR="00E07567" w:rsidRPr="007D1918">
        <w:rPr>
          <w:sz w:val="24"/>
        </w:rPr>
        <w:instrText xml:space="preserve"> \* MERGEFORMAT </w:instrText>
      </w:r>
      <w:r w:rsidR="008605E1" w:rsidRPr="007D1918">
        <w:rPr>
          <w:sz w:val="24"/>
        </w:rPr>
      </w:r>
      <w:r w:rsidR="008605E1" w:rsidRPr="007D1918">
        <w:rPr>
          <w:sz w:val="24"/>
        </w:rPr>
        <w:fldChar w:fldCharType="separate"/>
      </w:r>
      <w:r w:rsidR="007C33AD" w:rsidRPr="007D1918">
        <w:t xml:space="preserve">Box </w:t>
      </w:r>
      <w:r w:rsidR="007C33AD" w:rsidRPr="007D1918">
        <w:rPr>
          <w:noProof/>
        </w:rPr>
        <w:t>3</w:t>
      </w:r>
      <w:r w:rsidR="008605E1" w:rsidRPr="007D1918">
        <w:rPr>
          <w:sz w:val="24"/>
        </w:rPr>
        <w:fldChar w:fldCharType="end"/>
      </w:r>
      <w:r w:rsidR="004F65A5" w:rsidRPr="007D1918">
        <w:rPr>
          <w:sz w:val="24"/>
        </w:rPr>
        <w:t xml:space="preserve"> </w:t>
      </w:r>
      <w:r w:rsidR="004F65A5" w:rsidRPr="007D1918">
        <w:fldChar w:fldCharType="begin"/>
      </w:r>
      <w:r w:rsidR="004F65A5" w:rsidRPr="007D1918">
        <w:instrText xml:space="preserve"> ADDIN EN.CITE &lt;EndNote&gt;&lt;Cite&gt;&lt;Author&gt;MSAC&lt;/Author&gt;&lt;Year&gt;2019&lt;/Year&gt;&lt;RecNum&gt;35&lt;/RecNum&gt;&lt;DisplayText&gt;(MSAC 2019)&lt;/DisplayText&gt;&lt;record&gt;&lt;rec-number&gt;35&lt;/rec-number&gt;&lt;foreign-keys&gt;&lt;key app="EN" db-id="2aevrx2slsts5ve9sdavatf125dsx0av2v9d" timestamp="1561425723"&gt;35&lt;/key&gt;&lt;key app="ENWeb" db-id=""&gt;0&lt;/key&gt;&lt;/foreign-keys&gt;&lt;ref-type name="Report"&gt;27&lt;/ref-type&gt;&lt;contributors&gt;&lt;authors&gt;&lt;author&gt;MSAC&lt;/author&gt;&lt;/authors&gt;&lt;secondary-authors&gt;&lt;author&gt;Medical Servoces Advisory Committee&lt;/author&gt;&lt;/secondary-authors&gt;&lt;/contributors&gt;&lt;titles&gt;&lt;title&gt;PICO Confirmtaion 1566: Immunoglobulin for myasthenia gravis­_FINAL Ratified&lt;/title&gt;&lt;secondary-title&gt;PICO confirmation&lt;/secondary-title&gt;&lt;/titles&gt;&lt;dates&gt;&lt;year&gt;2019&lt;/year&gt;&lt;/dates&gt;&lt;pub-location&gt;Canberra&lt;/pub-location&gt;&lt;publisher&gt;Department of Health&lt;/publisher&gt;&lt;urls&gt;&lt;/urls&gt;&lt;/record&gt;&lt;/Cite&gt;&lt;/EndNote&gt;</w:instrText>
      </w:r>
      <w:r w:rsidR="004F65A5" w:rsidRPr="007D1918">
        <w:fldChar w:fldCharType="separate"/>
      </w:r>
      <w:r w:rsidR="004F65A5" w:rsidRPr="007D1918">
        <w:rPr>
          <w:noProof/>
        </w:rPr>
        <w:t>(</w:t>
      </w:r>
      <w:hyperlink w:anchor="_ENREF_66" w:tooltip="MSAC, 2019 #35" w:history="1">
        <w:r w:rsidR="007D4948" w:rsidRPr="007D1918">
          <w:rPr>
            <w:noProof/>
          </w:rPr>
          <w:t>MSAC 2019</w:t>
        </w:r>
      </w:hyperlink>
      <w:r w:rsidR="004F65A5" w:rsidRPr="007D1918">
        <w:rPr>
          <w:noProof/>
        </w:rPr>
        <w:t>)</w:t>
      </w:r>
      <w:r w:rsidR="004F65A5" w:rsidRPr="007D1918">
        <w:fldChar w:fldCharType="end"/>
      </w:r>
      <w:r w:rsidRPr="007D1918">
        <w:t>.</w:t>
      </w:r>
    </w:p>
    <w:p w14:paraId="6EC89398" w14:textId="21C4B460" w:rsidR="004F36F1" w:rsidRPr="007D1918" w:rsidRDefault="00255B28" w:rsidP="008760B9">
      <w:pPr>
        <w:pStyle w:val="Caption"/>
        <w:keepNext/>
        <w:keepLines/>
      </w:pPr>
      <w:bookmarkStart w:id="159" w:name="_Ref395200496"/>
      <w:bookmarkStart w:id="160" w:name="_Toc393378291"/>
      <w:bookmarkStart w:id="161" w:name="_Toc23769603"/>
      <w:r w:rsidRPr="007D1918">
        <w:t xml:space="preserve">Box </w:t>
      </w:r>
      <w:r w:rsidR="000B6AFD" w:rsidRPr="007D1918">
        <w:rPr>
          <w:noProof/>
        </w:rPr>
        <w:fldChar w:fldCharType="begin"/>
      </w:r>
      <w:r w:rsidR="000B6AFD" w:rsidRPr="007D1918">
        <w:rPr>
          <w:noProof/>
        </w:rPr>
        <w:instrText xml:space="preserve"> SEQ Box \* ARABIC </w:instrText>
      </w:r>
      <w:r w:rsidR="000B6AFD" w:rsidRPr="007D1918">
        <w:rPr>
          <w:noProof/>
        </w:rPr>
        <w:fldChar w:fldCharType="separate"/>
      </w:r>
      <w:r w:rsidR="007C33AD" w:rsidRPr="007D1918">
        <w:rPr>
          <w:noProof/>
        </w:rPr>
        <w:t>1</w:t>
      </w:r>
      <w:r w:rsidR="000B6AFD" w:rsidRPr="007D1918">
        <w:rPr>
          <w:noProof/>
        </w:rPr>
        <w:fldChar w:fldCharType="end"/>
      </w:r>
      <w:bookmarkEnd w:id="159"/>
      <w:r w:rsidR="004F36F1" w:rsidRPr="007D1918">
        <w:tab/>
      </w:r>
      <w:bookmarkEnd w:id="160"/>
      <w:r w:rsidR="00DA79C5" w:rsidRPr="007D1918">
        <w:t>PICO criteria for assessing IVIg for the treatment of myasthenic crisis (</w:t>
      </w:r>
      <w:r w:rsidR="008605E1" w:rsidRPr="007D1918">
        <w:t>I</w:t>
      </w:r>
      <w:r w:rsidR="00DA79C5" w:rsidRPr="007D1918">
        <w:t>ndication 1)</w:t>
      </w:r>
      <w:bookmarkEnd w:id="161"/>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Caption w:val="Box 1 PICO criteria for assessing IVIg for the treatment of myasthenic crisis (Indication 1) of XXX in patients with XXX"/>
        <w:tblDescription w:val="This Box provides the criteria for selecting studies to assess the safety  and effectiveness of IVIg for MG, Indication 1."/>
      </w:tblPr>
      <w:tblGrid>
        <w:gridCol w:w="1555"/>
        <w:gridCol w:w="7512"/>
      </w:tblGrid>
      <w:tr w:rsidR="008605E1" w:rsidRPr="007D1918" w14:paraId="4930CC58" w14:textId="77777777" w:rsidTr="00157FD4">
        <w:tc>
          <w:tcPr>
            <w:tcW w:w="1555" w:type="dxa"/>
            <w:shd w:val="clear" w:color="auto" w:fill="EEECE1" w:themeFill="background2"/>
          </w:tcPr>
          <w:p w14:paraId="0985099F" w14:textId="015687C1" w:rsidR="008605E1" w:rsidRPr="007D1918" w:rsidRDefault="008605E1" w:rsidP="008760B9">
            <w:pPr>
              <w:keepNext/>
              <w:keepLines/>
              <w:autoSpaceDE w:val="0"/>
              <w:autoSpaceDN w:val="0"/>
              <w:adjustRightInd w:val="0"/>
              <w:spacing w:before="40" w:after="40"/>
              <w:ind w:left="33"/>
              <w:rPr>
                <w:rFonts w:cs="Arial Narrow"/>
                <w:b/>
                <w:bCs/>
                <w:sz w:val="20"/>
              </w:rPr>
            </w:pPr>
            <w:r w:rsidRPr="007D1918">
              <w:rPr>
                <w:rFonts w:cs="Arial Narrow"/>
                <w:b/>
                <w:bCs/>
                <w:sz w:val="20"/>
              </w:rPr>
              <w:t>Component</w:t>
            </w:r>
          </w:p>
        </w:tc>
        <w:tc>
          <w:tcPr>
            <w:tcW w:w="7512" w:type="dxa"/>
            <w:shd w:val="clear" w:color="auto" w:fill="EEECE1" w:themeFill="background2"/>
          </w:tcPr>
          <w:p w14:paraId="4FCEBCE0" w14:textId="0AF195A0" w:rsidR="008605E1" w:rsidRPr="007D1918" w:rsidRDefault="008605E1" w:rsidP="008760B9">
            <w:pPr>
              <w:pStyle w:val="ListParagraph"/>
              <w:keepNext/>
              <w:keepLines/>
              <w:autoSpaceDE w:val="0"/>
              <w:autoSpaceDN w:val="0"/>
              <w:adjustRightInd w:val="0"/>
              <w:spacing w:before="40" w:after="40"/>
              <w:contextualSpacing/>
              <w:rPr>
                <w:rFonts w:cs="Arial Narrow"/>
                <w:b/>
                <w:bCs/>
                <w:sz w:val="20"/>
                <w:szCs w:val="20"/>
              </w:rPr>
            </w:pPr>
            <w:r w:rsidRPr="007D1918">
              <w:rPr>
                <w:rFonts w:cs="Arial Narrow"/>
                <w:b/>
                <w:bCs/>
                <w:sz w:val="20"/>
                <w:szCs w:val="20"/>
              </w:rPr>
              <w:t>Description</w:t>
            </w:r>
          </w:p>
        </w:tc>
      </w:tr>
      <w:tr w:rsidR="00DA79C5" w:rsidRPr="007D1918" w14:paraId="6F55692B" w14:textId="77777777" w:rsidTr="00DA79C5">
        <w:tc>
          <w:tcPr>
            <w:tcW w:w="1555" w:type="dxa"/>
            <w:shd w:val="clear" w:color="auto" w:fill="auto"/>
          </w:tcPr>
          <w:p w14:paraId="799B69E0" w14:textId="77777777" w:rsidR="00DA79C5" w:rsidRPr="007D1918" w:rsidRDefault="00DA79C5" w:rsidP="008760B9">
            <w:pPr>
              <w:keepNext/>
              <w:keepLines/>
              <w:autoSpaceDE w:val="0"/>
              <w:autoSpaceDN w:val="0"/>
              <w:adjustRightInd w:val="0"/>
              <w:spacing w:before="40" w:after="40"/>
              <w:ind w:left="33"/>
              <w:rPr>
                <w:rFonts w:cs="Arial Narrow"/>
                <w:bCs/>
                <w:sz w:val="20"/>
              </w:rPr>
            </w:pPr>
            <w:r w:rsidRPr="007D1918">
              <w:rPr>
                <w:rFonts w:cs="Arial Narrow"/>
                <w:bCs/>
                <w:sz w:val="20"/>
              </w:rPr>
              <w:t>Population</w:t>
            </w:r>
          </w:p>
        </w:tc>
        <w:tc>
          <w:tcPr>
            <w:tcW w:w="7512" w:type="dxa"/>
            <w:shd w:val="clear" w:color="auto" w:fill="auto"/>
          </w:tcPr>
          <w:p w14:paraId="5A399D53" w14:textId="77777777" w:rsidR="00DA79C5" w:rsidRPr="007D1918" w:rsidRDefault="00DA79C5" w:rsidP="008760B9">
            <w:pPr>
              <w:pStyle w:val="ListParagraph"/>
              <w:keepNext/>
              <w:keepLines/>
              <w:autoSpaceDE w:val="0"/>
              <w:autoSpaceDN w:val="0"/>
              <w:adjustRightInd w:val="0"/>
              <w:spacing w:before="40" w:after="40"/>
              <w:contextualSpacing/>
              <w:rPr>
                <w:rFonts w:cs="Arial Narrow"/>
                <w:bCs/>
                <w:sz w:val="20"/>
                <w:szCs w:val="20"/>
              </w:rPr>
            </w:pPr>
            <w:r w:rsidRPr="007D1918">
              <w:rPr>
                <w:rFonts w:cs="Arial Narrow"/>
                <w:bCs/>
                <w:sz w:val="20"/>
                <w:szCs w:val="20"/>
              </w:rPr>
              <w:t>Patients with, or at risk of, myasthenic crisis</w:t>
            </w:r>
          </w:p>
        </w:tc>
      </w:tr>
      <w:tr w:rsidR="00DA79C5" w:rsidRPr="007D1918" w14:paraId="4B4AC652" w14:textId="77777777" w:rsidTr="00DA79C5">
        <w:tc>
          <w:tcPr>
            <w:tcW w:w="1555" w:type="dxa"/>
            <w:shd w:val="clear" w:color="auto" w:fill="auto"/>
          </w:tcPr>
          <w:p w14:paraId="3AB085AA" w14:textId="77777777" w:rsidR="00DA79C5" w:rsidRPr="007D1918" w:rsidRDefault="00DA79C5" w:rsidP="008760B9">
            <w:pPr>
              <w:keepNext/>
              <w:keepLines/>
              <w:autoSpaceDE w:val="0"/>
              <w:autoSpaceDN w:val="0"/>
              <w:adjustRightInd w:val="0"/>
              <w:spacing w:before="40" w:after="40"/>
              <w:ind w:left="34"/>
              <w:rPr>
                <w:rFonts w:cs="Arial Narrow"/>
                <w:bCs/>
                <w:sz w:val="20"/>
              </w:rPr>
            </w:pPr>
            <w:r w:rsidRPr="007D1918">
              <w:rPr>
                <w:rFonts w:cs="Arial Narrow"/>
                <w:bCs/>
                <w:sz w:val="20"/>
              </w:rPr>
              <w:t>Interventions</w:t>
            </w:r>
          </w:p>
        </w:tc>
        <w:tc>
          <w:tcPr>
            <w:tcW w:w="7512" w:type="dxa"/>
            <w:shd w:val="clear" w:color="auto" w:fill="auto"/>
          </w:tcPr>
          <w:p w14:paraId="2104AC18" w14:textId="77777777" w:rsidR="00DA79C5" w:rsidRPr="007D1918" w:rsidRDefault="00DA79C5" w:rsidP="008760B9">
            <w:pPr>
              <w:keepNext/>
              <w:keepLines/>
              <w:autoSpaceDE w:val="0"/>
              <w:autoSpaceDN w:val="0"/>
              <w:adjustRightInd w:val="0"/>
              <w:spacing w:before="40" w:after="40"/>
              <w:rPr>
                <w:rFonts w:cs="Arial Narrow"/>
                <w:bCs/>
                <w:sz w:val="20"/>
              </w:rPr>
            </w:pPr>
            <w:r w:rsidRPr="007D1918">
              <w:rPr>
                <w:rFonts w:cs="Arial Narrow"/>
                <w:bCs/>
                <w:sz w:val="20"/>
              </w:rPr>
              <w:t>Intravenous Immunoglobulin</w:t>
            </w:r>
          </w:p>
        </w:tc>
      </w:tr>
      <w:tr w:rsidR="00DA79C5" w:rsidRPr="007D1918" w14:paraId="41CC5F82" w14:textId="77777777" w:rsidTr="00DA79C5">
        <w:tc>
          <w:tcPr>
            <w:tcW w:w="1555" w:type="dxa"/>
            <w:shd w:val="clear" w:color="auto" w:fill="auto"/>
          </w:tcPr>
          <w:p w14:paraId="0EA71B13" w14:textId="77777777" w:rsidR="00DA79C5" w:rsidRPr="007D1918" w:rsidRDefault="00DA79C5" w:rsidP="003B66C8">
            <w:pPr>
              <w:pStyle w:val="ListParagraph"/>
              <w:autoSpaceDE w:val="0"/>
              <w:autoSpaceDN w:val="0"/>
              <w:adjustRightInd w:val="0"/>
              <w:spacing w:before="40" w:after="40"/>
              <w:ind w:left="33"/>
              <w:contextualSpacing/>
              <w:rPr>
                <w:rFonts w:cs="Arial Narrow"/>
                <w:bCs/>
                <w:sz w:val="20"/>
                <w:szCs w:val="20"/>
              </w:rPr>
            </w:pPr>
            <w:r w:rsidRPr="007D1918">
              <w:rPr>
                <w:rFonts w:cs="Arial Narrow"/>
                <w:bCs/>
                <w:sz w:val="20"/>
                <w:szCs w:val="20"/>
              </w:rPr>
              <w:t>Comparators</w:t>
            </w:r>
          </w:p>
        </w:tc>
        <w:tc>
          <w:tcPr>
            <w:tcW w:w="7512" w:type="dxa"/>
            <w:shd w:val="clear" w:color="auto" w:fill="auto"/>
          </w:tcPr>
          <w:p w14:paraId="3BC64EDE" w14:textId="77777777" w:rsidR="00DA79C5" w:rsidRPr="007D1918" w:rsidRDefault="00DA79C5" w:rsidP="003B66C8">
            <w:pPr>
              <w:pStyle w:val="ListParagraph"/>
              <w:autoSpaceDE w:val="0"/>
              <w:autoSpaceDN w:val="0"/>
              <w:adjustRightInd w:val="0"/>
              <w:spacing w:before="40" w:after="40"/>
              <w:ind w:left="33"/>
              <w:contextualSpacing/>
              <w:rPr>
                <w:rFonts w:cs="Arial Narrow"/>
                <w:bCs/>
                <w:i/>
                <w:sz w:val="20"/>
                <w:szCs w:val="20"/>
              </w:rPr>
            </w:pPr>
            <w:r w:rsidRPr="007D1918">
              <w:rPr>
                <w:rFonts w:cs="Arial Narrow"/>
                <w:bCs/>
                <w:sz w:val="20"/>
                <w:szCs w:val="20"/>
              </w:rPr>
              <w:t>Plasma exchange, delivered via central or peripheral venous access</w:t>
            </w:r>
          </w:p>
        </w:tc>
      </w:tr>
      <w:tr w:rsidR="00DA79C5" w:rsidRPr="007D1918" w14:paraId="53845914" w14:textId="77777777" w:rsidTr="00DA79C5">
        <w:tc>
          <w:tcPr>
            <w:tcW w:w="1555" w:type="dxa"/>
            <w:shd w:val="clear" w:color="auto" w:fill="auto"/>
          </w:tcPr>
          <w:p w14:paraId="5878D54B" w14:textId="77777777" w:rsidR="00DA79C5" w:rsidRPr="007D1918" w:rsidRDefault="00DA79C5" w:rsidP="003B66C8">
            <w:pPr>
              <w:autoSpaceDE w:val="0"/>
              <w:autoSpaceDN w:val="0"/>
              <w:adjustRightInd w:val="0"/>
              <w:spacing w:before="40" w:after="40"/>
              <w:ind w:left="33"/>
              <w:rPr>
                <w:rFonts w:cs="Arial Narrow"/>
                <w:bCs/>
                <w:sz w:val="20"/>
              </w:rPr>
            </w:pPr>
            <w:r w:rsidRPr="007D1918">
              <w:rPr>
                <w:rFonts w:cs="Arial Narrow"/>
                <w:bCs/>
                <w:sz w:val="20"/>
              </w:rPr>
              <w:t>Outcomes</w:t>
            </w:r>
          </w:p>
        </w:tc>
        <w:tc>
          <w:tcPr>
            <w:tcW w:w="7512" w:type="dxa"/>
            <w:shd w:val="clear" w:color="auto" w:fill="auto"/>
          </w:tcPr>
          <w:p w14:paraId="2E9B7AA2" w14:textId="77777777" w:rsidR="00DA79C5" w:rsidRPr="007D1918" w:rsidRDefault="00DA79C5" w:rsidP="003B66C8">
            <w:pPr>
              <w:widowControl w:val="0"/>
              <w:shd w:val="clear" w:color="auto" w:fill="FFFFFF"/>
              <w:autoSpaceDE w:val="0"/>
              <w:autoSpaceDN w:val="0"/>
              <w:adjustRightInd w:val="0"/>
              <w:spacing w:after="0"/>
              <w:rPr>
                <w:b/>
                <w:bCs/>
                <w:sz w:val="20"/>
                <w:u w:val="single"/>
              </w:rPr>
            </w:pPr>
            <w:r w:rsidRPr="007D1918">
              <w:rPr>
                <w:b/>
                <w:bCs/>
                <w:sz w:val="20"/>
                <w:u w:val="single"/>
              </w:rPr>
              <w:t>Patient-relevant outcomes</w:t>
            </w:r>
          </w:p>
          <w:p w14:paraId="1DBC7145" w14:textId="77777777" w:rsidR="00DA79C5" w:rsidRPr="007D1918" w:rsidRDefault="00DA79C5" w:rsidP="003B66C8">
            <w:pPr>
              <w:widowControl w:val="0"/>
              <w:shd w:val="clear" w:color="auto" w:fill="FFFFFF"/>
              <w:autoSpaceDE w:val="0"/>
              <w:autoSpaceDN w:val="0"/>
              <w:adjustRightInd w:val="0"/>
              <w:spacing w:after="0"/>
              <w:ind w:left="238"/>
              <w:rPr>
                <w:i/>
                <w:sz w:val="20"/>
              </w:rPr>
            </w:pPr>
            <w:r w:rsidRPr="007D1918">
              <w:rPr>
                <w:b/>
                <w:bCs/>
                <w:i/>
                <w:sz w:val="20"/>
              </w:rPr>
              <w:t>Safety</w:t>
            </w:r>
            <w:r w:rsidRPr="007D1918">
              <w:rPr>
                <w:i/>
                <w:sz w:val="20"/>
              </w:rPr>
              <w:t xml:space="preserve"> </w:t>
            </w:r>
          </w:p>
          <w:p w14:paraId="6152246E"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i/>
                <w:sz w:val="20"/>
              </w:rPr>
              <w:tab/>
            </w:r>
            <w:r w:rsidRPr="007D1918">
              <w:rPr>
                <w:sz w:val="20"/>
              </w:rPr>
              <w:t xml:space="preserve">adverse events associated with administration of the therapy (such as IV line insertion risks, line sepsis) </w:t>
            </w:r>
          </w:p>
          <w:p w14:paraId="274C6AED"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sz w:val="20"/>
              </w:rPr>
              <w:tab/>
              <w:t>side effects of the therapy (such as haemodynamic effects, inflammatory and thrombotic effects)</w:t>
            </w:r>
          </w:p>
          <w:p w14:paraId="39AECD35" w14:textId="77777777" w:rsidR="00DA79C5" w:rsidRPr="007D1918" w:rsidRDefault="00DA79C5" w:rsidP="003B66C8">
            <w:pPr>
              <w:widowControl w:val="0"/>
              <w:shd w:val="clear" w:color="auto" w:fill="FFFFFF"/>
              <w:autoSpaceDE w:val="0"/>
              <w:autoSpaceDN w:val="0"/>
              <w:adjustRightInd w:val="0"/>
              <w:spacing w:after="0"/>
              <w:ind w:left="238"/>
              <w:rPr>
                <w:i/>
                <w:sz w:val="20"/>
              </w:rPr>
            </w:pPr>
            <w:r w:rsidRPr="007D1918">
              <w:rPr>
                <w:b/>
                <w:bCs/>
                <w:i/>
                <w:sz w:val="20"/>
              </w:rPr>
              <w:t>Effectiveness</w:t>
            </w:r>
            <w:r w:rsidRPr="007D1918">
              <w:rPr>
                <w:i/>
                <w:sz w:val="20"/>
              </w:rPr>
              <w:t xml:space="preserve"> </w:t>
            </w:r>
          </w:p>
          <w:p w14:paraId="02032C32"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i/>
                <w:sz w:val="20"/>
              </w:rPr>
              <w:tab/>
            </w:r>
            <w:r w:rsidRPr="007D1918">
              <w:rPr>
                <w:sz w:val="20"/>
              </w:rPr>
              <w:t xml:space="preserve">mortality </w:t>
            </w:r>
          </w:p>
          <w:p w14:paraId="4EC327A5"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sz w:val="20"/>
              </w:rPr>
              <w:tab/>
              <w:t xml:space="preserve">rates of infection </w:t>
            </w:r>
          </w:p>
          <w:p w14:paraId="2FD4C89A"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sz w:val="20"/>
              </w:rPr>
              <w:tab/>
              <w:t xml:space="preserve">improvement in symptoms (MGC score) </w:t>
            </w:r>
          </w:p>
          <w:p w14:paraId="11207664"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sz w:val="20"/>
              </w:rPr>
              <w:tab/>
              <w:t xml:space="preserve">improvement in quality of life </w:t>
            </w:r>
          </w:p>
          <w:p w14:paraId="256AA7E1"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sz w:val="20"/>
              </w:rPr>
              <w:tab/>
              <w:t xml:space="preserve">rates of remission </w:t>
            </w:r>
          </w:p>
          <w:p w14:paraId="07B73C82" w14:textId="77777777" w:rsidR="00DA79C5" w:rsidRPr="007D1918" w:rsidRDefault="00DA79C5" w:rsidP="003B66C8">
            <w:pPr>
              <w:widowControl w:val="0"/>
              <w:shd w:val="clear" w:color="auto" w:fill="FFFFFF"/>
              <w:autoSpaceDE w:val="0"/>
              <w:autoSpaceDN w:val="0"/>
              <w:adjustRightInd w:val="0"/>
              <w:spacing w:after="0"/>
              <w:ind w:left="238"/>
              <w:rPr>
                <w:sz w:val="20"/>
              </w:rPr>
            </w:pPr>
            <w:r w:rsidRPr="007D1918">
              <w:rPr>
                <w:sz w:val="20"/>
              </w:rPr>
              <w:tab/>
              <w:t xml:space="preserve">disease stability </w:t>
            </w:r>
          </w:p>
          <w:p w14:paraId="1B98EB92" w14:textId="77777777" w:rsidR="00DA79C5" w:rsidRPr="007D1918" w:rsidRDefault="00DA79C5" w:rsidP="003B66C8">
            <w:pPr>
              <w:widowControl w:val="0"/>
              <w:shd w:val="clear" w:color="auto" w:fill="FFFFFF"/>
              <w:autoSpaceDE w:val="0"/>
              <w:autoSpaceDN w:val="0"/>
              <w:adjustRightInd w:val="0"/>
              <w:spacing w:after="0"/>
              <w:ind w:left="237"/>
              <w:rPr>
                <w:sz w:val="20"/>
              </w:rPr>
            </w:pPr>
            <w:r w:rsidRPr="007D1918">
              <w:rPr>
                <w:sz w:val="20"/>
              </w:rPr>
              <w:tab/>
              <w:t>time to relapse</w:t>
            </w:r>
          </w:p>
          <w:p w14:paraId="5491F72F" w14:textId="77777777" w:rsidR="00DA79C5" w:rsidRPr="007D1918" w:rsidRDefault="00DA79C5" w:rsidP="003B66C8">
            <w:pPr>
              <w:widowControl w:val="0"/>
              <w:shd w:val="clear" w:color="auto" w:fill="FFFFFF"/>
              <w:autoSpaceDE w:val="0"/>
              <w:autoSpaceDN w:val="0"/>
              <w:adjustRightInd w:val="0"/>
              <w:spacing w:after="0"/>
              <w:ind w:left="237"/>
              <w:rPr>
                <w:sz w:val="20"/>
              </w:rPr>
            </w:pPr>
            <w:r w:rsidRPr="007D1918">
              <w:rPr>
                <w:sz w:val="20"/>
              </w:rPr>
              <w:tab/>
            </w:r>
            <w:r w:rsidRPr="007D1918">
              <w:rPr>
                <w:bCs/>
                <w:sz w:val="20"/>
              </w:rPr>
              <w:t>need for ventilation or other life support systems</w:t>
            </w:r>
          </w:p>
          <w:p w14:paraId="7EC4BA49" w14:textId="77777777" w:rsidR="00DA79C5" w:rsidRPr="007D1918" w:rsidRDefault="00DA79C5" w:rsidP="003B66C8">
            <w:pPr>
              <w:pStyle w:val="Tablecontents"/>
              <w:spacing w:after="0" w:line="276" w:lineRule="auto"/>
              <w:rPr>
                <w:rFonts w:ascii="Calibri" w:hAnsi="Calibri" w:cs="Calibri"/>
                <w:b/>
                <w:iCs/>
                <w:u w:val="single"/>
              </w:rPr>
            </w:pPr>
            <w:r w:rsidRPr="007D1918">
              <w:rPr>
                <w:rFonts w:ascii="Calibri" w:hAnsi="Calibri" w:cs="Calibri"/>
                <w:b/>
                <w:iCs/>
                <w:u w:val="single"/>
              </w:rPr>
              <w:t>Healthcare system resources utilisation</w:t>
            </w:r>
          </w:p>
          <w:p w14:paraId="5C2B7828" w14:textId="77777777" w:rsidR="00DA79C5" w:rsidRPr="007D1918" w:rsidRDefault="00DA79C5" w:rsidP="003B66C8">
            <w:pPr>
              <w:pStyle w:val="Tablecontents"/>
              <w:spacing w:before="0" w:after="0" w:line="276" w:lineRule="auto"/>
              <w:rPr>
                <w:rFonts w:ascii="Calibri" w:hAnsi="Calibri" w:cs="Calibri"/>
                <w:b/>
                <w:i/>
              </w:rPr>
            </w:pPr>
            <w:r w:rsidRPr="007D1918">
              <w:rPr>
                <w:rFonts w:ascii="Calibri" w:hAnsi="Calibri" w:cs="Calibri"/>
                <w:b/>
                <w:i/>
              </w:rPr>
              <w:t xml:space="preserve">Changes in health system resource utilisation associated with the intervention </w:t>
            </w:r>
          </w:p>
          <w:p w14:paraId="0AAD7744"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Ig products, </w:t>
            </w:r>
          </w:p>
          <w:p w14:paraId="3BC53249"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Infusion equipment,</w:t>
            </w:r>
          </w:p>
          <w:p w14:paraId="1726F868"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Administrative and clinician time (e.g. resources associated with requesting, and authorising, access to Ig), </w:t>
            </w:r>
          </w:p>
          <w:p w14:paraId="4D14781C"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Nursing time (for initiation and monitoring if IVIg)</w:t>
            </w:r>
          </w:p>
          <w:p w14:paraId="2550AB35"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Hospitalisation (including use of hospital resources)</w:t>
            </w:r>
          </w:p>
          <w:p w14:paraId="22C4CC59"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Medication to treat of adverse events (e.g. analgesia or antihistamines)  </w:t>
            </w:r>
          </w:p>
          <w:p w14:paraId="1FF9DB20"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Product dispensing and disposal of any unused product</w:t>
            </w:r>
          </w:p>
          <w:p w14:paraId="4F582D92"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Follow-up and/or monitoring visits, including regular neurology visits</w:t>
            </w:r>
          </w:p>
          <w:p w14:paraId="04D916CE" w14:textId="77777777" w:rsidR="00DA79C5" w:rsidRPr="007D1918" w:rsidRDefault="00DA79C5" w:rsidP="003B66C8">
            <w:pPr>
              <w:pStyle w:val="Tablecontents"/>
              <w:spacing w:before="0" w:after="0" w:line="276" w:lineRule="auto"/>
              <w:rPr>
                <w:rFonts w:ascii="Calibri" w:hAnsi="Calibri" w:cs="Calibri"/>
                <w:b/>
                <w:i/>
              </w:rPr>
            </w:pPr>
            <w:r w:rsidRPr="007D1918">
              <w:rPr>
                <w:rFonts w:ascii="Calibri" w:hAnsi="Calibri" w:cs="Calibri"/>
                <w:b/>
                <w:i/>
              </w:rPr>
              <w:t>Change in health system resource utilisation associated with the comparator(s)</w:t>
            </w:r>
          </w:p>
          <w:p w14:paraId="174C8B5F"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Comparator products </w:t>
            </w:r>
          </w:p>
          <w:p w14:paraId="6E8B6744"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Resources to deliver the comparator (eg hospital and staff time for IV steroids and plasma exchange, dispensing for oral treatments)</w:t>
            </w:r>
          </w:p>
          <w:p w14:paraId="75059EE6"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Hospitalisation</w:t>
            </w:r>
          </w:p>
          <w:p w14:paraId="73ADDFDA"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lastRenderedPageBreak/>
              <w:t>Management of adverse events</w:t>
            </w:r>
          </w:p>
          <w:p w14:paraId="7071A999" w14:textId="77777777" w:rsidR="00DA79C5" w:rsidRPr="007D1918" w:rsidRDefault="00DA79C5" w:rsidP="003B66C8">
            <w:pPr>
              <w:widowControl w:val="0"/>
              <w:shd w:val="clear" w:color="auto" w:fill="FFFFFF"/>
              <w:autoSpaceDE w:val="0"/>
              <w:autoSpaceDN w:val="0"/>
              <w:adjustRightInd w:val="0"/>
              <w:spacing w:after="0"/>
              <w:rPr>
                <w:rFonts w:cs="Arial Narrow"/>
                <w:bCs/>
                <w:sz w:val="20"/>
              </w:rPr>
            </w:pPr>
            <w:r w:rsidRPr="007D1918">
              <w:rPr>
                <w:rFonts w:cs="Calibri"/>
                <w:sz w:val="20"/>
              </w:rPr>
              <w:t>Follow-up and/or monitoring visits, including regular neurology visits</w:t>
            </w:r>
          </w:p>
        </w:tc>
      </w:tr>
      <w:tr w:rsidR="00DA79C5" w:rsidRPr="007D1918" w14:paraId="036B9C74" w14:textId="77777777" w:rsidTr="00DA79C5">
        <w:tc>
          <w:tcPr>
            <w:tcW w:w="1555" w:type="dxa"/>
            <w:shd w:val="clear" w:color="auto" w:fill="auto"/>
          </w:tcPr>
          <w:p w14:paraId="175A2FE8" w14:textId="77777777" w:rsidR="00DA79C5" w:rsidRPr="007D1918" w:rsidRDefault="00DA79C5" w:rsidP="003B66C8">
            <w:pPr>
              <w:autoSpaceDE w:val="0"/>
              <w:autoSpaceDN w:val="0"/>
              <w:adjustRightInd w:val="0"/>
              <w:spacing w:before="40" w:after="40"/>
              <w:ind w:left="33"/>
              <w:rPr>
                <w:rFonts w:cs="Arial Narrow"/>
                <w:bCs/>
                <w:sz w:val="20"/>
              </w:rPr>
            </w:pPr>
            <w:r w:rsidRPr="007D1918">
              <w:rPr>
                <w:rFonts w:cs="Arial Narrow"/>
                <w:bCs/>
                <w:sz w:val="20"/>
              </w:rPr>
              <w:lastRenderedPageBreak/>
              <w:t>Study design</w:t>
            </w:r>
          </w:p>
        </w:tc>
        <w:tc>
          <w:tcPr>
            <w:tcW w:w="7512" w:type="dxa"/>
            <w:shd w:val="clear" w:color="auto" w:fill="auto"/>
          </w:tcPr>
          <w:p w14:paraId="79EC9060" w14:textId="77777777" w:rsidR="00DA79C5" w:rsidRPr="007D1918" w:rsidRDefault="00DA79C5" w:rsidP="00FD4507">
            <w:pPr>
              <w:autoSpaceDE w:val="0"/>
              <w:autoSpaceDN w:val="0"/>
              <w:adjustRightInd w:val="0"/>
              <w:spacing w:before="40" w:after="40" w:line="240" w:lineRule="auto"/>
              <w:ind w:left="34"/>
              <w:rPr>
                <w:rFonts w:cs="Arial Narrow"/>
                <w:bCs/>
                <w:sz w:val="20"/>
              </w:rPr>
            </w:pPr>
            <w:r w:rsidRPr="007D1918">
              <w:rPr>
                <w:rFonts w:cs="Arial Narrow"/>
                <w:bCs/>
                <w:sz w:val="20"/>
              </w:rPr>
              <w:t>Randomised or non-randomised controlled trials, comparative studies with or without concurrent controls, or systematic reviews of these study designs</w:t>
            </w:r>
          </w:p>
        </w:tc>
      </w:tr>
      <w:tr w:rsidR="00DA79C5" w:rsidRPr="007D1918" w14:paraId="1EEB27A6" w14:textId="77777777" w:rsidTr="00DA79C5">
        <w:tc>
          <w:tcPr>
            <w:tcW w:w="1555" w:type="dxa"/>
            <w:shd w:val="clear" w:color="auto" w:fill="auto"/>
          </w:tcPr>
          <w:p w14:paraId="525DBF11" w14:textId="77777777" w:rsidR="00DA79C5" w:rsidRPr="007D1918" w:rsidRDefault="00DA79C5" w:rsidP="003B66C8">
            <w:pPr>
              <w:autoSpaceDE w:val="0"/>
              <w:autoSpaceDN w:val="0"/>
              <w:adjustRightInd w:val="0"/>
              <w:spacing w:before="40" w:after="40"/>
              <w:ind w:left="33"/>
              <w:rPr>
                <w:rFonts w:cs="Arial Narrow"/>
                <w:bCs/>
                <w:sz w:val="20"/>
              </w:rPr>
            </w:pPr>
            <w:r w:rsidRPr="007D1918">
              <w:rPr>
                <w:rFonts w:cs="Arial Narrow"/>
                <w:bCs/>
                <w:sz w:val="20"/>
              </w:rPr>
              <w:t>Search period</w:t>
            </w:r>
          </w:p>
        </w:tc>
        <w:tc>
          <w:tcPr>
            <w:tcW w:w="7512" w:type="dxa"/>
            <w:shd w:val="clear" w:color="auto" w:fill="auto"/>
          </w:tcPr>
          <w:p w14:paraId="7177E077" w14:textId="77777777" w:rsidR="00DA79C5" w:rsidRPr="007D1918" w:rsidRDefault="00DA79C5" w:rsidP="00FD4507">
            <w:pPr>
              <w:autoSpaceDE w:val="0"/>
              <w:autoSpaceDN w:val="0"/>
              <w:adjustRightInd w:val="0"/>
              <w:spacing w:before="40" w:after="40" w:line="240" w:lineRule="auto"/>
              <w:ind w:left="34"/>
              <w:rPr>
                <w:rFonts w:cs="Arial Narrow"/>
                <w:bCs/>
                <w:sz w:val="20"/>
              </w:rPr>
            </w:pPr>
            <w:r w:rsidRPr="007D1918">
              <w:rPr>
                <w:rFonts w:cs="Arial Narrow"/>
                <w:bCs/>
                <w:sz w:val="20"/>
              </w:rPr>
              <w:t>1981 (earliest use of Ig)-February 2019</w:t>
            </w:r>
          </w:p>
        </w:tc>
      </w:tr>
      <w:tr w:rsidR="00DA79C5" w:rsidRPr="007D1918" w14:paraId="006DC35B" w14:textId="77777777" w:rsidTr="00DA79C5">
        <w:tc>
          <w:tcPr>
            <w:tcW w:w="1555" w:type="dxa"/>
            <w:shd w:val="clear" w:color="auto" w:fill="auto"/>
          </w:tcPr>
          <w:p w14:paraId="3E5CCCDE" w14:textId="77777777" w:rsidR="00DA79C5" w:rsidRPr="007D1918" w:rsidRDefault="00DA79C5" w:rsidP="003B66C8">
            <w:pPr>
              <w:autoSpaceDE w:val="0"/>
              <w:autoSpaceDN w:val="0"/>
              <w:adjustRightInd w:val="0"/>
              <w:spacing w:before="40" w:after="40"/>
              <w:ind w:left="33"/>
              <w:rPr>
                <w:rFonts w:cs="Arial Narrow"/>
                <w:bCs/>
                <w:sz w:val="20"/>
              </w:rPr>
            </w:pPr>
            <w:r w:rsidRPr="007D1918">
              <w:rPr>
                <w:rFonts w:cs="Arial Narrow"/>
                <w:bCs/>
                <w:sz w:val="20"/>
              </w:rPr>
              <w:t>Language</w:t>
            </w:r>
          </w:p>
        </w:tc>
        <w:tc>
          <w:tcPr>
            <w:tcW w:w="7512" w:type="dxa"/>
            <w:shd w:val="clear" w:color="auto" w:fill="auto"/>
          </w:tcPr>
          <w:p w14:paraId="092C3805" w14:textId="77777777" w:rsidR="00DA79C5" w:rsidRPr="007D1918" w:rsidRDefault="00DA79C5" w:rsidP="00FD4507">
            <w:pPr>
              <w:autoSpaceDE w:val="0"/>
              <w:autoSpaceDN w:val="0"/>
              <w:adjustRightInd w:val="0"/>
              <w:spacing w:before="40" w:after="40" w:line="240" w:lineRule="auto"/>
              <w:ind w:left="34"/>
              <w:rPr>
                <w:rFonts w:cs="Arial Narrow"/>
                <w:bCs/>
                <w:sz w:val="20"/>
              </w:rPr>
            </w:pPr>
            <w:r w:rsidRPr="007D1918">
              <w:rPr>
                <w:rFonts w:cs="Arial Narrow"/>
                <w:bCs/>
                <w:sz w:val="20"/>
              </w:rPr>
              <w:t>Studies in languages other than English will only be translated if they represent a higher level of evidence than that available in the English language evidence-base</w:t>
            </w:r>
          </w:p>
        </w:tc>
      </w:tr>
      <w:tr w:rsidR="00DA79C5" w:rsidRPr="007D1918" w14:paraId="35ECB15A" w14:textId="77777777" w:rsidTr="00DA79C5">
        <w:trPr>
          <w:trHeight w:val="699"/>
        </w:trPr>
        <w:tc>
          <w:tcPr>
            <w:tcW w:w="9067" w:type="dxa"/>
            <w:gridSpan w:val="2"/>
            <w:shd w:val="clear" w:color="auto" w:fill="auto"/>
          </w:tcPr>
          <w:p w14:paraId="0DEC1BA1" w14:textId="094010E8" w:rsidR="00DA79C5" w:rsidRPr="007D1918" w:rsidRDefault="00DA79C5" w:rsidP="00FD4507">
            <w:pPr>
              <w:autoSpaceDE w:val="0"/>
              <w:autoSpaceDN w:val="0"/>
              <w:adjustRightInd w:val="0"/>
              <w:spacing w:before="40" w:after="40" w:line="240" w:lineRule="auto"/>
              <w:ind w:left="34"/>
              <w:rPr>
                <w:rFonts w:ascii="Arial Narrow" w:hAnsi="Arial Narrow"/>
                <w:b/>
                <w:sz w:val="20"/>
                <w:szCs w:val="20"/>
              </w:rPr>
            </w:pPr>
            <w:r w:rsidRPr="007D1918">
              <w:rPr>
                <w:rFonts w:cs="Arial Narrow"/>
                <w:b/>
                <w:bCs/>
                <w:sz w:val="20"/>
              </w:rPr>
              <w:t>1. What are the safety, effectiveness, and cost-effectiveness of IVIg for the treatment of MG compared to plasma exchange in patients experiencing or at risk of myasthenic crisis?</w:t>
            </w:r>
          </w:p>
        </w:tc>
      </w:tr>
    </w:tbl>
    <w:p w14:paraId="73C32290" w14:textId="1DB1BC5C" w:rsidR="008605E1" w:rsidRPr="007D1918" w:rsidRDefault="00205F9D" w:rsidP="00157FD4">
      <w:pPr>
        <w:pStyle w:val="Tablenotes0"/>
      </w:pPr>
      <w:bookmarkStart w:id="162" w:name="_Ref395200521"/>
      <w:bookmarkStart w:id="163" w:name="_Toc393378292"/>
      <w:r w:rsidRPr="007D1918">
        <w:t xml:space="preserve">Ig = immunoglobulin; IV = intravenous; </w:t>
      </w:r>
      <w:r w:rsidR="00AB59A0" w:rsidRPr="007D1918">
        <w:t xml:space="preserve">MG = myasthenia gravis; </w:t>
      </w:r>
      <w:r w:rsidRPr="007D1918">
        <w:t xml:space="preserve">MGC = myasthenia gravis </w:t>
      </w:r>
      <w:r w:rsidR="00157FD4" w:rsidRPr="007D1918">
        <w:t>c</w:t>
      </w:r>
      <w:r w:rsidRPr="007D1918">
        <w:t xml:space="preserve">omposite score; </w:t>
      </w:r>
    </w:p>
    <w:p w14:paraId="4AE17810" w14:textId="77777777" w:rsidR="00205F9D" w:rsidRPr="007D1918" w:rsidRDefault="00205F9D" w:rsidP="00255B28">
      <w:pPr>
        <w:pStyle w:val="Caption"/>
      </w:pPr>
    </w:p>
    <w:p w14:paraId="2543D298" w14:textId="0C215F50" w:rsidR="00716EBD" w:rsidRPr="007D1918" w:rsidRDefault="00255B28" w:rsidP="00255B28">
      <w:pPr>
        <w:pStyle w:val="Caption"/>
      </w:pPr>
      <w:bookmarkStart w:id="164" w:name="_Ref11742406"/>
      <w:bookmarkStart w:id="165" w:name="_Toc23769604"/>
      <w:r w:rsidRPr="007D1918">
        <w:t xml:space="preserve">Box </w:t>
      </w:r>
      <w:r w:rsidR="000B6AFD" w:rsidRPr="007D1918">
        <w:rPr>
          <w:noProof/>
        </w:rPr>
        <w:fldChar w:fldCharType="begin"/>
      </w:r>
      <w:r w:rsidR="000B6AFD" w:rsidRPr="007D1918">
        <w:rPr>
          <w:noProof/>
        </w:rPr>
        <w:instrText xml:space="preserve"> SEQ Box \* ARABIC </w:instrText>
      </w:r>
      <w:r w:rsidR="000B6AFD" w:rsidRPr="007D1918">
        <w:rPr>
          <w:noProof/>
        </w:rPr>
        <w:fldChar w:fldCharType="separate"/>
      </w:r>
      <w:r w:rsidR="007C33AD" w:rsidRPr="007D1918">
        <w:rPr>
          <w:noProof/>
        </w:rPr>
        <w:t>2</w:t>
      </w:r>
      <w:r w:rsidR="000B6AFD" w:rsidRPr="007D1918">
        <w:rPr>
          <w:noProof/>
        </w:rPr>
        <w:fldChar w:fldCharType="end"/>
      </w:r>
      <w:bookmarkEnd w:id="162"/>
      <w:bookmarkEnd w:id="164"/>
      <w:r w:rsidR="00BB381C" w:rsidRPr="007D1918">
        <w:rPr>
          <w:szCs w:val="20"/>
        </w:rPr>
        <w:tab/>
      </w:r>
      <w:r w:rsidR="00DA79C5" w:rsidRPr="007D1918">
        <w:t>PICO criteria for assessing IVIg treatment in patients with planned surgery or thymectomy (Indication 2)</w:t>
      </w:r>
      <w:bookmarkEnd w:id="165"/>
    </w:p>
    <w:tbl>
      <w:tblPr>
        <w:tblW w:w="9072" w:type="dxa"/>
        <w:tblInd w:w="-8" w:type="dxa"/>
        <w:tblLayout w:type="fixed"/>
        <w:tblCellMar>
          <w:left w:w="0" w:type="dxa"/>
          <w:right w:w="0" w:type="dxa"/>
        </w:tblCellMar>
        <w:tblLook w:val="0000" w:firstRow="0" w:lastRow="0" w:firstColumn="0" w:lastColumn="0" w:noHBand="0" w:noVBand="0"/>
        <w:tblCaption w:val="Box 2 PICO criteria for assessing IVIg treatment in patients with planned surgery or thymectomy (Indication 2)"/>
        <w:tblDescription w:val="This Box provides a description of the criteria used to select studies to assess the safety and effectiveness of IVIg for MG, Indication 2."/>
      </w:tblPr>
      <w:tblGrid>
        <w:gridCol w:w="1276"/>
        <w:gridCol w:w="7748"/>
        <w:gridCol w:w="48"/>
      </w:tblGrid>
      <w:tr w:rsidR="00DA79C5" w:rsidRPr="007D1918" w14:paraId="0C3738EB" w14:textId="77777777" w:rsidTr="00157FD4">
        <w:trPr>
          <w:gridAfter w:val="1"/>
          <w:wAfter w:w="48" w:type="dxa"/>
        </w:trPr>
        <w:tc>
          <w:tcPr>
            <w:tcW w:w="1276"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14:paraId="4615B748" w14:textId="77777777" w:rsidR="00DA79C5" w:rsidRPr="007D1918" w:rsidRDefault="00DA79C5" w:rsidP="003B66C8">
            <w:pPr>
              <w:widowControl w:val="0"/>
              <w:autoSpaceDE w:val="0"/>
              <w:autoSpaceDN w:val="0"/>
              <w:adjustRightInd w:val="0"/>
              <w:spacing w:before="120" w:after="0"/>
              <w:rPr>
                <w:b/>
                <w:bCs/>
                <w:sz w:val="20"/>
              </w:rPr>
            </w:pPr>
            <w:r w:rsidRPr="007D1918">
              <w:rPr>
                <w:b/>
                <w:bCs/>
                <w:sz w:val="20"/>
              </w:rPr>
              <w:t xml:space="preserve">Component </w:t>
            </w:r>
          </w:p>
        </w:tc>
        <w:tc>
          <w:tcPr>
            <w:tcW w:w="7748" w:type="dxa"/>
            <w:tcBorders>
              <w:top w:val="single" w:sz="6" w:space="0" w:color="auto"/>
              <w:left w:val="single" w:sz="6" w:space="0" w:color="auto"/>
              <w:bottom w:val="single" w:sz="6" w:space="0" w:color="auto"/>
              <w:right w:val="single" w:sz="6" w:space="0" w:color="auto"/>
            </w:tcBorders>
            <w:shd w:val="clear" w:color="auto" w:fill="EEECE1" w:themeFill="background2"/>
            <w:vAlign w:val="center"/>
          </w:tcPr>
          <w:p w14:paraId="4A2518DA" w14:textId="77777777" w:rsidR="00DA79C5" w:rsidRPr="007D1918" w:rsidRDefault="00DA79C5" w:rsidP="003B66C8">
            <w:pPr>
              <w:spacing w:before="120" w:after="0"/>
              <w:ind w:left="147"/>
              <w:rPr>
                <w:sz w:val="20"/>
              </w:rPr>
            </w:pPr>
            <w:r w:rsidRPr="007D1918">
              <w:rPr>
                <w:b/>
                <w:sz w:val="20"/>
              </w:rPr>
              <w:t>Description</w:t>
            </w:r>
            <w:r w:rsidRPr="007D1918">
              <w:rPr>
                <w:sz w:val="20"/>
              </w:rPr>
              <w:t xml:space="preserve"> </w:t>
            </w:r>
          </w:p>
        </w:tc>
      </w:tr>
      <w:tr w:rsidR="00DA79C5" w:rsidRPr="007D1918" w14:paraId="3FF639A0" w14:textId="77777777" w:rsidTr="00DA79C5">
        <w:trPr>
          <w:gridAfter w:val="1"/>
          <w:wAfter w:w="48" w:type="dxa"/>
        </w:trPr>
        <w:tc>
          <w:tcPr>
            <w:tcW w:w="1276" w:type="dxa"/>
            <w:tcBorders>
              <w:top w:val="single" w:sz="6" w:space="0" w:color="auto"/>
              <w:left w:val="single" w:sz="6" w:space="0" w:color="auto"/>
              <w:bottom w:val="single" w:sz="6" w:space="0" w:color="auto"/>
              <w:right w:val="single" w:sz="6" w:space="0" w:color="auto"/>
            </w:tcBorders>
            <w:vAlign w:val="center"/>
          </w:tcPr>
          <w:p w14:paraId="3D8F3B0E" w14:textId="77777777" w:rsidR="00DA79C5" w:rsidRPr="007D1918" w:rsidRDefault="00DA79C5" w:rsidP="003B66C8">
            <w:pPr>
              <w:widowControl w:val="0"/>
              <w:autoSpaceDE w:val="0"/>
              <w:autoSpaceDN w:val="0"/>
              <w:adjustRightInd w:val="0"/>
              <w:spacing w:after="0"/>
              <w:rPr>
                <w:b/>
                <w:bCs/>
                <w:sz w:val="20"/>
              </w:rPr>
            </w:pPr>
            <w:r w:rsidRPr="007D1918">
              <w:rPr>
                <w:b/>
                <w:bCs/>
                <w:sz w:val="20"/>
              </w:rPr>
              <w:t xml:space="preserve">Patients </w:t>
            </w:r>
          </w:p>
        </w:tc>
        <w:tc>
          <w:tcPr>
            <w:tcW w:w="7748" w:type="dxa"/>
            <w:tcBorders>
              <w:top w:val="single" w:sz="6" w:space="0" w:color="auto"/>
              <w:left w:val="single" w:sz="6" w:space="0" w:color="auto"/>
              <w:bottom w:val="single" w:sz="6" w:space="0" w:color="auto"/>
              <w:right w:val="single" w:sz="6" w:space="0" w:color="auto"/>
            </w:tcBorders>
          </w:tcPr>
          <w:p w14:paraId="3AD95DF4" w14:textId="77777777" w:rsidR="00DA79C5" w:rsidRPr="007D1918" w:rsidRDefault="00DA79C5" w:rsidP="00FD4507">
            <w:pPr>
              <w:widowControl w:val="0"/>
              <w:autoSpaceDE w:val="0"/>
              <w:autoSpaceDN w:val="0"/>
              <w:adjustRightInd w:val="0"/>
              <w:spacing w:before="40" w:after="40" w:line="240" w:lineRule="auto"/>
              <w:ind w:left="147"/>
              <w:rPr>
                <w:bCs/>
                <w:sz w:val="20"/>
              </w:rPr>
            </w:pPr>
            <w:r w:rsidRPr="007D1918">
              <w:rPr>
                <w:bCs/>
                <w:sz w:val="20"/>
              </w:rPr>
              <w:t xml:space="preserve">Patients with advanced MG disease, bulbar symptoms or respiratory involvement, in whom surgery and/or thymectomy is planned </w:t>
            </w:r>
          </w:p>
        </w:tc>
      </w:tr>
      <w:tr w:rsidR="00DA79C5" w:rsidRPr="007D1918" w14:paraId="2F0705A1" w14:textId="77777777" w:rsidTr="00DA79C5">
        <w:trPr>
          <w:gridAfter w:val="1"/>
          <w:wAfter w:w="48" w:type="dxa"/>
        </w:trPr>
        <w:tc>
          <w:tcPr>
            <w:tcW w:w="1276" w:type="dxa"/>
            <w:tcBorders>
              <w:top w:val="single" w:sz="6" w:space="0" w:color="auto"/>
              <w:left w:val="single" w:sz="6" w:space="0" w:color="auto"/>
              <w:bottom w:val="single" w:sz="6" w:space="0" w:color="auto"/>
              <w:right w:val="single" w:sz="6" w:space="0" w:color="auto"/>
            </w:tcBorders>
            <w:vAlign w:val="center"/>
          </w:tcPr>
          <w:p w14:paraId="640D7CC0" w14:textId="77777777" w:rsidR="00DA79C5" w:rsidRPr="007D1918" w:rsidRDefault="00DA79C5" w:rsidP="003B66C8">
            <w:pPr>
              <w:widowControl w:val="0"/>
              <w:autoSpaceDE w:val="0"/>
              <w:autoSpaceDN w:val="0"/>
              <w:adjustRightInd w:val="0"/>
              <w:spacing w:after="0"/>
              <w:rPr>
                <w:b/>
                <w:bCs/>
                <w:sz w:val="20"/>
              </w:rPr>
            </w:pPr>
            <w:r w:rsidRPr="007D1918">
              <w:rPr>
                <w:b/>
                <w:bCs/>
                <w:sz w:val="20"/>
              </w:rPr>
              <w:br w:type="page"/>
              <w:t xml:space="preserve">Intervention </w:t>
            </w:r>
          </w:p>
        </w:tc>
        <w:tc>
          <w:tcPr>
            <w:tcW w:w="7748" w:type="dxa"/>
            <w:tcBorders>
              <w:top w:val="single" w:sz="6" w:space="0" w:color="auto"/>
              <w:left w:val="single" w:sz="6" w:space="0" w:color="auto"/>
              <w:bottom w:val="single" w:sz="6" w:space="0" w:color="auto"/>
              <w:right w:val="single" w:sz="6" w:space="0" w:color="auto"/>
            </w:tcBorders>
          </w:tcPr>
          <w:p w14:paraId="7477B27B" w14:textId="77777777" w:rsidR="00DA79C5" w:rsidRPr="007D1918" w:rsidRDefault="00DA79C5" w:rsidP="003B66C8">
            <w:pPr>
              <w:widowControl w:val="0"/>
              <w:autoSpaceDE w:val="0"/>
              <w:autoSpaceDN w:val="0"/>
              <w:adjustRightInd w:val="0"/>
              <w:spacing w:before="120" w:after="0"/>
              <w:ind w:left="147"/>
              <w:rPr>
                <w:b/>
                <w:bCs/>
                <w:sz w:val="20"/>
              </w:rPr>
            </w:pPr>
            <w:r w:rsidRPr="007D1918">
              <w:rPr>
                <w:sz w:val="20"/>
              </w:rPr>
              <w:t>Intravenous Immunoglobulin</w:t>
            </w:r>
          </w:p>
        </w:tc>
      </w:tr>
      <w:tr w:rsidR="00DA79C5" w:rsidRPr="007D1918" w14:paraId="00CB5FB5" w14:textId="77777777" w:rsidTr="00DA79C5">
        <w:trPr>
          <w:gridAfter w:val="1"/>
          <w:wAfter w:w="48" w:type="dxa"/>
        </w:trPr>
        <w:tc>
          <w:tcPr>
            <w:tcW w:w="1276" w:type="dxa"/>
            <w:tcBorders>
              <w:top w:val="single" w:sz="6" w:space="0" w:color="auto"/>
              <w:left w:val="single" w:sz="6" w:space="0" w:color="auto"/>
              <w:bottom w:val="single" w:sz="6" w:space="0" w:color="auto"/>
              <w:right w:val="single" w:sz="6" w:space="0" w:color="auto"/>
            </w:tcBorders>
            <w:vAlign w:val="center"/>
          </w:tcPr>
          <w:p w14:paraId="3B6FCF86" w14:textId="77777777" w:rsidR="00DA79C5" w:rsidRPr="007D1918" w:rsidRDefault="00DA79C5" w:rsidP="003B66C8">
            <w:pPr>
              <w:widowControl w:val="0"/>
              <w:autoSpaceDE w:val="0"/>
              <w:autoSpaceDN w:val="0"/>
              <w:adjustRightInd w:val="0"/>
              <w:spacing w:after="0"/>
              <w:rPr>
                <w:b/>
                <w:bCs/>
                <w:sz w:val="20"/>
              </w:rPr>
            </w:pPr>
            <w:r w:rsidRPr="007D1918">
              <w:rPr>
                <w:b/>
                <w:bCs/>
                <w:sz w:val="20"/>
              </w:rPr>
              <w:t xml:space="preserve">Comparator </w:t>
            </w:r>
          </w:p>
        </w:tc>
        <w:tc>
          <w:tcPr>
            <w:tcW w:w="7748" w:type="dxa"/>
            <w:tcBorders>
              <w:top w:val="single" w:sz="6" w:space="0" w:color="auto"/>
              <w:left w:val="single" w:sz="6" w:space="0" w:color="auto"/>
              <w:bottom w:val="single" w:sz="6" w:space="0" w:color="auto"/>
              <w:right w:val="single" w:sz="6" w:space="0" w:color="auto"/>
            </w:tcBorders>
          </w:tcPr>
          <w:p w14:paraId="4B791FF2" w14:textId="77777777" w:rsidR="00DA79C5" w:rsidRPr="007D1918" w:rsidRDefault="00DA79C5" w:rsidP="003B66C8">
            <w:pPr>
              <w:widowControl w:val="0"/>
              <w:autoSpaceDE w:val="0"/>
              <w:autoSpaceDN w:val="0"/>
              <w:adjustRightInd w:val="0"/>
              <w:spacing w:before="120" w:after="0"/>
              <w:ind w:left="147"/>
              <w:rPr>
                <w:bCs/>
                <w:sz w:val="20"/>
              </w:rPr>
            </w:pPr>
            <w:r w:rsidRPr="007D1918">
              <w:rPr>
                <w:bCs/>
                <w:sz w:val="20"/>
              </w:rPr>
              <w:t xml:space="preserve">Plasma exchange, delivered by </w:t>
            </w:r>
            <w:r w:rsidRPr="007D1918">
              <w:rPr>
                <w:sz w:val="20"/>
              </w:rPr>
              <w:t>central or peripheral venous access</w:t>
            </w:r>
          </w:p>
        </w:tc>
      </w:tr>
      <w:tr w:rsidR="00DA79C5" w:rsidRPr="007D1918" w14:paraId="6F9B2C51" w14:textId="77777777" w:rsidTr="00DA79C5">
        <w:trPr>
          <w:gridAfter w:val="1"/>
          <w:wAfter w:w="48" w:type="dxa"/>
        </w:trPr>
        <w:tc>
          <w:tcPr>
            <w:tcW w:w="1276" w:type="dxa"/>
            <w:tcBorders>
              <w:top w:val="single" w:sz="6" w:space="0" w:color="auto"/>
              <w:left w:val="single" w:sz="6" w:space="0" w:color="auto"/>
              <w:bottom w:val="single" w:sz="6" w:space="0" w:color="auto"/>
              <w:right w:val="single" w:sz="6" w:space="0" w:color="auto"/>
            </w:tcBorders>
            <w:vAlign w:val="center"/>
          </w:tcPr>
          <w:p w14:paraId="15235F99" w14:textId="77777777" w:rsidR="00DA79C5" w:rsidRPr="007D1918" w:rsidRDefault="00DA79C5" w:rsidP="003B66C8">
            <w:pPr>
              <w:widowControl w:val="0"/>
              <w:autoSpaceDE w:val="0"/>
              <w:autoSpaceDN w:val="0"/>
              <w:adjustRightInd w:val="0"/>
              <w:spacing w:after="0"/>
              <w:rPr>
                <w:b/>
                <w:bCs/>
                <w:sz w:val="20"/>
              </w:rPr>
            </w:pPr>
            <w:r w:rsidRPr="007D1918">
              <w:rPr>
                <w:b/>
                <w:bCs/>
                <w:sz w:val="20"/>
              </w:rPr>
              <w:t xml:space="preserve">Outcomes </w:t>
            </w:r>
          </w:p>
        </w:tc>
        <w:tc>
          <w:tcPr>
            <w:tcW w:w="7748" w:type="dxa"/>
            <w:tcBorders>
              <w:top w:val="single" w:sz="6" w:space="0" w:color="auto"/>
              <w:left w:val="single" w:sz="6" w:space="0" w:color="auto"/>
              <w:bottom w:val="single" w:sz="6" w:space="0" w:color="auto"/>
              <w:right w:val="single" w:sz="6" w:space="0" w:color="auto"/>
            </w:tcBorders>
          </w:tcPr>
          <w:p w14:paraId="091736F2" w14:textId="77777777" w:rsidR="00DA79C5" w:rsidRPr="007D1918" w:rsidRDefault="00DA79C5" w:rsidP="003B66C8">
            <w:pPr>
              <w:widowControl w:val="0"/>
              <w:shd w:val="clear" w:color="auto" w:fill="FFFFFF"/>
              <w:autoSpaceDE w:val="0"/>
              <w:autoSpaceDN w:val="0"/>
              <w:adjustRightInd w:val="0"/>
              <w:spacing w:after="0"/>
              <w:ind w:left="147"/>
              <w:rPr>
                <w:b/>
                <w:bCs/>
                <w:sz w:val="20"/>
                <w:u w:val="single"/>
              </w:rPr>
            </w:pPr>
            <w:r w:rsidRPr="007D1918">
              <w:rPr>
                <w:b/>
                <w:bCs/>
                <w:sz w:val="20"/>
                <w:u w:val="single"/>
              </w:rPr>
              <w:t>Patient-relevant outcomes:</w:t>
            </w:r>
          </w:p>
          <w:p w14:paraId="5AA39008" w14:textId="77777777" w:rsidR="00DA79C5" w:rsidRPr="007D1918" w:rsidRDefault="00DA79C5" w:rsidP="003B66C8">
            <w:pPr>
              <w:widowControl w:val="0"/>
              <w:shd w:val="clear" w:color="auto" w:fill="FFFFFF"/>
              <w:autoSpaceDE w:val="0"/>
              <w:autoSpaceDN w:val="0"/>
              <w:adjustRightInd w:val="0"/>
              <w:spacing w:after="0"/>
              <w:ind w:left="147"/>
              <w:rPr>
                <w:i/>
                <w:sz w:val="20"/>
              </w:rPr>
            </w:pPr>
            <w:r w:rsidRPr="007D1918">
              <w:rPr>
                <w:b/>
                <w:bCs/>
                <w:i/>
                <w:sz w:val="20"/>
              </w:rPr>
              <w:t>Safety</w:t>
            </w:r>
            <w:r w:rsidRPr="007D1918">
              <w:rPr>
                <w:i/>
                <w:sz w:val="20"/>
              </w:rPr>
              <w:t xml:space="preserve"> </w:t>
            </w:r>
          </w:p>
          <w:p w14:paraId="4FD9683F"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i/>
                <w:sz w:val="20"/>
              </w:rPr>
              <w:tab/>
            </w:r>
            <w:r w:rsidRPr="007D1918">
              <w:rPr>
                <w:sz w:val="20"/>
              </w:rPr>
              <w:t xml:space="preserve">adverse events associated with administration of the therapy (such as IV line insertion risks, line sepsis) </w:t>
            </w:r>
          </w:p>
          <w:p w14:paraId="6281193E"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sz w:val="20"/>
              </w:rPr>
              <w:tab/>
              <w:t>side effects of the therapy (such as haemodynamic effects, inflammatory and thrombotic effects)</w:t>
            </w:r>
          </w:p>
          <w:p w14:paraId="0DB24FFF" w14:textId="77777777" w:rsidR="00DA79C5" w:rsidRPr="007D1918" w:rsidRDefault="00DA79C5" w:rsidP="003B66C8">
            <w:pPr>
              <w:widowControl w:val="0"/>
              <w:shd w:val="clear" w:color="auto" w:fill="FFFFFF"/>
              <w:autoSpaceDE w:val="0"/>
              <w:autoSpaceDN w:val="0"/>
              <w:adjustRightInd w:val="0"/>
              <w:spacing w:after="0"/>
              <w:ind w:left="147"/>
              <w:rPr>
                <w:i/>
                <w:sz w:val="20"/>
              </w:rPr>
            </w:pPr>
            <w:r w:rsidRPr="007D1918">
              <w:rPr>
                <w:b/>
                <w:bCs/>
                <w:i/>
                <w:sz w:val="20"/>
              </w:rPr>
              <w:t>Effectiveness</w:t>
            </w:r>
            <w:r w:rsidRPr="007D1918">
              <w:rPr>
                <w:i/>
                <w:sz w:val="20"/>
              </w:rPr>
              <w:t xml:space="preserve"> </w:t>
            </w:r>
          </w:p>
          <w:p w14:paraId="0CB38F67"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i/>
                <w:sz w:val="20"/>
              </w:rPr>
              <w:tab/>
            </w:r>
            <w:r w:rsidRPr="007D1918">
              <w:rPr>
                <w:sz w:val="20"/>
              </w:rPr>
              <w:t xml:space="preserve">mortality </w:t>
            </w:r>
          </w:p>
          <w:p w14:paraId="5F912ADF"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sz w:val="20"/>
              </w:rPr>
              <w:tab/>
              <w:t xml:space="preserve">rates of infection </w:t>
            </w:r>
          </w:p>
          <w:p w14:paraId="5F269FA7"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sz w:val="20"/>
              </w:rPr>
              <w:tab/>
              <w:t xml:space="preserve">improvement in symptoms (MGC score) </w:t>
            </w:r>
          </w:p>
          <w:p w14:paraId="67C7A00F"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sz w:val="20"/>
              </w:rPr>
              <w:tab/>
              <w:t xml:space="preserve">improvement in quality of life </w:t>
            </w:r>
          </w:p>
          <w:p w14:paraId="705449D8"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sz w:val="20"/>
              </w:rPr>
              <w:tab/>
              <w:t xml:space="preserve">rates of remission </w:t>
            </w:r>
          </w:p>
          <w:p w14:paraId="6CA1E0F9"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sz w:val="20"/>
              </w:rPr>
              <w:tab/>
              <w:t xml:space="preserve">disease stability </w:t>
            </w:r>
          </w:p>
          <w:p w14:paraId="194093E4" w14:textId="77777777" w:rsidR="00DA79C5" w:rsidRPr="007D1918" w:rsidRDefault="00DA79C5" w:rsidP="003B66C8">
            <w:pPr>
              <w:widowControl w:val="0"/>
              <w:shd w:val="clear" w:color="auto" w:fill="FFFFFF"/>
              <w:autoSpaceDE w:val="0"/>
              <w:autoSpaceDN w:val="0"/>
              <w:adjustRightInd w:val="0"/>
              <w:spacing w:after="0"/>
              <w:ind w:left="147"/>
              <w:rPr>
                <w:sz w:val="20"/>
              </w:rPr>
            </w:pPr>
            <w:r w:rsidRPr="007D1918">
              <w:rPr>
                <w:sz w:val="20"/>
              </w:rPr>
              <w:tab/>
              <w:t>time to relapse</w:t>
            </w:r>
          </w:p>
          <w:p w14:paraId="5D7646CD" w14:textId="77777777" w:rsidR="00DA79C5" w:rsidRPr="007D1918" w:rsidRDefault="00DA79C5" w:rsidP="003B66C8">
            <w:pPr>
              <w:widowControl w:val="0"/>
              <w:shd w:val="clear" w:color="auto" w:fill="FFFFFF"/>
              <w:autoSpaceDE w:val="0"/>
              <w:autoSpaceDN w:val="0"/>
              <w:adjustRightInd w:val="0"/>
              <w:spacing w:after="0"/>
              <w:ind w:left="147"/>
              <w:rPr>
                <w:bCs/>
                <w:sz w:val="20"/>
              </w:rPr>
            </w:pPr>
            <w:r w:rsidRPr="007D1918">
              <w:rPr>
                <w:b/>
                <w:bCs/>
                <w:sz w:val="20"/>
              </w:rPr>
              <w:tab/>
            </w:r>
            <w:r w:rsidRPr="007D1918">
              <w:rPr>
                <w:bCs/>
                <w:sz w:val="20"/>
              </w:rPr>
              <w:t>time to surgery</w:t>
            </w:r>
          </w:p>
          <w:p w14:paraId="1D87106C" w14:textId="77777777" w:rsidR="00DA79C5" w:rsidRPr="007D1918" w:rsidRDefault="00DA79C5" w:rsidP="003B66C8">
            <w:pPr>
              <w:pStyle w:val="Tablecontents"/>
              <w:spacing w:before="0" w:after="0" w:line="276" w:lineRule="auto"/>
              <w:rPr>
                <w:rFonts w:ascii="Calibri" w:hAnsi="Calibri" w:cs="Calibri"/>
                <w:b/>
                <w:iCs/>
                <w:u w:val="single"/>
              </w:rPr>
            </w:pPr>
            <w:r w:rsidRPr="007D1918">
              <w:rPr>
                <w:rFonts w:ascii="Calibri" w:hAnsi="Calibri" w:cs="Calibri"/>
                <w:b/>
                <w:iCs/>
                <w:u w:val="single"/>
              </w:rPr>
              <w:t>Healthcare system resources utilisation</w:t>
            </w:r>
          </w:p>
          <w:p w14:paraId="618DD2ED" w14:textId="77777777" w:rsidR="00DA79C5" w:rsidRPr="007D1918" w:rsidRDefault="00DA79C5" w:rsidP="003B66C8">
            <w:pPr>
              <w:pStyle w:val="Tablecontents"/>
              <w:spacing w:before="0" w:after="0" w:line="276" w:lineRule="auto"/>
              <w:rPr>
                <w:rFonts w:ascii="Calibri" w:hAnsi="Calibri" w:cs="Calibri"/>
                <w:b/>
                <w:i/>
              </w:rPr>
            </w:pPr>
            <w:r w:rsidRPr="007D1918">
              <w:rPr>
                <w:rFonts w:ascii="Calibri" w:hAnsi="Calibri" w:cs="Calibri"/>
                <w:b/>
                <w:i/>
              </w:rPr>
              <w:t xml:space="preserve">Changes in health system resource utilisation associated with the intervention </w:t>
            </w:r>
          </w:p>
          <w:p w14:paraId="18E1CA2E"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Ig products, </w:t>
            </w:r>
          </w:p>
          <w:p w14:paraId="291618C2"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Infusion equipment,</w:t>
            </w:r>
          </w:p>
          <w:p w14:paraId="4FC0A058"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Administrative and clinician time (e.g. resources associated with requesting, and authorising, access to Ig), </w:t>
            </w:r>
          </w:p>
          <w:p w14:paraId="2BD42FF4"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Nursing time (for initiation and monitoring if IVIg)</w:t>
            </w:r>
          </w:p>
          <w:p w14:paraId="06407145"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Hospitalisation (including use of hospital resources)</w:t>
            </w:r>
          </w:p>
          <w:p w14:paraId="71461E6F"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Medication to treat of adverse events (e.g. analgesia or antihistamines)  </w:t>
            </w:r>
          </w:p>
          <w:p w14:paraId="6E41B619"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Product dispensing and disposal of any unused product</w:t>
            </w:r>
          </w:p>
          <w:p w14:paraId="69F3DBB5"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Follow-up and/or monitoring visits, including regular neurology visits</w:t>
            </w:r>
          </w:p>
          <w:p w14:paraId="4B40AE0F" w14:textId="77777777" w:rsidR="00DA79C5" w:rsidRPr="007D1918" w:rsidRDefault="00DA79C5" w:rsidP="003B66C8">
            <w:pPr>
              <w:pStyle w:val="Tablecontents"/>
              <w:spacing w:before="0" w:after="0" w:line="276" w:lineRule="auto"/>
              <w:rPr>
                <w:rFonts w:ascii="Calibri" w:hAnsi="Calibri" w:cs="Calibri"/>
                <w:b/>
                <w:i/>
              </w:rPr>
            </w:pPr>
            <w:r w:rsidRPr="007D1918">
              <w:rPr>
                <w:rFonts w:ascii="Calibri" w:hAnsi="Calibri" w:cs="Calibri"/>
                <w:b/>
                <w:i/>
              </w:rPr>
              <w:t>Change in health system resource utilisation associated with the comparator(s)</w:t>
            </w:r>
          </w:p>
          <w:p w14:paraId="0B62403B"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lastRenderedPageBreak/>
              <w:t xml:space="preserve">Comparator products </w:t>
            </w:r>
          </w:p>
          <w:p w14:paraId="5346D58C"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Resources to deliver the comparator (eg hospital and staff time for IV steroids and plasma exchange, dispensing for oral treatments)</w:t>
            </w:r>
          </w:p>
          <w:p w14:paraId="5F7B4BF3"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Hospitalisation</w:t>
            </w:r>
          </w:p>
          <w:p w14:paraId="181D9F4B"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Management of adverse events</w:t>
            </w:r>
          </w:p>
          <w:p w14:paraId="4374B6F2" w14:textId="77777777" w:rsidR="00DA79C5" w:rsidRPr="007D1918" w:rsidRDefault="00DA79C5" w:rsidP="003B66C8">
            <w:pPr>
              <w:widowControl w:val="0"/>
              <w:shd w:val="clear" w:color="auto" w:fill="FFFFFF"/>
              <w:autoSpaceDE w:val="0"/>
              <w:autoSpaceDN w:val="0"/>
              <w:adjustRightInd w:val="0"/>
              <w:spacing w:after="0"/>
              <w:rPr>
                <w:b/>
                <w:bCs/>
                <w:sz w:val="20"/>
              </w:rPr>
            </w:pPr>
            <w:r w:rsidRPr="007D1918">
              <w:rPr>
                <w:rFonts w:cs="Calibri"/>
                <w:sz w:val="20"/>
              </w:rPr>
              <w:t>Follow-up and/or monitoring visits, including regular neurology visits</w:t>
            </w:r>
          </w:p>
        </w:tc>
      </w:tr>
      <w:tr w:rsidR="00DA79C5" w:rsidRPr="007D1918" w14:paraId="6F8EA499" w14:textId="77777777" w:rsidTr="00DA79C5">
        <w:trPr>
          <w:gridAfter w:val="1"/>
          <w:wAfter w:w="48" w:type="dxa"/>
        </w:trPr>
        <w:tc>
          <w:tcPr>
            <w:tcW w:w="1276" w:type="dxa"/>
            <w:tcBorders>
              <w:top w:val="single" w:sz="6" w:space="0" w:color="auto"/>
              <w:left w:val="single" w:sz="6" w:space="0" w:color="auto"/>
              <w:bottom w:val="single" w:sz="6" w:space="0" w:color="auto"/>
              <w:right w:val="single" w:sz="6" w:space="0" w:color="auto"/>
            </w:tcBorders>
            <w:vAlign w:val="center"/>
          </w:tcPr>
          <w:p w14:paraId="2F00076D" w14:textId="77777777" w:rsidR="00DA79C5" w:rsidRPr="007D1918" w:rsidRDefault="00DA79C5" w:rsidP="003B66C8">
            <w:pPr>
              <w:widowControl w:val="0"/>
              <w:autoSpaceDE w:val="0"/>
              <w:autoSpaceDN w:val="0"/>
              <w:adjustRightInd w:val="0"/>
              <w:spacing w:after="0"/>
              <w:rPr>
                <w:b/>
                <w:bCs/>
                <w:sz w:val="20"/>
              </w:rPr>
            </w:pPr>
            <w:r w:rsidRPr="007D1918">
              <w:rPr>
                <w:b/>
                <w:bCs/>
                <w:sz w:val="20"/>
              </w:rPr>
              <w:lastRenderedPageBreak/>
              <w:t>Study design</w:t>
            </w:r>
          </w:p>
        </w:tc>
        <w:tc>
          <w:tcPr>
            <w:tcW w:w="7748" w:type="dxa"/>
            <w:tcBorders>
              <w:top w:val="single" w:sz="6" w:space="0" w:color="auto"/>
              <w:left w:val="single" w:sz="6" w:space="0" w:color="auto"/>
              <w:bottom w:val="single" w:sz="6" w:space="0" w:color="auto"/>
              <w:right w:val="single" w:sz="6" w:space="0" w:color="auto"/>
            </w:tcBorders>
          </w:tcPr>
          <w:p w14:paraId="2F29BEEF" w14:textId="77777777" w:rsidR="00DA79C5" w:rsidRPr="007D1918" w:rsidRDefault="00DA79C5" w:rsidP="00FD4507">
            <w:pPr>
              <w:widowControl w:val="0"/>
              <w:shd w:val="clear" w:color="auto" w:fill="FFFFFF"/>
              <w:autoSpaceDE w:val="0"/>
              <w:autoSpaceDN w:val="0"/>
              <w:adjustRightInd w:val="0"/>
              <w:spacing w:before="40" w:after="40" w:line="240" w:lineRule="auto"/>
              <w:ind w:left="147"/>
              <w:rPr>
                <w:bCs/>
                <w:sz w:val="20"/>
              </w:rPr>
            </w:pPr>
            <w:r w:rsidRPr="007D1918">
              <w:rPr>
                <w:bCs/>
                <w:sz w:val="20"/>
              </w:rPr>
              <w:t>Randomised or non-randomised controlled trials, comparative studies with or without concurrent controls, or systematic reviews of these study designs</w:t>
            </w:r>
          </w:p>
        </w:tc>
      </w:tr>
      <w:tr w:rsidR="00DA79C5" w:rsidRPr="007D1918" w14:paraId="7F1DEE24" w14:textId="77777777" w:rsidTr="00DA79C5">
        <w:trPr>
          <w:gridAfter w:val="1"/>
          <w:wAfter w:w="48" w:type="dxa"/>
        </w:trPr>
        <w:tc>
          <w:tcPr>
            <w:tcW w:w="1276" w:type="dxa"/>
            <w:tcBorders>
              <w:top w:val="single" w:sz="6" w:space="0" w:color="auto"/>
              <w:left w:val="single" w:sz="6" w:space="0" w:color="auto"/>
              <w:bottom w:val="single" w:sz="6" w:space="0" w:color="auto"/>
              <w:right w:val="single" w:sz="6" w:space="0" w:color="auto"/>
            </w:tcBorders>
            <w:vAlign w:val="center"/>
          </w:tcPr>
          <w:p w14:paraId="4E4D7040" w14:textId="77777777" w:rsidR="00DA79C5" w:rsidRPr="007D1918" w:rsidRDefault="00DA79C5" w:rsidP="003B66C8">
            <w:pPr>
              <w:widowControl w:val="0"/>
              <w:autoSpaceDE w:val="0"/>
              <w:autoSpaceDN w:val="0"/>
              <w:adjustRightInd w:val="0"/>
              <w:spacing w:after="0"/>
              <w:rPr>
                <w:b/>
                <w:bCs/>
                <w:sz w:val="20"/>
              </w:rPr>
            </w:pPr>
            <w:r w:rsidRPr="007D1918">
              <w:rPr>
                <w:b/>
                <w:bCs/>
                <w:sz w:val="20"/>
              </w:rPr>
              <w:t>Search period</w:t>
            </w:r>
          </w:p>
        </w:tc>
        <w:tc>
          <w:tcPr>
            <w:tcW w:w="7748" w:type="dxa"/>
            <w:tcBorders>
              <w:top w:val="single" w:sz="6" w:space="0" w:color="auto"/>
              <w:left w:val="single" w:sz="6" w:space="0" w:color="auto"/>
              <w:bottom w:val="single" w:sz="6" w:space="0" w:color="auto"/>
              <w:right w:val="single" w:sz="6" w:space="0" w:color="auto"/>
            </w:tcBorders>
          </w:tcPr>
          <w:p w14:paraId="0BD82C08" w14:textId="77777777" w:rsidR="00DA79C5" w:rsidRPr="007D1918" w:rsidRDefault="00DA79C5" w:rsidP="00FD4507">
            <w:pPr>
              <w:widowControl w:val="0"/>
              <w:shd w:val="clear" w:color="auto" w:fill="FFFFFF"/>
              <w:autoSpaceDE w:val="0"/>
              <w:autoSpaceDN w:val="0"/>
              <w:adjustRightInd w:val="0"/>
              <w:spacing w:before="40" w:after="40" w:line="240" w:lineRule="auto"/>
              <w:ind w:left="147"/>
              <w:rPr>
                <w:bCs/>
                <w:sz w:val="20"/>
              </w:rPr>
            </w:pPr>
            <w:r w:rsidRPr="007D1918">
              <w:rPr>
                <w:bCs/>
                <w:sz w:val="20"/>
              </w:rPr>
              <w:t>1981 (earliest use of Ig)-February 2019</w:t>
            </w:r>
          </w:p>
        </w:tc>
      </w:tr>
      <w:tr w:rsidR="00DA79C5" w:rsidRPr="007D1918" w14:paraId="5F354738" w14:textId="77777777" w:rsidTr="00DA79C5">
        <w:trPr>
          <w:gridAfter w:val="1"/>
          <w:wAfter w:w="48" w:type="dxa"/>
        </w:trPr>
        <w:tc>
          <w:tcPr>
            <w:tcW w:w="1276" w:type="dxa"/>
            <w:tcBorders>
              <w:top w:val="single" w:sz="6" w:space="0" w:color="auto"/>
              <w:left w:val="single" w:sz="6" w:space="0" w:color="auto"/>
              <w:bottom w:val="single" w:sz="6" w:space="0" w:color="auto"/>
              <w:right w:val="single" w:sz="6" w:space="0" w:color="auto"/>
            </w:tcBorders>
            <w:vAlign w:val="center"/>
          </w:tcPr>
          <w:p w14:paraId="3A45E6F8" w14:textId="77777777" w:rsidR="00DA79C5" w:rsidRPr="007D1918" w:rsidRDefault="00DA79C5" w:rsidP="003B66C8">
            <w:pPr>
              <w:widowControl w:val="0"/>
              <w:autoSpaceDE w:val="0"/>
              <w:autoSpaceDN w:val="0"/>
              <w:adjustRightInd w:val="0"/>
              <w:spacing w:after="0"/>
              <w:rPr>
                <w:b/>
                <w:bCs/>
                <w:sz w:val="20"/>
              </w:rPr>
            </w:pPr>
            <w:r w:rsidRPr="007D1918">
              <w:rPr>
                <w:b/>
                <w:bCs/>
                <w:sz w:val="20"/>
              </w:rPr>
              <w:t>Language</w:t>
            </w:r>
          </w:p>
        </w:tc>
        <w:tc>
          <w:tcPr>
            <w:tcW w:w="7748" w:type="dxa"/>
            <w:tcBorders>
              <w:top w:val="single" w:sz="6" w:space="0" w:color="auto"/>
              <w:left w:val="single" w:sz="6" w:space="0" w:color="auto"/>
              <w:bottom w:val="single" w:sz="6" w:space="0" w:color="auto"/>
              <w:right w:val="single" w:sz="6" w:space="0" w:color="auto"/>
            </w:tcBorders>
          </w:tcPr>
          <w:p w14:paraId="26BA96BB" w14:textId="77777777" w:rsidR="00DA79C5" w:rsidRPr="007D1918" w:rsidRDefault="00DA79C5" w:rsidP="00FD4507">
            <w:pPr>
              <w:widowControl w:val="0"/>
              <w:shd w:val="clear" w:color="auto" w:fill="FFFFFF"/>
              <w:autoSpaceDE w:val="0"/>
              <w:autoSpaceDN w:val="0"/>
              <w:adjustRightInd w:val="0"/>
              <w:spacing w:before="40" w:after="40" w:line="240" w:lineRule="auto"/>
              <w:ind w:left="147"/>
              <w:rPr>
                <w:bCs/>
                <w:sz w:val="20"/>
              </w:rPr>
            </w:pPr>
            <w:r w:rsidRPr="007D1918">
              <w:rPr>
                <w:bCs/>
                <w:sz w:val="20"/>
              </w:rPr>
              <w:t>Studies in languages other than English will only be translated if they represent a higher level of evidence than that available in the English language evidence-base</w:t>
            </w:r>
          </w:p>
        </w:tc>
      </w:tr>
      <w:tr w:rsidR="00DA79C5" w:rsidRPr="007D1918" w14:paraId="28E5DA3F" w14:textId="77777777" w:rsidTr="00DA79C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694"/>
        </w:trPr>
        <w:tc>
          <w:tcPr>
            <w:tcW w:w="9072" w:type="dxa"/>
            <w:gridSpan w:val="3"/>
            <w:shd w:val="clear" w:color="auto" w:fill="auto"/>
          </w:tcPr>
          <w:p w14:paraId="19FA0D88" w14:textId="74C40C1E" w:rsidR="00DA79C5" w:rsidRPr="007D1918" w:rsidRDefault="00DA79C5" w:rsidP="00FD4507">
            <w:pPr>
              <w:autoSpaceDE w:val="0"/>
              <w:autoSpaceDN w:val="0"/>
              <w:adjustRightInd w:val="0"/>
              <w:spacing w:before="40" w:after="40" w:line="240" w:lineRule="auto"/>
              <w:ind w:left="33"/>
              <w:rPr>
                <w:rFonts w:cs="Arial Narrow"/>
                <w:b/>
                <w:bCs/>
                <w:sz w:val="20"/>
              </w:rPr>
            </w:pPr>
            <w:r w:rsidRPr="007D1918">
              <w:rPr>
                <w:rFonts w:cs="Arial Narrow"/>
                <w:b/>
                <w:bCs/>
                <w:sz w:val="20"/>
              </w:rPr>
              <w:t>2. What are the safety, effectiveness, and cost-effectiveness of IVIg for the treatment of MG compared to plasma exchange in patients with advanced MG disease in whom surgery and/or thymectomy is planned?</w:t>
            </w:r>
          </w:p>
        </w:tc>
      </w:tr>
    </w:tbl>
    <w:bookmarkEnd w:id="163"/>
    <w:p w14:paraId="014089A0" w14:textId="72A48B1D" w:rsidR="00157FD4" w:rsidRPr="007D1918" w:rsidRDefault="00AB59A0" w:rsidP="004C3FF6">
      <w:pPr>
        <w:pStyle w:val="Tablenotes0"/>
        <w:contextualSpacing w:val="0"/>
      </w:pPr>
      <w:r w:rsidRPr="007D1918">
        <w:t xml:space="preserve">Ig = immunoglobulin; IV = intravenous; MG = myasthenia gravis; MGC = myasthenia gravis </w:t>
      </w:r>
      <w:r w:rsidR="00E7776D" w:rsidRPr="007D1918">
        <w:t xml:space="preserve">composite </w:t>
      </w:r>
      <w:r w:rsidRPr="007D1918">
        <w:t xml:space="preserve">score; </w:t>
      </w:r>
    </w:p>
    <w:p w14:paraId="63178CDC" w14:textId="77777777" w:rsidR="004C3FF6" w:rsidRPr="007D1918" w:rsidRDefault="004C3FF6" w:rsidP="00FD4507">
      <w:pPr>
        <w:pStyle w:val="Tablenotes0"/>
        <w:spacing w:before="160"/>
        <w:contextualSpacing w:val="0"/>
      </w:pPr>
    </w:p>
    <w:p w14:paraId="1AF7C55A" w14:textId="309F7A3F" w:rsidR="00DA79C5" w:rsidRPr="007D1918" w:rsidRDefault="00DA79C5" w:rsidP="008605E1">
      <w:pPr>
        <w:pStyle w:val="Caption"/>
        <w:ind w:left="570" w:hanging="570"/>
      </w:pPr>
      <w:bookmarkStart w:id="166" w:name="_Ref9853001"/>
      <w:bookmarkStart w:id="167" w:name="_Toc23769605"/>
      <w:r w:rsidRPr="007D1918">
        <w:t xml:space="preserve">Box </w:t>
      </w:r>
      <w:r w:rsidR="00153891" w:rsidRPr="007D1918">
        <w:rPr>
          <w:noProof/>
        </w:rPr>
        <w:fldChar w:fldCharType="begin"/>
      </w:r>
      <w:r w:rsidR="00153891" w:rsidRPr="007D1918">
        <w:rPr>
          <w:noProof/>
        </w:rPr>
        <w:instrText xml:space="preserve"> SEQ Box \* ARABIC </w:instrText>
      </w:r>
      <w:r w:rsidR="00153891" w:rsidRPr="007D1918">
        <w:rPr>
          <w:noProof/>
        </w:rPr>
        <w:fldChar w:fldCharType="separate"/>
      </w:r>
      <w:r w:rsidR="007C33AD" w:rsidRPr="007D1918">
        <w:rPr>
          <w:noProof/>
        </w:rPr>
        <w:t>3</w:t>
      </w:r>
      <w:r w:rsidR="00153891" w:rsidRPr="007D1918">
        <w:rPr>
          <w:noProof/>
        </w:rPr>
        <w:fldChar w:fldCharType="end"/>
      </w:r>
      <w:bookmarkEnd w:id="166"/>
      <w:r w:rsidRPr="007D1918">
        <w:tab/>
      </w:r>
      <w:r w:rsidR="008605E1" w:rsidRPr="007D1918">
        <w:t>PICO criteria for assessing IVIg treatment for maintenance therapy in patients with moderate to severe MG (Indication 3)</w:t>
      </w:r>
      <w:bookmarkEnd w:id="167"/>
    </w:p>
    <w:tbl>
      <w:tblPr>
        <w:tblW w:w="9088" w:type="dxa"/>
        <w:tblInd w:w="-8" w:type="dxa"/>
        <w:tblLayout w:type="fixed"/>
        <w:tblCellMar>
          <w:left w:w="0" w:type="dxa"/>
          <w:right w:w="0" w:type="dxa"/>
        </w:tblCellMar>
        <w:tblLook w:val="0000" w:firstRow="0" w:lastRow="0" w:firstColumn="0" w:lastColumn="0" w:noHBand="0" w:noVBand="0"/>
        <w:tblCaption w:val="Box 3 PICO criteria for assessing IVIg treatment for maintenance therapy in patients with moderate to severe MG (Indication 3)"/>
        <w:tblDescription w:val="This Box provides the criteria for selecting studies to assess the safety  and effectiveness of IVIg for MG, Indication 3."/>
      </w:tblPr>
      <w:tblGrid>
        <w:gridCol w:w="1276"/>
        <w:gridCol w:w="7812"/>
      </w:tblGrid>
      <w:tr w:rsidR="00DA79C5" w:rsidRPr="007D1918" w14:paraId="71D323D2" w14:textId="77777777" w:rsidTr="00157FD4">
        <w:tc>
          <w:tcPr>
            <w:tcW w:w="1276" w:type="dxa"/>
            <w:tcBorders>
              <w:top w:val="single" w:sz="6" w:space="0" w:color="auto"/>
              <w:left w:val="single" w:sz="6" w:space="0" w:color="auto"/>
              <w:bottom w:val="single" w:sz="6" w:space="0" w:color="auto"/>
              <w:right w:val="single" w:sz="6" w:space="0" w:color="auto"/>
            </w:tcBorders>
            <w:shd w:val="clear" w:color="auto" w:fill="EEECE1" w:themeFill="background2"/>
          </w:tcPr>
          <w:p w14:paraId="69C85841" w14:textId="77777777" w:rsidR="00DA79C5" w:rsidRPr="007D1918" w:rsidRDefault="00DA79C5" w:rsidP="003B66C8">
            <w:pPr>
              <w:widowControl w:val="0"/>
              <w:autoSpaceDE w:val="0"/>
              <w:autoSpaceDN w:val="0"/>
              <w:adjustRightInd w:val="0"/>
              <w:spacing w:before="120" w:after="0"/>
              <w:rPr>
                <w:b/>
                <w:bCs/>
                <w:sz w:val="20"/>
              </w:rPr>
            </w:pPr>
            <w:r w:rsidRPr="007D1918">
              <w:rPr>
                <w:b/>
                <w:bCs/>
                <w:sz w:val="20"/>
              </w:rPr>
              <w:t xml:space="preserve">Component </w:t>
            </w:r>
          </w:p>
        </w:tc>
        <w:tc>
          <w:tcPr>
            <w:tcW w:w="7812" w:type="dxa"/>
            <w:tcBorders>
              <w:top w:val="single" w:sz="6" w:space="0" w:color="auto"/>
              <w:left w:val="single" w:sz="6" w:space="0" w:color="auto"/>
              <w:bottom w:val="single" w:sz="6" w:space="0" w:color="auto"/>
              <w:right w:val="single" w:sz="6" w:space="0" w:color="auto"/>
            </w:tcBorders>
            <w:shd w:val="clear" w:color="auto" w:fill="EEECE1" w:themeFill="background2"/>
          </w:tcPr>
          <w:p w14:paraId="45EEB644" w14:textId="77777777" w:rsidR="00DA79C5" w:rsidRPr="007D1918" w:rsidRDefault="00DA79C5" w:rsidP="003B66C8">
            <w:pPr>
              <w:widowControl w:val="0"/>
              <w:autoSpaceDE w:val="0"/>
              <w:autoSpaceDN w:val="0"/>
              <w:adjustRightInd w:val="0"/>
              <w:spacing w:before="120" w:after="0"/>
              <w:rPr>
                <w:b/>
                <w:bCs/>
                <w:sz w:val="20"/>
              </w:rPr>
            </w:pPr>
            <w:r w:rsidRPr="007D1918">
              <w:rPr>
                <w:b/>
                <w:bCs/>
                <w:sz w:val="20"/>
              </w:rPr>
              <w:t xml:space="preserve">Description </w:t>
            </w:r>
          </w:p>
        </w:tc>
      </w:tr>
      <w:tr w:rsidR="00DA79C5" w:rsidRPr="007D1918" w14:paraId="25C5C16A" w14:textId="77777777" w:rsidTr="00DA79C5">
        <w:tc>
          <w:tcPr>
            <w:tcW w:w="1276" w:type="dxa"/>
            <w:tcBorders>
              <w:top w:val="single" w:sz="6" w:space="0" w:color="auto"/>
              <w:left w:val="single" w:sz="6" w:space="0" w:color="auto"/>
              <w:bottom w:val="single" w:sz="6" w:space="0" w:color="auto"/>
              <w:right w:val="single" w:sz="6" w:space="0" w:color="auto"/>
            </w:tcBorders>
          </w:tcPr>
          <w:p w14:paraId="4C121651" w14:textId="77777777" w:rsidR="00DA79C5" w:rsidRPr="007D1918" w:rsidRDefault="00DA79C5" w:rsidP="003B66C8">
            <w:pPr>
              <w:widowControl w:val="0"/>
              <w:autoSpaceDE w:val="0"/>
              <w:autoSpaceDN w:val="0"/>
              <w:adjustRightInd w:val="0"/>
              <w:spacing w:before="120" w:after="0"/>
              <w:rPr>
                <w:b/>
                <w:bCs/>
                <w:sz w:val="20"/>
              </w:rPr>
            </w:pPr>
            <w:r w:rsidRPr="007D1918">
              <w:rPr>
                <w:b/>
                <w:bCs/>
                <w:sz w:val="20"/>
              </w:rPr>
              <w:t xml:space="preserve">Patients </w:t>
            </w:r>
          </w:p>
        </w:tc>
        <w:tc>
          <w:tcPr>
            <w:tcW w:w="7812" w:type="dxa"/>
            <w:tcBorders>
              <w:top w:val="single" w:sz="6" w:space="0" w:color="auto"/>
              <w:left w:val="single" w:sz="6" w:space="0" w:color="auto"/>
              <w:bottom w:val="single" w:sz="6" w:space="0" w:color="auto"/>
              <w:right w:val="single" w:sz="6" w:space="0" w:color="auto"/>
            </w:tcBorders>
          </w:tcPr>
          <w:p w14:paraId="6CEEF1F9" w14:textId="77777777" w:rsidR="00DA79C5" w:rsidRPr="007D1918" w:rsidRDefault="00DA79C5" w:rsidP="00FD4507">
            <w:pPr>
              <w:widowControl w:val="0"/>
              <w:autoSpaceDE w:val="0"/>
              <w:autoSpaceDN w:val="0"/>
              <w:adjustRightInd w:val="0"/>
              <w:spacing w:before="40" w:after="40" w:line="240" w:lineRule="auto"/>
              <w:rPr>
                <w:bCs/>
                <w:sz w:val="20"/>
              </w:rPr>
            </w:pPr>
            <w:r w:rsidRPr="007D1918">
              <w:rPr>
                <w:bCs/>
                <w:sz w:val="20"/>
              </w:rPr>
              <w:t xml:space="preserve">Patients with moderate to severe MG as assessed by a Myasthenia Gravis Composite score of at least four points, in whom at least two other treatments have been ineffective or caused intolerable side effects, or are contraindicated or unavailable. </w:t>
            </w:r>
          </w:p>
        </w:tc>
      </w:tr>
      <w:tr w:rsidR="00DA79C5" w:rsidRPr="007D1918" w14:paraId="47AC4F3D" w14:textId="77777777" w:rsidTr="00DA79C5">
        <w:tc>
          <w:tcPr>
            <w:tcW w:w="1276" w:type="dxa"/>
            <w:tcBorders>
              <w:top w:val="single" w:sz="6" w:space="0" w:color="auto"/>
              <w:left w:val="single" w:sz="6" w:space="0" w:color="auto"/>
              <w:bottom w:val="single" w:sz="6" w:space="0" w:color="auto"/>
              <w:right w:val="single" w:sz="6" w:space="0" w:color="auto"/>
            </w:tcBorders>
          </w:tcPr>
          <w:p w14:paraId="2E99BEF9" w14:textId="77777777" w:rsidR="00DA79C5" w:rsidRPr="007D1918" w:rsidRDefault="00DA79C5" w:rsidP="003B66C8">
            <w:pPr>
              <w:widowControl w:val="0"/>
              <w:autoSpaceDE w:val="0"/>
              <w:autoSpaceDN w:val="0"/>
              <w:adjustRightInd w:val="0"/>
              <w:spacing w:before="120" w:after="0"/>
              <w:rPr>
                <w:b/>
                <w:bCs/>
                <w:sz w:val="20"/>
              </w:rPr>
            </w:pPr>
            <w:r w:rsidRPr="007D1918">
              <w:rPr>
                <w:b/>
                <w:bCs/>
                <w:sz w:val="20"/>
              </w:rPr>
              <w:t xml:space="preserve">Intervention </w:t>
            </w:r>
          </w:p>
        </w:tc>
        <w:tc>
          <w:tcPr>
            <w:tcW w:w="7812" w:type="dxa"/>
            <w:tcBorders>
              <w:top w:val="single" w:sz="6" w:space="0" w:color="auto"/>
              <w:left w:val="single" w:sz="6" w:space="0" w:color="auto"/>
              <w:bottom w:val="single" w:sz="6" w:space="0" w:color="auto"/>
              <w:right w:val="single" w:sz="6" w:space="0" w:color="auto"/>
            </w:tcBorders>
          </w:tcPr>
          <w:p w14:paraId="5B402A86" w14:textId="77777777" w:rsidR="00DA79C5" w:rsidRPr="007D1918" w:rsidRDefault="00DA79C5" w:rsidP="003B66C8">
            <w:pPr>
              <w:widowControl w:val="0"/>
              <w:autoSpaceDE w:val="0"/>
              <w:autoSpaceDN w:val="0"/>
              <w:adjustRightInd w:val="0"/>
              <w:spacing w:before="120" w:after="0"/>
              <w:rPr>
                <w:bCs/>
                <w:sz w:val="20"/>
              </w:rPr>
            </w:pPr>
            <w:r w:rsidRPr="007D1918">
              <w:rPr>
                <w:bCs/>
                <w:sz w:val="20"/>
              </w:rPr>
              <w:t>Immunoglobulin, delivered intravenously or subcutaneously</w:t>
            </w:r>
          </w:p>
        </w:tc>
      </w:tr>
      <w:tr w:rsidR="00DA79C5" w:rsidRPr="007D1918" w14:paraId="24A425CA" w14:textId="77777777" w:rsidTr="00DA79C5">
        <w:tc>
          <w:tcPr>
            <w:tcW w:w="1276" w:type="dxa"/>
            <w:tcBorders>
              <w:top w:val="single" w:sz="6" w:space="0" w:color="auto"/>
              <w:left w:val="single" w:sz="6" w:space="0" w:color="auto"/>
              <w:bottom w:val="single" w:sz="6" w:space="0" w:color="auto"/>
              <w:right w:val="single" w:sz="6" w:space="0" w:color="auto"/>
            </w:tcBorders>
          </w:tcPr>
          <w:p w14:paraId="3868BAF7" w14:textId="77777777" w:rsidR="00DA79C5" w:rsidRPr="007D1918" w:rsidRDefault="00DA79C5" w:rsidP="003B66C8">
            <w:pPr>
              <w:widowControl w:val="0"/>
              <w:autoSpaceDE w:val="0"/>
              <w:autoSpaceDN w:val="0"/>
              <w:adjustRightInd w:val="0"/>
              <w:spacing w:before="120" w:after="0"/>
              <w:rPr>
                <w:b/>
                <w:bCs/>
                <w:sz w:val="20"/>
              </w:rPr>
            </w:pPr>
            <w:r w:rsidRPr="007D1918">
              <w:rPr>
                <w:b/>
                <w:bCs/>
                <w:sz w:val="20"/>
              </w:rPr>
              <w:t xml:space="preserve">Comparators </w:t>
            </w:r>
          </w:p>
        </w:tc>
        <w:tc>
          <w:tcPr>
            <w:tcW w:w="7812" w:type="dxa"/>
            <w:tcBorders>
              <w:top w:val="single" w:sz="6" w:space="0" w:color="auto"/>
              <w:left w:val="single" w:sz="6" w:space="0" w:color="auto"/>
              <w:bottom w:val="single" w:sz="6" w:space="0" w:color="auto"/>
              <w:right w:val="single" w:sz="6" w:space="0" w:color="auto"/>
            </w:tcBorders>
          </w:tcPr>
          <w:p w14:paraId="24D96D79" w14:textId="1B7D6073" w:rsidR="00DA79C5" w:rsidRPr="007D1918" w:rsidRDefault="00DA79C5" w:rsidP="003B66C8">
            <w:pPr>
              <w:widowControl w:val="0"/>
              <w:autoSpaceDE w:val="0"/>
              <w:autoSpaceDN w:val="0"/>
              <w:adjustRightInd w:val="0"/>
              <w:spacing w:before="120" w:after="0"/>
              <w:rPr>
                <w:bCs/>
                <w:sz w:val="20"/>
              </w:rPr>
            </w:pPr>
            <w:r w:rsidRPr="007D1918">
              <w:rPr>
                <w:bCs/>
                <w:sz w:val="20"/>
              </w:rPr>
              <w:t xml:space="preserve">Oral steroids (such as prednisone, prednisolone, dexamethasone, </w:t>
            </w:r>
            <w:r w:rsidR="00E403A6" w:rsidRPr="007D1918">
              <w:rPr>
                <w:bCs/>
                <w:sz w:val="20"/>
              </w:rPr>
              <w:t>methylprednisolone</w:t>
            </w:r>
            <w:r w:rsidRPr="007D1918">
              <w:rPr>
                <w:bCs/>
                <w:sz w:val="20"/>
              </w:rPr>
              <w:t>)</w:t>
            </w:r>
          </w:p>
          <w:p w14:paraId="44498955" w14:textId="09A2DB25" w:rsidR="00DA79C5" w:rsidRPr="007D1918" w:rsidRDefault="00DA79C5" w:rsidP="004C3FF6">
            <w:pPr>
              <w:widowControl w:val="0"/>
              <w:autoSpaceDE w:val="0"/>
              <w:autoSpaceDN w:val="0"/>
              <w:adjustRightInd w:val="0"/>
              <w:spacing w:after="0"/>
              <w:rPr>
                <w:bCs/>
                <w:sz w:val="20"/>
              </w:rPr>
            </w:pPr>
            <w:r w:rsidRPr="007D1918">
              <w:rPr>
                <w:bCs/>
                <w:sz w:val="20"/>
              </w:rPr>
              <w:t>Anticholinesterase</w:t>
            </w:r>
            <w:r w:rsidR="00847875" w:rsidRPr="007D1918">
              <w:rPr>
                <w:bCs/>
                <w:sz w:val="20"/>
              </w:rPr>
              <w:t>s</w:t>
            </w:r>
            <w:r w:rsidRPr="007D1918">
              <w:rPr>
                <w:bCs/>
                <w:sz w:val="20"/>
              </w:rPr>
              <w:t xml:space="preserve"> (pyridostigmine)</w:t>
            </w:r>
          </w:p>
          <w:p w14:paraId="54265B91" w14:textId="77777777" w:rsidR="00DA79C5" w:rsidRPr="007D1918" w:rsidRDefault="00DA79C5" w:rsidP="004C3FF6">
            <w:pPr>
              <w:widowControl w:val="0"/>
              <w:autoSpaceDE w:val="0"/>
              <w:autoSpaceDN w:val="0"/>
              <w:adjustRightInd w:val="0"/>
              <w:spacing w:after="0"/>
              <w:rPr>
                <w:bCs/>
                <w:sz w:val="20"/>
              </w:rPr>
            </w:pPr>
            <w:r w:rsidRPr="007D1918">
              <w:rPr>
                <w:bCs/>
                <w:sz w:val="20"/>
              </w:rPr>
              <w:t xml:space="preserve">Immunosuppressant and immunomodulatory drugs (such as azathioprine, methotrexate, cyclophosphamide, cyclosporine, mycophenolate mofetil, rituximab) </w:t>
            </w:r>
          </w:p>
          <w:p w14:paraId="5E93B3C6" w14:textId="77777777" w:rsidR="00DA79C5" w:rsidRPr="007D1918" w:rsidRDefault="00DA79C5" w:rsidP="004C3FF6">
            <w:pPr>
              <w:widowControl w:val="0"/>
              <w:autoSpaceDE w:val="0"/>
              <w:autoSpaceDN w:val="0"/>
              <w:adjustRightInd w:val="0"/>
              <w:spacing w:after="0"/>
              <w:ind w:right="85"/>
              <w:rPr>
                <w:bCs/>
                <w:sz w:val="20"/>
              </w:rPr>
            </w:pPr>
            <w:r w:rsidRPr="007D1918">
              <w:rPr>
                <w:bCs/>
                <w:sz w:val="20"/>
              </w:rPr>
              <w:t>Plasma exchange (via peripheral or central venous access)</w:t>
            </w:r>
          </w:p>
          <w:p w14:paraId="6364948F" w14:textId="77777777" w:rsidR="00DA79C5" w:rsidRPr="007D1918" w:rsidRDefault="00DA79C5" w:rsidP="004C3FF6">
            <w:pPr>
              <w:widowControl w:val="0"/>
              <w:autoSpaceDE w:val="0"/>
              <w:autoSpaceDN w:val="0"/>
              <w:adjustRightInd w:val="0"/>
              <w:spacing w:after="0"/>
              <w:ind w:right="85"/>
              <w:rPr>
                <w:b/>
                <w:bCs/>
                <w:sz w:val="20"/>
              </w:rPr>
            </w:pPr>
            <w:r w:rsidRPr="007D1918">
              <w:rPr>
                <w:bCs/>
                <w:sz w:val="20"/>
              </w:rPr>
              <w:t>Thymectomy</w:t>
            </w:r>
          </w:p>
        </w:tc>
      </w:tr>
      <w:tr w:rsidR="00DA79C5" w:rsidRPr="007D1918" w14:paraId="4006006B" w14:textId="77777777" w:rsidTr="00DA79C5">
        <w:tc>
          <w:tcPr>
            <w:tcW w:w="1276" w:type="dxa"/>
            <w:tcBorders>
              <w:top w:val="single" w:sz="6" w:space="0" w:color="auto"/>
              <w:left w:val="single" w:sz="6" w:space="0" w:color="auto"/>
              <w:bottom w:val="single" w:sz="6" w:space="0" w:color="auto"/>
              <w:right w:val="single" w:sz="6" w:space="0" w:color="auto"/>
            </w:tcBorders>
          </w:tcPr>
          <w:p w14:paraId="484A892E" w14:textId="77777777" w:rsidR="00DA79C5" w:rsidRPr="007D1918" w:rsidRDefault="00DA79C5" w:rsidP="003B66C8">
            <w:pPr>
              <w:widowControl w:val="0"/>
              <w:autoSpaceDE w:val="0"/>
              <w:autoSpaceDN w:val="0"/>
              <w:adjustRightInd w:val="0"/>
              <w:spacing w:before="120" w:after="0"/>
              <w:rPr>
                <w:b/>
                <w:bCs/>
                <w:sz w:val="20"/>
              </w:rPr>
            </w:pPr>
          </w:p>
          <w:p w14:paraId="6E7D7888" w14:textId="77777777" w:rsidR="00DA79C5" w:rsidRPr="007D1918" w:rsidRDefault="00DA79C5" w:rsidP="003B66C8">
            <w:pPr>
              <w:widowControl w:val="0"/>
              <w:autoSpaceDE w:val="0"/>
              <w:autoSpaceDN w:val="0"/>
              <w:adjustRightInd w:val="0"/>
              <w:spacing w:before="120" w:after="0"/>
              <w:rPr>
                <w:b/>
                <w:bCs/>
                <w:sz w:val="20"/>
              </w:rPr>
            </w:pPr>
            <w:r w:rsidRPr="007D1918">
              <w:rPr>
                <w:b/>
                <w:bCs/>
                <w:sz w:val="20"/>
              </w:rPr>
              <w:br w:type="page"/>
              <w:t xml:space="preserve">Outcomes </w:t>
            </w:r>
          </w:p>
        </w:tc>
        <w:tc>
          <w:tcPr>
            <w:tcW w:w="7812" w:type="dxa"/>
            <w:tcBorders>
              <w:top w:val="single" w:sz="6" w:space="0" w:color="auto"/>
              <w:left w:val="single" w:sz="6" w:space="0" w:color="auto"/>
              <w:bottom w:val="single" w:sz="6" w:space="0" w:color="auto"/>
              <w:right w:val="single" w:sz="6" w:space="0" w:color="auto"/>
            </w:tcBorders>
          </w:tcPr>
          <w:p w14:paraId="5E85FCE7" w14:textId="77777777" w:rsidR="00DA79C5" w:rsidRPr="007D1918" w:rsidRDefault="00DA79C5" w:rsidP="003B66C8">
            <w:pPr>
              <w:widowControl w:val="0"/>
              <w:autoSpaceDE w:val="0"/>
              <w:autoSpaceDN w:val="0"/>
              <w:adjustRightInd w:val="0"/>
              <w:spacing w:after="0"/>
              <w:rPr>
                <w:b/>
                <w:bCs/>
                <w:sz w:val="20"/>
                <w:u w:val="single"/>
              </w:rPr>
            </w:pPr>
            <w:r w:rsidRPr="007D1918">
              <w:rPr>
                <w:b/>
                <w:bCs/>
                <w:sz w:val="20"/>
                <w:u w:val="single"/>
              </w:rPr>
              <w:t>Patient-relevant outcomes:</w:t>
            </w:r>
          </w:p>
          <w:p w14:paraId="554421BA" w14:textId="77777777" w:rsidR="00DA79C5" w:rsidRPr="007D1918" w:rsidRDefault="00DA79C5" w:rsidP="003B66C8">
            <w:pPr>
              <w:widowControl w:val="0"/>
              <w:autoSpaceDE w:val="0"/>
              <w:autoSpaceDN w:val="0"/>
              <w:adjustRightInd w:val="0"/>
              <w:spacing w:after="0"/>
              <w:rPr>
                <w:b/>
                <w:bCs/>
                <w:i/>
                <w:sz w:val="20"/>
              </w:rPr>
            </w:pPr>
            <w:r w:rsidRPr="007D1918">
              <w:rPr>
                <w:b/>
                <w:bCs/>
                <w:i/>
                <w:sz w:val="20"/>
              </w:rPr>
              <w:t xml:space="preserve">Safety </w:t>
            </w:r>
          </w:p>
          <w:p w14:paraId="31CEC76B" w14:textId="77777777" w:rsidR="00DA79C5" w:rsidRPr="007D1918" w:rsidRDefault="00DA79C5" w:rsidP="003B66C8">
            <w:pPr>
              <w:widowControl w:val="0"/>
              <w:autoSpaceDE w:val="0"/>
              <w:autoSpaceDN w:val="0"/>
              <w:adjustRightInd w:val="0"/>
              <w:spacing w:after="0"/>
              <w:rPr>
                <w:bCs/>
                <w:sz w:val="20"/>
              </w:rPr>
            </w:pPr>
            <w:r w:rsidRPr="007D1918">
              <w:rPr>
                <w:bCs/>
                <w:sz w:val="20"/>
              </w:rPr>
              <w:tab/>
              <w:t xml:space="preserve">adverse events associated with administration of the therapy (such as IV line insertion risks, line sepsis) </w:t>
            </w:r>
          </w:p>
          <w:p w14:paraId="64C52E75" w14:textId="77777777" w:rsidR="00DA79C5" w:rsidRPr="007D1918" w:rsidRDefault="00DA79C5" w:rsidP="003B66C8">
            <w:pPr>
              <w:widowControl w:val="0"/>
              <w:autoSpaceDE w:val="0"/>
              <w:autoSpaceDN w:val="0"/>
              <w:adjustRightInd w:val="0"/>
              <w:spacing w:after="0"/>
              <w:rPr>
                <w:bCs/>
                <w:sz w:val="20"/>
              </w:rPr>
            </w:pPr>
            <w:r w:rsidRPr="007D1918">
              <w:rPr>
                <w:bCs/>
                <w:sz w:val="20"/>
              </w:rPr>
              <w:tab/>
              <w:t>side effects of the therapy (such as haemodynamic effects, inflammatory and thrombotic effects)</w:t>
            </w:r>
          </w:p>
          <w:p w14:paraId="7B942F7E" w14:textId="77777777" w:rsidR="00DA79C5" w:rsidRPr="007D1918" w:rsidRDefault="00DA79C5" w:rsidP="003B66C8">
            <w:pPr>
              <w:widowControl w:val="0"/>
              <w:autoSpaceDE w:val="0"/>
              <w:autoSpaceDN w:val="0"/>
              <w:adjustRightInd w:val="0"/>
              <w:spacing w:after="0"/>
              <w:rPr>
                <w:b/>
                <w:bCs/>
                <w:i/>
                <w:sz w:val="20"/>
              </w:rPr>
            </w:pPr>
            <w:r w:rsidRPr="007D1918">
              <w:rPr>
                <w:b/>
                <w:bCs/>
                <w:i/>
                <w:sz w:val="20"/>
              </w:rPr>
              <w:t xml:space="preserve">Effectiveness </w:t>
            </w:r>
          </w:p>
          <w:p w14:paraId="7EEEF1AD" w14:textId="77777777" w:rsidR="00DA79C5" w:rsidRPr="007D1918" w:rsidRDefault="00DA79C5" w:rsidP="003B66C8">
            <w:pPr>
              <w:widowControl w:val="0"/>
              <w:autoSpaceDE w:val="0"/>
              <w:autoSpaceDN w:val="0"/>
              <w:adjustRightInd w:val="0"/>
              <w:spacing w:after="0"/>
              <w:rPr>
                <w:bCs/>
                <w:sz w:val="20"/>
              </w:rPr>
            </w:pPr>
            <w:r w:rsidRPr="007D1918">
              <w:rPr>
                <w:bCs/>
                <w:sz w:val="20"/>
              </w:rPr>
              <w:tab/>
              <w:t xml:space="preserve">mortality </w:t>
            </w:r>
          </w:p>
          <w:p w14:paraId="2FBA7242" w14:textId="77777777" w:rsidR="00DA79C5" w:rsidRPr="007D1918" w:rsidRDefault="00DA79C5" w:rsidP="003B66C8">
            <w:pPr>
              <w:widowControl w:val="0"/>
              <w:autoSpaceDE w:val="0"/>
              <w:autoSpaceDN w:val="0"/>
              <w:adjustRightInd w:val="0"/>
              <w:spacing w:after="0"/>
              <w:rPr>
                <w:bCs/>
                <w:sz w:val="20"/>
              </w:rPr>
            </w:pPr>
            <w:r w:rsidRPr="007D1918">
              <w:rPr>
                <w:bCs/>
                <w:sz w:val="20"/>
              </w:rPr>
              <w:tab/>
              <w:t xml:space="preserve">rates of infection </w:t>
            </w:r>
          </w:p>
          <w:p w14:paraId="1EBE23EC" w14:textId="77777777" w:rsidR="00DA79C5" w:rsidRPr="007D1918" w:rsidRDefault="00DA79C5" w:rsidP="003B66C8">
            <w:pPr>
              <w:widowControl w:val="0"/>
              <w:autoSpaceDE w:val="0"/>
              <w:autoSpaceDN w:val="0"/>
              <w:adjustRightInd w:val="0"/>
              <w:spacing w:after="0"/>
              <w:rPr>
                <w:bCs/>
                <w:sz w:val="20"/>
              </w:rPr>
            </w:pPr>
            <w:r w:rsidRPr="007D1918">
              <w:rPr>
                <w:bCs/>
                <w:sz w:val="20"/>
              </w:rPr>
              <w:tab/>
              <w:t xml:space="preserve">improvement in symptoms (MGC score) </w:t>
            </w:r>
          </w:p>
          <w:p w14:paraId="7F74D552" w14:textId="77777777" w:rsidR="00DA79C5" w:rsidRPr="007D1918" w:rsidRDefault="00DA79C5" w:rsidP="003B66C8">
            <w:pPr>
              <w:widowControl w:val="0"/>
              <w:autoSpaceDE w:val="0"/>
              <w:autoSpaceDN w:val="0"/>
              <w:adjustRightInd w:val="0"/>
              <w:spacing w:after="0"/>
              <w:rPr>
                <w:bCs/>
                <w:sz w:val="20"/>
              </w:rPr>
            </w:pPr>
            <w:r w:rsidRPr="007D1918">
              <w:rPr>
                <w:bCs/>
                <w:sz w:val="20"/>
              </w:rPr>
              <w:tab/>
              <w:t xml:space="preserve">improvement in quality of life </w:t>
            </w:r>
          </w:p>
          <w:p w14:paraId="40289AA8" w14:textId="77777777" w:rsidR="00DA79C5" w:rsidRPr="007D1918" w:rsidRDefault="00DA79C5" w:rsidP="003B66C8">
            <w:pPr>
              <w:widowControl w:val="0"/>
              <w:autoSpaceDE w:val="0"/>
              <w:autoSpaceDN w:val="0"/>
              <w:adjustRightInd w:val="0"/>
              <w:spacing w:after="0"/>
              <w:rPr>
                <w:bCs/>
                <w:sz w:val="20"/>
              </w:rPr>
            </w:pPr>
            <w:r w:rsidRPr="007D1918">
              <w:rPr>
                <w:bCs/>
                <w:sz w:val="20"/>
              </w:rPr>
              <w:tab/>
              <w:t xml:space="preserve">rates of remission </w:t>
            </w:r>
          </w:p>
          <w:p w14:paraId="70C20036" w14:textId="77777777" w:rsidR="00DA79C5" w:rsidRPr="007D1918" w:rsidRDefault="00DA79C5" w:rsidP="003B66C8">
            <w:pPr>
              <w:widowControl w:val="0"/>
              <w:autoSpaceDE w:val="0"/>
              <w:autoSpaceDN w:val="0"/>
              <w:adjustRightInd w:val="0"/>
              <w:spacing w:after="0"/>
              <w:rPr>
                <w:bCs/>
                <w:sz w:val="20"/>
              </w:rPr>
            </w:pPr>
            <w:r w:rsidRPr="007D1918">
              <w:rPr>
                <w:bCs/>
                <w:sz w:val="20"/>
              </w:rPr>
              <w:tab/>
              <w:t xml:space="preserve">disease stability </w:t>
            </w:r>
          </w:p>
          <w:p w14:paraId="5D8F0802" w14:textId="77777777" w:rsidR="00DA79C5" w:rsidRPr="007D1918" w:rsidRDefault="00DA79C5" w:rsidP="003B66C8">
            <w:pPr>
              <w:widowControl w:val="0"/>
              <w:autoSpaceDE w:val="0"/>
              <w:autoSpaceDN w:val="0"/>
              <w:adjustRightInd w:val="0"/>
              <w:spacing w:after="0"/>
              <w:rPr>
                <w:bCs/>
                <w:sz w:val="20"/>
              </w:rPr>
            </w:pPr>
            <w:r w:rsidRPr="007D1918">
              <w:rPr>
                <w:bCs/>
                <w:sz w:val="20"/>
              </w:rPr>
              <w:tab/>
              <w:t>time to relapse</w:t>
            </w:r>
          </w:p>
          <w:p w14:paraId="5333203F" w14:textId="77777777" w:rsidR="00DA79C5" w:rsidRPr="007D1918" w:rsidRDefault="00DA79C5" w:rsidP="003B66C8">
            <w:pPr>
              <w:widowControl w:val="0"/>
              <w:autoSpaceDE w:val="0"/>
              <w:autoSpaceDN w:val="0"/>
              <w:adjustRightInd w:val="0"/>
              <w:spacing w:after="0"/>
              <w:ind w:right="85"/>
              <w:rPr>
                <w:bCs/>
                <w:sz w:val="20"/>
              </w:rPr>
            </w:pPr>
            <w:r w:rsidRPr="007D1918">
              <w:rPr>
                <w:bCs/>
                <w:sz w:val="20"/>
              </w:rPr>
              <w:tab/>
              <w:t>time to surgery</w:t>
            </w:r>
          </w:p>
          <w:p w14:paraId="6B6903D3" w14:textId="77777777" w:rsidR="00DA79C5" w:rsidRPr="007D1918" w:rsidRDefault="00DA79C5" w:rsidP="003B66C8">
            <w:pPr>
              <w:widowControl w:val="0"/>
              <w:autoSpaceDE w:val="0"/>
              <w:autoSpaceDN w:val="0"/>
              <w:adjustRightInd w:val="0"/>
              <w:spacing w:after="0"/>
              <w:rPr>
                <w:bCs/>
                <w:sz w:val="20"/>
              </w:rPr>
            </w:pPr>
            <w:r w:rsidRPr="007D1918">
              <w:rPr>
                <w:bCs/>
                <w:sz w:val="20"/>
              </w:rPr>
              <w:lastRenderedPageBreak/>
              <w:tab/>
              <w:t>need for ventilation or other life support systems</w:t>
            </w:r>
          </w:p>
          <w:p w14:paraId="36C4A7EB" w14:textId="77777777" w:rsidR="00DA79C5" w:rsidRPr="007D1918" w:rsidRDefault="00DA79C5" w:rsidP="003B66C8">
            <w:pPr>
              <w:pStyle w:val="Tablecontents"/>
              <w:spacing w:before="0" w:after="0" w:line="276" w:lineRule="auto"/>
              <w:rPr>
                <w:rFonts w:ascii="Calibri" w:hAnsi="Calibri" w:cs="Calibri"/>
                <w:b/>
                <w:iCs/>
                <w:u w:val="single"/>
              </w:rPr>
            </w:pPr>
            <w:r w:rsidRPr="007D1918">
              <w:rPr>
                <w:rFonts w:ascii="Calibri" w:hAnsi="Calibri" w:cs="Calibri"/>
                <w:b/>
                <w:iCs/>
                <w:u w:val="single"/>
              </w:rPr>
              <w:t>Healthcare system resources utilisation</w:t>
            </w:r>
          </w:p>
          <w:p w14:paraId="316ABC5C" w14:textId="77777777" w:rsidR="00DA79C5" w:rsidRPr="007D1918" w:rsidRDefault="00DA79C5" w:rsidP="003B66C8">
            <w:pPr>
              <w:pStyle w:val="Tablecontents"/>
              <w:spacing w:before="0" w:after="0" w:line="276" w:lineRule="auto"/>
              <w:rPr>
                <w:rFonts w:ascii="Calibri" w:hAnsi="Calibri" w:cs="Calibri"/>
                <w:b/>
                <w:i/>
              </w:rPr>
            </w:pPr>
            <w:r w:rsidRPr="007D1918">
              <w:rPr>
                <w:rFonts w:ascii="Calibri" w:hAnsi="Calibri" w:cs="Calibri"/>
                <w:b/>
                <w:i/>
              </w:rPr>
              <w:t xml:space="preserve">Changes in health system resource utilisation associated with the intervention </w:t>
            </w:r>
          </w:p>
          <w:p w14:paraId="66C8F507"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Ig products, </w:t>
            </w:r>
          </w:p>
          <w:p w14:paraId="466D050E"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Infusion equipment,</w:t>
            </w:r>
          </w:p>
          <w:p w14:paraId="5F67B90F"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Administrative and clinician time (e.g. resources associated with requesting, and authorising, access to Ig), </w:t>
            </w:r>
          </w:p>
          <w:p w14:paraId="29335F86"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Nursing time (for initiation and monitoring if IVIg)</w:t>
            </w:r>
          </w:p>
          <w:p w14:paraId="32E460D0"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Hospitalisation (including use of hospital resources)</w:t>
            </w:r>
          </w:p>
          <w:p w14:paraId="7E62C9D3"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Medication to treat of adverse events (e.g. analgesia or antihistamines)  </w:t>
            </w:r>
          </w:p>
          <w:p w14:paraId="2EE5A1AF" w14:textId="4693E49F"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Training of patient or carer to provide infusions (SCIg only) </w:t>
            </w:r>
          </w:p>
          <w:p w14:paraId="3A787E22"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Product dispensing and disposal of any unused product</w:t>
            </w:r>
          </w:p>
          <w:p w14:paraId="3B8BA3BC"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Follow-up and/or monitoring visits, including regular neurology visits</w:t>
            </w:r>
          </w:p>
          <w:p w14:paraId="771544C7" w14:textId="77777777" w:rsidR="00DA79C5" w:rsidRPr="007D1918" w:rsidRDefault="00DA79C5" w:rsidP="003B66C8">
            <w:pPr>
              <w:pStyle w:val="Tablecontents"/>
              <w:spacing w:before="0" w:after="0" w:line="276" w:lineRule="auto"/>
              <w:rPr>
                <w:rFonts w:ascii="Calibri" w:hAnsi="Calibri" w:cs="Calibri"/>
                <w:b/>
                <w:i/>
              </w:rPr>
            </w:pPr>
            <w:r w:rsidRPr="007D1918">
              <w:rPr>
                <w:rFonts w:ascii="Calibri" w:hAnsi="Calibri" w:cs="Calibri"/>
                <w:b/>
                <w:i/>
              </w:rPr>
              <w:t>Change in health system resource utilisation associated with the comparator(s)</w:t>
            </w:r>
          </w:p>
          <w:p w14:paraId="05FC6C33"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 xml:space="preserve">Comparator products </w:t>
            </w:r>
          </w:p>
          <w:p w14:paraId="3FCF9534"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Resources to deliver the comparator (eg hospital and staff time for IV steroids and plasma exchange, dispensing for oral treatments)</w:t>
            </w:r>
          </w:p>
          <w:p w14:paraId="199BB9F8"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Hospitalisation</w:t>
            </w:r>
          </w:p>
          <w:p w14:paraId="063A1CEA" w14:textId="77777777" w:rsidR="00DA79C5" w:rsidRPr="007D1918" w:rsidRDefault="00DA79C5" w:rsidP="003B66C8">
            <w:pPr>
              <w:pStyle w:val="Tablecontents"/>
              <w:spacing w:before="0" w:after="0"/>
              <w:ind w:left="720"/>
              <w:rPr>
                <w:rFonts w:ascii="Calibri" w:hAnsi="Calibri" w:cs="Calibri"/>
              </w:rPr>
            </w:pPr>
            <w:r w:rsidRPr="007D1918">
              <w:rPr>
                <w:rFonts w:ascii="Calibri" w:hAnsi="Calibri" w:cs="Calibri"/>
              </w:rPr>
              <w:t>Management of adverse events</w:t>
            </w:r>
          </w:p>
          <w:p w14:paraId="7E73EADC" w14:textId="77777777" w:rsidR="00DA79C5" w:rsidRPr="007D1918" w:rsidRDefault="00DA79C5" w:rsidP="003B66C8">
            <w:pPr>
              <w:widowControl w:val="0"/>
              <w:autoSpaceDE w:val="0"/>
              <w:autoSpaceDN w:val="0"/>
              <w:adjustRightInd w:val="0"/>
              <w:spacing w:after="0"/>
              <w:ind w:right="85"/>
              <w:rPr>
                <w:b/>
                <w:bCs/>
                <w:sz w:val="20"/>
              </w:rPr>
            </w:pPr>
            <w:r w:rsidRPr="007D1918">
              <w:rPr>
                <w:rFonts w:cs="Calibri"/>
                <w:sz w:val="20"/>
              </w:rPr>
              <w:t>Follow-up and/or monitoring visits, including regular neurology visits</w:t>
            </w:r>
          </w:p>
        </w:tc>
      </w:tr>
      <w:tr w:rsidR="00DA79C5" w:rsidRPr="007D1918" w14:paraId="6D64D925" w14:textId="77777777" w:rsidTr="00DA79C5">
        <w:tc>
          <w:tcPr>
            <w:tcW w:w="1276" w:type="dxa"/>
            <w:tcBorders>
              <w:top w:val="single" w:sz="6" w:space="0" w:color="auto"/>
              <w:left w:val="single" w:sz="6" w:space="0" w:color="auto"/>
              <w:bottom w:val="single" w:sz="6" w:space="0" w:color="auto"/>
              <w:right w:val="single" w:sz="6" w:space="0" w:color="auto"/>
            </w:tcBorders>
            <w:vAlign w:val="center"/>
          </w:tcPr>
          <w:p w14:paraId="414AE482" w14:textId="77777777" w:rsidR="00DA79C5" w:rsidRPr="007D1918" w:rsidRDefault="00DA79C5" w:rsidP="003B66C8">
            <w:pPr>
              <w:widowControl w:val="0"/>
              <w:autoSpaceDE w:val="0"/>
              <w:autoSpaceDN w:val="0"/>
              <w:adjustRightInd w:val="0"/>
              <w:spacing w:after="0"/>
              <w:rPr>
                <w:b/>
                <w:bCs/>
                <w:sz w:val="20"/>
              </w:rPr>
            </w:pPr>
            <w:r w:rsidRPr="007D1918">
              <w:rPr>
                <w:b/>
                <w:bCs/>
                <w:sz w:val="20"/>
              </w:rPr>
              <w:lastRenderedPageBreak/>
              <w:t>Study design</w:t>
            </w:r>
          </w:p>
        </w:tc>
        <w:tc>
          <w:tcPr>
            <w:tcW w:w="7812" w:type="dxa"/>
            <w:tcBorders>
              <w:top w:val="single" w:sz="6" w:space="0" w:color="auto"/>
              <w:left w:val="single" w:sz="6" w:space="0" w:color="auto"/>
              <w:bottom w:val="single" w:sz="6" w:space="0" w:color="auto"/>
              <w:right w:val="single" w:sz="6" w:space="0" w:color="auto"/>
            </w:tcBorders>
          </w:tcPr>
          <w:p w14:paraId="712D2EAF" w14:textId="77777777" w:rsidR="00DA79C5" w:rsidRPr="007D1918" w:rsidRDefault="00DA79C5" w:rsidP="00FD4507">
            <w:pPr>
              <w:widowControl w:val="0"/>
              <w:shd w:val="clear" w:color="auto" w:fill="FFFFFF"/>
              <w:autoSpaceDE w:val="0"/>
              <w:autoSpaceDN w:val="0"/>
              <w:adjustRightInd w:val="0"/>
              <w:spacing w:before="40" w:after="40" w:line="240" w:lineRule="auto"/>
              <w:ind w:left="147"/>
              <w:rPr>
                <w:bCs/>
                <w:sz w:val="20"/>
              </w:rPr>
            </w:pPr>
            <w:r w:rsidRPr="007D1918">
              <w:rPr>
                <w:bCs/>
                <w:sz w:val="20"/>
              </w:rPr>
              <w:t>Randomised or non-randomised controlled trials, comparative studies with or without concurrent controls, or systematic reviews of these study designs</w:t>
            </w:r>
          </w:p>
        </w:tc>
      </w:tr>
      <w:tr w:rsidR="00DA79C5" w:rsidRPr="007D1918" w14:paraId="53C10F03" w14:textId="77777777" w:rsidTr="00DA79C5">
        <w:tc>
          <w:tcPr>
            <w:tcW w:w="1276" w:type="dxa"/>
            <w:tcBorders>
              <w:top w:val="single" w:sz="6" w:space="0" w:color="auto"/>
              <w:left w:val="single" w:sz="6" w:space="0" w:color="auto"/>
              <w:bottom w:val="single" w:sz="6" w:space="0" w:color="auto"/>
              <w:right w:val="single" w:sz="6" w:space="0" w:color="auto"/>
            </w:tcBorders>
            <w:vAlign w:val="center"/>
          </w:tcPr>
          <w:p w14:paraId="50EB5E18" w14:textId="77777777" w:rsidR="00DA79C5" w:rsidRPr="007D1918" w:rsidRDefault="00DA79C5" w:rsidP="003B66C8">
            <w:pPr>
              <w:widowControl w:val="0"/>
              <w:autoSpaceDE w:val="0"/>
              <w:autoSpaceDN w:val="0"/>
              <w:adjustRightInd w:val="0"/>
              <w:spacing w:after="0"/>
              <w:rPr>
                <w:b/>
                <w:bCs/>
                <w:sz w:val="20"/>
              </w:rPr>
            </w:pPr>
            <w:r w:rsidRPr="007D1918">
              <w:rPr>
                <w:b/>
                <w:bCs/>
                <w:sz w:val="20"/>
              </w:rPr>
              <w:t>Search period</w:t>
            </w:r>
          </w:p>
        </w:tc>
        <w:tc>
          <w:tcPr>
            <w:tcW w:w="7812" w:type="dxa"/>
            <w:tcBorders>
              <w:top w:val="single" w:sz="6" w:space="0" w:color="auto"/>
              <w:left w:val="single" w:sz="6" w:space="0" w:color="auto"/>
              <w:bottom w:val="single" w:sz="6" w:space="0" w:color="auto"/>
              <w:right w:val="single" w:sz="6" w:space="0" w:color="auto"/>
            </w:tcBorders>
          </w:tcPr>
          <w:p w14:paraId="7085B015" w14:textId="77777777" w:rsidR="00DA79C5" w:rsidRPr="007D1918" w:rsidRDefault="00DA79C5" w:rsidP="00FD4507">
            <w:pPr>
              <w:widowControl w:val="0"/>
              <w:shd w:val="clear" w:color="auto" w:fill="FFFFFF"/>
              <w:autoSpaceDE w:val="0"/>
              <w:autoSpaceDN w:val="0"/>
              <w:adjustRightInd w:val="0"/>
              <w:spacing w:before="40" w:after="40" w:line="240" w:lineRule="auto"/>
              <w:ind w:left="147"/>
              <w:rPr>
                <w:bCs/>
                <w:sz w:val="20"/>
              </w:rPr>
            </w:pPr>
            <w:r w:rsidRPr="007D1918">
              <w:rPr>
                <w:bCs/>
                <w:sz w:val="20"/>
              </w:rPr>
              <w:t>1981 (earliest use of Ig)-February 2019</w:t>
            </w:r>
          </w:p>
        </w:tc>
      </w:tr>
      <w:tr w:rsidR="00DA79C5" w:rsidRPr="007D1918" w14:paraId="206F8E50" w14:textId="77777777" w:rsidTr="00DA79C5">
        <w:tc>
          <w:tcPr>
            <w:tcW w:w="1276" w:type="dxa"/>
            <w:tcBorders>
              <w:top w:val="single" w:sz="6" w:space="0" w:color="auto"/>
              <w:left w:val="single" w:sz="6" w:space="0" w:color="auto"/>
              <w:bottom w:val="single" w:sz="6" w:space="0" w:color="auto"/>
              <w:right w:val="single" w:sz="6" w:space="0" w:color="auto"/>
            </w:tcBorders>
            <w:vAlign w:val="center"/>
          </w:tcPr>
          <w:p w14:paraId="3069C9D2" w14:textId="77777777" w:rsidR="00DA79C5" w:rsidRPr="007D1918" w:rsidRDefault="00DA79C5" w:rsidP="003B66C8">
            <w:pPr>
              <w:widowControl w:val="0"/>
              <w:autoSpaceDE w:val="0"/>
              <w:autoSpaceDN w:val="0"/>
              <w:adjustRightInd w:val="0"/>
              <w:spacing w:after="0"/>
              <w:rPr>
                <w:b/>
                <w:bCs/>
                <w:sz w:val="20"/>
              </w:rPr>
            </w:pPr>
            <w:r w:rsidRPr="007D1918">
              <w:rPr>
                <w:b/>
                <w:bCs/>
                <w:sz w:val="20"/>
              </w:rPr>
              <w:t>Language</w:t>
            </w:r>
          </w:p>
        </w:tc>
        <w:tc>
          <w:tcPr>
            <w:tcW w:w="7812" w:type="dxa"/>
            <w:tcBorders>
              <w:top w:val="single" w:sz="6" w:space="0" w:color="auto"/>
              <w:left w:val="single" w:sz="6" w:space="0" w:color="auto"/>
              <w:bottom w:val="single" w:sz="6" w:space="0" w:color="auto"/>
              <w:right w:val="single" w:sz="6" w:space="0" w:color="auto"/>
            </w:tcBorders>
          </w:tcPr>
          <w:p w14:paraId="65704E0F" w14:textId="77777777" w:rsidR="00DA79C5" w:rsidRPr="007D1918" w:rsidRDefault="00DA79C5" w:rsidP="00FD4507">
            <w:pPr>
              <w:widowControl w:val="0"/>
              <w:shd w:val="clear" w:color="auto" w:fill="FFFFFF"/>
              <w:autoSpaceDE w:val="0"/>
              <w:autoSpaceDN w:val="0"/>
              <w:adjustRightInd w:val="0"/>
              <w:spacing w:before="40" w:after="40" w:line="240" w:lineRule="auto"/>
              <w:ind w:left="147"/>
              <w:rPr>
                <w:bCs/>
                <w:sz w:val="20"/>
              </w:rPr>
            </w:pPr>
            <w:r w:rsidRPr="007D1918">
              <w:rPr>
                <w:bCs/>
                <w:sz w:val="20"/>
              </w:rPr>
              <w:t>Studies in languages other than English will only be translated if they represent a higher level of evidence than that available in the English language evidence-base</w:t>
            </w:r>
          </w:p>
        </w:tc>
      </w:tr>
      <w:tr w:rsidR="00DA79C5" w:rsidRPr="007D1918" w14:paraId="6291CEB5" w14:textId="77777777" w:rsidTr="00DA79C5">
        <w:tc>
          <w:tcPr>
            <w:tcW w:w="9088" w:type="dxa"/>
            <w:gridSpan w:val="2"/>
            <w:tcBorders>
              <w:top w:val="single" w:sz="6" w:space="0" w:color="auto"/>
              <w:left w:val="single" w:sz="6" w:space="0" w:color="auto"/>
              <w:bottom w:val="single" w:sz="6" w:space="0" w:color="auto"/>
              <w:right w:val="single" w:sz="6" w:space="0" w:color="auto"/>
            </w:tcBorders>
          </w:tcPr>
          <w:p w14:paraId="72B34603" w14:textId="2B113CED" w:rsidR="00DA79C5" w:rsidRPr="007D1918" w:rsidRDefault="00DA79C5" w:rsidP="00FD4507">
            <w:pPr>
              <w:widowControl w:val="0"/>
              <w:shd w:val="clear" w:color="auto" w:fill="FFFFFF"/>
              <w:autoSpaceDE w:val="0"/>
              <w:autoSpaceDN w:val="0"/>
              <w:adjustRightInd w:val="0"/>
              <w:spacing w:before="40" w:after="40" w:line="240" w:lineRule="auto"/>
              <w:ind w:left="147"/>
              <w:rPr>
                <w:b/>
                <w:bCs/>
                <w:sz w:val="20"/>
              </w:rPr>
            </w:pPr>
            <w:r w:rsidRPr="007D1918">
              <w:rPr>
                <w:b/>
                <w:bCs/>
                <w:sz w:val="20"/>
              </w:rPr>
              <w:t>3. What are the safety, effectiveness, and cost-effectiveness of IVIg for the treatment of MG compared to plasma exchange, oral steroids, immunosuppressant or immunomodulatory drugs, or thymectomy in patients requiring maintenance therapy for moderate to severe MG and who have failed two previous therapies?</w:t>
            </w:r>
          </w:p>
        </w:tc>
      </w:tr>
    </w:tbl>
    <w:p w14:paraId="0DEF8D7F" w14:textId="2D79DB43" w:rsidR="00AB59A0" w:rsidRPr="007D1918" w:rsidRDefault="00AB59A0" w:rsidP="00AB59A0">
      <w:pPr>
        <w:pStyle w:val="Tablenotes0"/>
      </w:pPr>
      <w:r w:rsidRPr="007D1918">
        <w:t xml:space="preserve">Ig = immunoglobulin; IV = intravenous; MG = myasthenia gravis; MGC = myasthenia gravis </w:t>
      </w:r>
      <w:r w:rsidR="00E7776D" w:rsidRPr="007D1918">
        <w:t xml:space="preserve">composite </w:t>
      </w:r>
      <w:r w:rsidRPr="007D1918">
        <w:t>score; SCIg = subcutaneous immunoglobulin therapy</w:t>
      </w:r>
    </w:p>
    <w:p w14:paraId="7DBFFAE0" w14:textId="77777777" w:rsidR="00593792" w:rsidRPr="007D1918" w:rsidRDefault="00593792" w:rsidP="00AB59A0">
      <w:pPr>
        <w:pStyle w:val="Tablenotes0"/>
      </w:pPr>
    </w:p>
    <w:p w14:paraId="0ADE2B23" w14:textId="216E2DCD" w:rsidR="00C33F2C" w:rsidRPr="007D1918" w:rsidRDefault="00DA62E7" w:rsidP="00CE3A8B">
      <w:pPr>
        <w:pStyle w:val="Heading2"/>
        <w:numPr>
          <w:ilvl w:val="0"/>
          <w:numId w:val="9"/>
        </w:numPr>
      </w:pPr>
      <w:bookmarkStart w:id="168" w:name="_Toc23766949"/>
      <w:r w:rsidRPr="007D1918">
        <w:t xml:space="preserve">Stakeholder </w:t>
      </w:r>
      <w:r w:rsidR="00D82053" w:rsidRPr="007D1918">
        <w:t>F</w:t>
      </w:r>
      <w:r w:rsidRPr="007D1918">
        <w:t>eedback on the PICO Confirmation</w:t>
      </w:r>
      <w:bookmarkEnd w:id="168"/>
    </w:p>
    <w:p w14:paraId="34AB75C9" w14:textId="466DF77B" w:rsidR="000440B5" w:rsidRPr="007D1918" w:rsidRDefault="000440B5" w:rsidP="000440B5">
      <w:pPr>
        <w:pStyle w:val="Heading3"/>
      </w:pPr>
      <w:bookmarkStart w:id="169" w:name="_Toc23766950"/>
      <w:r w:rsidRPr="007D1918">
        <w:t>Targeted consultation</w:t>
      </w:r>
      <w:bookmarkEnd w:id="169"/>
      <w:r w:rsidR="0022043C" w:rsidRPr="007D1918">
        <w:t xml:space="preserve"> </w:t>
      </w:r>
    </w:p>
    <w:p w14:paraId="542C36B3" w14:textId="77777777" w:rsidR="00526B54" w:rsidRPr="007D1918" w:rsidRDefault="00526B54" w:rsidP="00526B54">
      <w:pPr>
        <w:jc w:val="both"/>
      </w:pPr>
      <w:r w:rsidRPr="007D1918">
        <w:t>Feedback to the Targeted consultation Survey was received from a specialist neurologist, a manufacturer of therapeutic plasma exchange devices and a consumer.</w:t>
      </w:r>
    </w:p>
    <w:p w14:paraId="3F3B56DB" w14:textId="77777777" w:rsidR="00526B54" w:rsidRPr="007D1918" w:rsidRDefault="00526B54" w:rsidP="00526B54">
      <w:pPr>
        <w:jc w:val="both"/>
      </w:pPr>
      <w:r w:rsidRPr="007D1918">
        <w:t>The consumer did not provide comments specific to the referral form, but expressed that IVIg allows MG sufferers to experience a better quality of life and did not consider any disadvantages associated with IVIg treatment.</w:t>
      </w:r>
    </w:p>
    <w:p w14:paraId="627FE3A0" w14:textId="77777777" w:rsidR="00526B54" w:rsidRPr="007D1918" w:rsidRDefault="00526B54" w:rsidP="00526B54">
      <w:pPr>
        <w:jc w:val="both"/>
      </w:pPr>
      <w:r w:rsidRPr="007D1918">
        <w:t>The medical device company emphasised the need for safety procedures in the administration of PE and IVIg. The New Zealand nursing IVIg guidelines were reiterated, and following of the guidelines was encouraged prior to first Ig infusion.</w:t>
      </w:r>
    </w:p>
    <w:p w14:paraId="5F4C69AF" w14:textId="687EED2E" w:rsidR="00526B54" w:rsidRPr="007D1918" w:rsidRDefault="00526B54" w:rsidP="00526B54">
      <w:pPr>
        <w:jc w:val="both"/>
      </w:pPr>
      <w:r w:rsidRPr="007D1918">
        <w:lastRenderedPageBreak/>
        <w:t>Overall the medical device company and neurologist agreed with the population (albeit the device company considered that MuSK-MG patients should be considered separately), intervention, and comparators described. The device company disagreed with the management algorithms, as PE was not shown as a true comparator to IVIg. The neurologist considered that the clinical scenarios in which IVIg could benefit patients was well described, and noted that IVIg is not a continuing therapy for most patients but a valuable alternative in the scenarios described.</w:t>
      </w:r>
    </w:p>
    <w:p w14:paraId="117F4262" w14:textId="77777777" w:rsidR="00526B54" w:rsidRPr="007D1918" w:rsidRDefault="00526B54" w:rsidP="00526B54">
      <w:pPr>
        <w:pStyle w:val="Heading3"/>
      </w:pPr>
      <w:bookmarkStart w:id="170" w:name="_Toc24103448"/>
      <w:r w:rsidRPr="007D1918">
        <w:t>Sponsor comments on the PICO confirmation</w:t>
      </w:r>
      <w:bookmarkEnd w:id="170"/>
    </w:p>
    <w:p w14:paraId="5A225AFA" w14:textId="77777777" w:rsidR="00526B54" w:rsidRPr="007D1918" w:rsidRDefault="00526B54" w:rsidP="00526B54">
      <w:pPr>
        <w:jc w:val="both"/>
      </w:pPr>
      <w:r w:rsidRPr="007D1918">
        <w:t xml:space="preserve">On 21 May 2019, sponsors of Ig were contacted and given an opportunity to provide input to the development of this contracted assessment, specifically information relevant to the utilisation, efficacy, safety and cost-effectiveness of Ig. </w:t>
      </w:r>
    </w:p>
    <w:p w14:paraId="73091D8E" w14:textId="77777777" w:rsidR="00526B54" w:rsidRPr="007D1918" w:rsidRDefault="00526B54" w:rsidP="00526B54">
      <w:pPr>
        <w:spacing w:after="0"/>
        <w:jc w:val="both"/>
      </w:pPr>
      <w:r w:rsidRPr="007D1918">
        <w:t>Two sponsors provided comments on:</w:t>
      </w:r>
    </w:p>
    <w:p w14:paraId="3FBFD0A4" w14:textId="77777777" w:rsidR="00526B54" w:rsidRPr="007D1918" w:rsidRDefault="00526B54" w:rsidP="00526B54">
      <w:pPr>
        <w:pStyle w:val="ListParagraph"/>
        <w:numPr>
          <w:ilvl w:val="0"/>
          <w:numId w:val="48"/>
        </w:numPr>
        <w:spacing w:after="0"/>
        <w:jc w:val="both"/>
      </w:pPr>
      <w:r w:rsidRPr="007D1918">
        <w:t>The PICO, including the appropriateness of comparators and concurrent therapies</w:t>
      </w:r>
    </w:p>
    <w:p w14:paraId="3CB3E764" w14:textId="679C99C5" w:rsidR="00526B54" w:rsidRPr="007D1918" w:rsidRDefault="00A60C48" w:rsidP="00526B54">
      <w:pPr>
        <w:pStyle w:val="ListParagraph"/>
        <w:numPr>
          <w:ilvl w:val="0"/>
          <w:numId w:val="48"/>
        </w:numPr>
        <w:spacing w:after="0"/>
        <w:jc w:val="both"/>
      </w:pPr>
      <w:r w:rsidRPr="007D1918">
        <w:t>P</w:t>
      </w:r>
      <w:r w:rsidR="00526B54" w:rsidRPr="007D1918">
        <w:t>roducts that should be included/excluded from the assessment, and the interchangeability of products</w:t>
      </w:r>
    </w:p>
    <w:p w14:paraId="5CC0A990" w14:textId="77777777" w:rsidR="00526B54" w:rsidRPr="007D1918" w:rsidRDefault="00526B54" w:rsidP="00526B54">
      <w:pPr>
        <w:pStyle w:val="ListParagraph"/>
        <w:numPr>
          <w:ilvl w:val="0"/>
          <w:numId w:val="48"/>
        </w:numPr>
        <w:spacing w:after="0"/>
        <w:jc w:val="both"/>
      </w:pPr>
      <w:r w:rsidRPr="007D1918">
        <w:t>Patient benefits associated with new SCIg formulations</w:t>
      </w:r>
    </w:p>
    <w:p w14:paraId="6635E907" w14:textId="77777777" w:rsidR="00526B54" w:rsidRPr="007D1918" w:rsidRDefault="00526B54" w:rsidP="00526B54">
      <w:pPr>
        <w:pStyle w:val="ListParagraph"/>
        <w:numPr>
          <w:ilvl w:val="0"/>
          <w:numId w:val="48"/>
        </w:numPr>
        <w:spacing w:after="0"/>
        <w:jc w:val="both"/>
      </w:pPr>
      <w:r w:rsidRPr="007D1918">
        <w:t>Geographic inequity (related to access to plasma exchange compared to Ig)</w:t>
      </w:r>
    </w:p>
    <w:p w14:paraId="3D39AB14" w14:textId="77777777" w:rsidR="00526B54" w:rsidRPr="007D1918" w:rsidRDefault="00526B54" w:rsidP="00526B54">
      <w:pPr>
        <w:pStyle w:val="ListParagraph"/>
        <w:numPr>
          <w:ilvl w:val="0"/>
          <w:numId w:val="48"/>
        </w:numPr>
        <w:spacing w:after="0"/>
        <w:jc w:val="both"/>
      </w:pPr>
      <w:r w:rsidRPr="007D1918">
        <w:t>The treatment algorithm, treatment categories and place of Ig in therapy</w:t>
      </w:r>
    </w:p>
    <w:p w14:paraId="6864E991" w14:textId="77777777" w:rsidR="00526B54" w:rsidRPr="007D1918" w:rsidRDefault="00526B54" w:rsidP="00526B54">
      <w:pPr>
        <w:pStyle w:val="ListParagraph"/>
        <w:numPr>
          <w:ilvl w:val="0"/>
          <w:numId w:val="48"/>
        </w:numPr>
        <w:spacing w:after="0"/>
        <w:jc w:val="both"/>
      </w:pPr>
      <w:r w:rsidRPr="007D1918">
        <w:t>Available MG treatment guidelines</w:t>
      </w:r>
    </w:p>
    <w:p w14:paraId="02614E93" w14:textId="77777777" w:rsidR="00526B54" w:rsidRPr="007D1918" w:rsidRDefault="00526B54" w:rsidP="00526B54">
      <w:pPr>
        <w:pStyle w:val="ListParagraph"/>
        <w:numPr>
          <w:ilvl w:val="0"/>
          <w:numId w:val="48"/>
        </w:numPr>
        <w:spacing w:after="0"/>
        <w:jc w:val="both"/>
      </w:pPr>
      <w:r w:rsidRPr="007D1918">
        <w:t>The published data on effectiveness of Ig and comparators in MG treatment</w:t>
      </w:r>
    </w:p>
    <w:p w14:paraId="6A100A48" w14:textId="77777777" w:rsidR="00526B54" w:rsidRPr="007D1918" w:rsidRDefault="00526B54" w:rsidP="00526B54">
      <w:pPr>
        <w:pStyle w:val="ListParagraph"/>
        <w:numPr>
          <w:ilvl w:val="0"/>
          <w:numId w:val="48"/>
        </w:numPr>
        <w:spacing w:after="0"/>
        <w:jc w:val="both"/>
      </w:pPr>
      <w:r w:rsidRPr="007D1918">
        <w:t>Estimating the utilisation of Ig for the treatment of MG, including care setting.</w:t>
      </w:r>
    </w:p>
    <w:p w14:paraId="046764CC" w14:textId="77777777" w:rsidR="00526B54" w:rsidRPr="007D1918" w:rsidRDefault="00526B54" w:rsidP="00526B54">
      <w:pPr>
        <w:spacing w:after="0"/>
        <w:jc w:val="both"/>
      </w:pPr>
    </w:p>
    <w:p w14:paraId="0D929B29" w14:textId="6280ACB5" w:rsidR="00526B54" w:rsidRPr="007D1918" w:rsidRDefault="00526B54" w:rsidP="00526B54">
      <w:pPr>
        <w:spacing w:after="0"/>
        <w:jc w:val="both"/>
      </w:pPr>
      <w:r w:rsidRPr="007D1918">
        <w:t>Sponsors also provided comments on management of the Ig supply and access to SCIg, and the process for the Ig Review. Sponsors did not provide any unpublished clinical trial data that would</w:t>
      </w:r>
      <w:r w:rsidR="00A60C48" w:rsidRPr="007D1918">
        <w:t xml:space="preserve"> further</w:t>
      </w:r>
      <w:r w:rsidRPr="007D1918">
        <w:t xml:space="preserve"> inform the assessment.</w:t>
      </w:r>
    </w:p>
    <w:p w14:paraId="600EE2DD" w14:textId="77777777" w:rsidR="00001635" w:rsidRPr="007D1918" w:rsidRDefault="00001635" w:rsidP="009D69B6">
      <w:pPr>
        <w:spacing w:before="240"/>
        <w:jc w:val="both"/>
      </w:pPr>
    </w:p>
    <w:p w14:paraId="3ED3499A" w14:textId="77777777" w:rsidR="00C9014F" w:rsidRPr="007D1918" w:rsidRDefault="00C9014F" w:rsidP="00DF343F">
      <w:pPr>
        <w:jc w:val="both"/>
        <w:sectPr w:rsidR="00C9014F" w:rsidRPr="007D1918" w:rsidSect="00945DB8">
          <w:pgSz w:w="11909" w:h="16834" w:code="9"/>
          <w:pgMar w:top="1440" w:right="1440" w:bottom="1440" w:left="1440" w:header="709" w:footer="709" w:gutter="0"/>
          <w:cols w:space="720"/>
        </w:sectPr>
      </w:pPr>
      <w:bookmarkStart w:id="171" w:name="_Ref124760357"/>
    </w:p>
    <w:p w14:paraId="4ABB76C1" w14:textId="77777777" w:rsidR="008F59A8" w:rsidRPr="007D1918" w:rsidRDefault="00AA708D" w:rsidP="00DF343F">
      <w:pPr>
        <w:pStyle w:val="Heading1"/>
        <w:jc w:val="both"/>
      </w:pPr>
      <w:bookmarkStart w:id="172" w:name="_Toc23766952"/>
      <w:bookmarkEnd w:id="171"/>
      <w:r w:rsidRPr="007D1918">
        <w:lastRenderedPageBreak/>
        <w:t>Section B</w:t>
      </w:r>
      <w:r w:rsidRPr="007D1918">
        <w:tab/>
        <w:t>Clinical Evaluation</w:t>
      </w:r>
      <w:bookmarkEnd w:id="172"/>
      <w:r w:rsidR="008F59A8" w:rsidRPr="007D1918">
        <w:t xml:space="preserve"> </w:t>
      </w:r>
    </w:p>
    <w:p w14:paraId="14C7B3D7" w14:textId="77777777" w:rsidR="00AA708D" w:rsidRPr="007D1918" w:rsidRDefault="00AA708D" w:rsidP="00CE3A8B">
      <w:pPr>
        <w:pStyle w:val="Heading2"/>
        <w:numPr>
          <w:ilvl w:val="1"/>
          <w:numId w:val="10"/>
        </w:numPr>
      </w:pPr>
      <w:bookmarkStart w:id="173" w:name="_Toc381796460"/>
      <w:bookmarkStart w:id="174" w:name="_Toc23766953"/>
      <w:bookmarkStart w:id="175" w:name="_Toc381796462"/>
      <w:bookmarkStart w:id="176" w:name="_Toc381796467"/>
      <w:bookmarkStart w:id="177" w:name="_Toc379118083"/>
      <w:r w:rsidRPr="007D1918">
        <w:t>Literature</w:t>
      </w:r>
      <w:r w:rsidR="00D5489B" w:rsidRPr="007D1918">
        <w:t xml:space="preserve"> Sources and Search S</w:t>
      </w:r>
      <w:r w:rsidRPr="007D1918">
        <w:t>trategies</w:t>
      </w:r>
      <w:bookmarkEnd w:id="173"/>
      <w:bookmarkEnd w:id="174"/>
    </w:p>
    <w:p w14:paraId="4C4AFDE5" w14:textId="2B0598AA" w:rsidR="00AA708D" w:rsidRPr="007D1918" w:rsidRDefault="00AA708D" w:rsidP="00AA708D">
      <w:pPr>
        <w:jc w:val="both"/>
      </w:pPr>
      <w:r w:rsidRPr="007D1918">
        <w:t xml:space="preserve">The medical literature was searched </w:t>
      </w:r>
      <w:r w:rsidR="00D5489B" w:rsidRPr="007D1918">
        <w:t xml:space="preserve">on </w:t>
      </w:r>
      <w:r w:rsidR="00281127" w:rsidRPr="007D1918">
        <w:t>13 March</w:t>
      </w:r>
      <w:r w:rsidR="00D5489B" w:rsidRPr="007D1918">
        <w:t xml:space="preserve"> </w:t>
      </w:r>
      <w:r w:rsidR="00281127" w:rsidRPr="007D1918">
        <w:t xml:space="preserve">2019 </w:t>
      </w:r>
      <w:r w:rsidRPr="007D1918">
        <w:t xml:space="preserve">to identify relevant studies </w:t>
      </w:r>
      <w:r w:rsidR="00D5489B" w:rsidRPr="007D1918">
        <w:t>published during</w:t>
      </w:r>
      <w:r w:rsidR="00BA21FD" w:rsidRPr="007D1918">
        <w:t xml:space="preserve"> or</w:t>
      </w:r>
      <w:r w:rsidRPr="007D1918">
        <w:t xml:space="preserve"> </w:t>
      </w:r>
      <w:r w:rsidR="007F0CE2" w:rsidRPr="007D1918">
        <w:t>after</w:t>
      </w:r>
      <w:r w:rsidRPr="007D1918">
        <w:t xml:space="preserve"> </w:t>
      </w:r>
      <w:r w:rsidR="00281127" w:rsidRPr="007D1918">
        <w:t>Jan 1980</w:t>
      </w:r>
      <w:r w:rsidRPr="007D1918">
        <w:t>. Searches were conducted of the databases</w:t>
      </w:r>
      <w:r w:rsidR="00D5489B" w:rsidRPr="007D1918">
        <w:t xml:space="preserve"> and sources</w:t>
      </w:r>
      <w:r w:rsidRPr="007D1918">
        <w:t xml:space="preserve"> described in Appendix </w:t>
      </w:r>
      <w:r w:rsidR="009D44E4" w:rsidRPr="007D1918">
        <w:t>B</w:t>
      </w:r>
      <w:r w:rsidRPr="007D1918">
        <w:t xml:space="preserve">. </w:t>
      </w:r>
      <w:r w:rsidR="00D5489B" w:rsidRPr="007D1918">
        <w:t xml:space="preserve">Attempts were also made to source unpublished </w:t>
      </w:r>
      <w:r w:rsidR="004F4CD6" w:rsidRPr="007D1918">
        <w:t xml:space="preserve">data </w:t>
      </w:r>
      <w:r w:rsidR="00D5489B" w:rsidRPr="007D1918">
        <w:t xml:space="preserve">or </w:t>
      </w:r>
      <w:r w:rsidR="00153891" w:rsidRPr="007D1918">
        <w:t>data</w:t>
      </w:r>
      <w:r w:rsidR="00D5489B" w:rsidRPr="007D1918">
        <w:t xml:space="preserve"> from </w:t>
      </w:r>
      <w:r w:rsidR="00AE587B" w:rsidRPr="007D1918">
        <w:t>the</w:t>
      </w:r>
      <w:r w:rsidR="00AE587B" w:rsidRPr="007D1918">
        <w:rPr>
          <w:rFonts w:ascii="Arial Narrow" w:hAnsi="Arial Narrow"/>
          <w:sz w:val="20"/>
          <w:lang w:eastAsia="en-US"/>
        </w:rPr>
        <w:t xml:space="preserve"> </w:t>
      </w:r>
      <w:r w:rsidR="00AE587B" w:rsidRPr="007D1918">
        <w:t>Current Controlled Trials metaRegister.</w:t>
      </w:r>
      <w:r w:rsidR="00D5489B" w:rsidRPr="007D1918">
        <w:t xml:space="preserve"> </w:t>
      </w:r>
      <w:r w:rsidRPr="007D1918">
        <w:t xml:space="preserve">Search terms </w:t>
      </w:r>
      <w:r w:rsidR="00C12C6A" w:rsidRPr="007D1918">
        <w:t xml:space="preserve">used for the PubMed/Medline platform </w:t>
      </w:r>
      <w:r w:rsidRPr="007D1918">
        <w:t xml:space="preserve">are described in </w:t>
      </w:r>
      <w:r w:rsidRPr="007D1918">
        <w:fldChar w:fldCharType="begin"/>
      </w:r>
      <w:r w:rsidRPr="007D1918">
        <w:instrText xml:space="preserve"> REF _Ref379483486 \h  \* MERGEFORMAT </w:instrText>
      </w:r>
      <w:r w:rsidRPr="007D1918">
        <w:fldChar w:fldCharType="separate"/>
      </w:r>
      <w:r w:rsidR="00001635" w:rsidRPr="007D1918">
        <w:t xml:space="preserve">Table </w:t>
      </w:r>
      <w:r w:rsidR="00001635" w:rsidRPr="007D1918">
        <w:rPr>
          <w:noProof/>
        </w:rPr>
        <w:t>10</w:t>
      </w:r>
      <w:r w:rsidRPr="007D1918">
        <w:fldChar w:fldCharType="end"/>
      </w:r>
      <w:r w:rsidR="00AE587B" w:rsidRPr="007D1918">
        <w:t>.</w:t>
      </w:r>
      <w:r w:rsidRPr="007D1918">
        <w:t xml:space="preserve"> </w:t>
      </w:r>
      <w:r w:rsidR="00AE587B" w:rsidRPr="007D1918">
        <w:t xml:space="preserve">It was not considered necessary to do separate searches for Indications 1, 2 and 3 as the </w:t>
      </w:r>
      <w:r w:rsidR="00104C44" w:rsidRPr="007D1918">
        <w:t>population</w:t>
      </w:r>
      <w:r w:rsidR="00AE587B" w:rsidRPr="007D1918">
        <w:t xml:space="preserve"> search terms were kept broad.</w:t>
      </w:r>
      <w:r w:rsidR="00B3131F" w:rsidRPr="007D1918">
        <w:t xml:space="preserve"> </w:t>
      </w:r>
      <w:r w:rsidR="00104C44" w:rsidRPr="007D1918">
        <w:t xml:space="preserve">Other databases </w:t>
      </w:r>
      <w:r w:rsidR="00C12C6A" w:rsidRPr="007D1918">
        <w:t>were</w:t>
      </w:r>
      <w:r w:rsidR="00104C44" w:rsidRPr="007D1918">
        <w:t xml:space="preserve"> searched with similar text words and medical subject headings relevant to the database.</w:t>
      </w:r>
    </w:p>
    <w:p w14:paraId="73FB1C45" w14:textId="153C8B39" w:rsidR="00AA708D" w:rsidRPr="007D1918" w:rsidRDefault="00AA708D" w:rsidP="00AA708D">
      <w:pPr>
        <w:pStyle w:val="Caption"/>
        <w:tabs>
          <w:tab w:val="left" w:pos="851"/>
        </w:tabs>
        <w:jc w:val="both"/>
      </w:pPr>
      <w:bookmarkStart w:id="178" w:name="_Ref363722464"/>
      <w:bookmarkStart w:id="179" w:name="_Ref379483486"/>
      <w:bookmarkStart w:id="180" w:name="_Toc381969863"/>
      <w:bookmarkStart w:id="181" w:name="_Toc23769497"/>
      <w:r w:rsidRPr="007D1918">
        <w:t xml:space="preserve">Table </w:t>
      </w:r>
      <w:r w:rsidR="00153891" w:rsidRPr="007D1918">
        <w:rPr>
          <w:noProof/>
        </w:rPr>
        <w:fldChar w:fldCharType="begin"/>
      </w:r>
      <w:r w:rsidR="00153891" w:rsidRPr="007D1918">
        <w:rPr>
          <w:noProof/>
        </w:rPr>
        <w:instrText xml:space="preserve"> SEQ Table \* ARABIC </w:instrText>
      </w:r>
      <w:r w:rsidR="00153891" w:rsidRPr="007D1918">
        <w:rPr>
          <w:noProof/>
        </w:rPr>
        <w:fldChar w:fldCharType="separate"/>
      </w:r>
      <w:r w:rsidR="00942701" w:rsidRPr="007D1918">
        <w:rPr>
          <w:noProof/>
        </w:rPr>
        <w:t>10</w:t>
      </w:r>
      <w:r w:rsidR="00153891" w:rsidRPr="007D1918">
        <w:rPr>
          <w:noProof/>
        </w:rPr>
        <w:fldChar w:fldCharType="end"/>
      </w:r>
      <w:bookmarkEnd w:id="178"/>
      <w:bookmarkEnd w:id="179"/>
      <w:r w:rsidRPr="007D1918">
        <w:tab/>
        <w:t>Search terms used</w:t>
      </w:r>
      <w:bookmarkEnd w:id="180"/>
      <w:r w:rsidRPr="007D1918">
        <w:t xml:space="preserve"> (</w:t>
      </w:r>
      <w:r w:rsidR="00E722BC" w:rsidRPr="007D1918">
        <w:t>PubMed/Medline</w:t>
      </w:r>
      <w:r w:rsidRPr="007D1918">
        <w:t xml:space="preserve"> platform)</w:t>
      </w:r>
      <w:bookmarkEnd w:id="1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earch terms used (MubMed/Medline platform)"/>
        <w:tblDescription w:val="This table provides the keywords and indexing terms used to search for literature in a specific bibliographic database."/>
      </w:tblPr>
      <w:tblGrid>
        <w:gridCol w:w="2405"/>
        <w:gridCol w:w="6503"/>
      </w:tblGrid>
      <w:tr w:rsidR="00AA708D" w:rsidRPr="007D1918" w14:paraId="0F1D5610" w14:textId="77777777" w:rsidTr="00E722BC">
        <w:trPr>
          <w:tblHeader/>
        </w:trPr>
        <w:tc>
          <w:tcPr>
            <w:tcW w:w="2405" w:type="dxa"/>
          </w:tcPr>
          <w:p w14:paraId="03787A5B" w14:textId="77777777" w:rsidR="00AA708D" w:rsidRPr="007D1918" w:rsidRDefault="00AA708D" w:rsidP="00281127">
            <w:pPr>
              <w:pStyle w:val="TableHeading"/>
              <w:jc w:val="both"/>
            </w:pPr>
            <w:r w:rsidRPr="007D1918">
              <w:t>Element of clinical question</w:t>
            </w:r>
          </w:p>
        </w:tc>
        <w:tc>
          <w:tcPr>
            <w:tcW w:w="6503" w:type="dxa"/>
          </w:tcPr>
          <w:p w14:paraId="3FFAAF21" w14:textId="77777777" w:rsidR="00AA708D" w:rsidRPr="007D1918" w:rsidRDefault="00AA708D" w:rsidP="00281127">
            <w:pPr>
              <w:pStyle w:val="TableHeading"/>
              <w:jc w:val="both"/>
            </w:pPr>
            <w:r w:rsidRPr="007D1918">
              <w:t>Search terms</w:t>
            </w:r>
          </w:p>
        </w:tc>
      </w:tr>
      <w:tr w:rsidR="00AA708D" w:rsidRPr="007D1918" w14:paraId="2AB10E05" w14:textId="77777777" w:rsidTr="00E722BC">
        <w:tc>
          <w:tcPr>
            <w:tcW w:w="2405" w:type="dxa"/>
          </w:tcPr>
          <w:p w14:paraId="737B6BD1" w14:textId="77777777" w:rsidR="00AA708D" w:rsidRPr="007D1918" w:rsidRDefault="00AA708D" w:rsidP="00281127">
            <w:pPr>
              <w:spacing w:before="40" w:after="40" w:line="240" w:lineRule="auto"/>
              <w:jc w:val="both"/>
              <w:rPr>
                <w:rFonts w:ascii="Arial Narrow" w:hAnsi="Arial Narrow"/>
                <w:sz w:val="20"/>
                <w:szCs w:val="20"/>
              </w:rPr>
            </w:pPr>
            <w:r w:rsidRPr="007D1918">
              <w:rPr>
                <w:rFonts w:ascii="Arial Narrow" w:hAnsi="Arial Narrow"/>
                <w:sz w:val="20"/>
                <w:szCs w:val="20"/>
              </w:rPr>
              <w:t>Population</w:t>
            </w:r>
          </w:p>
        </w:tc>
        <w:tc>
          <w:tcPr>
            <w:tcW w:w="6503" w:type="dxa"/>
          </w:tcPr>
          <w:p w14:paraId="60E4201E" w14:textId="2F552CA8" w:rsidR="00AA708D" w:rsidRPr="007D1918" w:rsidRDefault="00E722BC" w:rsidP="00281127">
            <w:pPr>
              <w:spacing w:before="40" w:after="40" w:line="240" w:lineRule="auto"/>
              <w:jc w:val="both"/>
              <w:rPr>
                <w:rFonts w:ascii="Arial Narrow" w:hAnsi="Arial Narrow"/>
                <w:sz w:val="20"/>
                <w:szCs w:val="20"/>
              </w:rPr>
            </w:pPr>
            <w:r w:rsidRPr="007D1918">
              <w:rPr>
                <w:rFonts w:ascii="Arial Narrow" w:hAnsi="Arial Narrow"/>
                <w:sz w:val="20"/>
                <w:szCs w:val="18"/>
              </w:rPr>
              <w:t>myasthenia gravis (MeSH) OR myasthenia gravis</w:t>
            </w:r>
          </w:p>
        </w:tc>
      </w:tr>
      <w:tr w:rsidR="00AA708D" w:rsidRPr="007D1918" w14:paraId="7665B8E0" w14:textId="77777777" w:rsidTr="00E722BC">
        <w:tc>
          <w:tcPr>
            <w:tcW w:w="2405" w:type="dxa"/>
          </w:tcPr>
          <w:p w14:paraId="6573979A" w14:textId="77777777" w:rsidR="00AA708D" w:rsidRPr="007D1918" w:rsidRDefault="00AA708D" w:rsidP="00281127">
            <w:pPr>
              <w:spacing w:before="40" w:after="40" w:line="240" w:lineRule="auto"/>
              <w:jc w:val="both"/>
              <w:rPr>
                <w:rFonts w:ascii="Arial Narrow" w:hAnsi="Arial Narrow"/>
                <w:sz w:val="20"/>
                <w:szCs w:val="20"/>
              </w:rPr>
            </w:pPr>
            <w:r w:rsidRPr="007D1918">
              <w:rPr>
                <w:rFonts w:ascii="Arial Narrow" w:hAnsi="Arial Narrow"/>
                <w:sz w:val="20"/>
                <w:szCs w:val="20"/>
              </w:rPr>
              <w:t>Intervention</w:t>
            </w:r>
          </w:p>
        </w:tc>
        <w:tc>
          <w:tcPr>
            <w:tcW w:w="6503" w:type="dxa"/>
          </w:tcPr>
          <w:p w14:paraId="3A295538" w14:textId="77777777" w:rsidR="00E722BC" w:rsidRPr="007D1918" w:rsidRDefault="00E722BC" w:rsidP="00281127">
            <w:pPr>
              <w:spacing w:before="40" w:after="40" w:line="240" w:lineRule="auto"/>
              <w:rPr>
                <w:rFonts w:ascii="Arial Narrow" w:hAnsi="Arial Narrow"/>
                <w:sz w:val="20"/>
              </w:rPr>
            </w:pPr>
            <w:r w:rsidRPr="007D1918">
              <w:rPr>
                <w:rFonts w:ascii="Arial Narrow" w:hAnsi="Arial Narrow"/>
                <w:sz w:val="20"/>
              </w:rPr>
              <w:t xml:space="preserve">immunoglobulin (MeSH) OR immunoglobulin (text) </w:t>
            </w:r>
          </w:p>
          <w:p w14:paraId="5EB71178" w14:textId="77777777" w:rsidR="00E722BC" w:rsidRPr="007D1918" w:rsidRDefault="00E722BC" w:rsidP="00281127">
            <w:pPr>
              <w:spacing w:before="40" w:after="40" w:line="240" w:lineRule="auto"/>
              <w:rPr>
                <w:rFonts w:ascii="Arial Narrow" w:hAnsi="Arial Narrow"/>
                <w:sz w:val="20"/>
              </w:rPr>
            </w:pPr>
            <w:r w:rsidRPr="007D1918">
              <w:rPr>
                <w:rFonts w:ascii="Arial Narrow" w:hAnsi="Arial Narrow"/>
                <w:sz w:val="20"/>
              </w:rPr>
              <w:t xml:space="preserve">OR Ig OR IgG OR IVIg OR SCIg </w:t>
            </w:r>
          </w:p>
          <w:p w14:paraId="3026176A" w14:textId="77777777" w:rsidR="00E722BC" w:rsidRPr="007D1918" w:rsidRDefault="00E722BC" w:rsidP="00281127">
            <w:pPr>
              <w:spacing w:before="40" w:after="40" w:line="240" w:lineRule="auto"/>
              <w:rPr>
                <w:rFonts w:ascii="Arial Narrow" w:hAnsi="Arial Narrow"/>
                <w:sz w:val="20"/>
              </w:rPr>
            </w:pPr>
            <w:r w:rsidRPr="007D1918">
              <w:rPr>
                <w:rFonts w:ascii="Arial Narrow" w:hAnsi="Arial Narrow"/>
                <w:sz w:val="20"/>
              </w:rPr>
              <w:t xml:space="preserve">OR immunoglobulin G (MeSH) OR immunoglobulin G </w:t>
            </w:r>
          </w:p>
          <w:p w14:paraId="405D09C9" w14:textId="77777777" w:rsidR="00E722BC" w:rsidRPr="007D1918" w:rsidRDefault="00E722BC" w:rsidP="00281127">
            <w:pPr>
              <w:spacing w:before="40" w:after="40" w:line="240" w:lineRule="auto"/>
              <w:rPr>
                <w:rFonts w:ascii="Arial Narrow" w:hAnsi="Arial Narrow"/>
                <w:sz w:val="20"/>
              </w:rPr>
            </w:pPr>
            <w:r w:rsidRPr="007D1918">
              <w:rPr>
                <w:rFonts w:ascii="Arial Narrow" w:hAnsi="Arial Narrow"/>
                <w:sz w:val="20"/>
              </w:rPr>
              <w:t xml:space="preserve">OR immune globulin OR immuneglobulin </w:t>
            </w:r>
          </w:p>
          <w:p w14:paraId="1E8BDB38" w14:textId="4C4D3A69" w:rsidR="00AA708D" w:rsidRPr="007D1918" w:rsidRDefault="00E722BC" w:rsidP="00281127">
            <w:pPr>
              <w:tabs>
                <w:tab w:val="left" w:pos="915"/>
              </w:tabs>
              <w:spacing w:before="40" w:after="40" w:line="240" w:lineRule="auto"/>
              <w:jc w:val="both"/>
              <w:rPr>
                <w:rFonts w:ascii="Arial Narrow" w:hAnsi="Arial Narrow"/>
                <w:sz w:val="20"/>
                <w:szCs w:val="20"/>
              </w:rPr>
            </w:pPr>
            <w:r w:rsidRPr="007D1918">
              <w:rPr>
                <w:rFonts w:ascii="Arial Narrow" w:hAnsi="Arial Narrow"/>
                <w:sz w:val="20"/>
              </w:rPr>
              <w:t>OR gamma globulin OR gammaglobulin</w:t>
            </w:r>
          </w:p>
        </w:tc>
      </w:tr>
      <w:tr w:rsidR="00AA708D" w:rsidRPr="007D1918" w14:paraId="026DEE71" w14:textId="77777777" w:rsidTr="00E722BC">
        <w:tc>
          <w:tcPr>
            <w:tcW w:w="2405" w:type="dxa"/>
          </w:tcPr>
          <w:p w14:paraId="377258CB" w14:textId="77777777" w:rsidR="00AA708D" w:rsidRPr="007D1918" w:rsidRDefault="00AA708D" w:rsidP="00281127">
            <w:pPr>
              <w:spacing w:before="40" w:after="40" w:line="240" w:lineRule="auto"/>
              <w:jc w:val="both"/>
              <w:rPr>
                <w:rFonts w:ascii="Arial Narrow" w:hAnsi="Arial Narrow"/>
                <w:sz w:val="20"/>
                <w:szCs w:val="20"/>
              </w:rPr>
            </w:pPr>
            <w:r w:rsidRPr="007D1918">
              <w:rPr>
                <w:rFonts w:ascii="Arial Narrow" w:hAnsi="Arial Narrow"/>
                <w:sz w:val="20"/>
                <w:szCs w:val="20"/>
              </w:rPr>
              <w:t>Comparator (if applicable)</w:t>
            </w:r>
          </w:p>
        </w:tc>
        <w:tc>
          <w:tcPr>
            <w:tcW w:w="6503" w:type="dxa"/>
          </w:tcPr>
          <w:p w14:paraId="38C5417B" w14:textId="3FE30EE0" w:rsidR="00AA708D" w:rsidRPr="007D1918" w:rsidRDefault="00E722BC" w:rsidP="00281127">
            <w:pPr>
              <w:spacing w:before="40" w:after="40" w:line="240" w:lineRule="auto"/>
              <w:jc w:val="both"/>
              <w:rPr>
                <w:rFonts w:ascii="Arial Narrow" w:hAnsi="Arial Narrow"/>
                <w:sz w:val="20"/>
                <w:szCs w:val="20"/>
              </w:rPr>
            </w:pPr>
            <w:r w:rsidRPr="007D1918">
              <w:rPr>
                <w:rFonts w:ascii="Arial Narrow" w:hAnsi="Arial Narrow"/>
                <w:sz w:val="20"/>
                <w:szCs w:val="20"/>
              </w:rPr>
              <w:t>NA</w:t>
            </w:r>
          </w:p>
        </w:tc>
      </w:tr>
      <w:tr w:rsidR="00AA708D" w:rsidRPr="007D1918" w14:paraId="3B8EC65A" w14:textId="77777777" w:rsidTr="00E722BC">
        <w:tc>
          <w:tcPr>
            <w:tcW w:w="2405" w:type="dxa"/>
          </w:tcPr>
          <w:p w14:paraId="4E6127F6" w14:textId="77777777" w:rsidR="00AA708D" w:rsidRPr="007D1918" w:rsidRDefault="00AA708D" w:rsidP="00281127">
            <w:pPr>
              <w:spacing w:before="40" w:after="40" w:line="240" w:lineRule="auto"/>
              <w:jc w:val="both"/>
              <w:rPr>
                <w:rFonts w:ascii="Arial Narrow" w:hAnsi="Arial Narrow"/>
                <w:sz w:val="20"/>
                <w:szCs w:val="20"/>
              </w:rPr>
            </w:pPr>
            <w:r w:rsidRPr="007D1918">
              <w:rPr>
                <w:rFonts w:ascii="Arial Narrow" w:hAnsi="Arial Narrow"/>
                <w:sz w:val="20"/>
                <w:szCs w:val="20"/>
              </w:rPr>
              <w:t>Outcomes (if applicable)</w:t>
            </w:r>
          </w:p>
        </w:tc>
        <w:tc>
          <w:tcPr>
            <w:tcW w:w="6503" w:type="dxa"/>
          </w:tcPr>
          <w:p w14:paraId="0046EA15" w14:textId="0EE5E571" w:rsidR="00AA708D" w:rsidRPr="007D1918" w:rsidRDefault="00E722BC" w:rsidP="00281127">
            <w:pPr>
              <w:spacing w:before="40" w:after="40" w:line="240" w:lineRule="auto"/>
              <w:jc w:val="both"/>
              <w:rPr>
                <w:rFonts w:ascii="Arial Narrow" w:hAnsi="Arial Narrow"/>
                <w:sz w:val="20"/>
                <w:szCs w:val="20"/>
              </w:rPr>
            </w:pPr>
            <w:r w:rsidRPr="007D1918">
              <w:rPr>
                <w:rFonts w:ascii="Arial Narrow" w:hAnsi="Arial Narrow"/>
                <w:sz w:val="20"/>
                <w:szCs w:val="20"/>
              </w:rPr>
              <w:t>NA</w:t>
            </w:r>
          </w:p>
        </w:tc>
      </w:tr>
      <w:tr w:rsidR="00AA708D" w:rsidRPr="007D1918" w14:paraId="66FABA21" w14:textId="77777777" w:rsidTr="00E722BC">
        <w:tc>
          <w:tcPr>
            <w:tcW w:w="2405" w:type="dxa"/>
          </w:tcPr>
          <w:p w14:paraId="6F5C304D" w14:textId="77777777" w:rsidR="00AA708D" w:rsidRPr="007D1918" w:rsidRDefault="00AA708D" w:rsidP="00281127">
            <w:pPr>
              <w:spacing w:before="40" w:after="40" w:line="240" w:lineRule="auto"/>
              <w:jc w:val="both"/>
              <w:rPr>
                <w:rFonts w:ascii="Arial Narrow" w:hAnsi="Arial Narrow"/>
                <w:sz w:val="20"/>
                <w:szCs w:val="20"/>
              </w:rPr>
            </w:pPr>
            <w:r w:rsidRPr="007D1918">
              <w:rPr>
                <w:rFonts w:ascii="Arial Narrow" w:hAnsi="Arial Narrow"/>
                <w:sz w:val="20"/>
                <w:szCs w:val="20"/>
              </w:rPr>
              <w:t>Limits</w:t>
            </w:r>
          </w:p>
        </w:tc>
        <w:tc>
          <w:tcPr>
            <w:tcW w:w="6503" w:type="dxa"/>
          </w:tcPr>
          <w:p w14:paraId="3EB5FEBF" w14:textId="681CB499" w:rsidR="00AA708D" w:rsidRPr="007D1918" w:rsidRDefault="00E722BC" w:rsidP="00281127">
            <w:pPr>
              <w:spacing w:before="40" w:after="40" w:line="240" w:lineRule="auto"/>
              <w:jc w:val="both"/>
              <w:rPr>
                <w:rFonts w:ascii="Arial Narrow" w:hAnsi="Arial Narrow"/>
                <w:sz w:val="20"/>
                <w:szCs w:val="20"/>
                <w:vertAlign w:val="superscript"/>
              </w:rPr>
            </w:pPr>
            <w:r w:rsidRPr="007D1918">
              <w:rPr>
                <w:rFonts w:ascii="Arial Narrow" w:hAnsi="Arial Narrow"/>
                <w:sz w:val="20"/>
                <w:szCs w:val="20"/>
              </w:rPr>
              <w:t>Humans</w:t>
            </w:r>
            <w:r w:rsidR="00281127" w:rsidRPr="007D1918">
              <w:rPr>
                <w:rFonts w:ascii="Arial Narrow" w:hAnsi="Arial Narrow"/>
                <w:sz w:val="20"/>
                <w:szCs w:val="20"/>
              </w:rPr>
              <w:t xml:space="preserve">; </w:t>
            </w:r>
            <w:r w:rsidRPr="007D1918">
              <w:rPr>
                <w:rFonts w:ascii="Arial Narrow" w:hAnsi="Arial Narrow"/>
                <w:sz w:val="20"/>
                <w:szCs w:val="20"/>
              </w:rPr>
              <w:t xml:space="preserve">published </w:t>
            </w:r>
            <w:r w:rsidR="00281127" w:rsidRPr="007D1918">
              <w:rPr>
                <w:rFonts w:ascii="Arial Narrow" w:hAnsi="Arial Narrow"/>
                <w:sz w:val="20"/>
                <w:szCs w:val="20"/>
              </w:rPr>
              <w:t xml:space="preserve">from </w:t>
            </w:r>
            <w:r w:rsidRPr="007D1918">
              <w:rPr>
                <w:rFonts w:ascii="Arial Narrow" w:hAnsi="Arial Narrow"/>
                <w:sz w:val="20"/>
                <w:szCs w:val="20"/>
              </w:rPr>
              <w:t>1980</w:t>
            </w:r>
            <w:r w:rsidR="00281127" w:rsidRPr="007D1918">
              <w:rPr>
                <w:rFonts w:ascii="Arial Narrow" w:hAnsi="Arial Narrow"/>
                <w:sz w:val="20"/>
                <w:szCs w:val="20"/>
              </w:rPr>
              <w:t xml:space="preserve"> onwards (IVIg was not used prior to 1980)</w:t>
            </w:r>
          </w:p>
        </w:tc>
      </w:tr>
    </w:tbl>
    <w:p w14:paraId="6F99BC13" w14:textId="6DF5834B" w:rsidR="00E722BC" w:rsidRPr="007D1918" w:rsidRDefault="0028607E" w:rsidP="00593792">
      <w:pPr>
        <w:pStyle w:val="TableNotes"/>
        <w:keepLines w:val="0"/>
        <w:spacing w:before="40"/>
        <w:ind w:left="0"/>
        <w:rPr>
          <w:sz w:val="20"/>
          <w:szCs w:val="18"/>
        </w:rPr>
      </w:pPr>
      <w:r w:rsidRPr="007D1918">
        <w:rPr>
          <w:sz w:val="20"/>
          <w:szCs w:val="18"/>
        </w:rPr>
        <w:t xml:space="preserve">IVIg = intravenous immunoglobulin therapy; </w:t>
      </w:r>
      <w:r w:rsidR="00E722BC" w:rsidRPr="007D1918">
        <w:rPr>
          <w:sz w:val="20"/>
          <w:szCs w:val="18"/>
        </w:rPr>
        <w:t>MeSH = Medical Subject Heading, based on a Medline/PubMed platform</w:t>
      </w:r>
    </w:p>
    <w:p w14:paraId="5A53F96D" w14:textId="77777777" w:rsidR="00593792" w:rsidRPr="007D1918" w:rsidRDefault="00593792" w:rsidP="00001635"/>
    <w:p w14:paraId="3300F9F2" w14:textId="6ADD4722" w:rsidR="00D5489B" w:rsidRPr="007D1918" w:rsidDel="00255DE0" w:rsidRDefault="00D5489B" w:rsidP="00CE3A8B">
      <w:pPr>
        <w:pStyle w:val="Heading2"/>
        <w:numPr>
          <w:ilvl w:val="1"/>
          <w:numId w:val="10"/>
        </w:numPr>
      </w:pPr>
      <w:bookmarkStart w:id="182" w:name="_Toc23766954"/>
      <w:r w:rsidRPr="007D1918" w:rsidDel="00255DE0">
        <w:t>Results of Literature Search</w:t>
      </w:r>
      <w:bookmarkEnd w:id="182"/>
    </w:p>
    <w:p w14:paraId="47818DF5" w14:textId="32017F16" w:rsidR="00AA708D" w:rsidRPr="007D1918" w:rsidDel="00255DE0" w:rsidRDefault="00D5489B" w:rsidP="00001635">
      <w:pPr>
        <w:jc w:val="both"/>
      </w:pPr>
      <w:r w:rsidRPr="007D1918" w:rsidDel="00255DE0">
        <w:t xml:space="preserve">A </w:t>
      </w:r>
      <w:r w:rsidR="007A2341" w:rsidRPr="007D1918" w:rsidDel="00255DE0">
        <w:t xml:space="preserve">PRISMA flowchart provides a </w:t>
      </w:r>
      <w:r w:rsidRPr="007D1918" w:rsidDel="00255DE0">
        <w:t>graphic depiction of the results of the literature search and the application of the study selection criteria (listed in</w:t>
      </w:r>
      <w:r w:rsidR="00C12C6A" w:rsidRPr="007D1918" w:rsidDel="00255DE0">
        <w:t xml:space="preserve"> </w:t>
      </w:r>
      <w:r w:rsidR="007C33AD" w:rsidRPr="007D1918">
        <w:fldChar w:fldCharType="begin"/>
      </w:r>
      <w:r w:rsidR="007C33AD" w:rsidRPr="007D1918">
        <w:instrText xml:space="preserve"> REF _Ref395200496 \h </w:instrText>
      </w:r>
      <w:r w:rsidR="007D1918">
        <w:instrText xml:space="preserve"> \* MERGEFORMAT </w:instrText>
      </w:r>
      <w:r w:rsidR="007C33AD" w:rsidRPr="007D1918">
        <w:fldChar w:fldCharType="separate"/>
      </w:r>
      <w:r w:rsidR="007C33AD" w:rsidRPr="007D1918">
        <w:t xml:space="preserve">Box </w:t>
      </w:r>
      <w:r w:rsidR="007C33AD" w:rsidRPr="007D1918">
        <w:rPr>
          <w:noProof/>
        </w:rPr>
        <w:t>1</w:t>
      </w:r>
      <w:r w:rsidR="007C33AD" w:rsidRPr="007D1918">
        <w:fldChar w:fldCharType="end"/>
      </w:r>
      <w:r w:rsidR="007C33AD" w:rsidRPr="007D1918">
        <w:t xml:space="preserve">, </w:t>
      </w:r>
      <w:r w:rsidR="007C33AD" w:rsidRPr="007D1918">
        <w:fldChar w:fldCharType="begin"/>
      </w:r>
      <w:r w:rsidR="007C33AD" w:rsidRPr="007D1918">
        <w:instrText xml:space="preserve"> REF _Ref11742406 \h </w:instrText>
      </w:r>
      <w:r w:rsidR="007D1918">
        <w:instrText xml:space="preserve"> \* MERGEFORMAT </w:instrText>
      </w:r>
      <w:r w:rsidR="007C33AD" w:rsidRPr="007D1918">
        <w:fldChar w:fldCharType="separate"/>
      </w:r>
      <w:r w:rsidR="007C33AD" w:rsidRPr="007D1918">
        <w:t xml:space="preserve">Box </w:t>
      </w:r>
      <w:r w:rsidR="007C33AD" w:rsidRPr="007D1918">
        <w:rPr>
          <w:noProof/>
        </w:rPr>
        <w:t>2</w:t>
      </w:r>
      <w:r w:rsidR="007C33AD" w:rsidRPr="007D1918">
        <w:fldChar w:fldCharType="end"/>
      </w:r>
      <w:r w:rsidR="007C33AD" w:rsidRPr="007D1918">
        <w:t xml:space="preserve"> and </w:t>
      </w:r>
      <w:r w:rsidR="007C33AD" w:rsidRPr="007D1918">
        <w:fldChar w:fldCharType="begin"/>
      </w:r>
      <w:r w:rsidR="007C33AD" w:rsidRPr="007D1918">
        <w:instrText xml:space="preserve"> REF _Ref9853001 \h </w:instrText>
      </w:r>
      <w:r w:rsidR="007D1918">
        <w:instrText xml:space="preserve"> \* MERGEFORMAT </w:instrText>
      </w:r>
      <w:r w:rsidR="007C33AD" w:rsidRPr="007D1918">
        <w:fldChar w:fldCharType="separate"/>
      </w:r>
      <w:r w:rsidR="007C33AD" w:rsidRPr="007D1918">
        <w:t xml:space="preserve">Box </w:t>
      </w:r>
      <w:r w:rsidR="007C33AD" w:rsidRPr="007D1918">
        <w:rPr>
          <w:noProof/>
        </w:rPr>
        <w:t>3</w:t>
      </w:r>
      <w:r w:rsidR="007C33AD" w:rsidRPr="007D1918">
        <w:fldChar w:fldCharType="end"/>
      </w:r>
      <w:r w:rsidRPr="007D1918" w:rsidDel="00255DE0">
        <w:t xml:space="preserve">) </w:t>
      </w:r>
      <w:r w:rsidR="007D4948" w:rsidRPr="007D1918">
        <w:fldChar w:fldCharType="begin">
          <w:fldData xml:space="preserve">PEVuZE5vdGU+PENpdGU+PEF1dGhvcj5MaWJlcmF0aTwvQXV0aG9yPjxZZWFyPjIwMDk8L1llYXI+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=
</w:fldData>
        </w:fldChar>
      </w:r>
      <w:r w:rsidR="007D4948" w:rsidRPr="007D1918">
        <w:instrText xml:space="preserve"> ADDIN EN.CITE </w:instrText>
      </w:r>
      <w:r w:rsidR="007D4948" w:rsidRPr="007D1918">
        <w:fldChar w:fldCharType="begin">
          <w:fldData xml:space="preserve">PEVuZE5vdGU+PENpdGU+PEF1dGhvcj5MaWJlcmF0aTwvQXV0aG9yPjxZZWFyPjIwMDk8L1llYXI+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=
</w:fldData>
        </w:fldChar>
      </w:r>
      <w:r w:rsidR="007D4948" w:rsidRPr="007D1918">
        <w:instrText xml:space="preserve"> ADDIN EN.CITE.DATA </w:instrText>
      </w:r>
      <w:r w:rsidR="007D4948" w:rsidRPr="007D1918">
        <w:fldChar w:fldCharType="end"/>
      </w:r>
      <w:r w:rsidR="007D4948" w:rsidRPr="007D1918">
        <w:fldChar w:fldCharType="separate"/>
      </w:r>
      <w:r w:rsidR="007D4948" w:rsidRPr="007D1918">
        <w:rPr>
          <w:noProof/>
        </w:rPr>
        <w:t>(</w:t>
      </w:r>
      <w:hyperlink w:anchor="_ENREF_61" w:tooltip="Liberati, 2009 #65" w:history="1">
        <w:r w:rsidR="007D4948" w:rsidRPr="007D1918">
          <w:rPr>
            <w:noProof/>
          </w:rPr>
          <w:t>Liberati et al. 2009</w:t>
        </w:r>
      </w:hyperlink>
      <w:r w:rsidR="007D4948" w:rsidRPr="007D1918">
        <w:rPr>
          <w:noProof/>
        </w:rPr>
        <w:t>)</w:t>
      </w:r>
      <w:r w:rsidR="007D4948" w:rsidRPr="007D1918">
        <w:fldChar w:fldCharType="end"/>
      </w:r>
      <w:r w:rsidR="007D4948" w:rsidRPr="007D1918">
        <w:t>.</w:t>
      </w:r>
    </w:p>
    <w:p w14:paraId="554DCA68" w14:textId="459A8F06" w:rsidR="007A2341" w:rsidRPr="007D1918" w:rsidDel="00255DE0" w:rsidRDefault="0089783C" w:rsidP="00AA708D">
      <w:pPr>
        <w:jc w:val="both"/>
      </w:pPr>
      <w:r w:rsidRPr="007D1918" w:rsidDel="00255DE0">
        <w:t xml:space="preserve">The PRISMA flowchart </w:t>
      </w:r>
      <w:r w:rsidR="00155E4E" w:rsidRPr="007D1918" w:rsidDel="00255DE0">
        <w:t xml:space="preserve">for this assessment is </w:t>
      </w:r>
      <w:r w:rsidR="00C8230D" w:rsidRPr="007D1918" w:rsidDel="00255DE0">
        <w:t>provided</w:t>
      </w:r>
      <w:r w:rsidR="00155E4E" w:rsidRPr="007D1918" w:rsidDel="00255DE0">
        <w:t xml:space="preserve"> in </w:t>
      </w:r>
      <w:r w:rsidRPr="007D1918" w:rsidDel="00255DE0">
        <w:fldChar w:fldCharType="begin"/>
      </w:r>
      <w:r w:rsidRPr="007D1918" w:rsidDel="00255DE0">
        <w:instrText xml:space="preserve"> REF _Ref12877819 \h </w:instrText>
      </w:r>
      <w:r w:rsidR="00E07567" w:rsidRPr="007D1918" w:rsidDel="00255DE0">
        <w:instrText xml:space="preserve"> \* MERGEFORMAT </w:instrText>
      </w:r>
      <w:r w:rsidRPr="007D1918" w:rsidDel="00255DE0">
        <w:fldChar w:fldCharType="separate"/>
      </w:r>
      <w:r w:rsidR="00001635" w:rsidRPr="007D1918" w:rsidDel="00255DE0">
        <w:t xml:space="preserve">Figure </w:t>
      </w:r>
      <w:r w:rsidR="00001635" w:rsidRPr="007D1918" w:rsidDel="00255DE0">
        <w:rPr>
          <w:noProof/>
        </w:rPr>
        <w:t>4</w:t>
      </w:r>
      <w:r w:rsidRPr="007D1918" w:rsidDel="00255DE0">
        <w:fldChar w:fldCharType="end"/>
      </w:r>
      <w:r w:rsidR="00155E4E" w:rsidRPr="007D1918" w:rsidDel="00255DE0">
        <w:t xml:space="preserve">. </w:t>
      </w:r>
      <w:r w:rsidR="007A2341" w:rsidRPr="007D1918" w:rsidDel="00255DE0">
        <w:t>Studies were selected independently by two reviewers</w:t>
      </w:r>
      <w:r w:rsidR="007B43AD" w:rsidRPr="007D1918" w:rsidDel="00255DE0">
        <w:t xml:space="preserve"> with</w:t>
      </w:r>
      <w:r w:rsidR="007A2341" w:rsidRPr="007D1918" w:rsidDel="00255DE0">
        <w:t xml:space="preserve"> </w:t>
      </w:r>
      <w:r w:rsidR="007B43AD" w:rsidRPr="007D1918" w:rsidDel="00255DE0">
        <w:t>a</w:t>
      </w:r>
      <w:r w:rsidR="007A2341" w:rsidRPr="007D1918" w:rsidDel="00255DE0">
        <w:t xml:space="preserve"> random sample independent</w:t>
      </w:r>
      <w:r w:rsidR="007B43AD" w:rsidRPr="007D1918" w:rsidDel="00255DE0">
        <w:t>ly</w:t>
      </w:r>
      <w:r w:rsidR="007A2341" w:rsidRPr="007D1918" w:rsidDel="00255DE0">
        <w:t xml:space="preserve"> </w:t>
      </w:r>
      <w:r w:rsidR="008760B9" w:rsidRPr="007D1918" w:rsidDel="00255DE0">
        <w:t xml:space="preserve">assessed </w:t>
      </w:r>
      <w:r w:rsidR="007B43AD" w:rsidRPr="007D1918" w:rsidDel="00255DE0">
        <w:t xml:space="preserve">for consistency. </w:t>
      </w:r>
      <w:r w:rsidR="007A2341" w:rsidRPr="007D1918" w:rsidDel="00255DE0">
        <w:t xml:space="preserve">Disagreements regarding study selection were resolved </w:t>
      </w:r>
      <w:r w:rsidR="007B43AD" w:rsidRPr="007D1918" w:rsidDel="00255DE0">
        <w:t>by consensus between two reviewers.</w:t>
      </w:r>
    </w:p>
    <w:p w14:paraId="386199C5" w14:textId="55817491" w:rsidR="007B43AD" w:rsidRPr="007D1918" w:rsidDel="00255DE0" w:rsidRDefault="007B43AD" w:rsidP="007B43AD">
      <w:pPr>
        <w:jc w:val="both"/>
      </w:pPr>
      <w:r w:rsidRPr="007D1918" w:rsidDel="00255DE0">
        <w:t xml:space="preserve">Case series were excluded except in subpopulations where </w:t>
      </w:r>
      <w:r w:rsidR="00BA21FD" w:rsidRPr="007D1918" w:rsidDel="00255DE0">
        <w:t>little</w:t>
      </w:r>
      <w:r w:rsidRPr="007D1918" w:rsidDel="00255DE0">
        <w:t xml:space="preserve"> </w:t>
      </w:r>
      <w:r w:rsidR="00BA21FD" w:rsidRPr="007D1918" w:rsidDel="00255DE0">
        <w:t>or no higher</w:t>
      </w:r>
      <w:r w:rsidRPr="007D1918" w:rsidDel="00255DE0">
        <w:t xml:space="preserve"> evidence was identified. Meeting presentation and poster abstracts, correspondence and non-systematic literature reviews were excluded unless there were extenuating reasons to include them such as they provided higher level evidence than was otherwise identified. Articles that were written in a language other than </w:t>
      </w:r>
      <w:r w:rsidRPr="007D1918" w:rsidDel="00255DE0">
        <w:lastRenderedPageBreak/>
        <w:t>English were excluded</w:t>
      </w:r>
      <w:r w:rsidR="004F4CD6" w:rsidRPr="007D1918" w:rsidDel="00255DE0">
        <w:t>,</w:t>
      </w:r>
      <w:r w:rsidRPr="007D1918" w:rsidDel="00255DE0">
        <w:t xml:space="preserve"> unless the English abstract indicated that the article was of higher level evidence than identified in the other eligible articles. </w:t>
      </w:r>
    </w:p>
    <w:p w14:paraId="4B92EDA6" w14:textId="61C3BFD9" w:rsidR="00182C18" w:rsidRPr="007D1918" w:rsidDel="00255DE0" w:rsidRDefault="00182C18" w:rsidP="00AA708D">
      <w:pPr>
        <w:jc w:val="both"/>
      </w:pPr>
      <w:r w:rsidRPr="007D1918" w:rsidDel="00255DE0">
        <w:t xml:space="preserve">Studies that could not be retrieved or that met the inclusion criteria but contained insufficient or inadequate data for inclusion are listed </w:t>
      </w:r>
      <w:r w:rsidR="00B435E9" w:rsidRPr="007D1918" w:rsidDel="00255DE0">
        <w:t xml:space="preserve">as Excluded Studies </w:t>
      </w:r>
      <w:r w:rsidRPr="007D1918" w:rsidDel="00255DE0">
        <w:t>in Appendix D.</w:t>
      </w:r>
      <w:r w:rsidR="00B435E9" w:rsidRPr="007D1918" w:rsidDel="00255DE0">
        <w:t xml:space="preserve"> All other studies that met the inclusion criteria are listed in Appendix C.</w:t>
      </w:r>
      <w:r w:rsidR="00BD23BF" w:rsidRPr="007D1918" w:rsidDel="00255DE0">
        <w:t xml:space="preserve"> </w:t>
      </w:r>
    </w:p>
    <w:bookmarkStart w:id="183" w:name="_Ref10535358"/>
    <w:bookmarkStart w:id="184" w:name="_Toc381969892"/>
    <w:p w14:paraId="1196A23E" w14:textId="3B6C48E0" w:rsidR="00BC09F3" w:rsidRPr="007D1918" w:rsidDel="00255DE0" w:rsidRDefault="005633BE" w:rsidP="00962983">
      <w:pPr>
        <w:pStyle w:val="Caption"/>
      </w:pPr>
      <w:r w:rsidRPr="007D1918" w:rsidDel="00255DE0">
        <w:object w:dxaOrig="8461" w:dyaOrig="9721" w14:anchorId="417AEF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4  PRISMA flowchart: summary of the process used to identify and select studies for the assessment " style="width:403.6pt;height:460.8pt;mso-position-vertical:absolute" o:ole="">
            <v:imagedata r:id="rId36" o:title=""/>
          </v:shape>
          <o:OLEObject Type="Embed" ProgID="Visio.Drawing.15" ShapeID="_x0000_i1025" DrawAspect="Content" ObjectID="_1635664828" r:id="rId37"/>
        </w:object>
      </w:r>
    </w:p>
    <w:p w14:paraId="33CC2336" w14:textId="3B541270" w:rsidR="00182C18" w:rsidRPr="007D1918" w:rsidDel="00255DE0" w:rsidRDefault="00182C18" w:rsidP="00962983">
      <w:pPr>
        <w:pStyle w:val="Caption"/>
      </w:pPr>
      <w:bookmarkStart w:id="185" w:name="_Ref12877819"/>
      <w:bookmarkStart w:id="186" w:name="_Toc23769609"/>
      <w:r w:rsidRPr="007D1918" w:rsidDel="00255DE0">
        <w:t xml:space="preserve">Figure </w:t>
      </w:r>
      <w:r w:rsidR="000B6AFD" w:rsidRPr="007D1918" w:rsidDel="00255DE0">
        <w:rPr>
          <w:noProof/>
        </w:rPr>
        <w:fldChar w:fldCharType="begin"/>
      </w:r>
      <w:r w:rsidR="000B6AFD" w:rsidRPr="007D1918" w:rsidDel="00255DE0">
        <w:rPr>
          <w:noProof/>
        </w:rPr>
        <w:instrText xml:space="preserve"> SEQ Figure \* ARABIC </w:instrText>
      </w:r>
      <w:r w:rsidR="000B6AFD" w:rsidRPr="007D1918" w:rsidDel="00255DE0">
        <w:rPr>
          <w:noProof/>
        </w:rPr>
        <w:fldChar w:fldCharType="separate"/>
      </w:r>
      <w:r w:rsidR="00001635" w:rsidRPr="007D1918" w:rsidDel="00255DE0">
        <w:rPr>
          <w:noProof/>
        </w:rPr>
        <w:t>4</w:t>
      </w:r>
      <w:r w:rsidR="000B6AFD" w:rsidRPr="007D1918" w:rsidDel="00255DE0">
        <w:rPr>
          <w:noProof/>
        </w:rPr>
        <w:fldChar w:fldCharType="end"/>
      </w:r>
      <w:bookmarkEnd w:id="183"/>
      <w:bookmarkEnd w:id="185"/>
      <w:r w:rsidRPr="007D1918" w:rsidDel="00255DE0">
        <w:t xml:space="preserve"> </w:t>
      </w:r>
      <w:r w:rsidR="00962983" w:rsidRPr="007D1918" w:rsidDel="00255DE0">
        <w:tab/>
      </w:r>
      <w:r w:rsidR="004F4CD6" w:rsidRPr="007D1918" w:rsidDel="00255DE0">
        <w:t>PRISMA flowchart: s</w:t>
      </w:r>
      <w:r w:rsidRPr="007D1918" w:rsidDel="00255DE0">
        <w:t xml:space="preserve">ummary of the process used to identify and select studies for the </w:t>
      </w:r>
      <w:bookmarkEnd w:id="184"/>
      <w:r w:rsidR="00E40529" w:rsidRPr="007D1918" w:rsidDel="00255DE0">
        <w:t>assessment</w:t>
      </w:r>
      <w:bookmarkEnd w:id="186"/>
      <w:r w:rsidRPr="007D1918" w:rsidDel="00255DE0">
        <w:t xml:space="preserve"> </w:t>
      </w:r>
    </w:p>
    <w:p w14:paraId="396F8B29" w14:textId="235416B9" w:rsidR="00C547D2" w:rsidRPr="007D1918" w:rsidDel="00255DE0" w:rsidRDefault="00C547D2" w:rsidP="004F4CD6"/>
    <w:p w14:paraId="689D767C" w14:textId="2A6F013D" w:rsidR="00B435E9" w:rsidRPr="007D1918" w:rsidDel="00255DE0" w:rsidRDefault="00B435E9" w:rsidP="00AA708D">
      <w:pPr>
        <w:jc w:val="both"/>
        <w:rPr>
          <w:color w:val="000000"/>
        </w:rPr>
      </w:pPr>
      <w:r w:rsidRPr="007D1918" w:rsidDel="00255DE0">
        <w:t xml:space="preserve">A profile of each included study is </w:t>
      </w:r>
      <w:r w:rsidR="008D77C9" w:rsidRPr="007D1918" w:rsidDel="00255DE0">
        <w:t>given</w:t>
      </w:r>
      <w:r w:rsidRPr="007D1918" w:rsidDel="00255DE0">
        <w:t xml:space="preserve"> in </w:t>
      </w:r>
      <w:r w:rsidRPr="007D1918" w:rsidDel="00255DE0">
        <w:fldChar w:fldCharType="begin"/>
      </w:r>
      <w:r w:rsidRPr="007D1918" w:rsidDel="00255DE0">
        <w:instrText xml:space="preserve"> REF _Ref364237249 \h  \* MERGEFORMAT </w:instrText>
      </w:r>
      <w:r w:rsidRPr="007D1918" w:rsidDel="00255DE0">
        <w:fldChar w:fldCharType="separate"/>
      </w:r>
      <w:r w:rsidR="00001635" w:rsidRPr="007D1918" w:rsidDel="00255DE0">
        <w:t>Appendix C</w:t>
      </w:r>
      <w:r w:rsidRPr="007D1918" w:rsidDel="00255DE0">
        <w:fldChar w:fldCharType="end"/>
      </w:r>
      <w:r w:rsidRPr="007D1918" w:rsidDel="00255DE0">
        <w:t xml:space="preserve">. </w:t>
      </w:r>
      <w:r w:rsidRPr="007D1918" w:rsidDel="00255DE0">
        <w:rPr>
          <w:color w:val="000000"/>
        </w:rPr>
        <w:t>This study profile describes the authors, study ID, publication year, study design and quality (level of evidence and risk of bias), study location, setting, length of follow-up of patients, study population characteristics, description of the intervention, description of the comparator</w:t>
      </w:r>
      <w:r w:rsidR="008760B9" w:rsidRPr="007D1918" w:rsidDel="00255DE0">
        <w:rPr>
          <w:color w:val="000000"/>
        </w:rPr>
        <w:t xml:space="preserve">, </w:t>
      </w:r>
      <w:r w:rsidR="00C12C6A" w:rsidRPr="007D1918" w:rsidDel="00255DE0">
        <w:rPr>
          <w:color w:val="000000"/>
        </w:rPr>
        <w:t>types of statistical an</w:t>
      </w:r>
      <w:r w:rsidR="00BC09F3" w:rsidRPr="007D1918" w:rsidDel="00255DE0">
        <w:rPr>
          <w:color w:val="000000"/>
        </w:rPr>
        <w:t>a</w:t>
      </w:r>
      <w:r w:rsidR="00C12C6A" w:rsidRPr="007D1918" w:rsidDel="00255DE0">
        <w:rPr>
          <w:color w:val="000000"/>
        </w:rPr>
        <w:t xml:space="preserve">lysis conducted, </w:t>
      </w:r>
      <w:r w:rsidR="008760B9" w:rsidRPr="007D1918" w:rsidDel="00255DE0">
        <w:rPr>
          <w:color w:val="000000"/>
        </w:rPr>
        <w:t>funding source</w:t>
      </w:r>
      <w:r w:rsidRPr="007D1918" w:rsidDel="00255DE0">
        <w:rPr>
          <w:color w:val="000000"/>
        </w:rPr>
        <w:t xml:space="preserve"> </w:t>
      </w:r>
      <w:r w:rsidRPr="007D1918" w:rsidDel="00255DE0">
        <w:rPr>
          <w:color w:val="000000"/>
        </w:rPr>
        <w:lastRenderedPageBreak/>
        <w:t xml:space="preserve">and the relevant outcomes assessed. </w:t>
      </w:r>
      <w:r w:rsidR="001B6A91" w:rsidRPr="007D1918" w:rsidDel="00255DE0">
        <w:rPr>
          <w:color w:val="000000"/>
        </w:rPr>
        <w:t xml:space="preserve">Study characteristics are also summarised in a shorter format in </w:t>
      </w:r>
      <w:r w:rsidR="001B6A91" w:rsidRPr="007D1918" w:rsidDel="00255DE0">
        <w:rPr>
          <w:i/>
          <w:color w:val="000000"/>
        </w:rPr>
        <w:t>Section B.4</w:t>
      </w:r>
      <w:r w:rsidR="00BA21FD" w:rsidRPr="007D1918" w:rsidDel="00255DE0">
        <w:rPr>
          <w:i/>
          <w:color w:val="000000"/>
        </w:rPr>
        <w:t xml:space="preserve">, </w:t>
      </w:r>
      <w:r w:rsidR="00BA21FD" w:rsidRPr="007D1918" w:rsidDel="00255DE0">
        <w:rPr>
          <w:color w:val="000000"/>
        </w:rPr>
        <w:fldChar w:fldCharType="begin"/>
      </w:r>
      <w:r w:rsidR="00BA21FD" w:rsidRPr="007D1918" w:rsidDel="00255DE0">
        <w:rPr>
          <w:i/>
          <w:color w:val="000000"/>
        </w:rPr>
        <w:instrText xml:space="preserve"> REF _Ref399236533 \h </w:instrText>
      </w:r>
      <w:r w:rsidR="00E07567" w:rsidRPr="007D1918" w:rsidDel="00255DE0">
        <w:rPr>
          <w:color w:val="000000"/>
        </w:rPr>
        <w:instrText xml:space="preserve"> \* MERGEFORMAT </w:instrText>
      </w:r>
      <w:r w:rsidR="00BA21FD" w:rsidRPr="007D1918" w:rsidDel="00255DE0">
        <w:rPr>
          <w:color w:val="000000"/>
        </w:rPr>
      </w:r>
      <w:r w:rsidR="00BA21FD" w:rsidRPr="007D1918" w:rsidDel="00255DE0">
        <w:rPr>
          <w:color w:val="000000"/>
        </w:rPr>
        <w:fldChar w:fldCharType="separate"/>
      </w:r>
      <w:r w:rsidR="00BA21FD" w:rsidRPr="007D1918" w:rsidDel="00255DE0">
        <w:t xml:space="preserve">Table </w:t>
      </w:r>
      <w:r w:rsidR="00BA21FD" w:rsidRPr="007D1918" w:rsidDel="00255DE0">
        <w:rPr>
          <w:noProof/>
        </w:rPr>
        <w:t>11</w:t>
      </w:r>
      <w:r w:rsidR="00BA21FD" w:rsidRPr="007D1918" w:rsidDel="00255DE0">
        <w:rPr>
          <w:color w:val="000000"/>
        </w:rPr>
        <w:fldChar w:fldCharType="end"/>
      </w:r>
      <w:r w:rsidR="00BA21FD" w:rsidRPr="007D1918" w:rsidDel="00255DE0">
        <w:rPr>
          <w:color w:val="000000"/>
        </w:rPr>
        <w:t xml:space="preserve"> and </w:t>
      </w:r>
      <w:r w:rsidR="00BA21FD" w:rsidRPr="007D1918" w:rsidDel="00255DE0">
        <w:rPr>
          <w:color w:val="000000"/>
        </w:rPr>
        <w:fldChar w:fldCharType="begin"/>
      </w:r>
      <w:r w:rsidR="00BA21FD" w:rsidRPr="007D1918" w:rsidDel="00255DE0">
        <w:rPr>
          <w:color w:val="000000"/>
        </w:rPr>
        <w:instrText xml:space="preserve"> REF _Ref13486693 \h </w:instrText>
      </w:r>
      <w:r w:rsidR="00E07567" w:rsidRPr="007D1918" w:rsidDel="00255DE0">
        <w:rPr>
          <w:color w:val="000000"/>
        </w:rPr>
        <w:instrText xml:space="preserve"> \* MERGEFORMAT </w:instrText>
      </w:r>
      <w:r w:rsidR="00BA21FD" w:rsidRPr="007D1918" w:rsidDel="00255DE0">
        <w:rPr>
          <w:color w:val="000000"/>
        </w:rPr>
      </w:r>
      <w:r w:rsidR="00BA21FD" w:rsidRPr="007D1918" w:rsidDel="00255DE0">
        <w:rPr>
          <w:color w:val="000000"/>
        </w:rPr>
        <w:fldChar w:fldCharType="separate"/>
      </w:r>
      <w:r w:rsidR="00BA21FD" w:rsidRPr="007D1918" w:rsidDel="00255DE0">
        <w:t xml:space="preserve">Table </w:t>
      </w:r>
      <w:r w:rsidR="00BA21FD" w:rsidRPr="007D1918" w:rsidDel="00255DE0">
        <w:rPr>
          <w:noProof/>
        </w:rPr>
        <w:t>12</w:t>
      </w:r>
      <w:r w:rsidR="00BA21FD" w:rsidRPr="007D1918" w:rsidDel="00255DE0">
        <w:rPr>
          <w:color w:val="000000"/>
        </w:rPr>
        <w:fldChar w:fldCharType="end"/>
      </w:r>
      <w:r w:rsidR="001B6A91" w:rsidRPr="007D1918" w:rsidDel="00255DE0">
        <w:rPr>
          <w:color w:val="000000"/>
        </w:rPr>
        <w:t xml:space="preserve">. </w:t>
      </w:r>
    </w:p>
    <w:p w14:paraId="7BD76E9A" w14:textId="238000A2" w:rsidR="000D328F" w:rsidRPr="007D1918" w:rsidDel="00255DE0" w:rsidRDefault="000D328F" w:rsidP="000D328F">
      <w:pPr>
        <w:pStyle w:val="Heading3"/>
        <w:jc w:val="both"/>
      </w:pPr>
      <w:bookmarkStart w:id="187" w:name="_Toc395200773"/>
      <w:bookmarkStart w:id="188" w:name="_Toc23766955"/>
      <w:r w:rsidRPr="007D1918" w:rsidDel="00255DE0">
        <w:t>Appraisal of the evidence</w:t>
      </w:r>
      <w:bookmarkEnd w:id="187"/>
      <w:bookmarkEnd w:id="188"/>
    </w:p>
    <w:p w14:paraId="12BAF7F1" w14:textId="6CF0F5CA" w:rsidR="000D328F" w:rsidRPr="007D1918" w:rsidDel="00255DE0" w:rsidRDefault="000D328F" w:rsidP="000D328F">
      <w:pPr>
        <w:jc w:val="both"/>
      </w:pPr>
      <w:r w:rsidRPr="007D1918" w:rsidDel="00255DE0">
        <w:t xml:space="preserve">Appraisal of the evidence was conducted in </w:t>
      </w:r>
      <w:r w:rsidR="00D968FE" w:rsidRPr="007D1918" w:rsidDel="00255DE0">
        <w:t>four</w:t>
      </w:r>
      <w:r w:rsidRPr="007D1918" w:rsidDel="00255DE0">
        <w:t xml:space="preserve"> stages:</w:t>
      </w:r>
    </w:p>
    <w:p w14:paraId="29C6A4E8" w14:textId="780AC1A6" w:rsidR="000D328F" w:rsidRPr="007D1918" w:rsidDel="00255DE0" w:rsidRDefault="000D328F" w:rsidP="000D328F">
      <w:pPr>
        <w:jc w:val="both"/>
      </w:pPr>
      <w:r w:rsidRPr="007D1918" w:rsidDel="00255DE0">
        <w:t xml:space="preserve">Stage 1: Appraisal of the </w:t>
      </w:r>
      <w:r w:rsidR="005071FD" w:rsidRPr="007D1918" w:rsidDel="00255DE0">
        <w:t>risk of bias within</w:t>
      </w:r>
      <w:r w:rsidRPr="007D1918" w:rsidDel="00255DE0">
        <w:t xml:space="preserve"> individual studies (or </w:t>
      </w:r>
      <w:r w:rsidR="00E64369" w:rsidRPr="007D1918" w:rsidDel="00255DE0">
        <w:t>SRs</w:t>
      </w:r>
      <w:r w:rsidRPr="007D1918" w:rsidDel="00255DE0">
        <w:t>) included in the review</w:t>
      </w:r>
      <w:r w:rsidR="00146BFB" w:rsidRPr="007D1918" w:rsidDel="00255DE0">
        <w:t xml:space="preserve">. Some risk of bias items </w:t>
      </w:r>
      <w:r w:rsidR="004149B5" w:rsidRPr="007D1918" w:rsidDel="00255DE0">
        <w:t xml:space="preserve">were </w:t>
      </w:r>
      <w:r w:rsidR="00146BFB" w:rsidRPr="007D1918" w:rsidDel="00255DE0">
        <w:t xml:space="preserve">assessed for the study as a whole, while others </w:t>
      </w:r>
      <w:r w:rsidR="004149B5" w:rsidRPr="007D1918" w:rsidDel="00255DE0">
        <w:t>were</w:t>
      </w:r>
      <w:r w:rsidR="00146BFB" w:rsidRPr="007D1918" w:rsidDel="00255DE0">
        <w:t xml:space="preserve"> assessed at the outcome level</w:t>
      </w:r>
      <w:r w:rsidRPr="007D1918" w:rsidDel="00255DE0">
        <w:t>. (</w:t>
      </w:r>
      <w:r w:rsidRPr="007D1918" w:rsidDel="00255DE0">
        <w:rPr>
          <w:i/>
        </w:rPr>
        <w:t>Section B.3</w:t>
      </w:r>
      <w:r w:rsidRPr="007D1918" w:rsidDel="00255DE0">
        <w:t>)</w:t>
      </w:r>
    </w:p>
    <w:p w14:paraId="44B10F47" w14:textId="79D7C98E" w:rsidR="008001D1" w:rsidRPr="007D1918" w:rsidDel="00255DE0" w:rsidRDefault="001769AB" w:rsidP="000D328F">
      <w:pPr>
        <w:jc w:val="both"/>
      </w:pPr>
      <w:r w:rsidRPr="007D1918" w:rsidDel="00255DE0">
        <w:t xml:space="preserve">Stage 2: </w:t>
      </w:r>
      <w:r w:rsidR="008001D1" w:rsidRPr="007D1918" w:rsidDel="00255DE0">
        <w:t xml:space="preserve">Extraction of the pre-specified outcomes for this </w:t>
      </w:r>
      <w:r w:rsidR="00DC7996" w:rsidRPr="007D1918" w:rsidDel="00255DE0">
        <w:t xml:space="preserve">assessment, synthesising (meta-analysing or a narrative synthesis) </w:t>
      </w:r>
      <w:r w:rsidR="00213B43" w:rsidRPr="007D1918" w:rsidDel="00255DE0">
        <w:t xml:space="preserve">to determine an estimate of effect </w:t>
      </w:r>
      <w:r w:rsidR="00DC7996" w:rsidRPr="007D1918" w:rsidDel="00255DE0">
        <w:t>per outcome</w:t>
      </w:r>
      <w:r w:rsidR="00063F1E" w:rsidRPr="007D1918" w:rsidDel="00255DE0">
        <w:t>.</w:t>
      </w:r>
    </w:p>
    <w:p w14:paraId="57A3FD12" w14:textId="221C31EB" w:rsidR="00DC7996" w:rsidRPr="007D1918" w:rsidDel="00255DE0" w:rsidRDefault="001769AB" w:rsidP="000D328F">
      <w:pPr>
        <w:jc w:val="both"/>
      </w:pPr>
      <w:r w:rsidRPr="007D1918" w:rsidDel="00255DE0">
        <w:t xml:space="preserve">Stage 3: </w:t>
      </w:r>
      <w:r w:rsidR="00DC7996" w:rsidRPr="007D1918" w:rsidDel="00255DE0">
        <w:t xml:space="preserve">Rating the </w:t>
      </w:r>
      <w:r w:rsidR="00421694" w:rsidRPr="007D1918" w:rsidDel="00255DE0">
        <w:t xml:space="preserve">overall </w:t>
      </w:r>
      <w:r w:rsidR="00DC7996" w:rsidRPr="007D1918" w:rsidDel="00255DE0">
        <w:t xml:space="preserve">quality of the evidence per outcome, across studies, based on the </w:t>
      </w:r>
      <w:r w:rsidR="00421694" w:rsidRPr="007D1918" w:rsidDel="00255DE0">
        <w:t xml:space="preserve">study limitations (risk of bias), imprecision, inconsistency of results, indirectness of evidence, </w:t>
      </w:r>
      <w:r w:rsidR="006606AA" w:rsidRPr="007D1918" w:rsidDel="00255DE0">
        <w:t xml:space="preserve">and the </w:t>
      </w:r>
      <w:r w:rsidR="00421694" w:rsidRPr="007D1918" w:rsidDel="00255DE0">
        <w:t>likelihood of publication bias</w:t>
      </w:r>
      <w:r w:rsidR="008D6611" w:rsidRPr="007D1918" w:rsidDel="00255DE0">
        <w:t>. This was done</w:t>
      </w:r>
      <w:r w:rsidR="00C04EB0" w:rsidRPr="007D1918" w:rsidDel="00255DE0">
        <w:t xml:space="preserve"> to provide an indication of the confidence in the estimate of effect in the context of Australian clinical practice </w:t>
      </w:r>
      <w:r w:rsidR="00272E24" w:rsidRPr="007D1918" w:rsidDel="00255DE0">
        <w:t xml:space="preserve">(Evidence profile tables, </w:t>
      </w:r>
      <w:r w:rsidR="00272E24" w:rsidRPr="007D1918" w:rsidDel="00255DE0">
        <w:fldChar w:fldCharType="begin"/>
      </w:r>
      <w:r w:rsidR="00272E24" w:rsidRPr="007D1918" w:rsidDel="00255DE0">
        <w:instrText xml:space="preserve"> REF _Ref421017583 \h </w:instrText>
      </w:r>
      <w:r w:rsidR="00E07567" w:rsidRPr="007D1918" w:rsidDel="00255DE0">
        <w:instrText xml:space="preserve"> \* MERGEFORMAT </w:instrText>
      </w:r>
      <w:r w:rsidR="00272E24" w:rsidRPr="007D1918" w:rsidDel="00255DE0">
        <w:fldChar w:fldCharType="separate"/>
      </w:r>
      <w:r w:rsidR="00001635" w:rsidRPr="007D1918" w:rsidDel="00255DE0">
        <w:t xml:space="preserve">Appendix </w:t>
      </w:r>
      <w:r w:rsidR="00001635" w:rsidRPr="007D1918" w:rsidDel="00255DE0">
        <w:rPr>
          <w:noProof/>
        </w:rPr>
        <w:t>D</w:t>
      </w:r>
      <w:r w:rsidR="00272E24" w:rsidRPr="007D1918" w:rsidDel="00255DE0">
        <w:fldChar w:fldCharType="end"/>
      </w:r>
      <w:r w:rsidR="00272E24" w:rsidRPr="007D1918" w:rsidDel="00255DE0">
        <w:t>)</w:t>
      </w:r>
      <w:r w:rsidR="00421694" w:rsidRPr="007D1918" w:rsidDel="00255DE0">
        <w:t xml:space="preserve">. </w:t>
      </w:r>
    </w:p>
    <w:p w14:paraId="7113BB27" w14:textId="6D52190B" w:rsidR="00D37B08" w:rsidRPr="007D1918" w:rsidDel="00255DE0" w:rsidRDefault="001769AB" w:rsidP="00D37B08">
      <w:pPr>
        <w:jc w:val="both"/>
      </w:pPr>
      <w:r w:rsidRPr="007D1918" w:rsidDel="00255DE0">
        <w:t xml:space="preserve">Stage 4: </w:t>
      </w:r>
      <w:r w:rsidR="000D328F" w:rsidRPr="007D1918" w:rsidDel="00255DE0">
        <w:t xml:space="preserve">Integration of this evidence for conclusions about the net clinical benefit of the intervention in the context of Australian clinical practice. </w:t>
      </w:r>
      <w:r w:rsidR="000B688F" w:rsidRPr="007D1918" w:rsidDel="00255DE0">
        <w:t>(</w:t>
      </w:r>
      <w:r w:rsidR="000B688F" w:rsidRPr="007D1918" w:rsidDel="00255DE0">
        <w:rPr>
          <w:i/>
        </w:rPr>
        <w:t>Sections B.6</w:t>
      </w:r>
      <w:r w:rsidR="00BA21FD" w:rsidRPr="007D1918" w:rsidDel="00255DE0">
        <w:rPr>
          <w:i/>
        </w:rPr>
        <w:t xml:space="preserve"> Results of the </w:t>
      </w:r>
      <w:r w:rsidR="00751241" w:rsidRPr="007D1918" w:rsidDel="00255DE0">
        <w:rPr>
          <w:i/>
        </w:rPr>
        <w:t>S</w:t>
      </w:r>
      <w:r w:rsidR="00BA21FD" w:rsidRPr="007D1918" w:rsidDel="00255DE0">
        <w:rPr>
          <w:i/>
        </w:rPr>
        <w:t xml:space="preserve">ystematic </w:t>
      </w:r>
      <w:r w:rsidR="00751241" w:rsidRPr="007D1918" w:rsidDel="00255DE0">
        <w:rPr>
          <w:i/>
        </w:rPr>
        <w:t>Li</w:t>
      </w:r>
      <w:r w:rsidR="00BA21FD" w:rsidRPr="007D1918" w:rsidDel="00255DE0">
        <w:rPr>
          <w:i/>
        </w:rPr>
        <w:t xml:space="preserve">terature </w:t>
      </w:r>
      <w:r w:rsidR="00751241" w:rsidRPr="007D1918" w:rsidDel="00255DE0">
        <w:rPr>
          <w:i/>
        </w:rPr>
        <w:t>R</w:t>
      </w:r>
      <w:r w:rsidR="00BA21FD" w:rsidRPr="007D1918" w:rsidDel="00255DE0">
        <w:rPr>
          <w:i/>
        </w:rPr>
        <w:t xml:space="preserve">eview </w:t>
      </w:r>
      <w:r w:rsidR="00BA21FD" w:rsidRPr="007D1918" w:rsidDel="00255DE0">
        <w:t>and</w:t>
      </w:r>
      <w:r w:rsidR="00BA21FD" w:rsidRPr="007D1918" w:rsidDel="00255DE0">
        <w:rPr>
          <w:i/>
        </w:rPr>
        <w:t xml:space="preserve"> B.7 Interpretation of the </w:t>
      </w:r>
      <w:r w:rsidR="00751241" w:rsidRPr="007D1918" w:rsidDel="00255DE0">
        <w:rPr>
          <w:i/>
        </w:rPr>
        <w:t>C</w:t>
      </w:r>
      <w:r w:rsidR="00BA21FD" w:rsidRPr="007D1918" w:rsidDel="00255DE0">
        <w:rPr>
          <w:i/>
        </w:rPr>
        <w:t xml:space="preserve">linical </w:t>
      </w:r>
      <w:r w:rsidR="00751241" w:rsidRPr="007D1918" w:rsidDel="00255DE0">
        <w:rPr>
          <w:i/>
        </w:rPr>
        <w:t>E</w:t>
      </w:r>
      <w:r w:rsidR="00BA21FD" w:rsidRPr="007D1918" w:rsidDel="00255DE0">
        <w:rPr>
          <w:i/>
        </w:rPr>
        <w:t>vidence</w:t>
      </w:r>
      <w:r w:rsidR="000B688F" w:rsidRPr="007D1918" w:rsidDel="00255DE0">
        <w:t>)</w:t>
      </w:r>
    </w:p>
    <w:p w14:paraId="7183416C" w14:textId="0197A21A" w:rsidR="00001635" w:rsidRPr="007D1918" w:rsidDel="00255DE0" w:rsidRDefault="00001635" w:rsidP="00D37B08">
      <w:pPr>
        <w:jc w:val="both"/>
      </w:pPr>
    </w:p>
    <w:p w14:paraId="62BABFEB" w14:textId="77777777" w:rsidR="009A76F8" w:rsidRPr="007D1918" w:rsidRDefault="009A76F8" w:rsidP="00CE3A8B">
      <w:pPr>
        <w:pStyle w:val="Heading2"/>
        <w:numPr>
          <w:ilvl w:val="1"/>
          <w:numId w:val="10"/>
        </w:numPr>
      </w:pPr>
      <w:bookmarkStart w:id="189" w:name="_Toc23766956"/>
      <w:bookmarkStart w:id="190" w:name="_Toc381796464"/>
      <w:r w:rsidRPr="007D1918">
        <w:t>Risk of Bias</w:t>
      </w:r>
      <w:r w:rsidR="00B435E9" w:rsidRPr="007D1918">
        <w:t xml:space="preserve"> Assessment</w:t>
      </w:r>
      <w:bookmarkEnd w:id="189"/>
    </w:p>
    <w:bookmarkEnd w:id="190"/>
    <w:p w14:paraId="10CBE5A9" w14:textId="3FA04388" w:rsidR="00063F1E" w:rsidRPr="007D1918" w:rsidRDefault="00F24AE3" w:rsidP="00BC09F3">
      <w:pPr>
        <w:jc w:val="both"/>
      </w:pPr>
      <w:r w:rsidRPr="007D1918">
        <w:t>Individual studies to be included were assessed using standard appraisal instrument</w:t>
      </w:r>
      <w:r w:rsidR="00DC110F" w:rsidRPr="007D1918">
        <w:t>s</w:t>
      </w:r>
      <w:r w:rsidRPr="007D1918">
        <w:t xml:space="preserve"> appropriate for each study design. Study quality and level of bias were assessed using the AMSTAR 2 checklist for systematic reviews </w:t>
      </w:r>
      <w:r w:rsidR="003736AC" w:rsidRPr="007D1918">
        <w:fldChar w:fldCharType="begin">
          <w:fldData xml:space="preserve">PEVuZE5vdGU+PENpdGU+PEF1dGhvcj5TaGVhPC9BdXRob3I+PFllYXI+MjAxNzwvWWVhcj48UmVj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</w:fldData>
        </w:fldChar>
      </w:r>
      <w:r w:rsidR="003736AC" w:rsidRPr="007D1918">
        <w:instrText xml:space="preserve"> ADDIN EN.CITE </w:instrText>
      </w:r>
      <w:r w:rsidR="003736AC" w:rsidRPr="007D1918">
        <w:fldChar w:fldCharType="begin">
          <w:fldData xml:space="preserve">PEVuZE5vdGU+PENpdGU+PEF1dGhvcj5TaGVhPC9BdXRob3I+PFllYXI+MjAxNzwvWWVhcj48UmVj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91" w:tooltip="Shea, 2017 #8" w:history="1">
        <w:r w:rsidR="007D4948" w:rsidRPr="007D1918">
          <w:rPr>
            <w:noProof/>
          </w:rPr>
          <w:t>Shea et al. 2017</w:t>
        </w:r>
      </w:hyperlink>
      <w:r w:rsidR="003736AC" w:rsidRPr="007D1918">
        <w:rPr>
          <w:noProof/>
        </w:rPr>
        <w:t>)</w:t>
      </w:r>
      <w:r w:rsidR="003736AC" w:rsidRPr="007D1918">
        <w:fldChar w:fldCharType="end"/>
      </w:r>
      <w:r w:rsidRPr="007D1918">
        <w:t xml:space="preserve">, the SIGN Methodology checklists 2 and 3 for randomised and non-randomised controlled trials and observational studies </w:t>
      </w:r>
      <w:r w:rsidR="003736AC" w:rsidRPr="007D1918">
        <w:fldChar w:fldCharType="begin"/>
      </w:r>
      <w:r w:rsidR="003736AC" w:rsidRPr="007D1918">
        <w:instrText xml:space="preserve"> ADDIN EN.CITE &lt;EndNote&gt;&lt;Cite&gt;&lt;Author&gt;SIGN&lt;/Author&gt;&lt;Year&gt;2014&lt;/Year&gt;&lt;RecNum&gt;7&lt;/RecNum&gt;&lt;DisplayText&gt;(SIGN 2014)&lt;/DisplayText&gt;&lt;record&gt;&lt;rec-number&gt;7&lt;/rec-number&gt;&lt;foreign-keys&gt;&lt;key app="EN" db-id="2aevrx2slsts5ve9sdavatf125dsx0av2v9d" timestamp="1556506260"&gt;7&lt;/key&gt;&lt;/foreign-keys&gt;&lt;ref-type name="Report"&gt;27&lt;/ref-type&gt;&lt;contributors&gt;&lt;authors&gt;&lt;author&gt;SIGN&lt;/author&gt;&lt;/authors&gt;&lt;/contributors&gt;&lt;titles&gt;&lt;title&gt;SIGN 50: a guideline developer’s handbook (SIGN publication no. 50)&lt;/title&gt;&lt;/titles&gt;&lt;dates&gt;&lt;year&gt;2014&lt;/year&gt;&lt;pub-dates&gt;&lt;date&gt;October&lt;/date&gt;&lt;/pub-dates&gt;&lt;/dates&gt;&lt;pub-location&gt;Edinburgh&lt;/pub-location&gt;&lt;publisher&gt;Scottish Intercollegiate Guidelines Network&lt;/publisher&gt;&lt;urls&gt;&lt;related-urls&gt;&lt;url&gt; http://www.sign.ac.uk&lt;/url&gt;&lt;/related-urls&gt;&lt;/urls&gt;&lt;/record&gt;&lt;/Cite&gt;&lt;/EndNote&gt;</w:instrText>
      </w:r>
      <w:r w:rsidR="003736AC" w:rsidRPr="007D1918">
        <w:fldChar w:fldCharType="separate"/>
      </w:r>
      <w:r w:rsidR="003736AC" w:rsidRPr="007D1918">
        <w:rPr>
          <w:noProof/>
        </w:rPr>
        <w:t>(</w:t>
      </w:r>
      <w:hyperlink w:anchor="_ENREF_94" w:tooltip="SIGN, 2014 #7" w:history="1">
        <w:r w:rsidR="007D4948" w:rsidRPr="007D1918">
          <w:rPr>
            <w:noProof/>
          </w:rPr>
          <w:t>SIGN 2014</w:t>
        </w:r>
      </w:hyperlink>
      <w:r w:rsidR="003736AC" w:rsidRPr="007D1918">
        <w:rPr>
          <w:noProof/>
        </w:rPr>
        <w:t>)</w:t>
      </w:r>
      <w:r w:rsidR="003736AC" w:rsidRPr="007D1918">
        <w:fldChar w:fldCharType="end"/>
      </w:r>
      <w:r w:rsidRPr="007D1918">
        <w:t xml:space="preserve">; and the Institute of Health checklist (IHE) was used to assess case series </w:t>
      </w:r>
      <w:r w:rsidR="003736AC" w:rsidRPr="007D1918">
        <w:fldChar w:fldCharType="begin"/>
      </w:r>
      <w:r w:rsidR="003736AC" w:rsidRPr="007D1918">
        <w:instrText xml:space="preserve"> ADDIN EN.CITE &lt;EndNote&gt;&lt;Cite&gt;&lt;Author&gt;IHE&lt;/Author&gt;&lt;Year&gt;2016&lt;/Year&gt;&lt;RecNum&gt;24&lt;/RecNum&gt;&lt;DisplayText&gt;(IHE 2016)&lt;/DisplayText&gt;&lt;record&gt;&lt;rec-number&gt;24&lt;/rec-number&gt;&lt;foreign-keys&gt;&lt;key app="EN" db-id="2aevrx2slsts5ve9sdavatf125dsx0av2v9d" timestamp="1559544010"&gt;24&lt;/key&gt;&lt;/foreign-keys&gt;&lt;ref-type name="Report"&gt;27&lt;/ref-type&gt;&lt;contributors&gt;&lt;authors&gt;&lt;author&gt; IHE&lt;/author&gt;&lt;/authors&gt;&lt;/contributors&gt;&lt;titles&gt;&lt;title&gt;Institute of Health Economics: Quality Appraisal of Case Series Studies Checklist&lt;/title&gt;&lt;/titles&gt;&lt;dates&gt;&lt;year&gt;2016&lt;/year&gt;&lt;/dates&gt;&lt;pub-location&gt;Edmonton (AB)&lt;/pub-location&gt;&lt;urls&gt;&lt;related-urls&gt;&lt;url&gt;&lt;style face="underline" font="default" size="100%"&gt;http://www.ihe.ca/research-programs/rmd/cssqac/cssqac-about&lt;/style&gt;&lt;/url&gt;&lt;/related-urls&gt;&lt;/urls&gt;&lt;/record&gt;&lt;/Cite&gt;&lt;/EndNote&gt;</w:instrText>
      </w:r>
      <w:r w:rsidR="003736AC" w:rsidRPr="007D1918">
        <w:fldChar w:fldCharType="separate"/>
      </w:r>
      <w:r w:rsidR="003736AC" w:rsidRPr="007D1918">
        <w:rPr>
          <w:noProof/>
        </w:rPr>
        <w:t>(</w:t>
      </w:r>
      <w:hyperlink w:anchor="_ENREF_51" w:tooltip="IHE, 2016 #24" w:history="1">
        <w:r w:rsidR="007D4948" w:rsidRPr="007D1918">
          <w:rPr>
            <w:noProof/>
          </w:rPr>
          <w:t>IHE 2016</w:t>
        </w:r>
      </w:hyperlink>
      <w:r w:rsidR="003736AC" w:rsidRPr="007D1918">
        <w:rPr>
          <w:noProof/>
        </w:rPr>
        <w:t>)</w:t>
      </w:r>
      <w:r w:rsidR="003736AC" w:rsidRPr="007D1918">
        <w:fldChar w:fldCharType="end"/>
      </w:r>
      <w:r w:rsidRPr="007D1918">
        <w:t>.</w:t>
      </w:r>
    </w:p>
    <w:p w14:paraId="2080D972" w14:textId="458AB5C2" w:rsidR="00F24AE3" w:rsidRPr="007D1918" w:rsidRDefault="00F87B4E" w:rsidP="00BC09F3">
      <w:pPr>
        <w:jc w:val="both"/>
      </w:pPr>
      <w:r w:rsidRPr="007D1918">
        <w:t>Three</w:t>
      </w:r>
      <w:r w:rsidR="00532EC0" w:rsidRPr="007D1918">
        <w:t xml:space="preserve"> </w:t>
      </w:r>
      <w:r w:rsidR="00E64369" w:rsidRPr="007D1918">
        <w:t>SR</w:t>
      </w:r>
      <w:r w:rsidR="00532EC0" w:rsidRPr="007D1918">
        <w:t xml:space="preserve">s </w:t>
      </w:r>
      <w:r w:rsidR="004F4CD6" w:rsidRPr="007D1918">
        <w:t xml:space="preserve">(level I) </w:t>
      </w:r>
      <w:r w:rsidR="00532EC0" w:rsidRPr="007D1918">
        <w:t xml:space="preserve">were identified that included studies relevant to this assessment. </w:t>
      </w:r>
      <w:r w:rsidRPr="007D1918">
        <w:t>Two</w:t>
      </w:r>
      <w:r w:rsidR="00532EC0" w:rsidRPr="007D1918">
        <w:t xml:space="preserve"> were found to be of low quality (high risk of bias) </w:t>
      </w:r>
      <w:r w:rsidR="003736AC" w:rsidRPr="007D1918">
        <w:fldChar w:fldCharType="begin">
          <w:fldData xml:space="preserve">PEVuZE5vdGU+PENpdGU+PEF1dGhvcj5BbGFiZGFsaTwvQXV0aG9yPjxZZWFyPjIwMTQ8L1llYXI+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</w:fldData>
        </w:fldChar>
      </w:r>
      <w:r w:rsidR="00C437BA" w:rsidRPr="007D1918">
        <w:instrText xml:space="preserve"> ADDIN EN.CITE </w:instrText>
      </w:r>
      <w:r w:rsidR="00C437BA" w:rsidRPr="007D1918">
        <w:fldChar w:fldCharType="begin">
          <w:fldData xml:space="preserve">PEVuZE5vdGU+PENpdGU+PEF1dGhvcj5BbGFiZGFsaTwvQXV0aG9yPjxZZWFyPjIwMTQ8L1llYXI+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</w:fldData>
        </w:fldChar>
      </w:r>
      <w:r w:rsidR="00C437BA" w:rsidRPr="007D1918">
        <w:instrText xml:space="preserve"> ADDIN EN.CITE.DATA </w:instrText>
      </w:r>
      <w:r w:rsidR="00C437BA" w:rsidRPr="007D1918">
        <w:fldChar w:fldCharType="end"/>
      </w:r>
      <w:r w:rsidR="003736AC" w:rsidRPr="007D1918">
        <w:fldChar w:fldCharType="separate"/>
      </w:r>
      <w:r w:rsidR="003736AC" w:rsidRPr="007D1918">
        <w:rPr>
          <w:noProof/>
        </w:rPr>
        <w:t>(</w:t>
      </w:r>
      <w:hyperlink w:anchor="_ENREF_2" w:tooltip="Alabdali, 2014 #4" w:history="1">
        <w:r w:rsidR="007D4948" w:rsidRPr="007D1918">
          <w:rPr>
            <w:noProof/>
          </w:rPr>
          <w:t>Alabdali et al. 2014</w:t>
        </w:r>
      </w:hyperlink>
      <w:r w:rsidR="003736AC" w:rsidRPr="007D1918">
        <w:rPr>
          <w:noProof/>
        </w:rPr>
        <w:t xml:space="preserve">; </w:t>
      </w:r>
      <w:hyperlink w:anchor="_ENREF_74" w:tooltip="Ortiz-Salas, 2016 #2" w:history="1">
        <w:r w:rsidR="007D4948" w:rsidRPr="007D1918">
          <w:rPr>
            <w:noProof/>
          </w:rPr>
          <w:t>Ortiz-Salas et al. 2016</w:t>
        </w:r>
      </w:hyperlink>
      <w:r w:rsidR="003736AC" w:rsidRPr="007D1918">
        <w:rPr>
          <w:noProof/>
        </w:rPr>
        <w:t>)</w:t>
      </w:r>
      <w:r w:rsidR="003736AC" w:rsidRPr="007D1918">
        <w:fldChar w:fldCharType="end"/>
      </w:r>
      <w:r w:rsidR="00E403A6" w:rsidRPr="007D1918">
        <w:t xml:space="preserve"> and</w:t>
      </w:r>
      <w:r w:rsidR="00532EC0" w:rsidRPr="007D1918">
        <w:t xml:space="preserve"> one high quality (low risk of bias)</w:t>
      </w:r>
      <w:r w:rsidRPr="007D1918">
        <w:t xml:space="preserve"> </w:t>
      </w:r>
      <w:r w:rsidR="003736AC" w:rsidRPr="007D1918">
        <w:fldChar w:fldCharType="begin"/>
      </w:r>
      <w:r w:rsidR="00C437BA" w:rsidRPr="007D1918">
        <w:instrText xml:space="preserve"> ADDIN EN.CITE &lt;EndNote&gt;&lt;Cite&gt;&lt;Author&gt;Gajdos&lt;/Author&gt;&lt;Year&gt;2012&lt;/Year&gt;&lt;RecNum&gt;3&lt;/RecNum&gt;&lt;DisplayText&gt;(Gajdos, Chevret &amp;amp; Toyka 2012)&lt;/DisplayText&gt;&lt;record&gt;&lt;rec-number&gt;3&lt;/rec-number&gt;&lt;foreign-keys&gt;&lt;key app="EN" db-id="2aevrx2slsts5ve9sdavatf125dsx0av2v9d" timestamp="1556505895"&gt;3&lt;/key&gt;&lt;/foreign-keys&gt;&lt;ref-type name="Journal Article"&gt;17&lt;/ref-type&gt;&lt;contributors&gt;&lt;authors&gt;&lt;author&gt;Gajdos, P.&lt;/author&gt;&lt;author&gt;Chevret, S.&lt;/author&gt;&lt;author&gt;Toyka, K. V.&lt;/author&gt;&lt;/authors&gt;&lt;/contributors&gt;&lt;titles&gt;&lt;title&gt;Intravenous immunoglobulin for myasthenia gravis&lt;/title&gt;&lt;secondary-title&gt;Cochrane Database of Systematic Reviews&lt;/secondary-title&gt;&lt;/titles&gt;&lt;periodical&gt;&lt;full-title&gt;Cochrane Database of Systematic Reviews&lt;/full-title&gt;&lt;/periodical&gt;&lt;number&gt;12&lt;/number&gt;&lt;keywords&gt;&lt;keyword&gt;Chronic Disease&lt;/keyword&gt;&lt;keyword&gt;Disease Progression&lt;/keyword&gt;&lt;keyword&gt;Humans&lt;/keyword&gt;&lt;keyword&gt;Immunoglobulins, Intravenous [*therapeutic use]&lt;/keyword&gt;&lt;keyword&gt;Methylprednisolone [therapeutic use]&lt;/keyword&gt;&lt;keyword&gt;Myasthenia Gravis [*therapy]&lt;/keyword&gt;&lt;keyword&gt;Neuroprotective Agents [therapeutic use]&lt;/keyword&gt;&lt;keyword&gt;Plasma Exchange&lt;/keyword&gt;&lt;keyword&gt;Randomized Controlled Trials as Topic&lt;/keyword&gt;&lt;/keywords&gt;&lt;dates&gt;&lt;year&gt;2012&lt;/year&gt;&lt;/dates&gt;&lt;publisher&gt;John Wiley &amp;amp; Sons, Ltd&lt;/publisher&gt;&lt;isbn&gt;1465-1858&lt;/isbn&gt;&lt;accession-num&gt;CD002277&lt;/accession-num&gt;&lt;urls&gt;&lt;related-urls&gt;&lt;url&gt;http://dx.doi.org/10.1002/14651858.CD002277.pub4&lt;/url&gt;&lt;/related-urls&gt;&lt;/urls&gt;&lt;electronic-resource-num&gt;10.1002/14651858.CD002277.pub4&lt;/electronic-resource-num&gt;&lt;/record&gt;&lt;/Cite&gt;&lt;/EndNote&gt;</w:instrText>
      </w:r>
      <w:r w:rsidR="003736AC" w:rsidRPr="007D1918">
        <w:fldChar w:fldCharType="separate"/>
      </w:r>
      <w:r w:rsidR="003736AC" w:rsidRPr="007D1918">
        <w:rPr>
          <w:noProof/>
        </w:rPr>
        <w:t>(</w:t>
      </w:r>
      <w:hyperlink w:anchor="_ENREF_33" w:tooltip="Gajdos, 2012 #3" w:history="1">
        <w:r w:rsidR="007D4948" w:rsidRPr="007D1918">
          <w:rPr>
            <w:noProof/>
          </w:rPr>
          <w:t>Gajdos, Chevret &amp; Toyka 2012</w:t>
        </w:r>
      </w:hyperlink>
      <w:r w:rsidR="003736AC" w:rsidRPr="007D1918">
        <w:rPr>
          <w:noProof/>
        </w:rPr>
        <w:t>)</w:t>
      </w:r>
      <w:r w:rsidR="003736AC" w:rsidRPr="007D1918">
        <w:fldChar w:fldCharType="end"/>
      </w:r>
      <w:r w:rsidR="00532EC0" w:rsidRPr="007D1918">
        <w:t xml:space="preserve">. As only a proportion of articles from each </w:t>
      </w:r>
      <w:r w:rsidR="00E64369" w:rsidRPr="007D1918">
        <w:t>SR</w:t>
      </w:r>
      <w:r w:rsidR="00532EC0" w:rsidRPr="007D1918">
        <w:t xml:space="preserve"> </w:t>
      </w:r>
      <w:r w:rsidR="004F4CD6" w:rsidRPr="007D1918">
        <w:t>fit</w:t>
      </w:r>
      <w:r w:rsidR="00751241" w:rsidRPr="007D1918">
        <w:t>ted</w:t>
      </w:r>
      <w:r w:rsidR="004F4CD6" w:rsidRPr="007D1918">
        <w:t xml:space="preserve"> the eligibility criteria,</w:t>
      </w:r>
      <w:r w:rsidR="00532EC0" w:rsidRPr="007D1918">
        <w:t xml:space="preserve"> all </w:t>
      </w:r>
      <w:r w:rsidR="004F4CD6" w:rsidRPr="007D1918">
        <w:t>relevant</w:t>
      </w:r>
      <w:r w:rsidR="00532EC0" w:rsidRPr="007D1918">
        <w:t xml:space="preserve"> studies were </w:t>
      </w:r>
      <w:r w:rsidR="004F4CD6" w:rsidRPr="007D1918">
        <w:t xml:space="preserve">also </w:t>
      </w:r>
      <w:r w:rsidR="00532EC0" w:rsidRPr="007D1918">
        <w:t xml:space="preserve">appraised individually. The high quality </w:t>
      </w:r>
      <w:r w:rsidR="00E64369" w:rsidRPr="007D1918">
        <w:t>SR</w:t>
      </w:r>
      <w:r w:rsidR="00532EC0" w:rsidRPr="007D1918">
        <w:t xml:space="preserve"> included only RCTs, whereas the other</w:t>
      </w:r>
      <w:r w:rsidRPr="007D1918">
        <w:t>s</w:t>
      </w:r>
      <w:r w:rsidR="00532EC0" w:rsidRPr="007D1918">
        <w:t xml:space="preserve"> included non-randomised trials as well. One </w:t>
      </w:r>
      <w:r w:rsidR="00E64369" w:rsidRPr="007D1918">
        <w:t>SR</w:t>
      </w:r>
      <w:r w:rsidR="00532EC0" w:rsidRPr="007D1918">
        <w:t xml:space="preserve"> performed a meta-analysis </w:t>
      </w:r>
      <w:r w:rsidRPr="007D1918">
        <w:t xml:space="preserve">of adverse events reported in </w:t>
      </w:r>
      <w:r w:rsidR="00532EC0" w:rsidRPr="007D1918">
        <w:t>RCTs which had compared IVIg and PE therapies in MG patients</w:t>
      </w:r>
      <w:r w:rsidRPr="007D1918">
        <w:t xml:space="preserve"> </w:t>
      </w:r>
      <w:r w:rsidR="00DC110F" w:rsidRPr="007D1918">
        <w:t xml:space="preserve">in crisis or requiring maintenance therapy </w:t>
      </w:r>
      <w:r w:rsidR="00447A1E" w:rsidRPr="007D1918">
        <w:t xml:space="preserve">in one combined analysis </w:t>
      </w:r>
      <w:r w:rsidR="003736AC" w:rsidRPr="007D1918">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C437BA" w:rsidRPr="007D1918">
        <w:instrText xml:space="preserve"> ADDIN EN.CITE </w:instrText>
      </w:r>
      <w:r w:rsidR="00C437BA" w:rsidRPr="007D1918">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C437BA" w:rsidRPr="007D1918">
        <w:instrText xml:space="preserve"> ADDIN EN.CITE.DATA </w:instrText>
      </w:r>
      <w:r w:rsidR="00C437BA" w:rsidRPr="007D1918">
        <w:fldChar w:fldCharType="end"/>
      </w:r>
      <w:r w:rsidR="003736AC" w:rsidRPr="007D1918">
        <w:fldChar w:fldCharType="separate"/>
      </w:r>
      <w:r w:rsidR="003736AC" w:rsidRPr="007D1918">
        <w:rPr>
          <w:noProof/>
        </w:rPr>
        <w:t>(</w:t>
      </w:r>
      <w:hyperlink w:anchor="_ENREF_74" w:tooltip="Ortiz-Salas, 2016 #2" w:history="1">
        <w:r w:rsidR="007D4948" w:rsidRPr="007D1918">
          <w:rPr>
            <w:noProof/>
          </w:rPr>
          <w:t>Ortiz-Salas et al. 2016</w:t>
        </w:r>
      </w:hyperlink>
      <w:r w:rsidR="003736AC" w:rsidRPr="007D1918">
        <w:rPr>
          <w:noProof/>
        </w:rPr>
        <w:t>)</w:t>
      </w:r>
      <w:r w:rsidR="003736AC" w:rsidRPr="007D1918">
        <w:fldChar w:fldCharType="end"/>
      </w:r>
      <w:r w:rsidR="00532EC0" w:rsidRPr="007D1918">
        <w:t xml:space="preserve">. </w:t>
      </w:r>
      <w:r w:rsidRPr="007D1918">
        <w:t>The outcome</w:t>
      </w:r>
      <w:r w:rsidR="00532EC0" w:rsidRPr="007D1918">
        <w:t xml:space="preserve"> is reported in </w:t>
      </w:r>
      <w:r w:rsidRPr="007D1918">
        <w:rPr>
          <w:i/>
        </w:rPr>
        <w:t xml:space="preserve">Section B.6 </w:t>
      </w:r>
      <w:r w:rsidRPr="007D1918">
        <w:t xml:space="preserve">and </w:t>
      </w:r>
      <w:r w:rsidR="00532EC0" w:rsidRPr="007D1918">
        <w:fldChar w:fldCharType="begin"/>
      </w:r>
      <w:r w:rsidR="00532EC0" w:rsidRPr="007D1918">
        <w:instrText xml:space="preserve"> REF _Ref10103989 \h </w:instrText>
      </w:r>
      <w:r w:rsidR="00DC110F" w:rsidRPr="007D1918">
        <w:instrText xml:space="preserve"> \* MERGEFORMAT </w:instrText>
      </w:r>
      <w:r w:rsidR="00532EC0" w:rsidRPr="007D1918">
        <w:fldChar w:fldCharType="separate"/>
      </w:r>
      <w:r w:rsidR="00001635" w:rsidRPr="007D1918">
        <w:t xml:space="preserve">Figure </w:t>
      </w:r>
      <w:r w:rsidR="00001635" w:rsidRPr="007D1918">
        <w:rPr>
          <w:noProof/>
        </w:rPr>
        <w:t>5</w:t>
      </w:r>
      <w:r w:rsidR="00532EC0" w:rsidRPr="007D1918">
        <w:fldChar w:fldCharType="end"/>
      </w:r>
      <w:r w:rsidRPr="007D1918">
        <w:t>. Three RCTs were common to</w:t>
      </w:r>
      <w:r w:rsidR="004F4CD6" w:rsidRPr="007D1918">
        <w:t xml:space="preserve"> all</w:t>
      </w:r>
      <w:r w:rsidRPr="007D1918">
        <w:t xml:space="preserve"> three </w:t>
      </w:r>
      <w:r w:rsidR="00E64369" w:rsidRPr="007D1918">
        <w:t>SR</w:t>
      </w:r>
      <w:r w:rsidRPr="007D1918">
        <w:t xml:space="preserve">s </w:t>
      </w:r>
      <w:r w:rsidR="003736AC" w:rsidRPr="007D1918">
        <w:fldChar w:fldCharType="begin">
          <w:fldData xml:space="preserve">PEVuZE5vdGU+PENpdGU+PEF1dGhvcj5CYXJ0aDwvQXV0aG9yPjxZZWFyPjIwMTE8L1llYXI+PFJl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</w:fldData>
        </w:fldChar>
      </w:r>
      <w:r w:rsidR="007F4CDE" w:rsidRPr="007D1918">
        <w:instrText xml:space="preserve"> ADDIN EN.CITE </w:instrText>
      </w:r>
      <w:r w:rsidR="007F4CDE" w:rsidRPr="007D1918">
        <w:fldChar w:fldCharType="begin">
          <w:fldData xml:space="preserve">PEVuZE5vdGU+PENpdGU+PEF1dGhvcj5CYXJ0aDwvQXV0aG9yPjxZZWFyPjIwMTE8L1llYXI+PFJl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</w:fldData>
        </w:fldChar>
      </w:r>
      <w:r w:rsidR="007F4CDE" w:rsidRPr="007D1918">
        <w:instrText xml:space="preserve"> ADDIN EN.CITE.DATA </w:instrText>
      </w:r>
      <w:r w:rsidR="007F4CDE" w:rsidRPr="007D1918">
        <w:fldChar w:fldCharType="end"/>
      </w:r>
      <w:r w:rsidR="003736AC"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28" w:tooltip="Gajdos, 1997 #45" w:history="1">
        <w:r w:rsidR="007D4948" w:rsidRPr="007D1918">
          <w:rPr>
            <w:noProof/>
          </w:rPr>
          <w:t>Gajdos et al. 1997</w:t>
        </w:r>
      </w:hyperlink>
      <w:r w:rsidR="001A0E53" w:rsidRPr="007D1918">
        <w:rPr>
          <w:noProof/>
        </w:rPr>
        <w:t xml:space="preserve">; </w:t>
      </w:r>
      <w:hyperlink w:anchor="_ENREF_83" w:tooltip="Rønager, 2001 #41" w:history="1">
        <w:r w:rsidR="007D4948" w:rsidRPr="007D1918">
          <w:rPr>
            <w:noProof/>
          </w:rPr>
          <w:t>Rønager et al. 2001</w:t>
        </w:r>
      </w:hyperlink>
      <w:r w:rsidR="001A0E53" w:rsidRPr="007D1918">
        <w:rPr>
          <w:noProof/>
        </w:rPr>
        <w:t>)</w:t>
      </w:r>
      <w:r w:rsidR="003736AC" w:rsidRPr="007D1918">
        <w:fldChar w:fldCharType="end"/>
      </w:r>
      <w:r w:rsidRPr="007D1918">
        <w:t xml:space="preserve">. </w:t>
      </w:r>
    </w:p>
    <w:p w14:paraId="1BF1A4FE" w14:textId="2C5867E0" w:rsidR="00F9040D" w:rsidRPr="007D1918" w:rsidRDefault="00447A1E" w:rsidP="00BC09F3">
      <w:pPr>
        <w:jc w:val="both"/>
      </w:pPr>
      <w:r w:rsidRPr="007D1918">
        <w:lastRenderedPageBreak/>
        <w:t xml:space="preserve">In all, eight RCTs </w:t>
      </w:r>
      <w:r w:rsidR="004F4CD6" w:rsidRPr="007D1918">
        <w:t xml:space="preserve">(level II) </w:t>
      </w:r>
      <w:r w:rsidRPr="007D1918">
        <w:t>were identified that were relevant to this assessment</w:t>
      </w:r>
      <w:r w:rsidR="00987CAE" w:rsidRPr="007D1918">
        <w:t xml:space="preserve"> </w:t>
      </w:r>
      <w:r w:rsidR="003736AC" w:rsidRPr="007D1918">
        <w:fldChar w:fldCharType="begin">
          <w:fldData xml:space="preserve">PEVuZE5vdGU+PENpdGU+PEF1dGhvcj5BbGlwb3VyLUZhejwvQXV0aG9yPjxZZWFyPjIwMTc8L1ll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eS5jb20vY2VudHJhbC9kb2kvMTAuMTAwMi9jZW50cmFsL0NOLTAwODAwMDg0L2Z1bGw8L3VybD48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</w:fldData>
        </w:fldChar>
      </w:r>
      <w:r w:rsidR="007F4CDE" w:rsidRPr="007D1918">
        <w:instrText xml:space="preserve"> ADDIN EN.CITE </w:instrText>
      </w:r>
      <w:r w:rsidR="007F4CDE" w:rsidRPr="007D1918">
        <w:fldChar w:fldCharType="begin">
          <w:fldData xml:space="preserve">PEVuZE5vdGU+PENpdGU+PEF1dGhvcj5BbGlwb3VyLUZhejwvQXV0aG9yPjxZZWFyPjIwMTc8L1ll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eS5jb20vY2VudHJhbC9kb2kvMTAuMTAwMi9jZW50cmFsL0NOLTAwODAwMDg0L2Z1bGw8L3VybD48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</w:fldData>
        </w:fldChar>
      </w:r>
      <w:r w:rsidR="007F4CDE" w:rsidRPr="007D1918">
        <w:instrText xml:space="preserve"> ADDIN EN.CITE.DATA </w:instrText>
      </w:r>
      <w:r w:rsidR="007F4CDE" w:rsidRPr="007D1918">
        <w:fldChar w:fldCharType="end"/>
      </w:r>
      <w:r w:rsidR="003736AC" w:rsidRPr="007D1918">
        <w:fldChar w:fldCharType="separate"/>
      </w:r>
      <w:r w:rsidR="001A0E53" w:rsidRPr="007D1918">
        <w:rPr>
          <w:noProof/>
        </w:rPr>
        <w:t>(</w:t>
      </w:r>
      <w:hyperlink w:anchor="_ENREF_4" w:tooltip="Alipour-Faz, 2017 #64" w:history="1">
        <w:r w:rsidR="007D4948" w:rsidRPr="007D1918">
          <w:rPr>
            <w:noProof/>
          </w:rPr>
          <w:t>Alipour-Faz et al. 2017</w:t>
        </w:r>
      </w:hyperlink>
      <w:r w:rsidR="001A0E53" w:rsidRPr="007D1918">
        <w:rPr>
          <w:noProof/>
        </w:rPr>
        <w:t xml:space="preserve">; </w:t>
      </w:r>
      <w:hyperlink w:anchor="_ENREF_8" w:tooltip="Barth, 2011 #48" w:history="1">
        <w:r w:rsidR="007D4948" w:rsidRPr="007D1918">
          <w:rPr>
            <w:noProof/>
          </w:rPr>
          <w:t>Barth et al. 2011</w:t>
        </w:r>
      </w:hyperlink>
      <w:r w:rsidR="001A0E53" w:rsidRPr="007D1918">
        <w:rPr>
          <w:noProof/>
        </w:rPr>
        <w:t xml:space="preserve">; </w:t>
      </w:r>
      <w:hyperlink w:anchor="_ENREF_28" w:tooltip="Gajdos, 1997 #45" w:history="1">
        <w:r w:rsidR="007D4948" w:rsidRPr="007D1918">
          <w:rPr>
            <w:noProof/>
          </w:rPr>
          <w:t>Gajdos et al. 1997</w:t>
        </w:r>
      </w:hyperlink>
      <w:r w:rsidR="001A0E53" w:rsidRPr="007D1918">
        <w:rPr>
          <w:noProof/>
        </w:rPr>
        <w:t xml:space="preserve">; </w:t>
      </w:r>
      <w:hyperlink w:anchor="_ENREF_35" w:tooltip="Gajdos, 2005 #14" w:history="1">
        <w:r w:rsidR="007D4948" w:rsidRPr="007D1918">
          <w:rPr>
            <w:noProof/>
          </w:rPr>
          <w:t>Gajdos et al. 2005</w:t>
        </w:r>
      </w:hyperlink>
      <w:r w:rsidR="001A0E53" w:rsidRPr="007D1918">
        <w:rPr>
          <w:noProof/>
        </w:rPr>
        <w:t xml:space="preserve">; </w:t>
      </w:r>
      <w:hyperlink w:anchor="_ENREF_40" w:tooltip="Griffin, 2017 #62" w:history="1">
        <w:r w:rsidR="007D4948" w:rsidRPr="007D1918">
          <w:rPr>
            <w:noProof/>
          </w:rPr>
          <w:t>Griffin et al. 2017b</w:t>
        </w:r>
      </w:hyperlink>
      <w:r w:rsidR="001A0E53" w:rsidRPr="007D1918">
        <w:rPr>
          <w:noProof/>
        </w:rPr>
        <w:t xml:space="preserve">; </w:t>
      </w:r>
      <w:hyperlink w:anchor="_ENREF_63" w:tooltip="Liu, 2010 #56" w:history="1">
        <w:r w:rsidR="007D4948" w:rsidRPr="007D1918">
          <w:rPr>
            <w:noProof/>
          </w:rPr>
          <w:t>Liu et al. 2010</w:t>
        </w:r>
      </w:hyperlink>
      <w:r w:rsidR="001A0E53" w:rsidRPr="007D1918">
        <w:rPr>
          <w:noProof/>
        </w:rPr>
        <w:t xml:space="preserve">; </w:t>
      </w:r>
      <w:hyperlink w:anchor="_ENREF_83" w:tooltip="Rønager, 2001 #41" w:history="1">
        <w:r w:rsidR="007D4948" w:rsidRPr="007D1918">
          <w:rPr>
            <w:noProof/>
          </w:rPr>
          <w:t>Rønager et al. 2001</w:t>
        </w:r>
      </w:hyperlink>
      <w:r w:rsidR="001A0E53" w:rsidRPr="007D1918">
        <w:rPr>
          <w:noProof/>
        </w:rPr>
        <w:t xml:space="preserve">; </w:t>
      </w:r>
      <w:hyperlink w:anchor="_ENREF_109" w:tooltip="Zinman, 2007 #44" w:history="1">
        <w:r w:rsidR="007D4948" w:rsidRPr="007D1918">
          <w:rPr>
            <w:noProof/>
          </w:rPr>
          <w:t>Zinman, Ng &amp; Bril 2007</w:t>
        </w:r>
      </w:hyperlink>
      <w:r w:rsidR="001A0E53" w:rsidRPr="007D1918">
        <w:rPr>
          <w:noProof/>
        </w:rPr>
        <w:t>)</w:t>
      </w:r>
      <w:r w:rsidR="003736AC" w:rsidRPr="007D1918">
        <w:fldChar w:fldCharType="end"/>
      </w:r>
      <w:r w:rsidRPr="007D1918">
        <w:t>. One of these was not yet published in the peer reviewed literature, but the authors had entered relevant data on clinicaltrials.gov</w:t>
      </w:r>
      <w:r w:rsidR="00B91198" w:rsidRPr="007D1918">
        <w:t xml:space="preserve"> </w:t>
      </w:r>
      <w:r w:rsidR="00751241" w:rsidRPr="007D1918">
        <w:t xml:space="preserve">and had published a related meeting abstract </w:t>
      </w:r>
      <w:r w:rsidR="003736AC"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 </w:instrText>
      </w:r>
      <w:r w:rsidR="00C437BA"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EN.CITE.DATA </w:instrText>
      </w:r>
      <w:r w:rsidR="00C437BA" w:rsidRPr="007D1918">
        <w:fldChar w:fldCharType="end"/>
      </w:r>
      <w:r w:rsidR="003736AC" w:rsidRPr="007D1918">
        <w:fldChar w:fldCharType="separate"/>
      </w:r>
      <w:r w:rsidR="003736AC" w:rsidRPr="007D1918">
        <w:rPr>
          <w:noProof/>
        </w:rPr>
        <w:t>(</w:t>
      </w:r>
      <w:hyperlink w:anchor="_ENREF_40" w:tooltip="Griffin, 2017 #62" w:history="1">
        <w:r w:rsidR="007D4948" w:rsidRPr="007D1918">
          <w:rPr>
            <w:noProof/>
          </w:rPr>
          <w:t>Griffin et al. 2017b</w:t>
        </w:r>
      </w:hyperlink>
      <w:r w:rsidR="003736AC" w:rsidRPr="007D1918">
        <w:rPr>
          <w:noProof/>
        </w:rPr>
        <w:t>)</w:t>
      </w:r>
      <w:r w:rsidR="003736AC" w:rsidRPr="007D1918">
        <w:fldChar w:fldCharType="end"/>
      </w:r>
      <w:r w:rsidRPr="007D1918">
        <w:t xml:space="preserve">. </w:t>
      </w:r>
      <w:r w:rsidR="00624213" w:rsidRPr="007D1918">
        <w:t>Two further studies by Gaj</w:t>
      </w:r>
      <w:r w:rsidR="004F4CD6" w:rsidRPr="007D1918">
        <w:t>do</w:t>
      </w:r>
      <w:r w:rsidR="00624213" w:rsidRPr="007D1918">
        <w:t xml:space="preserve">s et al </w:t>
      </w:r>
      <w:r w:rsidR="003736AC" w:rsidRPr="007D1918">
        <w:fldChar w:fldCharType="begin"/>
      </w:r>
      <w:r w:rsidR="00C437BA" w:rsidRPr="007D1918">
        <w:instrText xml:space="preserve"> ADDIN EN.CITE &lt;EndNote&gt;&lt;Cite&gt;&lt;Author&gt;Gajdos&lt;/Author&gt;&lt;Year&gt;1998&lt;/Year&gt;&lt;RecNum&gt;46&lt;/RecNum&gt;&lt;DisplayText&gt;(Gajdos et al. 1998)&lt;/DisplayText&gt;&lt;record&gt;&lt;rec-number&gt;46&lt;/rec-number&gt;&lt;foreign-keys&gt;&lt;key app="EN" db-id="2aevrx2slsts5ve9sdavatf125dsx0av2v9d" timestamp="1562810981"&gt;46&lt;/key&gt;&lt;/foreign-keys&gt;&lt;ref-type name="Journal Article"&gt;17&lt;/ref-type&gt;&lt;contributors&gt;&lt;authors&gt;&lt;author&gt;Gajdos, P.&lt;/author&gt;&lt;author&gt;Chevret, S.&lt;/author&gt;&lt;author&gt;Clair, B.&lt;/author&gt;&lt;author&gt;Tranchant, C.&lt;/author&gt;&lt;author&gt;Chastang, C.&lt;/author&gt;&lt;/authors&gt;&lt;/contributors&gt;&lt;titles&gt;&lt;title&gt;Plasma exchange and intravenous immunoglobulin in autoimmune myasthenia gravis&lt;/title&gt;&lt;secondary-title&gt;Annals of the new york academy of sciences&lt;/secondary-title&gt;&lt;/titles&gt;&lt;periodical&gt;&lt;full-title&gt;Annals of the new york academy of sciences&lt;/full-title&gt;&lt;/periodical&gt;&lt;pages&gt;720‐726&lt;/pages&gt;&lt;volume&gt;841&lt;/volume&gt;&lt;keywords&gt;&lt;keyword&gt;Clinical Protocols&lt;/keyword&gt;&lt;keyword&gt;Confidence Intervals&lt;/keyword&gt;&lt;keyword&gt;Humans&lt;/keyword&gt;&lt;keyword&gt;Immunoglobulins, Intravenous [adverse effects, *therapeutic use]&lt;/keyword&gt;&lt;keyword&gt;Myasthenia Gravis [*therapy]&lt;/keyword&gt;&lt;keyword&gt;Plasma Exchange [adverse effects]&lt;/keyword&gt;&lt;keyword&gt;Time Factors&lt;/keyword&gt;&lt;/keywords&gt;&lt;dates&gt;&lt;year&gt;1998&lt;/year&gt;&lt;/dates&gt;&lt;accession-num&gt;CN-00687779&lt;/accession-num&gt;&lt;work-type&gt;Clinical Trial; Comparative Study; Journal Article; Randomized Controlled Trial; Research Support, Non‐U.S. Gov&amp;apos;t&lt;/work-type&gt;&lt;urls&gt;&lt;related-urls&gt;&lt;url&gt;https://www.cochranelibrary.com/central/doi/10.1002/central/CN-00687779/full&lt;/url&gt;&lt;url&gt;https://nyaspubs.onlinelibrary.wiley.com/doi/pdf/10.1111/j.1749-6632.1998.tb11008.x&lt;/url&gt;&lt;/related-urls&gt;&lt;/urls&gt;&lt;custom3&gt;PUBMED 9668320&lt;/custom3&gt;&lt;/record&gt;&lt;/Cite&gt;&lt;/EndNote&gt;</w:instrText>
      </w:r>
      <w:r w:rsidR="003736AC" w:rsidRPr="007D1918">
        <w:fldChar w:fldCharType="separate"/>
      </w:r>
      <w:r w:rsidR="008131CF" w:rsidRPr="007D1918">
        <w:rPr>
          <w:noProof/>
        </w:rPr>
        <w:t>(</w:t>
      </w:r>
      <w:hyperlink w:anchor="_ENREF_29" w:tooltip="Gajdos, 1998 #46" w:history="1">
        <w:r w:rsidR="007D4948" w:rsidRPr="007D1918">
          <w:rPr>
            <w:noProof/>
          </w:rPr>
          <w:t>Gajdos et al. 1998</w:t>
        </w:r>
      </w:hyperlink>
      <w:r w:rsidR="008131CF" w:rsidRPr="007D1918">
        <w:rPr>
          <w:noProof/>
        </w:rPr>
        <w:t>)</w:t>
      </w:r>
      <w:r w:rsidR="003736AC" w:rsidRPr="007D1918">
        <w:fldChar w:fldCharType="end"/>
      </w:r>
      <w:r w:rsidR="00624213" w:rsidRPr="007D1918">
        <w:t xml:space="preserve"> and Barnett et al </w:t>
      </w:r>
      <w:r w:rsidR="003736AC" w:rsidRPr="007D1918">
        <w:fldChar w:fldCharType="begin"/>
      </w:r>
      <w:r w:rsidR="00C437BA" w:rsidRPr="007D1918">
        <w:instrText xml:space="preserve"> ADDIN EN.CITE &lt;EndNote&gt;&lt;Cite&gt;&lt;Author&gt;Barnett&lt;/Author&gt;&lt;Year&gt;2013&lt;/Year&gt;&lt;RecNum&gt;18&lt;/RecNum&gt;&lt;DisplayText&gt;(Barnett et al. 2013)&lt;/DisplayText&gt;&lt;record&gt;&lt;rec-number&gt;18&lt;/rec-number&gt;&lt;foreign-keys&gt;&lt;key app="EN" db-id="2aevrx2slsts5ve9sdavatf125dsx0av2v9d" timestamp="1558070750"&gt;18&lt;/key&gt;&lt;/foreign-keys&gt;&lt;ref-type name="Journal Article"&gt;17&lt;/ref-type&gt;&lt;contributors&gt;&lt;authors&gt;&lt;author&gt;Barnett, C.&lt;/author&gt;&lt;author&gt;Wilson, G.&lt;/author&gt;&lt;author&gt;Barth, D.&lt;/author&gt;&lt;author&gt;Katzberg, H. D.&lt;/author&gt;&lt;author&gt;Bril, V.&lt;/author&gt;&lt;/authors&gt;&lt;/contributors&gt;&lt;titles&gt;&lt;title&gt;Changes in quality of life scores with intravenous immunoglobulin or plasmapheresis in patients with myasthenia gravis&lt;/title&gt;&lt;secondary-title&gt;Journal of neurology, neurosurgery, and psychiatry&lt;/secondary-title&gt;&lt;/titles&gt;&lt;periodical&gt;&lt;full-title&gt;Journal of neurology, neurosurgery, and psychiatry&lt;/full-title&gt;&lt;/periodical&gt;&lt;pages&gt;94‐97&lt;/pages&gt;&lt;volume&gt;84&lt;/volume&gt;&lt;number&gt;1&lt;/number&gt;&lt;keywords&gt;&lt;keyword&gt;Female&lt;/keyword&gt;&lt;keyword&gt;Humans&lt;/keyword&gt;&lt;keyword&gt;Immunoglobulins, Intravenous [*therapeutic use]&lt;/keyword&gt;&lt;keyword&gt;Immunologic Factors [therapeutic use]&lt;/keyword&gt;&lt;keyword&gt;Male&lt;/keyword&gt;&lt;keyword&gt;Middle Aged&lt;/keyword&gt;&lt;keyword&gt;Myasthenia Gravis [*drug therapy, psychology, *therapy]&lt;/keyword&gt;&lt;keyword&gt;Plasmapheresis [methods, *psychology]&lt;/keyword&gt;&lt;keyword&gt;Quality of Life [*psychology]&lt;/keyword&gt;&lt;keyword&gt;Single‐Blind Method&lt;/keyword&gt;&lt;keyword&gt;Surveys and Questionnaires&lt;/keyword&gt;&lt;/keywords&gt;&lt;dates&gt;&lt;year&gt;2013&lt;/year&gt;&lt;/dates&gt;&lt;accession-num&gt;CN-00841730&lt;/accession-num&gt;&lt;work-type&gt;Journal Article; Randomized Controlled Trial&lt;/work-type&gt;&lt;urls&gt;&lt;related-urls&gt;&lt;url&gt;https://www.cochranelibrary.com/central/doi/10.1002/central/CN-00841730/full&lt;/url&gt;&lt;url&gt;https://jnnp.bmj.com/content/jnnp/84/1/94.full.pdf&lt;/url&gt;&lt;/related-urls&gt;&lt;/urls&gt;&lt;custom3&gt;PUBMED 23154126&lt;/custom3&gt;&lt;electronic-resource-num&gt;10.1136/jnnp-2011-301449&lt;/electronic-resource-num&gt;&lt;/record&gt;&lt;/Cite&gt;&lt;/EndNote&gt;</w:instrText>
      </w:r>
      <w:r w:rsidR="003736AC" w:rsidRPr="007D1918">
        <w:fldChar w:fldCharType="separate"/>
      </w:r>
      <w:r w:rsidR="008131CF" w:rsidRPr="007D1918">
        <w:rPr>
          <w:noProof/>
        </w:rPr>
        <w:t>(</w:t>
      </w:r>
      <w:hyperlink w:anchor="_ENREF_7" w:tooltip="Barnett, 2013 #18" w:history="1">
        <w:r w:rsidR="007D4948" w:rsidRPr="007D1918">
          <w:rPr>
            <w:noProof/>
          </w:rPr>
          <w:t>Barnett et al. 2013</w:t>
        </w:r>
      </w:hyperlink>
      <w:r w:rsidR="008131CF" w:rsidRPr="007D1918">
        <w:rPr>
          <w:noProof/>
        </w:rPr>
        <w:t>)</w:t>
      </w:r>
      <w:r w:rsidR="003736AC" w:rsidRPr="007D1918">
        <w:fldChar w:fldCharType="end"/>
      </w:r>
      <w:r w:rsidR="00624213" w:rsidRPr="007D1918">
        <w:t xml:space="preserve"> contributed additional data </w:t>
      </w:r>
      <w:r w:rsidR="004F4CD6" w:rsidRPr="007D1918">
        <w:t>to</w:t>
      </w:r>
      <w:r w:rsidR="00624213" w:rsidRPr="007D1918">
        <w:t xml:space="preserve"> the RCTs by Gajdos et al, 1997 and Barth et al, 2011 respectively. </w:t>
      </w:r>
      <w:r w:rsidR="00E549F3" w:rsidRPr="007D1918">
        <w:t xml:space="preserve">The published RCTs ranged in risk of bias from low to high. The high risk of bias RCTs tended not to be blinded, had poor randomisation methods, or did not reach their participant quotas and so lacked power. One RCT </w:t>
      </w:r>
      <w:r w:rsidR="004F4CD6" w:rsidRPr="007D1918">
        <w:t>with</w:t>
      </w:r>
      <w:r w:rsidR="00E549F3" w:rsidRPr="007D1918">
        <w:t xml:space="preserve"> high risk of bias </w:t>
      </w:r>
      <w:r w:rsidR="004F4CD6" w:rsidRPr="007D1918">
        <w:t>used</w:t>
      </w:r>
      <w:r w:rsidR="00E549F3" w:rsidRPr="007D1918">
        <w:t xml:space="preserve"> a cross-over design and included </w:t>
      </w:r>
      <w:r w:rsidR="00C12C6A" w:rsidRPr="007D1918">
        <w:t xml:space="preserve">only </w:t>
      </w:r>
      <w:r w:rsidR="00E549F3" w:rsidRPr="007D1918">
        <w:t>12 patients who received both treatments with an observation period between them</w:t>
      </w:r>
      <w:r w:rsidR="00987CAE" w:rsidRPr="007D1918">
        <w:t xml:space="preserve"> </w:t>
      </w:r>
      <w:r w:rsidR="003736AC"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 </w:instrText>
      </w:r>
      <w:r w:rsidR="007F4CDE"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EN.CITE.DATA </w:instrText>
      </w:r>
      <w:r w:rsidR="007F4CDE" w:rsidRPr="007D1918">
        <w:fldChar w:fldCharType="end"/>
      </w:r>
      <w:r w:rsidR="003736AC" w:rsidRPr="007D1918">
        <w:fldChar w:fldCharType="separate"/>
      </w:r>
      <w:r w:rsidR="003736AC" w:rsidRPr="007D1918">
        <w:rPr>
          <w:noProof/>
        </w:rPr>
        <w:t>(</w:t>
      </w:r>
      <w:hyperlink w:anchor="_ENREF_83" w:tooltip="Rønager, 2001 #41" w:history="1">
        <w:r w:rsidR="007D4948" w:rsidRPr="007D1918">
          <w:rPr>
            <w:noProof/>
          </w:rPr>
          <w:t>Rønager et al. 2001</w:t>
        </w:r>
      </w:hyperlink>
      <w:r w:rsidR="003736AC" w:rsidRPr="007D1918">
        <w:rPr>
          <w:noProof/>
        </w:rPr>
        <w:t>)</w:t>
      </w:r>
      <w:r w:rsidR="003736AC" w:rsidRPr="007D1918">
        <w:fldChar w:fldCharType="end"/>
      </w:r>
      <w:r w:rsidR="00E549F3" w:rsidRPr="007D1918">
        <w:t xml:space="preserve">. </w:t>
      </w:r>
    </w:p>
    <w:p w14:paraId="2EE80D65" w14:textId="358F7CA2" w:rsidR="00E549F3" w:rsidRPr="007D1918" w:rsidRDefault="00792A81" w:rsidP="00BC09F3">
      <w:pPr>
        <w:jc w:val="both"/>
      </w:pPr>
      <w:r w:rsidRPr="007D1918">
        <w:t>Nine</w:t>
      </w:r>
      <w:r w:rsidR="00624213" w:rsidRPr="007D1918">
        <w:t xml:space="preserve"> </w:t>
      </w:r>
      <w:r w:rsidR="00E549F3" w:rsidRPr="007D1918">
        <w:t xml:space="preserve">comparative cohort studies </w:t>
      </w:r>
      <w:r w:rsidR="004F4CD6" w:rsidRPr="007D1918">
        <w:t xml:space="preserve">(level III-2) </w:t>
      </w:r>
      <w:r w:rsidR="00E549F3" w:rsidRPr="007D1918">
        <w:t xml:space="preserve">were included for </w:t>
      </w:r>
      <w:r w:rsidR="00AB2E23" w:rsidRPr="007D1918">
        <w:t>evidence</w:t>
      </w:r>
      <w:r w:rsidR="00987CAE" w:rsidRPr="007D1918">
        <w:t xml:space="preserve"> </w:t>
      </w:r>
      <w:r w:rsidR="003736AC" w:rsidRPr="007D1918">
        <w:fldChar w:fldCharType="begin">
          <w:fldData xml:space="preserve">PEVuZE5vdGU+PENpdGU+PEF1dGhvcj5MaWV3PC9BdXRob3I+PFllYXI+MjAxNDwvWWVhcj48UmVj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</w:fldData>
        </w:fldChar>
      </w:r>
      <w:r w:rsidR="007F4CDE" w:rsidRPr="007D1918">
        <w:instrText xml:space="preserve"> ADDIN EN.CITE </w:instrText>
      </w:r>
      <w:r w:rsidR="007F4CDE" w:rsidRPr="007D1918">
        <w:fldChar w:fldCharType="begin">
          <w:fldData xml:space="preserve">PEVuZE5vdGU+PENpdGU+PEF1dGhvcj5MaWV3PC9BdXRob3I+PFllYXI+MjAxNDwvWWVhcj48UmVj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</w:fldData>
        </w:fldChar>
      </w:r>
      <w:r w:rsidR="007F4CDE" w:rsidRPr="007D1918">
        <w:instrText xml:space="preserve"> ADDIN EN.CITE.DATA </w:instrText>
      </w:r>
      <w:r w:rsidR="007F4CDE" w:rsidRPr="007D1918">
        <w:fldChar w:fldCharType="end"/>
      </w:r>
      <w:r w:rsidR="003736AC" w:rsidRPr="007D1918">
        <w:fldChar w:fldCharType="separate"/>
      </w:r>
      <w:r w:rsidR="00F91F48" w:rsidRPr="007D1918">
        <w:rPr>
          <w:noProof/>
        </w:rPr>
        <w:t>(</w:t>
      </w:r>
      <w:hyperlink w:anchor="_ENREF_56" w:tooltip="Jensen, 2008 #13" w:history="1">
        <w:r w:rsidR="007D4948" w:rsidRPr="007D1918">
          <w:rPr>
            <w:noProof/>
          </w:rPr>
          <w:t>Jensen &amp; Bril 2008</w:t>
        </w:r>
      </w:hyperlink>
      <w:r w:rsidR="00F91F48" w:rsidRPr="007D1918">
        <w:rPr>
          <w:noProof/>
        </w:rPr>
        <w:t xml:space="preserve">; </w:t>
      </w:r>
      <w:hyperlink w:anchor="_ENREF_60" w:tooltip="Leuzzi, 2014 #63" w:history="1">
        <w:r w:rsidR="007D4948" w:rsidRPr="007D1918">
          <w:rPr>
            <w:noProof/>
          </w:rPr>
          <w:t>Leuzzi et al. 2014</w:t>
        </w:r>
      </w:hyperlink>
      <w:r w:rsidR="00F91F48" w:rsidRPr="007D1918">
        <w:rPr>
          <w:noProof/>
        </w:rPr>
        <w:t xml:space="preserve">; </w:t>
      </w:r>
      <w:hyperlink w:anchor="_ENREF_62" w:tooltip="Liew, 2014 #55" w:history="1">
        <w:r w:rsidR="007D4948" w:rsidRPr="007D1918">
          <w:rPr>
            <w:noProof/>
          </w:rPr>
          <w:t>Liew et al. 2014</w:t>
        </w:r>
      </w:hyperlink>
      <w:r w:rsidR="00F91F48" w:rsidRPr="007D1918">
        <w:rPr>
          <w:noProof/>
        </w:rPr>
        <w:t xml:space="preserve">; </w:t>
      </w:r>
      <w:hyperlink w:anchor="_ENREF_64" w:tooltip="Mandawat, 2010 #37" w:history="1">
        <w:r w:rsidR="007D4948" w:rsidRPr="007D1918">
          <w:rPr>
            <w:noProof/>
          </w:rPr>
          <w:t>Mandawat et al. 2010</w:t>
        </w:r>
      </w:hyperlink>
      <w:r w:rsidR="00F91F48" w:rsidRPr="007D1918">
        <w:rPr>
          <w:noProof/>
        </w:rPr>
        <w:t xml:space="preserve">; </w:t>
      </w:r>
      <w:hyperlink w:anchor="_ENREF_68" w:tooltip="Murthy, 2005 #38" w:history="1">
        <w:r w:rsidR="007D4948" w:rsidRPr="007D1918">
          <w:rPr>
            <w:noProof/>
          </w:rPr>
          <w:t>Murthy et al. 2005</w:t>
        </w:r>
      </w:hyperlink>
      <w:r w:rsidR="00F91F48" w:rsidRPr="007D1918">
        <w:rPr>
          <w:noProof/>
        </w:rPr>
        <w:t xml:space="preserve">; </w:t>
      </w:r>
      <w:hyperlink w:anchor="_ENREF_76" w:tooltip="Panda, 2004 #39" w:history="1">
        <w:r w:rsidR="007D4948" w:rsidRPr="007D1918">
          <w:rPr>
            <w:noProof/>
          </w:rPr>
          <w:t>Panda et al. 2004</w:t>
        </w:r>
      </w:hyperlink>
      <w:r w:rsidR="00F91F48" w:rsidRPr="007D1918">
        <w:rPr>
          <w:noProof/>
        </w:rPr>
        <w:t xml:space="preserve">; </w:t>
      </w:r>
      <w:hyperlink w:anchor="_ENREF_79" w:tooltip="Pittayanon, 2009 #86" w:history="1">
        <w:r w:rsidR="007D4948" w:rsidRPr="007D1918">
          <w:rPr>
            <w:noProof/>
          </w:rPr>
          <w:t>Pittayanon, Treeprasertsuk &amp; Phanthumchinda 2009</w:t>
        </w:r>
      </w:hyperlink>
      <w:r w:rsidR="00F91F48" w:rsidRPr="007D1918">
        <w:rPr>
          <w:noProof/>
        </w:rPr>
        <w:t xml:space="preserve">; </w:t>
      </w:r>
      <w:hyperlink w:anchor="_ENREF_80" w:tooltip="Qureshi, 1999 #40" w:history="1">
        <w:r w:rsidR="007D4948" w:rsidRPr="007D1918">
          <w:rPr>
            <w:noProof/>
          </w:rPr>
          <w:t>Qureshi et al. 1999</w:t>
        </w:r>
      </w:hyperlink>
      <w:r w:rsidR="00F91F48" w:rsidRPr="007D1918">
        <w:rPr>
          <w:noProof/>
        </w:rPr>
        <w:t xml:space="preserve">; </w:t>
      </w:r>
      <w:hyperlink w:anchor="_ENREF_104" w:tooltip="Wang, 2016 #43" w:history="1">
        <w:r w:rsidR="007D4948" w:rsidRPr="007D1918">
          <w:rPr>
            <w:noProof/>
          </w:rPr>
          <w:t>Wang et al. 2016</w:t>
        </w:r>
      </w:hyperlink>
      <w:r w:rsidR="00F91F48" w:rsidRPr="007D1918">
        <w:rPr>
          <w:noProof/>
        </w:rPr>
        <w:t>)</w:t>
      </w:r>
      <w:r w:rsidR="003736AC" w:rsidRPr="007D1918">
        <w:fldChar w:fldCharType="end"/>
      </w:r>
      <w:r w:rsidR="00E549F3" w:rsidRPr="007D1918">
        <w:t>. The majority were retrospective in design. These studies were rated as moderate or high risk of bias. The studies tended to be very small</w:t>
      </w:r>
      <w:r w:rsidR="00AB2E23" w:rsidRPr="007D1918">
        <w:t xml:space="preserve">, and it was not possible to rule out selection bias within some of them. </w:t>
      </w:r>
      <w:r w:rsidR="00987CAE" w:rsidRPr="007D1918">
        <w:t xml:space="preserve">One exception was a moderate quality study which included data from 1,606 MG patients, however some study characteristics were not well described and selection bias was a likely confounder </w:t>
      </w:r>
      <w:r w:rsidR="003736AC"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3736AC" w:rsidRPr="007D1918">
        <w:fldChar w:fldCharType="separate"/>
      </w:r>
      <w:r w:rsidR="003736AC" w:rsidRPr="007D1918">
        <w:rPr>
          <w:noProof/>
        </w:rPr>
        <w:t>(</w:t>
      </w:r>
      <w:hyperlink w:anchor="_ENREF_64" w:tooltip="Mandawat, 2010 #37" w:history="1">
        <w:r w:rsidR="007D4948" w:rsidRPr="007D1918">
          <w:rPr>
            <w:noProof/>
          </w:rPr>
          <w:t>Mandawat et al. 2010</w:t>
        </w:r>
      </w:hyperlink>
      <w:r w:rsidR="003736AC" w:rsidRPr="007D1918">
        <w:rPr>
          <w:noProof/>
        </w:rPr>
        <w:t>)</w:t>
      </w:r>
      <w:r w:rsidR="003736AC" w:rsidRPr="007D1918">
        <w:fldChar w:fldCharType="end"/>
      </w:r>
      <w:r w:rsidR="00987CAE" w:rsidRPr="007D1918">
        <w:t xml:space="preserve">. </w:t>
      </w:r>
      <w:r w:rsidR="00AB2E23" w:rsidRPr="007D1918">
        <w:t>In most of the cohort studies the pop</w:t>
      </w:r>
      <w:r w:rsidR="000C1341" w:rsidRPr="007D1918">
        <w:t>ulations could be identified as</w:t>
      </w:r>
      <w:r w:rsidR="0088065E" w:rsidRPr="007D1918">
        <w:t xml:space="preserve"> </w:t>
      </w:r>
      <w:r w:rsidR="000C1341" w:rsidRPr="007D1918">
        <w:t>Indication 1, 2 or 3</w:t>
      </w:r>
      <w:r w:rsidR="00AB2E23" w:rsidRPr="007D1918">
        <w:t xml:space="preserve"> </w:t>
      </w:r>
      <w:r w:rsidR="000C1341" w:rsidRPr="007D1918">
        <w:t>according to</w:t>
      </w:r>
      <w:r w:rsidR="004F4CD6" w:rsidRPr="007D1918">
        <w:t xml:space="preserve"> </w:t>
      </w:r>
      <w:r w:rsidR="004F4CD6" w:rsidRPr="007D1918">
        <w:rPr>
          <w:i/>
        </w:rPr>
        <w:t>Criteria V3</w:t>
      </w:r>
      <w:r w:rsidR="000C1341" w:rsidRPr="007D1918">
        <w:rPr>
          <w:i/>
        </w:rPr>
        <w:t>,</w:t>
      </w:r>
      <w:r w:rsidR="004F4CD6" w:rsidRPr="007D1918">
        <w:t xml:space="preserve"> </w:t>
      </w:r>
      <w:r w:rsidR="00AB2E23" w:rsidRPr="007D1918">
        <w:t xml:space="preserve">which enabled most of the outcomes </w:t>
      </w:r>
      <w:r w:rsidR="00624213" w:rsidRPr="007D1918">
        <w:t xml:space="preserve">listed in the PICO Confirmation to be </w:t>
      </w:r>
      <w:r w:rsidR="00AB2E23" w:rsidRPr="007D1918">
        <w:t>assessed.</w:t>
      </w:r>
    </w:p>
    <w:p w14:paraId="235F206E" w14:textId="5E70BA83" w:rsidR="00AB2E23" w:rsidRPr="007D1918" w:rsidRDefault="00624213" w:rsidP="00D37B08">
      <w:pPr>
        <w:jc w:val="both"/>
      </w:pPr>
      <w:r w:rsidRPr="007D1918">
        <w:t>Seven</w:t>
      </w:r>
      <w:r w:rsidR="00AB2E23" w:rsidRPr="007D1918">
        <w:t xml:space="preserve"> case series were included where there was </w:t>
      </w:r>
      <w:r w:rsidR="00BF4322" w:rsidRPr="007D1918">
        <w:t>a lack of</w:t>
      </w:r>
      <w:r w:rsidR="00AB2E23" w:rsidRPr="007D1918">
        <w:t xml:space="preserve"> evidence in </w:t>
      </w:r>
      <w:r w:rsidRPr="007D1918">
        <w:t>a</w:t>
      </w:r>
      <w:r w:rsidR="00AB2E23" w:rsidRPr="007D1918">
        <w:t xml:space="preserve"> population of interest (for example patients </w:t>
      </w:r>
      <w:r w:rsidR="0075139C" w:rsidRPr="007D1918">
        <w:t>receiving SCIg</w:t>
      </w:r>
      <w:r w:rsidR="00AB2E23" w:rsidRPr="007D1918">
        <w:t>). The case series reported before and after IVIg treatment data and were well conducted and reported</w:t>
      </w:r>
      <w:r w:rsidR="00CF2DBA" w:rsidRPr="007D1918">
        <w:t>, however the case numbers were small</w:t>
      </w:r>
      <w:r w:rsidR="00987CAE" w:rsidRPr="007D1918">
        <w:t xml:space="preserve"> (n = 9 to 52)</w:t>
      </w:r>
      <w:r w:rsidR="00AB2E23" w:rsidRPr="007D1918">
        <w:t>. They were all rated low for risk of bias</w:t>
      </w:r>
      <w:r w:rsidR="00987CAE" w:rsidRPr="007D1918">
        <w:t xml:space="preserve"> </w:t>
      </w:r>
      <w:r w:rsidR="003736AC" w:rsidRPr="007D1918">
        <w:fldChar w:fldCharType="begin">
          <w:fldData xml:space="preserve">PEVuZE5vdGU+PENpdGU+PEF1dGhvcj5CZWVjaGVyPC9BdXRob3I+PFllYXI+MjAxNzwvWWVhcj48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</w:fldData>
        </w:fldChar>
      </w:r>
      <w:r w:rsidR="007F4CDE" w:rsidRPr="007D1918">
        <w:instrText xml:space="preserve"> ADDIN EN.CITE </w:instrText>
      </w:r>
      <w:r w:rsidR="007F4CDE" w:rsidRPr="007D1918">
        <w:fldChar w:fldCharType="begin">
          <w:fldData xml:space="preserve">PEVuZE5vdGU+PENpdGU+PEF1dGhvcj5CZWVjaGVyPC9BdXRob3I+PFllYXI+MjAxNzwvWWVhcj48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</w:fldData>
        </w:fldChar>
      </w:r>
      <w:r w:rsidR="007F4CDE" w:rsidRPr="007D1918">
        <w:instrText xml:space="preserve"> ADDIN EN.CITE.DATA </w:instrText>
      </w:r>
      <w:r w:rsidR="007F4CDE" w:rsidRPr="007D1918">
        <w:fldChar w:fldCharType="end"/>
      </w:r>
      <w:r w:rsidR="003736AC" w:rsidRPr="007D1918">
        <w:fldChar w:fldCharType="separate"/>
      </w:r>
      <w:r w:rsidR="003736AC" w:rsidRPr="007D1918">
        <w:rPr>
          <w:noProof/>
        </w:rPr>
        <w:t>(</w:t>
      </w:r>
      <w:hyperlink w:anchor="_ENREF_9" w:tooltip="Beecher, 2017 #49" w:history="1">
        <w:r w:rsidR="007D4948" w:rsidRPr="007D1918">
          <w:rPr>
            <w:noProof/>
          </w:rPr>
          <w:t>Beecher, Anderson &amp; Siddiqi 2017</w:t>
        </w:r>
      </w:hyperlink>
      <w:r w:rsidR="003736AC" w:rsidRPr="007D1918">
        <w:rPr>
          <w:noProof/>
        </w:rPr>
        <w:t xml:space="preserve">; </w:t>
      </w:r>
      <w:hyperlink w:anchor="_ENREF_12" w:tooltip="Bourque, 2016 #50" w:history="1">
        <w:r w:rsidR="007D4948" w:rsidRPr="007D1918">
          <w:rPr>
            <w:noProof/>
          </w:rPr>
          <w:t>Bourque et al. 2016</w:t>
        </w:r>
      </w:hyperlink>
      <w:r w:rsidR="003736AC" w:rsidRPr="007D1918">
        <w:rPr>
          <w:noProof/>
        </w:rPr>
        <w:t xml:space="preserve">; </w:t>
      </w:r>
      <w:hyperlink w:anchor="_ENREF_23" w:tooltip="Eienbröker, 2014 #51" w:history="1">
        <w:r w:rsidR="007D4948" w:rsidRPr="007D1918">
          <w:rPr>
            <w:noProof/>
          </w:rPr>
          <w:t>Eienbröker et al. 2014</w:t>
        </w:r>
      </w:hyperlink>
      <w:r w:rsidR="003736AC" w:rsidRPr="007D1918">
        <w:rPr>
          <w:noProof/>
        </w:rPr>
        <w:t xml:space="preserve">; </w:t>
      </w:r>
      <w:hyperlink w:anchor="_ENREF_49" w:tooltip="Hellmann, 2014 #53" w:history="1">
        <w:r w:rsidR="007D4948" w:rsidRPr="007D1918">
          <w:rPr>
            <w:noProof/>
          </w:rPr>
          <w:t>Hellmann et al. 2014</w:t>
        </w:r>
      </w:hyperlink>
      <w:r w:rsidR="003736AC" w:rsidRPr="007D1918">
        <w:rPr>
          <w:noProof/>
        </w:rPr>
        <w:t xml:space="preserve">; </w:t>
      </w:r>
      <w:hyperlink w:anchor="_ENREF_73" w:tooltip="Nosadini, 2016 #147" w:history="1">
        <w:r w:rsidR="007D4948" w:rsidRPr="007D1918">
          <w:rPr>
            <w:noProof/>
          </w:rPr>
          <w:t>Nosadini et al. 2016</w:t>
        </w:r>
      </w:hyperlink>
      <w:r w:rsidR="003736AC" w:rsidRPr="007D1918">
        <w:rPr>
          <w:noProof/>
        </w:rPr>
        <w:t xml:space="preserve">; </w:t>
      </w:r>
      <w:hyperlink w:anchor="_ENREF_88" w:tooltip="Selcen, 2000 #46" w:history="1">
        <w:r w:rsidR="007D4948" w:rsidRPr="007D1918">
          <w:rPr>
            <w:noProof/>
          </w:rPr>
          <w:t>Selcen et al. 2000</w:t>
        </w:r>
      </w:hyperlink>
      <w:r w:rsidR="003736AC" w:rsidRPr="007D1918">
        <w:rPr>
          <w:noProof/>
        </w:rPr>
        <w:t xml:space="preserve">; </w:t>
      </w:r>
      <w:hyperlink w:anchor="_ENREF_101" w:tooltip="VanderPluym, 2013 #118" w:history="1">
        <w:r w:rsidR="007D4948" w:rsidRPr="007D1918">
          <w:rPr>
            <w:noProof/>
          </w:rPr>
          <w:t>VanderPluym et al. 2013</w:t>
        </w:r>
      </w:hyperlink>
      <w:r w:rsidR="003736AC" w:rsidRPr="007D1918">
        <w:rPr>
          <w:noProof/>
        </w:rPr>
        <w:t>)</w:t>
      </w:r>
      <w:r w:rsidR="003736AC" w:rsidRPr="007D1918">
        <w:fldChar w:fldCharType="end"/>
      </w:r>
      <w:r w:rsidR="00AB2E23" w:rsidRPr="007D1918">
        <w:t>.</w:t>
      </w:r>
    </w:p>
    <w:p w14:paraId="688C82D0" w14:textId="77777777" w:rsidR="00001635" w:rsidRPr="007D1918" w:rsidRDefault="00001635" w:rsidP="00D37B08">
      <w:pPr>
        <w:jc w:val="both"/>
      </w:pPr>
    </w:p>
    <w:p w14:paraId="07441574" w14:textId="77777777" w:rsidR="008D77C9" w:rsidRPr="007D1918" w:rsidRDefault="008D77C9" w:rsidP="00CE3A8B">
      <w:pPr>
        <w:pStyle w:val="Heading2"/>
        <w:numPr>
          <w:ilvl w:val="1"/>
          <w:numId w:val="10"/>
        </w:numPr>
      </w:pPr>
      <w:bookmarkStart w:id="191" w:name="_Toc23766957"/>
      <w:r w:rsidRPr="007D1918">
        <w:t>Characteristics of the Evidence Base</w:t>
      </w:r>
      <w:bookmarkEnd w:id="191"/>
    </w:p>
    <w:p w14:paraId="5DBB7151" w14:textId="40F7EA8A" w:rsidR="00063F1E" w:rsidRPr="007D1918" w:rsidRDefault="009E6283" w:rsidP="00E6595E">
      <w:pPr>
        <w:widowControl w:val="0"/>
        <w:spacing w:after="120" w:line="240" w:lineRule="auto"/>
        <w:jc w:val="both"/>
      </w:pPr>
      <w:r w:rsidRPr="007D1918">
        <w:t xml:space="preserve">A summary of the key features of the included </w:t>
      </w:r>
      <w:r w:rsidR="00E64369" w:rsidRPr="007D1918">
        <w:t>SR</w:t>
      </w:r>
      <w:r w:rsidRPr="007D1918">
        <w:t xml:space="preserve">s is provided in </w:t>
      </w:r>
      <w:r w:rsidR="00B85F2C" w:rsidRPr="007D1918">
        <w:fldChar w:fldCharType="begin"/>
      </w:r>
      <w:r w:rsidR="00B85F2C" w:rsidRPr="007D1918">
        <w:instrText xml:space="preserve"> REF _Ref399236533 \h </w:instrText>
      </w:r>
      <w:r w:rsidR="0081469B" w:rsidRPr="007D1918">
        <w:instrText xml:space="preserve"> \* MERGEFORMAT </w:instrText>
      </w:r>
      <w:r w:rsidR="00B85F2C" w:rsidRPr="007D1918">
        <w:fldChar w:fldCharType="separate"/>
      </w:r>
      <w:r w:rsidR="00001635" w:rsidRPr="007D1918">
        <w:t xml:space="preserve">Table </w:t>
      </w:r>
      <w:r w:rsidR="00001635" w:rsidRPr="007D1918">
        <w:rPr>
          <w:noProof/>
        </w:rPr>
        <w:t>11</w:t>
      </w:r>
      <w:r w:rsidR="00B85F2C" w:rsidRPr="007D1918">
        <w:fldChar w:fldCharType="end"/>
      </w:r>
      <w:r w:rsidRPr="007D1918">
        <w:t xml:space="preserve"> and for included primary studies in</w:t>
      </w:r>
      <w:r w:rsidR="00E6595E" w:rsidRPr="007D1918">
        <w:t xml:space="preserve"> </w:t>
      </w:r>
      <w:r w:rsidR="00E6595E" w:rsidRPr="007D1918">
        <w:fldChar w:fldCharType="begin"/>
      </w:r>
      <w:r w:rsidR="00E6595E" w:rsidRPr="007D1918">
        <w:instrText xml:space="preserve"> REF _Ref13486693 \h </w:instrText>
      </w:r>
      <w:r w:rsidR="0081469B" w:rsidRPr="007D1918">
        <w:instrText xml:space="preserve"> \* MERGEFORMAT </w:instrText>
      </w:r>
      <w:r w:rsidR="00E6595E" w:rsidRPr="007D1918">
        <w:fldChar w:fldCharType="separate"/>
      </w:r>
      <w:r w:rsidR="00001635" w:rsidRPr="007D1918">
        <w:t xml:space="preserve">Table </w:t>
      </w:r>
      <w:r w:rsidR="00001635" w:rsidRPr="007D1918">
        <w:rPr>
          <w:noProof/>
        </w:rPr>
        <w:t>12</w:t>
      </w:r>
      <w:r w:rsidR="00E6595E" w:rsidRPr="007D1918">
        <w:fldChar w:fldCharType="end"/>
      </w:r>
      <w:r w:rsidRPr="007D1918">
        <w:t>.</w:t>
      </w:r>
    </w:p>
    <w:p w14:paraId="59F7C1B4" w14:textId="0F744005" w:rsidR="008D77C9" w:rsidRPr="007D1918" w:rsidRDefault="008D77C9" w:rsidP="005C061E">
      <w:pPr>
        <w:jc w:val="both"/>
      </w:pPr>
      <w:r w:rsidRPr="007D1918">
        <w:t xml:space="preserve">See Appendix C for </w:t>
      </w:r>
      <w:r w:rsidR="009E6283" w:rsidRPr="007D1918">
        <w:t xml:space="preserve">full </w:t>
      </w:r>
      <w:r w:rsidRPr="007D1918">
        <w:t>details on the individual studies included in the evidence base.</w:t>
      </w:r>
      <w:r w:rsidR="00DB3295" w:rsidRPr="007D1918">
        <w:t xml:space="preserve"> </w:t>
      </w:r>
    </w:p>
    <w:p w14:paraId="10CF09EF" w14:textId="493BD66F" w:rsidR="00DB3295" w:rsidRPr="007D1918" w:rsidRDefault="00DB3295" w:rsidP="00BF3BE0">
      <w:pPr>
        <w:pStyle w:val="Caption"/>
        <w:keepNext/>
        <w:keepLines/>
        <w:ind w:left="1134" w:hanging="1134"/>
        <w:rPr>
          <w:snapToGrid w:val="0"/>
          <w:lang w:eastAsia="en-US"/>
        </w:rPr>
      </w:pPr>
      <w:bookmarkStart w:id="192" w:name="_Ref399236533"/>
      <w:bookmarkStart w:id="193" w:name="_Toc23769498"/>
      <w:r w:rsidRPr="007D1918">
        <w:lastRenderedPageBreak/>
        <w:t xml:space="preserve">Table </w:t>
      </w:r>
      <w:r w:rsidR="003F6DD7" w:rsidRPr="007D1918">
        <w:rPr>
          <w:noProof/>
        </w:rPr>
        <w:fldChar w:fldCharType="begin"/>
      </w:r>
      <w:r w:rsidR="003F6DD7" w:rsidRPr="007D1918">
        <w:rPr>
          <w:noProof/>
        </w:rPr>
        <w:instrText xml:space="preserve"> SEQ Table \* ARABIC </w:instrText>
      </w:r>
      <w:r w:rsidR="003F6DD7" w:rsidRPr="007D1918">
        <w:rPr>
          <w:noProof/>
        </w:rPr>
        <w:fldChar w:fldCharType="separate"/>
      </w:r>
      <w:r w:rsidR="00942701" w:rsidRPr="007D1918">
        <w:rPr>
          <w:noProof/>
        </w:rPr>
        <w:t>11</w:t>
      </w:r>
      <w:r w:rsidR="003F6DD7" w:rsidRPr="007D1918">
        <w:rPr>
          <w:noProof/>
        </w:rPr>
        <w:fldChar w:fldCharType="end"/>
      </w:r>
      <w:bookmarkEnd w:id="192"/>
      <w:r w:rsidRPr="007D1918">
        <w:tab/>
      </w:r>
      <w:r w:rsidRPr="007D1918">
        <w:rPr>
          <w:snapToGrid w:val="0"/>
          <w:lang w:eastAsia="en-US"/>
        </w:rPr>
        <w:t xml:space="preserve">Key features of the </w:t>
      </w:r>
      <w:r w:rsidR="008C3BEC" w:rsidRPr="007D1918">
        <w:rPr>
          <w:snapToGrid w:val="0"/>
          <w:lang w:eastAsia="en-US"/>
        </w:rPr>
        <w:t>systematic reviews</w:t>
      </w:r>
      <w:r w:rsidR="00E16BE4" w:rsidRPr="007D1918">
        <w:rPr>
          <w:snapToGrid w:val="0"/>
          <w:lang w:eastAsia="en-US"/>
        </w:rPr>
        <w:t xml:space="preserve"> comparing </w:t>
      </w:r>
      <w:r w:rsidR="008C3BEC" w:rsidRPr="007D1918">
        <w:rPr>
          <w:snapToGrid w:val="0"/>
          <w:lang w:eastAsia="en-US"/>
        </w:rPr>
        <w:t xml:space="preserve">IVIg </w:t>
      </w:r>
      <w:r w:rsidR="00E16BE4" w:rsidRPr="007D1918">
        <w:rPr>
          <w:snapToGrid w:val="0"/>
          <w:lang w:eastAsia="en-US"/>
        </w:rPr>
        <w:t xml:space="preserve">with </w:t>
      </w:r>
      <w:r w:rsidR="008C3BEC" w:rsidRPr="007D1918">
        <w:rPr>
          <w:snapToGrid w:val="0"/>
          <w:lang w:eastAsia="en-US"/>
        </w:rPr>
        <w:t xml:space="preserve">PE </w:t>
      </w:r>
      <w:r w:rsidR="00B91198" w:rsidRPr="007D1918">
        <w:rPr>
          <w:snapToGrid w:val="0"/>
          <w:lang w:eastAsia="en-US"/>
        </w:rPr>
        <w:t>and</w:t>
      </w:r>
      <w:r w:rsidR="008C3BEC" w:rsidRPr="007D1918">
        <w:rPr>
          <w:snapToGrid w:val="0"/>
          <w:lang w:eastAsia="en-US"/>
        </w:rPr>
        <w:t xml:space="preserve"> other comparators in MG patients</w:t>
      </w:r>
      <w:bookmarkEnd w:id="193"/>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9 Key features of the systematic reviews comparing IVIg with PE and other comparators in MG patients"/>
        <w:tblDescription w:val="This table provides a summary of the key features ofsystematic reviews included in the evidence base - including the studies, authors, sample size, risk of bias in the results, patient population characteristics, key outcomes measured, and whether the results were used in the economic evaluation in the report."/>
      </w:tblPr>
      <w:tblGrid>
        <w:gridCol w:w="975"/>
        <w:gridCol w:w="699"/>
        <w:gridCol w:w="699"/>
        <w:gridCol w:w="995"/>
        <w:gridCol w:w="1122"/>
        <w:gridCol w:w="2826"/>
        <w:gridCol w:w="986"/>
        <w:gridCol w:w="1049"/>
      </w:tblGrid>
      <w:tr w:rsidR="003D1D95" w:rsidRPr="007D1918" w14:paraId="6F7D5D8D" w14:textId="77777777" w:rsidTr="00922B51">
        <w:tc>
          <w:tcPr>
            <w:tcW w:w="521" w:type="pct"/>
            <w:shd w:val="clear" w:color="auto" w:fill="auto"/>
            <w:vAlign w:val="center"/>
          </w:tcPr>
          <w:p w14:paraId="71BCCCBE" w14:textId="712A6FC2" w:rsidR="003D1D95" w:rsidRPr="007D1918" w:rsidRDefault="003D1D95" w:rsidP="00BF3BE0">
            <w:pPr>
              <w:pStyle w:val="TableHeading"/>
              <w:keepLines/>
              <w:rPr>
                <w:snapToGrid w:val="0"/>
                <w:lang w:eastAsia="en-US"/>
              </w:rPr>
            </w:pPr>
            <w:r w:rsidRPr="007D1918">
              <w:rPr>
                <w:snapToGrid w:val="0"/>
                <w:lang w:eastAsia="en-US"/>
              </w:rPr>
              <w:t>Systematic review</w:t>
            </w:r>
          </w:p>
        </w:tc>
        <w:tc>
          <w:tcPr>
            <w:tcW w:w="374" w:type="pct"/>
            <w:shd w:val="clear" w:color="auto" w:fill="auto"/>
            <w:vAlign w:val="center"/>
          </w:tcPr>
          <w:p w14:paraId="73079AB1" w14:textId="61E1B69F" w:rsidR="003D1D95" w:rsidRPr="007D1918" w:rsidRDefault="003D1D95" w:rsidP="00BF3BE0">
            <w:pPr>
              <w:pStyle w:val="TableHeading"/>
              <w:keepLines/>
              <w:jc w:val="center"/>
              <w:rPr>
                <w:snapToGrid w:val="0"/>
                <w:lang w:eastAsia="en-US"/>
              </w:rPr>
            </w:pPr>
            <w:r w:rsidRPr="007D1918">
              <w:rPr>
                <w:snapToGrid w:val="0"/>
                <w:lang w:eastAsia="en-US"/>
              </w:rPr>
              <w:t>K studies</w:t>
            </w:r>
          </w:p>
        </w:tc>
        <w:tc>
          <w:tcPr>
            <w:tcW w:w="374" w:type="pct"/>
            <w:shd w:val="clear" w:color="auto" w:fill="auto"/>
            <w:vAlign w:val="center"/>
          </w:tcPr>
          <w:p w14:paraId="05C67A4E" w14:textId="2D54FFA3" w:rsidR="003D1D95" w:rsidRPr="007D1918" w:rsidRDefault="003D1D95" w:rsidP="00BF3BE0">
            <w:pPr>
              <w:pStyle w:val="TableHeading"/>
              <w:keepLines/>
              <w:jc w:val="center"/>
              <w:rPr>
                <w:snapToGrid w:val="0"/>
                <w:lang w:eastAsia="en-US"/>
              </w:rPr>
            </w:pPr>
            <w:r w:rsidRPr="007D1918">
              <w:rPr>
                <w:snapToGrid w:val="0"/>
                <w:lang w:eastAsia="en-US"/>
              </w:rPr>
              <w:t>Risk of bias</w:t>
            </w:r>
          </w:p>
        </w:tc>
        <w:tc>
          <w:tcPr>
            <w:tcW w:w="532" w:type="pct"/>
            <w:vAlign w:val="center"/>
          </w:tcPr>
          <w:p w14:paraId="0670DCB4" w14:textId="5BCD1029" w:rsidR="003D1D95" w:rsidRPr="007D1918" w:rsidRDefault="003D1D95" w:rsidP="00BF3BE0">
            <w:pPr>
              <w:pStyle w:val="TableHeading"/>
              <w:keepLines/>
              <w:jc w:val="center"/>
              <w:rPr>
                <w:snapToGrid w:val="0"/>
                <w:lang w:eastAsia="en-US"/>
              </w:rPr>
            </w:pPr>
            <w:r w:rsidRPr="007D1918">
              <w:rPr>
                <w:snapToGrid w:val="0"/>
                <w:lang w:eastAsia="en-US"/>
              </w:rPr>
              <w:t>Intervention</w:t>
            </w:r>
          </w:p>
        </w:tc>
        <w:tc>
          <w:tcPr>
            <w:tcW w:w="600" w:type="pct"/>
            <w:shd w:val="clear" w:color="auto" w:fill="auto"/>
            <w:vAlign w:val="center"/>
          </w:tcPr>
          <w:p w14:paraId="2A4EBB82" w14:textId="6E1617D8" w:rsidR="003D1D95" w:rsidRPr="007D1918" w:rsidRDefault="003D1D95" w:rsidP="00BF3BE0">
            <w:pPr>
              <w:pStyle w:val="TableHeading"/>
              <w:keepLines/>
              <w:jc w:val="center"/>
              <w:rPr>
                <w:snapToGrid w:val="0"/>
                <w:lang w:eastAsia="en-US"/>
              </w:rPr>
            </w:pPr>
            <w:r w:rsidRPr="007D1918">
              <w:rPr>
                <w:snapToGrid w:val="0"/>
                <w:lang w:eastAsia="en-US"/>
              </w:rPr>
              <w:t>Comparator</w:t>
            </w:r>
          </w:p>
        </w:tc>
        <w:tc>
          <w:tcPr>
            <w:tcW w:w="1511" w:type="pct"/>
            <w:shd w:val="clear" w:color="auto" w:fill="auto"/>
            <w:vAlign w:val="center"/>
          </w:tcPr>
          <w:p w14:paraId="297C3468" w14:textId="77777777" w:rsidR="003D1D95" w:rsidRPr="007D1918" w:rsidRDefault="003D1D95" w:rsidP="00BF3BE0">
            <w:pPr>
              <w:pStyle w:val="TableHeading"/>
              <w:keepLines/>
              <w:rPr>
                <w:snapToGrid w:val="0"/>
                <w:lang w:eastAsia="en-US"/>
              </w:rPr>
            </w:pPr>
            <w:r w:rsidRPr="007D1918">
              <w:rPr>
                <w:snapToGrid w:val="0"/>
                <w:lang w:eastAsia="en-US"/>
              </w:rPr>
              <w:t>Patient population</w:t>
            </w:r>
          </w:p>
        </w:tc>
        <w:tc>
          <w:tcPr>
            <w:tcW w:w="527" w:type="pct"/>
            <w:shd w:val="clear" w:color="auto" w:fill="auto"/>
            <w:vAlign w:val="center"/>
          </w:tcPr>
          <w:p w14:paraId="1CF34CE1" w14:textId="77777777" w:rsidR="003D1D95" w:rsidRPr="007D1918" w:rsidRDefault="003D1D95" w:rsidP="00BF3BE0">
            <w:pPr>
              <w:pStyle w:val="TableHeading"/>
              <w:keepLines/>
              <w:jc w:val="center"/>
              <w:rPr>
                <w:snapToGrid w:val="0"/>
                <w:lang w:eastAsia="en-US"/>
              </w:rPr>
            </w:pPr>
            <w:r w:rsidRPr="007D1918">
              <w:rPr>
                <w:snapToGrid w:val="0"/>
                <w:lang w:eastAsia="en-US"/>
              </w:rPr>
              <w:t>Key outcome(s)</w:t>
            </w:r>
          </w:p>
        </w:tc>
        <w:tc>
          <w:tcPr>
            <w:tcW w:w="561" w:type="pct"/>
            <w:shd w:val="clear" w:color="auto" w:fill="auto"/>
            <w:vAlign w:val="center"/>
          </w:tcPr>
          <w:p w14:paraId="3CD91813" w14:textId="32CAA904" w:rsidR="003D1D95" w:rsidRPr="007D1918" w:rsidRDefault="003D1D95" w:rsidP="00BF3BE0">
            <w:pPr>
              <w:pStyle w:val="TableHeading"/>
              <w:keepLines/>
              <w:jc w:val="center"/>
              <w:rPr>
                <w:snapToGrid w:val="0"/>
                <w:lang w:eastAsia="en-US"/>
              </w:rPr>
            </w:pPr>
            <w:r w:rsidRPr="007D1918">
              <w:rPr>
                <w:snapToGrid w:val="0"/>
                <w:lang w:eastAsia="en-US"/>
              </w:rPr>
              <w:t>Used in economic model</w:t>
            </w:r>
          </w:p>
        </w:tc>
      </w:tr>
      <w:tr w:rsidR="003D1D95" w:rsidRPr="007D1918" w14:paraId="328054DE" w14:textId="77777777" w:rsidTr="00922B51">
        <w:tc>
          <w:tcPr>
            <w:tcW w:w="521" w:type="pct"/>
            <w:shd w:val="clear" w:color="auto" w:fill="auto"/>
            <w:vAlign w:val="center"/>
          </w:tcPr>
          <w:p w14:paraId="377AE375" w14:textId="57BBC14D" w:rsidR="003D1D95" w:rsidRPr="007D1918" w:rsidRDefault="003736AC" w:rsidP="007D4948">
            <w:pPr>
              <w:pStyle w:val="TableText0"/>
              <w:keepLines/>
              <w:rPr>
                <w:snapToGrid w:val="0"/>
              </w:rPr>
            </w:pPr>
            <w:r w:rsidRPr="007D1918">
              <w:rPr>
                <w:snapToGrid w:val="0"/>
              </w:rPr>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2" w:tooltip="Alabdali, 2014 #4" w:history="1">
              <w:r w:rsidR="007D4948" w:rsidRPr="007D1918">
                <w:rPr>
                  <w:noProof/>
                  <w:snapToGrid w:val="0"/>
                </w:rPr>
                <w:t>Alabdali et al. 2014</w:t>
              </w:r>
            </w:hyperlink>
            <w:r w:rsidRPr="007D1918">
              <w:rPr>
                <w:noProof/>
                <w:snapToGrid w:val="0"/>
              </w:rPr>
              <w:t>)</w:t>
            </w:r>
            <w:r w:rsidRPr="007D1918">
              <w:rPr>
                <w:snapToGrid w:val="0"/>
              </w:rPr>
              <w:fldChar w:fldCharType="end"/>
            </w:r>
          </w:p>
        </w:tc>
        <w:tc>
          <w:tcPr>
            <w:tcW w:w="374" w:type="pct"/>
            <w:shd w:val="clear" w:color="auto" w:fill="auto"/>
            <w:vAlign w:val="center"/>
          </w:tcPr>
          <w:p w14:paraId="0074D573" w14:textId="72C38321" w:rsidR="003D1D95" w:rsidRPr="007D1918" w:rsidRDefault="003D1D95" w:rsidP="00BF3BE0">
            <w:pPr>
              <w:pStyle w:val="TableText0"/>
              <w:keepLines/>
              <w:jc w:val="center"/>
              <w:rPr>
                <w:snapToGrid w:val="0"/>
              </w:rPr>
            </w:pPr>
            <w:r w:rsidRPr="007D1918">
              <w:rPr>
                <w:snapToGrid w:val="0"/>
              </w:rPr>
              <w:t>K = 8</w:t>
            </w:r>
          </w:p>
        </w:tc>
        <w:tc>
          <w:tcPr>
            <w:tcW w:w="374" w:type="pct"/>
            <w:shd w:val="clear" w:color="auto" w:fill="auto"/>
            <w:vAlign w:val="center"/>
          </w:tcPr>
          <w:p w14:paraId="7063A8A7" w14:textId="494D854E" w:rsidR="003D1D95" w:rsidRPr="007D1918" w:rsidRDefault="003D1D95" w:rsidP="00BF3BE0">
            <w:pPr>
              <w:pStyle w:val="TableText0"/>
              <w:keepLines/>
              <w:jc w:val="center"/>
              <w:rPr>
                <w:snapToGrid w:val="0"/>
              </w:rPr>
            </w:pPr>
            <w:r w:rsidRPr="007D1918">
              <w:rPr>
                <w:snapToGrid w:val="0"/>
              </w:rPr>
              <w:t>High</w:t>
            </w:r>
          </w:p>
        </w:tc>
        <w:tc>
          <w:tcPr>
            <w:tcW w:w="532" w:type="pct"/>
            <w:vAlign w:val="center"/>
          </w:tcPr>
          <w:p w14:paraId="6358D51A" w14:textId="523129D8" w:rsidR="003D1D95" w:rsidRPr="007D1918" w:rsidRDefault="003D1D95" w:rsidP="0081469B">
            <w:pPr>
              <w:pStyle w:val="TableText0"/>
              <w:keepLines/>
              <w:jc w:val="center"/>
              <w:rPr>
                <w:snapToGrid w:val="0"/>
              </w:rPr>
            </w:pPr>
            <w:r w:rsidRPr="007D1918">
              <w:rPr>
                <w:snapToGrid w:val="0"/>
              </w:rPr>
              <w:t>IVIg</w:t>
            </w:r>
          </w:p>
        </w:tc>
        <w:tc>
          <w:tcPr>
            <w:tcW w:w="600" w:type="pct"/>
            <w:shd w:val="clear" w:color="auto" w:fill="auto"/>
            <w:vAlign w:val="center"/>
          </w:tcPr>
          <w:p w14:paraId="1788C711" w14:textId="77777777" w:rsidR="00F36F6F" w:rsidRPr="007D1918" w:rsidRDefault="00F36F6F" w:rsidP="0081469B">
            <w:pPr>
              <w:pStyle w:val="TableText0"/>
              <w:keepLines/>
              <w:jc w:val="center"/>
              <w:rPr>
                <w:snapToGrid w:val="0"/>
              </w:rPr>
            </w:pPr>
            <w:r w:rsidRPr="007D1918">
              <w:rPr>
                <w:snapToGrid w:val="0"/>
              </w:rPr>
              <w:t>PE</w:t>
            </w:r>
          </w:p>
          <w:p w14:paraId="754990B8" w14:textId="77777777" w:rsidR="00F36F6F" w:rsidRPr="007D1918" w:rsidRDefault="00F36F6F" w:rsidP="0081469B">
            <w:pPr>
              <w:pStyle w:val="TableText0"/>
              <w:keepLines/>
              <w:jc w:val="center"/>
              <w:rPr>
                <w:snapToGrid w:val="0"/>
              </w:rPr>
            </w:pPr>
            <w:r w:rsidRPr="007D1918">
              <w:rPr>
                <w:snapToGrid w:val="0"/>
              </w:rPr>
              <w:t>Placebo</w:t>
            </w:r>
          </w:p>
          <w:p w14:paraId="3A49FB47" w14:textId="2241CFDE" w:rsidR="003D1D95" w:rsidRPr="007D1918" w:rsidRDefault="00F36F6F" w:rsidP="0081469B">
            <w:pPr>
              <w:pStyle w:val="TableText0"/>
              <w:keepLines/>
              <w:jc w:val="center"/>
              <w:rPr>
                <w:snapToGrid w:val="0"/>
              </w:rPr>
            </w:pPr>
            <w:r w:rsidRPr="007D1918">
              <w:rPr>
                <w:snapToGrid w:val="0"/>
              </w:rPr>
              <w:t>IVIg (dose comparison)</w:t>
            </w:r>
          </w:p>
        </w:tc>
        <w:tc>
          <w:tcPr>
            <w:tcW w:w="1511" w:type="pct"/>
            <w:shd w:val="clear" w:color="auto" w:fill="auto"/>
            <w:vAlign w:val="center"/>
          </w:tcPr>
          <w:p w14:paraId="21269878" w14:textId="77777777" w:rsidR="003D1D95" w:rsidRPr="007D1918" w:rsidRDefault="00F36F6F" w:rsidP="00BF3BE0">
            <w:pPr>
              <w:pStyle w:val="TableText0"/>
              <w:keepLines/>
              <w:rPr>
                <w:snapToGrid w:val="0"/>
              </w:rPr>
            </w:pPr>
            <w:r w:rsidRPr="007D1918">
              <w:rPr>
                <w:snapToGrid w:val="0"/>
              </w:rPr>
              <w:t>Patients with acute or severe MG disease flare ups (myasthenic crisis)</w:t>
            </w:r>
          </w:p>
          <w:p w14:paraId="4339A48A" w14:textId="2ADEFF57" w:rsidR="00F36F6F" w:rsidRPr="007D1918" w:rsidRDefault="00F36F6F" w:rsidP="00BF3BE0">
            <w:pPr>
              <w:pStyle w:val="TableText0"/>
              <w:keepLines/>
              <w:rPr>
                <w:snapToGrid w:val="0"/>
              </w:rPr>
            </w:pPr>
            <w:r w:rsidRPr="007D1918">
              <w:rPr>
                <w:snapToGrid w:val="0"/>
              </w:rPr>
              <w:t xml:space="preserve">Worsening moderate to severe disease or on therapy for chronic disease  </w:t>
            </w:r>
          </w:p>
        </w:tc>
        <w:tc>
          <w:tcPr>
            <w:tcW w:w="527" w:type="pct"/>
            <w:shd w:val="clear" w:color="auto" w:fill="auto"/>
            <w:vAlign w:val="center"/>
          </w:tcPr>
          <w:p w14:paraId="180ECFED" w14:textId="0208FBB0" w:rsidR="003D1D95" w:rsidRPr="007D1918" w:rsidRDefault="00F36F6F" w:rsidP="00BF3BE0">
            <w:pPr>
              <w:pStyle w:val="TableText0"/>
              <w:keepLines/>
              <w:jc w:val="center"/>
              <w:rPr>
                <w:snapToGrid w:val="0"/>
              </w:rPr>
            </w:pPr>
            <w:r w:rsidRPr="007D1918">
              <w:rPr>
                <w:snapToGrid w:val="0"/>
              </w:rPr>
              <w:t>Change in MG status</w:t>
            </w:r>
          </w:p>
          <w:p w14:paraId="156A227E" w14:textId="6997604D" w:rsidR="00F36F6F" w:rsidRPr="007D1918" w:rsidRDefault="00F36F6F" w:rsidP="00BF3BE0">
            <w:pPr>
              <w:pStyle w:val="TableText0"/>
              <w:keepLines/>
              <w:jc w:val="center"/>
              <w:rPr>
                <w:snapToGrid w:val="0"/>
              </w:rPr>
            </w:pPr>
            <w:r w:rsidRPr="007D1918">
              <w:rPr>
                <w:snapToGrid w:val="0"/>
              </w:rPr>
              <w:t>AEs</w:t>
            </w:r>
          </w:p>
        </w:tc>
        <w:tc>
          <w:tcPr>
            <w:tcW w:w="561" w:type="pct"/>
            <w:shd w:val="clear" w:color="auto" w:fill="auto"/>
            <w:vAlign w:val="center"/>
          </w:tcPr>
          <w:p w14:paraId="23BA05E1" w14:textId="404FC99B" w:rsidR="003D1D95" w:rsidRPr="007D1918" w:rsidRDefault="00BC7070" w:rsidP="00BF3BE0">
            <w:pPr>
              <w:pStyle w:val="TableText0"/>
              <w:keepLines/>
              <w:jc w:val="center"/>
              <w:rPr>
                <w:snapToGrid w:val="0"/>
              </w:rPr>
            </w:pPr>
            <w:r w:rsidRPr="007D1918">
              <w:rPr>
                <w:snapToGrid w:val="0"/>
              </w:rPr>
              <w:t>no</w:t>
            </w:r>
          </w:p>
        </w:tc>
      </w:tr>
      <w:tr w:rsidR="003D1D95" w:rsidRPr="007D1918" w14:paraId="5B4559FA" w14:textId="77777777" w:rsidTr="00922B51">
        <w:tc>
          <w:tcPr>
            <w:tcW w:w="521" w:type="pct"/>
            <w:shd w:val="clear" w:color="auto" w:fill="auto"/>
            <w:vAlign w:val="center"/>
          </w:tcPr>
          <w:p w14:paraId="0044911C" w14:textId="62AF4A71" w:rsidR="003D1D95" w:rsidRPr="007D1918" w:rsidRDefault="003736AC" w:rsidP="007D4948">
            <w:pPr>
              <w:pStyle w:val="TableText0"/>
              <w:rPr>
                <w:snapToGrid w:val="0"/>
              </w:rPr>
            </w:pPr>
            <w:r w:rsidRPr="007D1918">
              <w:rPr>
                <w:snapToGrid w:val="0"/>
              </w:rPr>
              <w:fldChar w:fldCharType="begin"/>
            </w:r>
            <w:r w:rsidR="00C437BA" w:rsidRPr="007D1918">
              <w:rPr>
                <w:snapToGrid w:val="0"/>
              </w:rPr>
              <w:instrText xml:space="preserve"> ADDIN EN.CITE &lt;EndNote&gt;&lt;Cite&gt;&lt;Author&gt;Gajdos&lt;/Author&gt;&lt;Year&gt;2012&lt;/Year&gt;&lt;RecNum&gt;3&lt;/RecNum&gt;&lt;DisplayText&gt;(Gajdos, Chevret &amp;amp; Toyka 2012)&lt;/DisplayText&gt;&lt;record&gt;&lt;rec-number&gt;3&lt;/rec-number&gt;&lt;foreign-keys&gt;&lt;key app="EN" db-id="2aevrx2slsts5ve9sdavatf125dsx0av2v9d" timestamp="1556505895"&gt;3&lt;/key&gt;&lt;/foreign-keys&gt;&lt;ref-type name="Journal Article"&gt;17&lt;/ref-type&gt;&lt;contributors&gt;&lt;authors&gt;&lt;author&gt;Gajdos, P.&lt;/author&gt;&lt;author&gt;Chevret, S.&lt;/author&gt;&lt;author&gt;Toyka, K. V.&lt;/author&gt;&lt;/authors&gt;&lt;/contributors&gt;&lt;titles&gt;&lt;title&gt;Intravenous immunoglobulin for myasthenia gravis&lt;/title&gt;&lt;secondary-title&gt;Cochrane Database of Systematic Reviews&lt;/secondary-title&gt;&lt;/titles&gt;&lt;periodical&gt;&lt;full-title&gt;Cochrane Database of Systematic Reviews&lt;/full-title&gt;&lt;/periodical&gt;&lt;number&gt;12&lt;/number&gt;&lt;keywords&gt;&lt;keyword&gt;Chronic Disease&lt;/keyword&gt;&lt;keyword&gt;Disease Progression&lt;/keyword&gt;&lt;keyword&gt;Humans&lt;/keyword&gt;&lt;keyword&gt;Immunoglobulins, Intravenous [*therapeutic use]&lt;/keyword&gt;&lt;keyword&gt;Methylprednisolone [therapeutic use]&lt;/keyword&gt;&lt;keyword&gt;Myasthenia Gravis [*therapy]&lt;/keyword&gt;&lt;keyword&gt;Neuroprotective Agents [therapeutic use]&lt;/keyword&gt;&lt;keyword&gt;Plasma Exchange&lt;/keyword&gt;&lt;keyword&gt;Randomized Controlled Trials as Topic&lt;/keyword&gt;&lt;/keywords&gt;&lt;dates&gt;&lt;year&gt;2012&lt;/year&gt;&lt;/dates&gt;&lt;publisher&gt;John Wiley &amp;amp; Sons, Ltd&lt;/publisher&gt;&lt;isbn&gt;1465-1858&lt;/isbn&gt;&lt;accession-num&gt;CD002277&lt;/accession-num&gt;&lt;urls&gt;&lt;related-urls&gt;&lt;url&gt;http://dx.doi.org/10.1002/14651858.CD002277.pub4&lt;/url&gt;&lt;/related-urls&gt;&lt;/urls&gt;&lt;electronic-resource-num&gt;10.1002/14651858.CD002277.pub4&lt;/electronic-resource-num&gt;&lt;/record&gt;&lt;/Cite&gt;&lt;/EndNote&gt;</w:instrText>
            </w:r>
            <w:r w:rsidRPr="007D1918">
              <w:rPr>
                <w:snapToGrid w:val="0"/>
              </w:rPr>
              <w:fldChar w:fldCharType="separate"/>
            </w:r>
            <w:r w:rsidRPr="007D1918">
              <w:rPr>
                <w:noProof/>
                <w:snapToGrid w:val="0"/>
              </w:rPr>
              <w:t>(</w:t>
            </w:r>
            <w:hyperlink w:anchor="_ENREF_33" w:tooltip="Gajdos, 2012 #3" w:history="1">
              <w:r w:rsidR="007D4948" w:rsidRPr="007D1918">
                <w:rPr>
                  <w:noProof/>
                  <w:snapToGrid w:val="0"/>
                </w:rPr>
                <w:t>Gajdos, Chevret &amp; Toyka 2012</w:t>
              </w:r>
            </w:hyperlink>
            <w:r w:rsidRPr="007D1918">
              <w:rPr>
                <w:noProof/>
                <w:snapToGrid w:val="0"/>
              </w:rPr>
              <w:t>)</w:t>
            </w:r>
            <w:r w:rsidRPr="007D1918">
              <w:rPr>
                <w:snapToGrid w:val="0"/>
              </w:rPr>
              <w:fldChar w:fldCharType="end"/>
            </w:r>
          </w:p>
        </w:tc>
        <w:tc>
          <w:tcPr>
            <w:tcW w:w="374" w:type="pct"/>
            <w:shd w:val="clear" w:color="auto" w:fill="auto"/>
            <w:vAlign w:val="center"/>
          </w:tcPr>
          <w:p w14:paraId="617F8515" w14:textId="6DDEE54F" w:rsidR="003D1D95" w:rsidRPr="007D1918" w:rsidRDefault="003D1D95" w:rsidP="004C5A84">
            <w:pPr>
              <w:pStyle w:val="TableText0"/>
              <w:jc w:val="center"/>
              <w:rPr>
                <w:snapToGrid w:val="0"/>
              </w:rPr>
            </w:pPr>
            <w:r w:rsidRPr="007D1918">
              <w:rPr>
                <w:snapToGrid w:val="0"/>
              </w:rPr>
              <w:t>K = 7</w:t>
            </w:r>
          </w:p>
        </w:tc>
        <w:tc>
          <w:tcPr>
            <w:tcW w:w="374" w:type="pct"/>
            <w:shd w:val="clear" w:color="auto" w:fill="auto"/>
            <w:vAlign w:val="center"/>
          </w:tcPr>
          <w:p w14:paraId="42546F63" w14:textId="14BD1ACF" w:rsidR="003D1D95" w:rsidRPr="007D1918" w:rsidRDefault="003D1D95" w:rsidP="004C5A84">
            <w:pPr>
              <w:pStyle w:val="TableText0"/>
              <w:jc w:val="center"/>
              <w:rPr>
                <w:snapToGrid w:val="0"/>
              </w:rPr>
            </w:pPr>
            <w:r w:rsidRPr="007D1918">
              <w:rPr>
                <w:snapToGrid w:val="0"/>
              </w:rPr>
              <w:t>Low</w:t>
            </w:r>
          </w:p>
        </w:tc>
        <w:tc>
          <w:tcPr>
            <w:tcW w:w="532" w:type="pct"/>
            <w:vAlign w:val="center"/>
          </w:tcPr>
          <w:p w14:paraId="6DC3BF79" w14:textId="43AF61CC" w:rsidR="003D1D95" w:rsidRPr="007D1918" w:rsidRDefault="003D1D95" w:rsidP="0081469B">
            <w:pPr>
              <w:pStyle w:val="TableText0"/>
              <w:jc w:val="center"/>
              <w:rPr>
                <w:snapToGrid w:val="0"/>
              </w:rPr>
            </w:pPr>
            <w:r w:rsidRPr="007D1918">
              <w:rPr>
                <w:snapToGrid w:val="0"/>
              </w:rPr>
              <w:t>IVIg</w:t>
            </w:r>
          </w:p>
        </w:tc>
        <w:tc>
          <w:tcPr>
            <w:tcW w:w="600" w:type="pct"/>
            <w:shd w:val="clear" w:color="auto" w:fill="auto"/>
            <w:vAlign w:val="center"/>
          </w:tcPr>
          <w:p w14:paraId="70ED7DBE" w14:textId="77777777" w:rsidR="003D1D95" w:rsidRPr="007D1918" w:rsidRDefault="003D1D95" w:rsidP="0081469B">
            <w:pPr>
              <w:pStyle w:val="TableText0"/>
              <w:jc w:val="center"/>
              <w:rPr>
                <w:snapToGrid w:val="0"/>
              </w:rPr>
            </w:pPr>
            <w:r w:rsidRPr="007D1918">
              <w:rPr>
                <w:snapToGrid w:val="0"/>
              </w:rPr>
              <w:t>PE</w:t>
            </w:r>
          </w:p>
          <w:p w14:paraId="61FDC6E0" w14:textId="63D51006" w:rsidR="003D1D95" w:rsidRPr="007D1918" w:rsidRDefault="003D1D95" w:rsidP="0081469B">
            <w:pPr>
              <w:pStyle w:val="TableText0"/>
              <w:jc w:val="center"/>
              <w:rPr>
                <w:snapToGrid w:val="0"/>
              </w:rPr>
            </w:pPr>
            <w:r w:rsidRPr="007D1918">
              <w:rPr>
                <w:snapToGrid w:val="0"/>
              </w:rPr>
              <w:t>Oral MPN</w:t>
            </w:r>
          </w:p>
          <w:p w14:paraId="5FC36C18" w14:textId="7FD491F7" w:rsidR="003D1D95" w:rsidRPr="007D1918" w:rsidRDefault="003D1D95" w:rsidP="0081469B">
            <w:pPr>
              <w:pStyle w:val="TableText0"/>
              <w:jc w:val="center"/>
              <w:rPr>
                <w:snapToGrid w:val="0"/>
              </w:rPr>
            </w:pPr>
            <w:r w:rsidRPr="007D1918">
              <w:rPr>
                <w:snapToGrid w:val="0"/>
              </w:rPr>
              <w:t>Placebo</w:t>
            </w:r>
          </w:p>
          <w:p w14:paraId="3C41FB50" w14:textId="1F47B843" w:rsidR="003D1D95" w:rsidRPr="007D1918" w:rsidRDefault="003D1D95" w:rsidP="0081469B">
            <w:pPr>
              <w:pStyle w:val="TableText0"/>
              <w:jc w:val="center"/>
              <w:rPr>
                <w:snapToGrid w:val="0"/>
              </w:rPr>
            </w:pPr>
            <w:r w:rsidRPr="007D1918">
              <w:rPr>
                <w:snapToGrid w:val="0"/>
              </w:rPr>
              <w:t xml:space="preserve">IVIg </w:t>
            </w:r>
            <w:r w:rsidR="00BF4322" w:rsidRPr="007D1918">
              <w:rPr>
                <w:snapToGrid w:val="0"/>
              </w:rPr>
              <w:t>(</w:t>
            </w:r>
            <w:r w:rsidRPr="007D1918">
              <w:rPr>
                <w:snapToGrid w:val="0"/>
              </w:rPr>
              <w:t>dose comparison</w:t>
            </w:r>
            <w:r w:rsidR="00BF4322" w:rsidRPr="007D1918">
              <w:rPr>
                <w:snapToGrid w:val="0"/>
              </w:rPr>
              <w:t>)</w:t>
            </w:r>
          </w:p>
        </w:tc>
        <w:tc>
          <w:tcPr>
            <w:tcW w:w="1511" w:type="pct"/>
            <w:shd w:val="clear" w:color="auto" w:fill="auto"/>
            <w:vAlign w:val="center"/>
          </w:tcPr>
          <w:p w14:paraId="7C71347D" w14:textId="4B1CC24A" w:rsidR="003D1D95" w:rsidRPr="007D1918" w:rsidRDefault="003D1D95" w:rsidP="00BF3BE0">
            <w:pPr>
              <w:pStyle w:val="TableText0"/>
              <w:rPr>
                <w:snapToGrid w:val="0"/>
              </w:rPr>
            </w:pPr>
            <w:r w:rsidRPr="007D1918">
              <w:rPr>
                <w:snapToGrid w:val="0"/>
              </w:rPr>
              <w:t>Patients with worsening MG or exacerbation</w:t>
            </w:r>
          </w:p>
          <w:p w14:paraId="4A52F771" w14:textId="43BD1562" w:rsidR="003D1D95" w:rsidRPr="007D1918" w:rsidRDefault="003D1D95" w:rsidP="00BF3BE0">
            <w:pPr>
              <w:pStyle w:val="TableText0"/>
              <w:rPr>
                <w:snapToGrid w:val="0"/>
              </w:rPr>
            </w:pPr>
            <w:r w:rsidRPr="007D1918">
              <w:rPr>
                <w:snapToGrid w:val="0"/>
              </w:rPr>
              <w:t xml:space="preserve">Patients </w:t>
            </w:r>
            <w:r w:rsidR="00F36F6F" w:rsidRPr="007D1918">
              <w:rPr>
                <w:snapToGrid w:val="0"/>
              </w:rPr>
              <w:t>with severe but stable MG</w:t>
            </w:r>
          </w:p>
        </w:tc>
        <w:tc>
          <w:tcPr>
            <w:tcW w:w="527" w:type="pct"/>
            <w:shd w:val="clear" w:color="auto" w:fill="auto"/>
            <w:vAlign w:val="center"/>
          </w:tcPr>
          <w:p w14:paraId="09F23C68" w14:textId="77777777" w:rsidR="003D1D95" w:rsidRPr="007D1918" w:rsidRDefault="003D1D95" w:rsidP="003D1D95">
            <w:pPr>
              <w:pStyle w:val="TableText0"/>
              <w:jc w:val="center"/>
              <w:rPr>
                <w:snapToGrid w:val="0"/>
              </w:rPr>
            </w:pPr>
            <w:r w:rsidRPr="007D1918">
              <w:rPr>
                <w:snapToGrid w:val="0"/>
              </w:rPr>
              <w:t>Change in symptoms</w:t>
            </w:r>
          </w:p>
          <w:p w14:paraId="6BEB798C" w14:textId="0F0F8967" w:rsidR="003D1D95" w:rsidRPr="007D1918" w:rsidRDefault="003D1D95" w:rsidP="003D1D95">
            <w:pPr>
              <w:pStyle w:val="TableText0"/>
              <w:jc w:val="center"/>
              <w:rPr>
                <w:snapToGrid w:val="0"/>
              </w:rPr>
            </w:pPr>
            <w:r w:rsidRPr="007D1918">
              <w:rPr>
                <w:snapToGrid w:val="0"/>
              </w:rPr>
              <w:t>AEs</w:t>
            </w:r>
          </w:p>
        </w:tc>
        <w:tc>
          <w:tcPr>
            <w:tcW w:w="561" w:type="pct"/>
            <w:shd w:val="clear" w:color="auto" w:fill="auto"/>
            <w:vAlign w:val="center"/>
          </w:tcPr>
          <w:p w14:paraId="43A2E559" w14:textId="0C38B722" w:rsidR="003D1D95" w:rsidRPr="007D1918" w:rsidRDefault="00BC7070" w:rsidP="004C5A84">
            <w:pPr>
              <w:pStyle w:val="TableText0"/>
              <w:jc w:val="center"/>
              <w:rPr>
                <w:snapToGrid w:val="0"/>
              </w:rPr>
            </w:pPr>
            <w:r w:rsidRPr="007D1918">
              <w:rPr>
                <w:snapToGrid w:val="0"/>
              </w:rPr>
              <w:t>no</w:t>
            </w:r>
          </w:p>
        </w:tc>
      </w:tr>
      <w:tr w:rsidR="003D1D95" w:rsidRPr="007D1918" w14:paraId="5EC0D9ED" w14:textId="77777777" w:rsidTr="00922B51">
        <w:tc>
          <w:tcPr>
            <w:tcW w:w="521" w:type="pct"/>
            <w:shd w:val="clear" w:color="auto" w:fill="auto"/>
            <w:vAlign w:val="center"/>
          </w:tcPr>
          <w:p w14:paraId="0E99B313" w14:textId="3C3090C5" w:rsidR="003D1D95" w:rsidRPr="007D1918" w:rsidRDefault="003736AC" w:rsidP="007D4948">
            <w:pPr>
              <w:pStyle w:val="TableText0"/>
              <w:rPr>
                <w:snapToGrid w:val="0"/>
              </w:rPr>
            </w:pPr>
            <w:r w:rsidRPr="007D1918">
              <w:rPr>
                <w:snapToGrid w:val="0"/>
              </w:rPr>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74" w:tooltip="Ortiz-Salas, 2016 #2" w:history="1">
              <w:r w:rsidR="007D4948" w:rsidRPr="007D1918">
                <w:rPr>
                  <w:noProof/>
                  <w:snapToGrid w:val="0"/>
                </w:rPr>
                <w:t>Ortiz-Salas et al. 2016</w:t>
              </w:r>
            </w:hyperlink>
            <w:r w:rsidRPr="007D1918">
              <w:rPr>
                <w:noProof/>
                <w:snapToGrid w:val="0"/>
              </w:rPr>
              <w:t>)</w:t>
            </w:r>
            <w:r w:rsidRPr="007D1918">
              <w:rPr>
                <w:snapToGrid w:val="0"/>
              </w:rPr>
              <w:fldChar w:fldCharType="end"/>
            </w:r>
          </w:p>
        </w:tc>
        <w:tc>
          <w:tcPr>
            <w:tcW w:w="374" w:type="pct"/>
            <w:shd w:val="clear" w:color="auto" w:fill="auto"/>
            <w:vAlign w:val="center"/>
          </w:tcPr>
          <w:p w14:paraId="39779EEB" w14:textId="73CF59E8" w:rsidR="003D1D95" w:rsidRPr="007D1918" w:rsidRDefault="003D1D95" w:rsidP="004C5A84">
            <w:pPr>
              <w:pStyle w:val="TableText0"/>
              <w:jc w:val="center"/>
              <w:rPr>
                <w:snapToGrid w:val="0"/>
              </w:rPr>
            </w:pPr>
            <w:r w:rsidRPr="007D1918">
              <w:rPr>
                <w:snapToGrid w:val="0"/>
              </w:rPr>
              <w:t xml:space="preserve">K = </w:t>
            </w:r>
            <w:r w:rsidR="00F36F6F" w:rsidRPr="007D1918">
              <w:rPr>
                <w:snapToGrid w:val="0"/>
              </w:rPr>
              <w:t>10</w:t>
            </w:r>
          </w:p>
        </w:tc>
        <w:tc>
          <w:tcPr>
            <w:tcW w:w="374" w:type="pct"/>
            <w:shd w:val="clear" w:color="auto" w:fill="auto"/>
            <w:vAlign w:val="center"/>
          </w:tcPr>
          <w:p w14:paraId="6D409432" w14:textId="7E71EE49" w:rsidR="003D1D95" w:rsidRPr="007D1918" w:rsidRDefault="00F36F6F" w:rsidP="004C5A84">
            <w:pPr>
              <w:pStyle w:val="TableText0"/>
              <w:jc w:val="center"/>
              <w:rPr>
                <w:snapToGrid w:val="0"/>
              </w:rPr>
            </w:pPr>
            <w:r w:rsidRPr="007D1918">
              <w:rPr>
                <w:snapToGrid w:val="0"/>
              </w:rPr>
              <w:t>High</w:t>
            </w:r>
          </w:p>
        </w:tc>
        <w:tc>
          <w:tcPr>
            <w:tcW w:w="532" w:type="pct"/>
            <w:vAlign w:val="center"/>
          </w:tcPr>
          <w:p w14:paraId="4698796F" w14:textId="47F66A1F" w:rsidR="003D1D95" w:rsidRPr="007D1918" w:rsidRDefault="00F36F6F" w:rsidP="0081469B">
            <w:pPr>
              <w:pStyle w:val="TableText0"/>
              <w:jc w:val="center"/>
              <w:rPr>
                <w:snapToGrid w:val="0"/>
              </w:rPr>
            </w:pPr>
            <w:r w:rsidRPr="007D1918">
              <w:rPr>
                <w:snapToGrid w:val="0"/>
              </w:rPr>
              <w:t>IVIg</w:t>
            </w:r>
          </w:p>
        </w:tc>
        <w:tc>
          <w:tcPr>
            <w:tcW w:w="600" w:type="pct"/>
            <w:shd w:val="clear" w:color="auto" w:fill="auto"/>
            <w:vAlign w:val="center"/>
          </w:tcPr>
          <w:p w14:paraId="618223B8" w14:textId="204E7F2F" w:rsidR="003D1D95" w:rsidRPr="007D1918" w:rsidRDefault="00F36F6F" w:rsidP="0081469B">
            <w:pPr>
              <w:pStyle w:val="TableText0"/>
              <w:jc w:val="center"/>
              <w:rPr>
                <w:snapToGrid w:val="0"/>
              </w:rPr>
            </w:pPr>
            <w:r w:rsidRPr="007D1918">
              <w:rPr>
                <w:snapToGrid w:val="0"/>
              </w:rPr>
              <w:t>PE</w:t>
            </w:r>
          </w:p>
        </w:tc>
        <w:tc>
          <w:tcPr>
            <w:tcW w:w="1511" w:type="pct"/>
            <w:shd w:val="clear" w:color="auto" w:fill="auto"/>
            <w:vAlign w:val="center"/>
          </w:tcPr>
          <w:p w14:paraId="58A136DD" w14:textId="6399C666" w:rsidR="003D1D95" w:rsidRPr="007D1918" w:rsidRDefault="00F36F6F" w:rsidP="00BF3BE0">
            <w:pPr>
              <w:pStyle w:val="TableText0"/>
              <w:rPr>
                <w:snapToGrid w:val="0"/>
              </w:rPr>
            </w:pPr>
            <w:r w:rsidRPr="007D1918">
              <w:rPr>
                <w:snapToGrid w:val="0"/>
              </w:rPr>
              <w:t>RCT or observational studies of more than 10 cases that compared management with PE vs IVIg for MG</w:t>
            </w:r>
          </w:p>
        </w:tc>
        <w:tc>
          <w:tcPr>
            <w:tcW w:w="527" w:type="pct"/>
            <w:shd w:val="clear" w:color="auto" w:fill="auto"/>
            <w:vAlign w:val="center"/>
          </w:tcPr>
          <w:p w14:paraId="55C431C7" w14:textId="77777777" w:rsidR="003D1D95" w:rsidRPr="007D1918" w:rsidRDefault="00F36F6F" w:rsidP="004C5A84">
            <w:pPr>
              <w:pStyle w:val="TableText0"/>
              <w:jc w:val="center"/>
              <w:rPr>
                <w:snapToGrid w:val="0"/>
              </w:rPr>
            </w:pPr>
            <w:r w:rsidRPr="007D1918">
              <w:rPr>
                <w:snapToGrid w:val="0"/>
              </w:rPr>
              <w:t>Patients improved</w:t>
            </w:r>
          </w:p>
          <w:p w14:paraId="3BC2A124" w14:textId="0CD364B8" w:rsidR="00F36F6F" w:rsidRPr="007D1918" w:rsidRDefault="00F36F6F" w:rsidP="004C5A84">
            <w:pPr>
              <w:pStyle w:val="TableText0"/>
              <w:jc w:val="center"/>
              <w:rPr>
                <w:snapToGrid w:val="0"/>
              </w:rPr>
            </w:pPr>
            <w:r w:rsidRPr="007D1918">
              <w:rPr>
                <w:snapToGrid w:val="0"/>
              </w:rPr>
              <w:t>AEs</w:t>
            </w:r>
          </w:p>
        </w:tc>
        <w:tc>
          <w:tcPr>
            <w:tcW w:w="561" w:type="pct"/>
            <w:shd w:val="clear" w:color="auto" w:fill="auto"/>
            <w:vAlign w:val="center"/>
          </w:tcPr>
          <w:p w14:paraId="34ACA849" w14:textId="17A6EAD3" w:rsidR="003D1D95" w:rsidRPr="007D1918" w:rsidRDefault="00BC7070" w:rsidP="004C5A84">
            <w:pPr>
              <w:pStyle w:val="TableText0"/>
              <w:jc w:val="center"/>
              <w:rPr>
                <w:snapToGrid w:val="0"/>
              </w:rPr>
            </w:pPr>
            <w:r w:rsidRPr="007D1918">
              <w:rPr>
                <w:snapToGrid w:val="0"/>
              </w:rPr>
              <w:t>no</w:t>
            </w:r>
          </w:p>
        </w:tc>
      </w:tr>
    </w:tbl>
    <w:p w14:paraId="2733ABB0" w14:textId="1C620A3B" w:rsidR="00945DB8" w:rsidRPr="007D1918" w:rsidRDefault="003B7830" w:rsidP="00945DB8">
      <w:pPr>
        <w:widowControl w:val="0"/>
        <w:spacing w:after="120" w:line="240" w:lineRule="auto"/>
        <w:jc w:val="both"/>
        <w:rPr>
          <w:rStyle w:val="TablenotesChar0"/>
        </w:rPr>
      </w:pPr>
      <w:r w:rsidRPr="007D1918">
        <w:rPr>
          <w:rStyle w:val="TablenotesChar0"/>
        </w:rPr>
        <w:t xml:space="preserve">AE = adverse event; </w:t>
      </w:r>
      <w:r w:rsidR="00BF3BE0" w:rsidRPr="007D1918">
        <w:rPr>
          <w:rStyle w:val="TablenotesChar0"/>
        </w:rPr>
        <w:t xml:space="preserve">IVIg = intravenous immunoglobulin therapy; K = number of studies; MG = myasthenia gravis; MPN = </w:t>
      </w:r>
      <w:r w:rsidR="006B6C7E" w:rsidRPr="007D1918">
        <w:rPr>
          <w:rStyle w:val="TablenotesChar0"/>
        </w:rPr>
        <w:t>methylprednisolone</w:t>
      </w:r>
      <w:r w:rsidR="00BF3BE0" w:rsidRPr="007D1918">
        <w:rPr>
          <w:rStyle w:val="TablenotesChar0"/>
        </w:rPr>
        <w:t xml:space="preserve"> </w:t>
      </w:r>
      <w:r w:rsidRPr="007D1918">
        <w:rPr>
          <w:rStyle w:val="TablenotesChar0"/>
        </w:rPr>
        <w:t>therapy; PE plasma exchange therapy</w:t>
      </w:r>
      <w:bookmarkStart w:id="194" w:name="_Ref12965150"/>
    </w:p>
    <w:p w14:paraId="36FF25F8" w14:textId="5CCA96AE" w:rsidR="00945DB8" w:rsidRPr="007D1918" w:rsidRDefault="00945DB8" w:rsidP="00945DB8">
      <w:pPr>
        <w:pStyle w:val="TableHeading"/>
        <w:keepLines/>
        <w:ind w:left="1134" w:hanging="1134"/>
      </w:pPr>
      <w:bookmarkStart w:id="195" w:name="_Ref13486693"/>
      <w:bookmarkStart w:id="196" w:name="_Toc23769499"/>
      <w:r w:rsidRPr="007D1918">
        <w:lastRenderedPageBreak/>
        <w:t xml:space="preserve">Table </w:t>
      </w:r>
      <w:r w:rsidR="003F6DD7" w:rsidRPr="007D1918">
        <w:rPr>
          <w:noProof/>
        </w:rPr>
        <w:fldChar w:fldCharType="begin"/>
      </w:r>
      <w:r w:rsidR="003F6DD7" w:rsidRPr="007D1918">
        <w:rPr>
          <w:noProof/>
        </w:rPr>
        <w:instrText xml:space="preserve"> SEQ Table \* ARABIC </w:instrText>
      </w:r>
      <w:r w:rsidR="003F6DD7" w:rsidRPr="007D1918">
        <w:rPr>
          <w:noProof/>
        </w:rPr>
        <w:fldChar w:fldCharType="separate"/>
      </w:r>
      <w:r w:rsidR="00942701" w:rsidRPr="007D1918">
        <w:rPr>
          <w:noProof/>
        </w:rPr>
        <w:t>12</w:t>
      </w:r>
      <w:r w:rsidR="003F6DD7" w:rsidRPr="007D1918">
        <w:rPr>
          <w:noProof/>
        </w:rPr>
        <w:fldChar w:fldCharType="end"/>
      </w:r>
      <w:bookmarkEnd w:id="195"/>
      <w:r w:rsidRPr="007D1918">
        <w:tab/>
        <w:t xml:space="preserve">Key features of the primary comparative studies comparing IVIg with PE and other comparators in MG patients </w:t>
      </w:r>
      <w:r w:rsidR="00D968FE" w:rsidRPr="007D1918">
        <w:t>meetin</w:t>
      </w:r>
      <w:r w:rsidR="00121F50" w:rsidRPr="007D1918">
        <w:t>g</w:t>
      </w:r>
      <w:r w:rsidRPr="007D1918">
        <w:t xml:space="preserve"> </w:t>
      </w:r>
      <w:r w:rsidRPr="007D1918">
        <w:rPr>
          <w:i/>
        </w:rPr>
        <w:t>Criteria V3</w:t>
      </w:r>
      <w:r w:rsidRPr="007D1918">
        <w:t xml:space="preserve"> Indication 1</w:t>
      </w:r>
      <w:r w:rsidR="00D968FE" w:rsidRPr="007D1918">
        <w:t>, 2 and 3</w:t>
      </w:r>
      <w:bookmarkEnd w:id="196"/>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0 Key features of the primary comparative studies comparing IVIg with PE and other comparators in MG patients meeting Criteria V3 Indication 1, 2 and 3"/>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72"/>
        <w:gridCol w:w="569"/>
        <w:gridCol w:w="847"/>
        <w:gridCol w:w="847"/>
        <w:gridCol w:w="2555"/>
        <w:gridCol w:w="1133"/>
        <w:gridCol w:w="1135"/>
        <w:gridCol w:w="993"/>
      </w:tblGrid>
      <w:tr w:rsidR="00945DB8" w:rsidRPr="007D1918" w14:paraId="7BE56F3A" w14:textId="77777777" w:rsidTr="00922B51">
        <w:trPr>
          <w:tblHeader/>
        </w:trPr>
        <w:tc>
          <w:tcPr>
            <w:tcW w:w="680" w:type="pct"/>
            <w:shd w:val="clear" w:color="auto" w:fill="auto"/>
            <w:vAlign w:val="center"/>
          </w:tcPr>
          <w:p w14:paraId="504D59EA"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Trial/Study</w:t>
            </w:r>
          </w:p>
        </w:tc>
        <w:tc>
          <w:tcPr>
            <w:tcW w:w="304" w:type="pct"/>
            <w:shd w:val="clear" w:color="auto" w:fill="auto"/>
            <w:vAlign w:val="center"/>
          </w:tcPr>
          <w:p w14:paraId="427F38E1"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N</w:t>
            </w:r>
          </w:p>
        </w:tc>
        <w:tc>
          <w:tcPr>
            <w:tcW w:w="453" w:type="pct"/>
            <w:shd w:val="clear" w:color="auto" w:fill="auto"/>
            <w:vAlign w:val="center"/>
          </w:tcPr>
          <w:p w14:paraId="25B5E588"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Design</w:t>
            </w:r>
          </w:p>
        </w:tc>
        <w:tc>
          <w:tcPr>
            <w:tcW w:w="453" w:type="pct"/>
            <w:shd w:val="clear" w:color="auto" w:fill="auto"/>
            <w:vAlign w:val="center"/>
          </w:tcPr>
          <w:p w14:paraId="4E336B6C"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Risk of bias</w:t>
            </w:r>
          </w:p>
        </w:tc>
        <w:tc>
          <w:tcPr>
            <w:tcW w:w="1366" w:type="pct"/>
            <w:shd w:val="clear" w:color="auto" w:fill="auto"/>
            <w:vAlign w:val="center"/>
          </w:tcPr>
          <w:p w14:paraId="25ACDFFC"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Patient population</w:t>
            </w:r>
          </w:p>
        </w:tc>
        <w:tc>
          <w:tcPr>
            <w:tcW w:w="606" w:type="pct"/>
            <w:vAlign w:val="center"/>
          </w:tcPr>
          <w:p w14:paraId="7419808A"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Comparison</w:t>
            </w:r>
          </w:p>
        </w:tc>
        <w:tc>
          <w:tcPr>
            <w:tcW w:w="607" w:type="pct"/>
            <w:shd w:val="clear" w:color="auto" w:fill="auto"/>
            <w:vAlign w:val="center"/>
          </w:tcPr>
          <w:p w14:paraId="11651E9A"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Key outcome(s)</w:t>
            </w:r>
          </w:p>
        </w:tc>
        <w:tc>
          <w:tcPr>
            <w:tcW w:w="530" w:type="pct"/>
            <w:shd w:val="clear" w:color="auto" w:fill="auto"/>
            <w:vAlign w:val="center"/>
          </w:tcPr>
          <w:p w14:paraId="6F53C625" w14:textId="77777777" w:rsidR="00945DB8" w:rsidRPr="007D1918" w:rsidRDefault="00945DB8" w:rsidP="00945DB8">
            <w:pPr>
              <w:keepNext/>
              <w:keepLines/>
              <w:spacing w:before="40" w:after="40" w:line="240" w:lineRule="auto"/>
              <w:jc w:val="center"/>
              <w:rPr>
                <w:rFonts w:ascii="Arial Narrow" w:hAnsi="Arial Narrow"/>
                <w:b/>
                <w:snapToGrid w:val="0"/>
                <w:sz w:val="20"/>
                <w:szCs w:val="20"/>
                <w:lang w:eastAsia="en-US"/>
              </w:rPr>
            </w:pPr>
            <w:r w:rsidRPr="007D1918">
              <w:rPr>
                <w:rFonts w:ascii="Arial Narrow" w:hAnsi="Arial Narrow"/>
                <w:b/>
                <w:snapToGrid w:val="0"/>
                <w:sz w:val="20"/>
                <w:szCs w:val="20"/>
                <w:lang w:eastAsia="en-US"/>
              </w:rPr>
              <w:t>Used in econ model</w:t>
            </w:r>
          </w:p>
        </w:tc>
      </w:tr>
      <w:tr w:rsidR="003D6E56" w:rsidRPr="007D1918" w14:paraId="4E6B015C" w14:textId="77777777" w:rsidTr="003D6E56">
        <w:trPr>
          <w:tblHeader/>
        </w:trPr>
        <w:tc>
          <w:tcPr>
            <w:tcW w:w="5000" w:type="pct"/>
            <w:gridSpan w:val="8"/>
            <w:shd w:val="clear" w:color="auto" w:fill="EEECE1" w:themeFill="background2"/>
            <w:vAlign w:val="center"/>
          </w:tcPr>
          <w:p w14:paraId="2B935685" w14:textId="61B44E0A" w:rsidR="003D6E56" w:rsidRPr="007D1918" w:rsidRDefault="003D6E56" w:rsidP="003D6E56">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Indication 1</w:t>
            </w:r>
          </w:p>
        </w:tc>
      </w:tr>
      <w:tr w:rsidR="00945DB8" w:rsidRPr="007D1918" w14:paraId="3F480084" w14:textId="77777777" w:rsidTr="00922B51">
        <w:trPr>
          <w:tblHeader/>
        </w:trPr>
        <w:tc>
          <w:tcPr>
            <w:tcW w:w="680" w:type="pct"/>
            <w:shd w:val="clear" w:color="auto" w:fill="auto"/>
            <w:vAlign w:val="center"/>
          </w:tcPr>
          <w:p w14:paraId="3D43D782" w14:textId="31D0BF8B" w:rsidR="00945DB8" w:rsidRPr="007D1918" w:rsidRDefault="00945DB8" w:rsidP="00945DB8">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28" w:tooltip="Gajdos, 1997 #45" w:history="1">
              <w:r w:rsidR="007D4948" w:rsidRPr="007D1918">
                <w:rPr>
                  <w:rFonts w:ascii="Arial Narrow" w:hAnsi="Arial Narrow"/>
                  <w:noProof/>
                  <w:snapToGrid w:val="0"/>
                  <w:sz w:val="20"/>
                  <w:lang w:eastAsia="en-US"/>
                </w:rPr>
                <w:t>Gajdos et al. 1997</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p w14:paraId="6EAF7B01" w14:textId="26390D81" w:rsidR="00945DB8" w:rsidRPr="007D1918" w:rsidRDefault="003736AC" w:rsidP="007D4948">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r>
            <w:r w:rsidR="00C437BA" w:rsidRPr="007D1918">
              <w:rPr>
                <w:rFonts w:ascii="Arial Narrow" w:hAnsi="Arial Narrow"/>
                <w:snapToGrid w:val="0"/>
                <w:sz w:val="20"/>
                <w:lang w:eastAsia="en-US"/>
              </w:rPr>
              <w:instrText xml:space="preserve"> ADDIN EN.CITE &lt;EndNote&gt;&lt;Cite&gt;&lt;Author&gt;Gajdos&lt;/Author&gt;&lt;Year&gt;1998&lt;/Year&gt;&lt;RecNum&gt;46&lt;/RecNum&gt;&lt;DisplayText&gt;(Gajdos et al. 1998)&lt;/DisplayText&gt;&lt;record&gt;&lt;rec-number&gt;46&lt;/rec-number&gt;&lt;foreign-keys&gt;&lt;key app="EN" db-id="2aevrx2slsts5ve9sdavatf125dsx0av2v9d" timestamp="1562810981"&gt;46&lt;/key&gt;&lt;/foreign-keys&gt;&lt;ref-type name="Journal Article"&gt;17&lt;/ref-type&gt;&lt;contributors&gt;&lt;authors&gt;&lt;author&gt;Gajdos, P.&lt;/author&gt;&lt;author&gt;Chevret, S.&lt;/author&gt;&lt;author&gt;Clair, B.&lt;/author&gt;&lt;author&gt;Tranchant, C.&lt;/author&gt;&lt;author&gt;Chastang, C.&lt;/author&gt;&lt;/authors&gt;&lt;/contributors&gt;&lt;titles&gt;&lt;title&gt;Plasma exchange and intravenous immunoglobulin in autoimmune myasthenia gravis&lt;/title&gt;&lt;secondary-title&gt;Annals of the new york academy of sciences&lt;/secondary-title&gt;&lt;/titles&gt;&lt;periodical&gt;&lt;full-title&gt;Annals of the new york academy of sciences&lt;/full-title&gt;&lt;/periodical&gt;&lt;pages&gt;720</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726&lt;/pages&gt;&lt;volume&gt;841&lt;/volume&gt;&lt;keywords&gt;&lt;keyword&gt;Clinical Protocols&lt;/keyword&gt;&lt;keyword&gt;Confidence Intervals&lt;/keyword&gt;&lt;keyword&gt;Humans&lt;/keyword&gt;&lt;keyword&gt;Immunoglobulins, Intravenous [adverse effects, *therapeutic use]&lt;/keyword&gt;&lt;keyword&gt;Myasthenia Gravis [*therapy]&lt;/keyword&gt;&lt;keyword&gt;Plasma Exchange [adverse effects]&lt;/keyword&gt;&lt;keyword&gt;Time Factors&lt;/keyword&gt;&lt;/keywords&gt;&lt;dates&gt;&lt;year&gt;1998&lt;/year&gt;&lt;/dates&gt;&lt;accession-num&gt;CN-00687779&lt;/accession-num&gt;&lt;work-type&gt;Clinical Trial; Comparative Study; Journal Article; Randomized Controlled Trial; Research Support, Non</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U.S. Gov&amp;apos;t&lt;/work-type&gt;&lt;urls&gt;&lt;related-urls&gt;&lt;url&gt;https://www.cochranelibrary.com/central/doi/10.1002/central/CN-00687779/full&lt;/url&gt;&lt;url&gt;https://nyaspubs.onlinelibrary.wiley.com/doi/pdf/10.1111/j.1749-6632.1998.tb11008.x&lt;/url&gt;&lt;/related-urls&gt;&lt;/urls&gt;&lt;custom3&gt;PUBMED 9668320&lt;/custom3&gt;&lt;/record&gt;&lt;/Cite&gt;&lt;/EndNote&gt;</w:instrText>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29" w:tooltip="Gajdos, 1998 #46" w:history="1">
              <w:r w:rsidR="007D4948" w:rsidRPr="007D1918">
                <w:rPr>
                  <w:rFonts w:ascii="Arial Narrow" w:hAnsi="Arial Narrow"/>
                  <w:noProof/>
                  <w:snapToGrid w:val="0"/>
                  <w:sz w:val="20"/>
                  <w:lang w:eastAsia="en-US"/>
                </w:rPr>
                <w:t>Gajdos et al. 1998</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5D0EBAF7"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47</w:t>
            </w:r>
          </w:p>
        </w:tc>
        <w:tc>
          <w:tcPr>
            <w:tcW w:w="453" w:type="pct"/>
            <w:shd w:val="clear" w:color="auto" w:fill="auto"/>
            <w:vAlign w:val="center"/>
          </w:tcPr>
          <w:p w14:paraId="19277B43"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RCT</w:t>
            </w:r>
          </w:p>
          <w:p w14:paraId="1AB0718A" w14:textId="19B8A886"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MC,</w:t>
            </w:r>
            <w:r w:rsidR="00BF4322" w:rsidRPr="007D1918">
              <w:rPr>
                <w:rFonts w:ascii="Arial Narrow" w:hAnsi="Arial Narrow"/>
                <w:snapToGrid w:val="0"/>
                <w:sz w:val="20"/>
                <w:lang w:eastAsia="en-US"/>
              </w:rPr>
              <w:t xml:space="preserve"> </w:t>
            </w:r>
            <w:r w:rsidRPr="007D1918">
              <w:rPr>
                <w:rFonts w:ascii="Arial Narrow" w:hAnsi="Arial Narrow"/>
                <w:snapToGrid w:val="0"/>
                <w:sz w:val="20"/>
                <w:lang w:eastAsia="en-US"/>
              </w:rPr>
              <w:t>DB</w:t>
            </w:r>
          </w:p>
          <w:p w14:paraId="7E007772"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w:t>
            </w:r>
          </w:p>
        </w:tc>
        <w:tc>
          <w:tcPr>
            <w:tcW w:w="453" w:type="pct"/>
            <w:shd w:val="clear" w:color="auto" w:fill="auto"/>
            <w:vAlign w:val="center"/>
          </w:tcPr>
          <w:p w14:paraId="72F35915"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6" w:type="pct"/>
            <w:shd w:val="clear" w:color="auto" w:fill="auto"/>
            <w:vAlign w:val="center"/>
          </w:tcPr>
          <w:p w14:paraId="7CAD6074" w14:textId="77777777" w:rsidR="00945DB8" w:rsidRPr="007D1918" w:rsidRDefault="00945DB8" w:rsidP="00945DB8">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 xml:space="preserve">Consecutive MG patients with exacerbation </w:t>
            </w:r>
          </w:p>
        </w:tc>
        <w:tc>
          <w:tcPr>
            <w:tcW w:w="606" w:type="pct"/>
            <w:vAlign w:val="center"/>
          </w:tcPr>
          <w:p w14:paraId="225A3CA7"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7AD5858B"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6C710C25"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MMS</w:t>
            </w:r>
          </w:p>
        </w:tc>
        <w:tc>
          <w:tcPr>
            <w:tcW w:w="530" w:type="pct"/>
            <w:shd w:val="clear" w:color="auto" w:fill="auto"/>
            <w:vAlign w:val="center"/>
          </w:tcPr>
          <w:p w14:paraId="47EBE1F3" w14:textId="4CCE9ECB" w:rsidR="00945DB8" w:rsidRPr="007D1918" w:rsidRDefault="00BF4322"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yes</w:t>
            </w:r>
          </w:p>
        </w:tc>
      </w:tr>
      <w:tr w:rsidR="00945DB8" w:rsidRPr="007D1918" w14:paraId="040CC25F" w14:textId="77777777" w:rsidTr="00922B51">
        <w:trPr>
          <w:tblHeader/>
        </w:trPr>
        <w:tc>
          <w:tcPr>
            <w:tcW w:w="680" w:type="pct"/>
            <w:shd w:val="clear" w:color="auto" w:fill="auto"/>
            <w:vAlign w:val="center"/>
          </w:tcPr>
          <w:p w14:paraId="4848AE9B" w14:textId="31119A86" w:rsidR="00945DB8" w:rsidRPr="007D1918" w:rsidRDefault="00945DB8" w:rsidP="007D4948">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35" w:tooltip="Gajdos, 2005 #14" w:history="1">
              <w:r w:rsidR="007D4948" w:rsidRPr="007D1918">
                <w:rPr>
                  <w:rFonts w:ascii="Arial Narrow" w:hAnsi="Arial Narrow"/>
                  <w:noProof/>
                  <w:snapToGrid w:val="0"/>
                  <w:sz w:val="20"/>
                  <w:lang w:eastAsia="en-US"/>
                </w:rPr>
                <w:t>Gajdos et al. 2005</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275F444E"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168</w:t>
            </w:r>
          </w:p>
        </w:tc>
        <w:tc>
          <w:tcPr>
            <w:tcW w:w="453" w:type="pct"/>
            <w:shd w:val="clear" w:color="auto" w:fill="auto"/>
            <w:vAlign w:val="center"/>
          </w:tcPr>
          <w:p w14:paraId="0CCC2F91"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RCT</w:t>
            </w:r>
          </w:p>
          <w:p w14:paraId="10498F3E"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MC,DB</w:t>
            </w:r>
          </w:p>
          <w:p w14:paraId="7108EE86"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w:t>
            </w:r>
          </w:p>
        </w:tc>
        <w:tc>
          <w:tcPr>
            <w:tcW w:w="453" w:type="pct"/>
            <w:shd w:val="clear" w:color="auto" w:fill="auto"/>
            <w:vAlign w:val="center"/>
          </w:tcPr>
          <w:p w14:paraId="7EB382F0"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low</w:t>
            </w:r>
          </w:p>
        </w:tc>
        <w:tc>
          <w:tcPr>
            <w:tcW w:w="1366" w:type="pct"/>
            <w:shd w:val="clear" w:color="auto" w:fill="auto"/>
            <w:vAlign w:val="center"/>
          </w:tcPr>
          <w:p w14:paraId="47B31F8F" w14:textId="77777777" w:rsidR="00945DB8" w:rsidRPr="007D1918" w:rsidRDefault="00945DB8" w:rsidP="00945DB8">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Consecutive MG patients with exacerbation</w:t>
            </w:r>
          </w:p>
        </w:tc>
        <w:tc>
          <w:tcPr>
            <w:tcW w:w="606" w:type="pct"/>
            <w:vAlign w:val="center"/>
          </w:tcPr>
          <w:p w14:paraId="3DCE79DB"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1 g/kg v IVIg 2 g/kg</w:t>
            </w:r>
          </w:p>
        </w:tc>
        <w:tc>
          <w:tcPr>
            <w:tcW w:w="607" w:type="pct"/>
            <w:shd w:val="clear" w:color="auto" w:fill="auto"/>
            <w:vAlign w:val="center"/>
          </w:tcPr>
          <w:p w14:paraId="35259649"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7E032C2F" w14:textId="77777777" w:rsidR="00945DB8" w:rsidRPr="007D1918" w:rsidRDefault="00945DB8"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MMS</w:t>
            </w:r>
          </w:p>
        </w:tc>
        <w:tc>
          <w:tcPr>
            <w:tcW w:w="530" w:type="pct"/>
            <w:shd w:val="clear" w:color="auto" w:fill="auto"/>
            <w:vAlign w:val="center"/>
          </w:tcPr>
          <w:p w14:paraId="5AC2F3B8" w14:textId="7869D221" w:rsidR="00945DB8" w:rsidRPr="007D1918" w:rsidRDefault="00BF4322" w:rsidP="00945DB8">
            <w:pPr>
              <w:keepNext/>
              <w:keepLines/>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945DB8" w:rsidRPr="007D1918" w14:paraId="65840619" w14:textId="77777777" w:rsidTr="00922B51">
        <w:trPr>
          <w:tblHeader/>
        </w:trPr>
        <w:tc>
          <w:tcPr>
            <w:tcW w:w="680" w:type="pct"/>
            <w:shd w:val="clear" w:color="auto" w:fill="auto"/>
            <w:vAlign w:val="center"/>
          </w:tcPr>
          <w:p w14:paraId="788978E5" w14:textId="60FAADB4" w:rsidR="00945DB8" w:rsidRPr="007D1918" w:rsidRDefault="00945DB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snapToGrid w:val="0"/>
                <w:sz w:val="20"/>
                <w:lang w:eastAsia="en-US"/>
              </w:rPr>
              <w:instrText xml:space="preserve"> ADDIN EN.CITE </w:instrText>
            </w:r>
            <w:r w:rsidR="007F4CDE" w:rsidRPr="007D1918">
              <w:rPr>
                <w:rFonts w:ascii="Arial Narrow" w:hAnsi="Arial Narrow"/>
                <w:snapToGrid w:val="0"/>
                <w:sz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snapToGrid w:val="0"/>
                <w:sz w:val="20"/>
                <w:lang w:eastAsia="en-US"/>
              </w:rPr>
              <w:instrText xml:space="preserve"> ADDIN EN.CITE.DATA </w:instrText>
            </w:r>
            <w:r w:rsidR="007F4CDE" w:rsidRPr="007D1918">
              <w:rPr>
                <w:rFonts w:ascii="Arial Narrow" w:hAnsi="Arial Narrow"/>
                <w:snapToGrid w:val="0"/>
                <w:sz w:val="20"/>
                <w:lang w:eastAsia="en-US"/>
              </w:rPr>
            </w:r>
            <w:r w:rsidR="007F4CDE"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64" w:tooltip="Mandawat, 2010 #37" w:history="1">
              <w:r w:rsidR="007D4948" w:rsidRPr="007D1918">
                <w:rPr>
                  <w:rFonts w:ascii="Arial Narrow" w:hAnsi="Arial Narrow"/>
                  <w:noProof/>
                  <w:snapToGrid w:val="0"/>
                  <w:sz w:val="20"/>
                  <w:lang w:eastAsia="en-US"/>
                </w:rPr>
                <w:t>Mandawat et al. 2010</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4CEFE6D8"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698</w:t>
            </w:r>
          </w:p>
        </w:tc>
        <w:tc>
          <w:tcPr>
            <w:tcW w:w="453" w:type="pct"/>
            <w:shd w:val="clear" w:color="auto" w:fill="auto"/>
            <w:vAlign w:val="center"/>
          </w:tcPr>
          <w:p w14:paraId="2A77DDD6"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53862DC3"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3" w:type="pct"/>
            <w:shd w:val="clear" w:color="auto" w:fill="auto"/>
            <w:vAlign w:val="center"/>
          </w:tcPr>
          <w:p w14:paraId="5D967591"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6" w:type="pct"/>
            <w:shd w:val="clear" w:color="auto" w:fill="auto"/>
            <w:vAlign w:val="center"/>
          </w:tcPr>
          <w:p w14:paraId="702932CF" w14:textId="77777777" w:rsidR="00945DB8" w:rsidRPr="007D1918" w:rsidRDefault="00945DB8" w:rsidP="00945DB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 xml:space="preserve">ICD-9-CM codes for primary diagnoses of MG (358.0) and MG crisis (358.01) </w:t>
            </w:r>
          </w:p>
        </w:tc>
        <w:tc>
          <w:tcPr>
            <w:tcW w:w="606" w:type="pct"/>
            <w:vAlign w:val="center"/>
          </w:tcPr>
          <w:p w14:paraId="778F280E"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4A00A0D7"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15272669"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Mortality</w:t>
            </w:r>
          </w:p>
          <w:p w14:paraId="19F93681"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Infection rate</w:t>
            </w:r>
          </w:p>
        </w:tc>
        <w:tc>
          <w:tcPr>
            <w:tcW w:w="530" w:type="pct"/>
            <w:shd w:val="clear" w:color="auto" w:fill="auto"/>
            <w:vAlign w:val="center"/>
          </w:tcPr>
          <w:p w14:paraId="08ACBAB9" w14:textId="1C205CCC" w:rsidR="00945DB8" w:rsidRPr="007D1918" w:rsidRDefault="00E7367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yes</w:t>
            </w:r>
          </w:p>
        </w:tc>
      </w:tr>
      <w:tr w:rsidR="00945DB8" w:rsidRPr="007D1918" w14:paraId="70E7E20D" w14:textId="77777777" w:rsidTr="00922B51">
        <w:trPr>
          <w:tblHeader/>
        </w:trPr>
        <w:tc>
          <w:tcPr>
            <w:tcW w:w="680" w:type="pct"/>
            <w:shd w:val="clear" w:color="auto" w:fill="auto"/>
            <w:vAlign w:val="center"/>
          </w:tcPr>
          <w:p w14:paraId="14EAE472" w14:textId="2B5B37AB" w:rsidR="00945DB8" w:rsidRPr="007D1918" w:rsidRDefault="00945DB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68" w:tooltip="Murthy, 2005 #38" w:history="1">
              <w:r w:rsidR="007D4948" w:rsidRPr="007D1918">
                <w:rPr>
                  <w:rFonts w:ascii="Arial Narrow" w:hAnsi="Arial Narrow"/>
                  <w:noProof/>
                  <w:snapToGrid w:val="0"/>
                  <w:sz w:val="20"/>
                  <w:lang w:eastAsia="en-US"/>
                </w:rPr>
                <w:t>Murthy et al. 2005</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124AAA74"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21</w:t>
            </w:r>
          </w:p>
        </w:tc>
        <w:tc>
          <w:tcPr>
            <w:tcW w:w="453" w:type="pct"/>
            <w:shd w:val="clear" w:color="auto" w:fill="auto"/>
            <w:vAlign w:val="center"/>
          </w:tcPr>
          <w:p w14:paraId="5579F117"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4222EE1A"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3" w:type="pct"/>
            <w:shd w:val="clear" w:color="auto" w:fill="auto"/>
            <w:vAlign w:val="center"/>
          </w:tcPr>
          <w:p w14:paraId="511520C1"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high</w:t>
            </w:r>
          </w:p>
        </w:tc>
        <w:tc>
          <w:tcPr>
            <w:tcW w:w="1366" w:type="pct"/>
            <w:shd w:val="clear" w:color="auto" w:fill="auto"/>
            <w:vAlign w:val="center"/>
          </w:tcPr>
          <w:p w14:paraId="329666A1" w14:textId="77777777" w:rsidR="00945DB8" w:rsidRPr="007D1918" w:rsidRDefault="00945DB8" w:rsidP="00945DB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All patients with episodes of MG crisis identified from the case records of the patients with MG seen by the senior author</w:t>
            </w:r>
          </w:p>
        </w:tc>
        <w:tc>
          <w:tcPr>
            <w:tcW w:w="606" w:type="pct"/>
            <w:vAlign w:val="center"/>
          </w:tcPr>
          <w:p w14:paraId="4EEBF226"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4CB57678"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688EAB30"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Mortality</w:t>
            </w:r>
          </w:p>
        </w:tc>
        <w:tc>
          <w:tcPr>
            <w:tcW w:w="530" w:type="pct"/>
            <w:shd w:val="clear" w:color="auto" w:fill="auto"/>
            <w:vAlign w:val="center"/>
          </w:tcPr>
          <w:p w14:paraId="444A4939" w14:textId="446E94CD" w:rsidR="00945DB8" w:rsidRPr="007D1918" w:rsidRDefault="00BF4322"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945DB8" w:rsidRPr="007D1918" w14:paraId="3D441A84" w14:textId="77777777" w:rsidTr="00922B51">
        <w:trPr>
          <w:tblHeader/>
        </w:trPr>
        <w:tc>
          <w:tcPr>
            <w:tcW w:w="680" w:type="pct"/>
            <w:shd w:val="clear" w:color="auto" w:fill="auto"/>
            <w:vAlign w:val="center"/>
          </w:tcPr>
          <w:p w14:paraId="0AD7FE78" w14:textId="0466E313" w:rsidR="00945DB8" w:rsidRPr="007D1918" w:rsidRDefault="00945DB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PEVuZE5vdGU+PENpdGU+PEF1dGhvcj5QYW5kYTwvQXV0aG9yPjxZZWFyPjIwMDQ8L1llYXI+PFJl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PEVuZE5vdGU+PENpdGU+PEF1dGhvcj5QYW5kYTwvQXV0aG9yPjxZZWFyPjIwMDQ8L1llYXI+PFJl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76" w:tooltip="Panda, 2004 #39" w:history="1">
              <w:r w:rsidR="007D4948" w:rsidRPr="007D1918">
                <w:rPr>
                  <w:rFonts w:ascii="Arial Narrow" w:hAnsi="Arial Narrow"/>
                  <w:noProof/>
                  <w:snapToGrid w:val="0"/>
                  <w:sz w:val="20"/>
                  <w:lang w:eastAsia="en-US"/>
                </w:rPr>
                <w:t>Panda et al. 2004</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1B49EAE2"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11</w:t>
            </w:r>
          </w:p>
        </w:tc>
        <w:tc>
          <w:tcPr>
            <w:tcW w:w="453" w:type="pct"/>
            <w:shd w:val="clear" w:color="auto" w:fill="auto"/>
            <w:vAlign w:val="center"/>
          </w:tcPr>
          <w:p w14:paraId="7DC496CC"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79DA00E0"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3" w:type="pct"/>
            <w:shd w:val="clear" w:color="auto" w:fill="auto"/>
            <w:vAlign w:val="center"/>
          </w:tcPr>
          <w:p w14:paraId="3B607973"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high</w:t>
            </w:r>
          </w:p>
        </w:tc>
        <w:tc>
          <w:tcPr>
            <w:tcW w:w="1366" w:type="pct"/>
            <w:shd w:val="clear" w:color="auto" w:fill="auto"/>
            <w:vAlign w:val="center"/>
          </w:tcPr>
          <w:p w14:paraId="7F201627" w14:textId="77777777" w:rsidR="00945DB8" w:rsidRPr="007D1918" w:rsidRDefault="00945DB8" w:rsidP="00945DB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Patients admitted to a neurology ward and ICU with MG crisis</w:t>
            </w:r>
          </w:p>
        </w:tc>
        <w:tc>
          <w:tcPr>
            <w:tcW w:w="606" w:type="pct"/>
            <w:vAlign w:val="center"/>
          </w:tcPr>
          <w:p w14:paraId="0CFECD28"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26113C18"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tc>
        <w:tc>
          <w:tcPr>
            <w:tcW w:w="530" w:type="pct"/>
            <w:shd w:val="clear" w:color="auto" w:fill="auto"/>
            <w:vAlign w:val="center"/>
          </w:tcPr>
          <w:p w14:paraId="7E3B1FE9" w14:textId="2F31E3E6" w:rsidR="00945DB8" w:rsidRPr="007D1918" w:rsidRDefault="00BF4322"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945DB8" w:rsidRPr="007D1918" w14:paraId="6A379784" w14:textId="77777777" w:rsidTr="00922B51">
        <w:trPr>
          <w:tblHeader/>
        </w:trPr>
        <w:tc>
          <w:tcPr>
            <w:tcW w:w="680" w:type="pct"/>
            <w:shd w:val="clear" w:color="auto" w:fill="auto"/>
            <w:vAlign w:val="center"/>
          </w:tcPr>
          <w:p w14:paraId="78BA10F1" w14:textId="6BF40C9B" w:rsidR="00945DB8" w:rsidRPr="007D1918" w:rsidRDefault="00945DB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rFonts w:ascii="Arial Narrow" w:hAnsi="Arial Narrow"/>
                <w:snapToGrid w:val="0"/>
                <w:sz w:val="20"/>
                <w:lang w:eastAsia="en-US"/>
              </w:rPr>
              <w:instrText xml:space="preserve"> ADDIN EN.CITE </w:instrText>
            </w:r>
            <w:r w:rsidRPr="007D1918">
              <w:rPr>
                <w:rFonts w:ascii="Arial Narrow" w:hAnsi="Arial Narrow"/>
                <w:snapToGrid w:val="0"/>
                <w:sz w:val="20"/>
                <w:lang w:eastAsia="en-US"/>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rFonts w:ascii="Arial Narrow" w:hAnsi="Arial Narrow"/>
                <w:snapToGrid w:val="0"/>
                <w:sz w:val="20"/>
                <w:lang w:eastAsia="en-US"/>
              </w:rPr>
              <w:instrText xml:space="preserve"> ADDIN EN.CITE.DATA </w:instrText>
            </w:r>
            <w:r w:rsidRPr="007D1918">
              <w:rPr>
                <w:rFonts w:ascii="Arial Narrow" w:hAnsi="Arial Narrow"/>
                <w:snapToGrid w:val="0"/>
                <w:sz w:val="20"/>
                <w:lang w:eastAsia="en-US"/>
              </w:rPr>
            </w:r>
            <w:r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79" w:tooltip="Pittayanon, 2009 #86" w:history="1">
              <w:r w:rsidR="007D4948" w:rsidRPr="007D1918">
                <w:rPr>
                  <w:rFonts w:ascii="Arial Narrow" w:hAnsi="Arial Narrow"/>
                  <w:noProof/>
                  <w:snapToGrid w:val="0"/>
                  <w:sz w:val="20"/>
                  <w:lang w:eastAsia="en-US"/>
                </w:rPr>
                <w:t>Pittayanon, Treeprasertsuk &amp; Phanthumchinda 2009</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1528E956"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33</w:t>
            </w:r>
          </w:p>
        </w:tc>
        <w:tc>
          <w:tcPr>
            <w:tcW w:w="453" w:type="pct"/>
            <w:shd w:val="clear" w:color="auto" w:fill="auto"/>
            <w:vAlign w:val="center"/>
          </w:tcPr>
          <w:p w14:paraId="5D8C3E6A"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68434EDC"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3" w:type="pct"/>
            <w:shd w:val="clear" w:color="auto" w:fill="auto"/>
            <w:vAlign w:val="center"/>
          </w:tcPr>
          <w:p w14:paraId="79352C67"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moderate-high</w:t>
            </w:r>
          </w:p>
        </w:tc>
        <w:tc>
          <w:tcPr>
            <w:tcW w:w="1366" w:type="pct"/>
            <w:shd w:val="clear" w:color="auto" w:fill="auto"/>
            <w:vAlign w:val="center"/>
          </w:tcPr>
          <w:p w14:paraId="07F56D7F" w14:textId="77777777" w:rsidR="00945DB8" w:rsidRPr="007D1918" w:rsidRDefault="00945DB8" w:rsidP="00945DB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Patients with episodes of MG crisis recruited retrospectively using the hospital database</w:t>
            </w:r>
          </w:p>
        </w:tc>
        <w:tc>
          <w:tcPr>
            <w:tcW w:w="606" w:type="pct"/>
            <w:vAlign w:val="center"/>
          </w:tcPr>
          <w:p w14:paraId="6D766133"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717BC6FA"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348D62ED"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Infection rate</w:t>
            </w:r>
          </w:p>
        </w:tc>
        <w:tc>
          <w:tcPr>
            <w:tcW w:w="530" w:type="pct"/>
            <w:shd w:val="clear" w:color="auto" w:fill="auto"/>
            <w:vAlign w:val="center"/>
          </w:tcPr>
          <w:p w14:paraId="2F18EC8D" w14:textId="40C0637C" w:rsidR="00945DB8" w:rsidRPr="007D1918" w:rsidRDefault="00E7367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yes</w:t>
            </w:r>
          </w:p>
        </w:tc>
      </w:tr>
      <w:tr w:rsidR="00945DB8" w:rsidRPr="007D1918" w14:paraId="4736A102" w14:textId="77777777" w:rsidTr="00922B51">
        <w:trPr>
          <w:tblHeader/>
        </w:trPr>
        <w:tc>
          <w:tcPr>
            <w:tcW w:w="680" w:type="pct"/>
            <w:shd w:val="clear" w:color="auto" w:fill="auto"/>
            <w:vAlign w:val="center"/>
          </w:tcPr>
          <w:p w14:paraId="71BC88EE" w14:textId="28C704EB" w:rsidR="00945DB8" w:rsidRPr="007D1918" w:rsidRDefault="00945DB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r>
            <w:r w:rsidR="00C437BA" w:rsidRPr="007D1918">
              <w:rPr>
                <w:rFonts w:ascii="Arial Narrow" w:hAnsi="Arial Narrow"/>
                <w:snapToGrid w:val="0"/>
                <w:sz w:val="20"/>
                <w:lang w:eastAsia="en-US"/>
              </w:rPr>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80" w:tooltip="Qureshi, 1999 #40" w:history="1">
              <w:r w:rsidR="007D4948" w:rsidRPr="007D1918">
                <w:rPr>
                  <w:rFonts w:ascii="Arial Narrow" w:hAnsi="Arial Narrow"/>
                  <w:noProof/>
                  <w:snapToGrid w:val="0"/>
                  <w:sz w:val="20"/>
                  <w:lang w:eastAsia="en-US"/>
                </w:rPr>
                <w:t>Qureshi et al. 1999</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68DDF477"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54</w:t>
            </w:r>
          </w:p>
        </w:tc>
        <w:tc>
          <w:tcPr>
            <w:tcW w:w="453" w:type="pct"/>
            <w:shd w:val="clear" w:color="auto" w:fill="auto"/>
            <w:vAlign w:val="center"/>
          </w:tcPr>
          <w:p w14:paraId="25F8698D"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45F6046A"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3" w:type="pct"/>
            <w:shd w:val="clear" w:color="auto" w:fill="auto"/>
            <w:vAlign w:val="center"/>
          </w:tcPr>
          <w:p w14:paraId="0A142736"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6" w:type="pct"/>
            <w:shd w:val="clear" w:color="auto" w:fill="auto"/>
            <w:vAlign w:val="center"/>
          </w:tcPr>
          <w:p w14:paraId="4230E7C8" w14:textId="77777777" w:rsidR="00945DB8" w:rsidRPr="007D1918" w:rsidRDefault="00945DB8" w:rsidP="00945DB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All patients with MG crisis who were treated with PE or IVIg in 4 US university-affiliated hospitals</w:t>
            </w:r>
          </w:p>
        </w:tc>
        <w:tc>
          <w:tcPr>
            <w:tcW w:w="606" w:type="pct"/>
            <w:vAlign w:val="center"/>
          </w:tcPr>
          <w:p w14:paraId="6938C117"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41547C9A"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613CF357"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Mortality</w:t>
            </w:r>
          </w:p>
          <w:p w14:paraId="7A5030CF"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Infection rate</w:t>
            </w:r>
          </w:p>
          <w:p w14:paraId="716D7E17" w14:textId="77777777" w:rsidR="00945DB8" w:rsidRPr="007D1918" w:rsidRDefault="00945DB8"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MSS</w:t>
            </w:r>
          </w:p>
        </w:tc>
        <w:tc>
          <w:tcPr>
            <w:tcW w:w="530" w:type="pct"/>
            <w:shd w:val="clear" w:color="auto" w:fill="auto"/>
            <w:vAlign w:val="center"/>
          </w:tcPr>
          <w:p w14:paraId="108B332B" w14:textId="1AB2A69A" w:rsidR="00945DB8" w:rsidRPr="007D1918" w:rsidRDefault="00BF4322" w:rsidP="00945DB8">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DF5BF4" w:rsidRPr="007D1918" w14:paraId="3C7DC802" w14:textId="77777777" w:rsidTr="00EC62F5">
        <w:trPr>
          <w:tblHeader/>
        </w:trPr>
        <w:tc>
          <w:tcPr>
            <w:tcW w:w="5000" w:type="pct"/>
            <w:gridSpan w:val="8"/>
            <w:shd w:val="clear" w:color="auto" w:fill="EEECE1" w:themeFill="background2"/>
          </w:tcPr>
          <w:p w14:paraId="2CB1CFCD" w14:textId="77777777" w:rsidR="00DF5BF4" w:rsidRPr="007D1918" w:rsidRDefault="00DF5BF4" w:rsidP="00EC62F5">
            <w:pPr>
              <w:pStyle w:val="Tabletext1"/>
              <w:rPr>
                <w:snapToGrid w:val="0"/>
                <w:lang w:eastAsia="en-US"/>
              </w:rPr>
            </w:pPr>
            <w:r w:rsidRPr="007D1918">
              <w:rPr>
                <w:snapToGrid w:val="0"/>
                <w:lang w:eastAsia="en-US"/>
              </w:rPr>
              <w:t>Indication 2</w:t>
            </w:r>
          </w:p>
        </w:tc>
      </w:tr>
      <w:tr w:rsidR="00DF5BF4" w:rsidRPr="007D1918" w14:paraId="17462D4B" w14:textId="77777777" w:rsidTr="00922B51">
        <w:trPr>
          <w:tblHeader/>
        </w:trPr>
        <w:tc>
          <w:tcPr>
            <w:tcW w:w="680" w:type="pct"/>
            <w:shd w:val="clear" w:color="auto" w:fill="auto"/>
            <w:vAlign w:val="center"/>
          </w:tcPr>
          <w:p w14:paraId="406EDB14" w14:textId="75F01693" w:rsidR="00DF5BF4" w:rsidRPr="007D1918" w:rsidRDefault="00DF5BF4" w:rsidP="007D4948">
            <w:pPr>
              <w:keepNext/>
              <w:spacing w:before="40" w:after="40" w:line="240" w:lineRule="auto"/>
              <w:rPr>
                <w:rFonts w:ascii="Arial Narrow" w:hAnsi="Arial Narrow"/>
                <w:snapToGrid w:val="0"/>
                <w:lang w:eastAsia="en-US"/>
              </w:rPr>
            </w:pPr>
            <w:r w:rsidRPr="007D1918">
              <w:rPr>
                <w:rFonts w:ascii="Arial Narrow" w:hAnsi="Arial Narrow"/>
                <w:snapToGrid w:val="0"/>
                <w:sz w:val="20"/>
                <w:lang w:eastAsia="en-US"/>
              </w:rPr>
              <w:fldChar w:fldCharType="begin"/>
            </w:r>
            <w:r w:rsidR="00C437BA" w:rsidRPr="007D1918">
              <w:rPr>
                <w:rFonts w:ascii="Arial Narrow" w:hAnsi="Arial Narrow"/>
                <w:snapToGrid w:val="0"/>
                <w:sz w:val="20"/>
                <w:lang w:eastAsia="en-US"/>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4" w:tooltip="Alipour-Faz, 2017 #64" w:history="1">
              <w:r w:rsidR="007D4948" w:rsidRPr="007D1918">
                <w:rPr>
                  <w:rFonts w:ascii="Arial Narrow" w:hAnsi="Arial Narrow"/>
                  <w:noProof/>
                  <w:snapToGrid w:val="0"/>
                  <w:sz w:val="20"/>
                  <w:lang w:eastAsia="en-US"/>
                </w:rPr>
                <w:t>Alipour-Faz et al. 2017</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77D76CBF"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24</w:t>
            </w:r>
          </w:p>
        </w:tc>
        <w:tc>
          <w:tcPr>
            <w:tcW w:w="453" w:type="pct"/>
            <w:shd w:val="clear" w:color="auto" w:fill="auto"/>
            <w:vAlign w:val="center"/>
          </w:tcPr>
          <w:p w14:paraId="1E73DD77"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RCT</w:t>
            </w:r>
          </w:p>
          <w:p w14:paraId="5E03DE4B"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SC, OL</w:t>
            </w:r>
          </w:p>
          <w:p w14:paraId="5573C8B3"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w:t>
            </w:r>
          </w:p>
        </w:tc>
        <w:tc>
          <w:tcPr>
            <w:tcW w:w="453" w:type="pct"/>
            <w:shd w:val="clear" w:color="auto" w:fill="auto"/>
            <w:vAlign w:val="center"/>
          </w:tcPr>
          <w:p w14:paraId="55E7529E"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6" w:type="pct"/>
            <w:shd w:val="clear" w:color="auto" w:fill="auto"/>
            <w:vAlign w:val="center"/>
          </w:tcPr>
          <w:p w14:paraId="26595E34" w14:textId="77777777" w:rsidR="00DF5BF4" w:rsidRPr="007D1918" w:rsidRDefault="00DF5BF4" w:rsidP="00EC62F5">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Adults with generalised MG &amp; thymoma, positive AChRAb, undergoing thymectomy</w:t>
            </w:r>
          </w:p>
        </w:tc>
        <w:tc>
          <w:tcPr>
            <w:tcW w:w="606" w:type="pct"/>
            <w:vAlign w:val="center"/>
          </w:tcPr>
          <w:p w14:paraId="4D7FAC75"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3607EDDB"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693CACDE"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Ventilation needs</w:t>
            </w:r>
          </w:p>
        </w:tc>
        <w:tc>
          <w:tcPr>
            <w:tcW w:w="530" w:type="pct"/>
            <w:shd w:val="clear" w:color="auto" w:fill="auto"/>
            <w:vAlign w:val="center"/>
          </w:tcPr>
          <w:p w14:paraId="57C0B755" w14:textId="1A65C341" w:rsidR="00DF5BF4" w:rsidRPr="007D1918" w:rsidRDefault="00BF4322"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yes</w:t>
            </w:r>
          </w:p>
        </w:tc>
      </w:tr>
      <w:tr w:rsidR="00DF5BF4" w:rsidRPr="007D1918" w14:paraId="0D3573B1" w14:textId="77777777" w:rsidTr="00922B51">
        <w:trPr>
          <w:tblHeader/>
        </w:trPr>
        <w:tc>
          <w:tcPr>
            <w:tcW w:w="680" w:type="pct"/>
            <w:shd w:val="clear" w:color="auto" w:fill="auto"/>
            <w:vAlign w:val="center"/>
          </w:tcPr>
          <w:p w14:paraId="7A4461EC" w14:textId="66342B2B" w:rsidR="00DF5BF4" w:rsidRPr="007D1918" w:rsidRDefault="00DF5BF4"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56" w:tooltip="Jensen, 2008 #13" w:history="1">
              <w:r w:rsidR="007D4948" w:rsidRPr="007D1918">
                <w:rPr>
                  <w:rFonts w:ascii="Arial Narrow" w:hAnsi="Arial Narrow"/>
                  <w:noProof/>
                  <w:snapToGrid w:val="0"/>
                  <w:sz w:val="20"/>
                  <w:lang w:eastAsia="en-US"/>
                </w:rPr>
                <w:t>Jensen &amp; Bril 2008</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2C6D861C"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18</w:t>
            </w:r>
          </w:p>
        </w:tc>
        <w:tc>
          <w:tcPr>
            <w:tcW w:w="453" w:type="pct"/>
            <w:shd w:val="clear" w:color="auto" w:fill="auto"/>
            <w:vAlign w:val="center"/>
          </w:tcPr>
          <w:p w14:paraId="00BE9EE4"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CC</w:t>
            </w:r>
          </w:p>
          <w:p w14:paraId="2BE24594"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3" w:type="pct"/>
            <w:shd w:val="clear" w:color="auto" w:fill="auto"/>
            <w:vAlign w:val="center"/>
          </w:tcPr>
          <w:p w14:paraId="229413D0"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low</w:t>
            </w:r>
          </w:p>
        </w:tc>
        <w:tc>
          <w:tcPr>
            <w:tcW w:w="1366" w:type="pct"/>
            <w:shd w:val="clear" w:color="auto" w:fill="auto"/>
            <w:vAlign w:val="center"/>
          </w:tcPr>
          <w:p w14:paraId="25C8D7C3" w14:textId="77777777" w:rsidR="00DF5BF4" w:rsidRPr="007D1918" w:rsidRDefault="00DF5BF4" w:rsidP="00EC62F5">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MG patients who underwent thymectomy</w:t>
            </w:r>
          </w:p>
        </w:tc>
        <w:tc>
          <w:tcPr>
            <w:tcW w:w="606" w:type="pct"/>
            <w:vAlign w:val="center"/>
          </w:tcPr>
          <w:p w14:paraId="250A10B9"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0E303FDF"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6C0F01BF"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Infection rate</w:t>
            </w:r>
          </w:p>
          <w:p w14:paraId="16C2F9A2"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OG</w:t>
            </w:r>
          </w:p>
        </w:tc>
        <w:tc>
          <w:tcPr>
            <w:tcW w:w="530" w:type="pct"/>
            <w:shd w:val="clear" w:color="auto" w:fill="auto"/>
            <w:vAlign w:val="center"/>
          </w:tcPr>
          <w:p w14:paraId="50EF73AC" w14:textId="1AA49F91" w:rsidR="00DF5BF4" w:rsidRPr="007D1918" w:rsidRDefault="00BF4322"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DF5BF4" w:rsidRPr="007D1918" w14:paraId="1CC03FD9" w14:textId="77777777" w:rsidTr="00922B51">
        <w:trPr>
          <w:tblHeader/>
        </w:trPr>
        <w:tc>
          <w:tcPr>
            <w:tcW w:w="680" w:type="pct"/>
            <w:shd w:val="clear" w:color="auto" w:fill="auto"/>
            <w:vAlign w:val="center"/>
          </w:tcPr>
          <w:p w14:paraId="56A3F77C" w14:textId="3415853A" w:rsidR="00DF5BF4" w:rsidRPr="007D1918" w:rsidRDefault="00DF5BF4"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60" w:tooltip="Leuzzi, 2014 #63" w:history="1">
              <w:r w:rsidR="007D4948" w:rsidRPr="007D1918">
                <w:rPr>
                  <w:rFonts w:ascii="Arial Narrow" w:hAnsi="Arial Narrow"/>
                  <w:noProof/>
                  <w:snapToGrid w:val="0"/>
                  <w:sz w:val="20"/>
                  <w:lang w:eastAsia="en-US"/>
                </w:rPr>
                <w:t>Leuzzi et al. 2014</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6B5A3400"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177</w:t>
            </w:r>
          </w:p>
        </w:tc>
        <w:tc>
          <w:tcPr>
            <w:tcW w:w="453" w:type="pct"/>
            <w:shd w:val="clear" w:color="auto" w:fill="auto"/>
            <w:vAlign w:val="center"/>
          </w:tcPr>
          <w:p w14:paraId="7E89C9AD"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070ADE6C"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3" w:type="pct"/>
            <w:shd w:val="clear" w:color="auto" w:fill="auto"/>
            <w:vAlign w:val="center"/>
          </w:tcPr>
          <w:p w14:paraId="4703905A"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6" w:type="pct"/>
            <w:shd w:val="clear" w:color="auto" w:fill="auto"/>
            <w:vAlign w:val="center"/>
          </w:tcPr>
          <w:p w14:paraId="6EC5B298" w14:textId="77777777" w:rsidR="00DF5BF4" w:rsidRPr="007D1918" w:rsidRDefault="00DF5BF4" w:rsidP="00EC62F5">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MG patients who underwent thymectomy</w:t>
            </w:r>
          </w:p>
        </w:tc>
        <w:tc>
          <w:tcPr>
            <w:tcW w:w="606" w:type="pct"/>
            <w:vAlign w:val="center"/>
          </w:tcPr>
          <w:p w14:paraId="3161729F"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02770BEA" w14:textId="77777777" w:rsidR="00DF5BF4" w:rsidRPr="007D1918" w:rsidRDefault="00DF5BF4"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Post-operative crisis</w:t>
            </w:r>
          </w:p>
        </w:tc>
        <w:tc>
          <w:tcPr>
            <w:tcW w:w="530" w:type="pct"/>
            <w:shd w:val="clear" w:color="auto" w:fill="auto"/>
            <w:vAlign w:val="center"/>
          </w:tcPr>
          <w:p w14:paraId="2C10D4CB" w14:textId="388A3E1D" w:rsidR="00DF5BF4" w:rsidRPr="007D1918" w:rsidRDefault="00BF4322" w:rsidP="00EC62F5">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bl>
    <w:p w14:paraId="338B3D54" w14:textId="77777777" w:rsidR="00945DB8" w:rsidRPr="007D1918" w:rsidRDefault="00945DB8" w:rsidP="00945DB8">
      <w:pPr>
        <w:rPr>
          <w:rStyle w:val="TablenotesChar0"/>
        </w:rPr>
      </w:pPr>
    </w:p>
    <w:tbl>
      <w:tblPr>
        <w:tblW w:w="51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0 (part 2) Key features of the primary comparative studies comparing IVIg with PE and other comparators in MG patients meeting Criteria V3 Indication 1, 2 and 3"/>
        <w:tblDescription w:val="This table provides a summary of the key features of each study included in the evidence base - including the study authors, sample size, study design and duration, risk of bias in the results, patient population characteristics, key outcomes measured, and whether the results were used in the economic evaluation in the report."/>
      </w:tblPr>
      <w:tblGrid>
        <w:gridCol w:w="1272"/>
        <w:gridCol w:w="569"/>
        <w:gridCol w:w="851"/>
        <w:gridCol w:w="849"/>
        <w:gridCol w:w="2553"/>
        <w:gridCol w:w="1133"/>
        <w:gridCol w:w="1135"/>
        <w:gridCol w:w="989"/>
      </w:tblGrid>
      <w:tr w:rsidR="00F16D72" w:rsidRPr="007D1918" w14:paraId="14A84377" w14:textId="77777777" w:rsidTr="00B11541">
        <w:trPr>
          <w:tblHeader/>
        </w:trPr>
        <w:tc>
          <w:tcPr>
            <w:tcW w:w="680" w:type="pct"/>
            <w:shd w:val="clear" w:color="auto" w:fill="auto"/>
            <w:vAlign w:val="center"/>
          </w:tcPr>
          <w:bookmarkEnd w:id="194"/>
          <w:p w14:paraId="6207606E" w14:textId="4697D4EE" w:rsidR="00B91198" w:rsidRPr="007D1918" w:rsidRDefault="00B91198" w:rsidP="00945DB8">
            <w:pPr>
              <w:pStyle w:val="TableHeading"/>
              <w:keepLines/>
              <w:jc w:val="center"/>
              <w:rPr>
                <w:snapToGrid w:val="0"/>
                <w:lang w:eastAsia="en-US"/>
              </w:rPr>
            </w:pPr>
            <w:r w:rsidRPr="007D1918">
              <w:rPr>
                <w:snapToGrid w:val="0"/>
                <w:lang w:eastAsia="en-US"/>
              </w:rPr>
              <w:lastRenderedPageBreak/>
              <w:t>Trial/Study</w:t>
            </w:r>
          </w:p>
        </w:tc>
        <w:tc>
          <w:tcPr>
            <w:tcW w:w="304" w:type="pct"/>
            <w:shd w:val="clear" w:color="auto" w:fill="auto"/>
            <w:vAlign w:val="center"/>
          </w:tcPr>
          <w:p w14:paraId="500B52CC" w14:textId="77777777" w:rsidR="00B91198" w:rsidRPr="007D1918" w:rsidRDefault="00B91198" w:rsidP="00945DB8">
            <w:pPr>
              <w:pStyle w:val="TableHeading"/>
              <w:keepLines/>
              <w:jc w:val="center"/>
              <w:rPr>
                <w:snapToGrid w:val="0"/>
                <w:lang w:eastAsia="en-US"/>
              </w:rPr>
            </w:pPr>
            <w:r w:rsidRPr="007D1918">
              <w:rPr>
                <w:snapToGrid w:val="0"/>
                <w:lang w:eastAsia="en-US"/>
              </w:rPr>
              <w:t>N</w:t>
            </w:r>
          </w:p>
        </w:tc>
        <w:tc>
          <w:tcPr>
            <w:tcW w:w="455" w:type="pct"/>
            <w:shd w:val="clear" w:color="auto" w:fill="auto"/>
            <w:vAlign w:val="center"/>
          </w:tcPr>
          <w:p w14:paraId="5D743918" w14:textId="7C6F06B6" w:rsidR="00B91198" w:rsidRPr="007D1918" w:rsidRDefault="005E2F25" w:rsidP="00945DB8">
            <w:pPr>
              <w:pStyle w:val="TableHeading"/>
              <w:keepLines/>
              <w:jc w:val="center"/>
              <w:rPr>
                <w:snapToGrid w:val="0"/>
                <w:lang w:eastAsia="en-US"/>
              </w:rPr>
            </w:pPr>
            <w:r w:rsidRPr="007D1918">
              <w:rPr>
                <w:snapToGrid w:val="0"/>
                <w:lang w:eastAsia="en-US"/>
              </w:rPr>
              <w:t>Design</w:t>
            </w:r>
          </w:p>
        </w:tc>
        <w:tc>
          <w:tcPr>
            <w:tcW w:w="454" w:type="pct"/>
            <w:shd w:val="clear" w:color="auto" w:fill="auto"/>
            <w:vAlign w:val="center"/>
          </w:tcPr>
          <w:p w14:paraId="4EBF3784" w14:textId="77777777" w:rsidR="00B91198" w:rsidRPr="007D1918" w:rsidRDefault="00B91198" w:rsidP="00945DB8">
            <w:pPr>
              <w:pStyle w:val="TableHeading"/>
              <w:keepLines/>
              <w:jc w:val="center"/>
              <w:rPr>
                <w:snapToGrid w:val="0"/>
                <w:lang w:eastAsia="en-US"/>
              </w:rPr>
            </w:pPr>
            <w:r w:rsidRPr="007D1918">
              <w:rPr>
                <w:snapToGrid w:val="0"/>
                <w:lang w:eastAsia="en-US"/>
              </w:rPr>
              <w:t>Risk of bias</w:t>
            </w:r>
          </w:p>
        </w:tc>
        <w:tc>
          <w:tcPr>
            <w:tcW w:w="1365" w:type="pct"/>
            <w:shd w:val="clear" w:color="auto" w:fill="auto"/>
            <w:vAlign w:val="center"/>
          </w:tcPr>
          <w:p w14:paraId="18C1AF14" w14:textId="77777777" w:rsidR="00B91198" w:rsidRPr="007D1918" w:rsidRDefault="00B91198" w:rsidP="00945DB8">
            <w:pPr>
              <w:pStyle w:val="TableHeading"/>
              <w:keepLines/>
              <w:jc w:val="center"/>
              <w:rPr>
                <w:snapToGrid w:val="0"/>
                <w:lang w:eastAsia="en-US"/>
              </w:rPr>
            </w:pPr>
            <w:r w:rsidRPr="007D1918">
              <w:rPr>
                <w:snapToGrid w:val="0"/>
                <w:lang w:eastAsia="en-US"/>
              </w:rPr>
              <w:t>Patient population</w:t>
            </w:r>
          </w:p>
        </w:tc>
        <w:tc>
          <w:tcPr>
            <w:tcW w:w="606" w:type="pct"/>
            <w:vAlign w:val="center"/>
          </w:tcPr>
          <w:p w14:paraId="596649DC" w14:textId="77777777" w:rsidR="00B91198" w:rsidRPr="007D1918" w:rsidRDefault="00B91198" w:rsidP="00945DB8">
            <w:pPr>
              <w:pStyle w:val="TableHeading"/>
              <w:keepLines/>
              <w:jc w:val="center"/>
              <w:rPr>
                <w:snapToGrid w:val="0"/>
                <w:lang w:eastAsia="en-US"/>
              </w:rPr>
            </w:pPr>
            <w:r w:rsidRPr="007D1918">
              <w:rPr>
                <w:snapToGrid w:val="0"/>
                <w:lang w:eastAsia="en-US"/>
              </w:rPr>
              <w:t>Comparison</w:t>
            </w:r>
          </w:p>
        </w:tc>
        <w:tc>
          <w:tcPr>
            <w:tcW w:w="607" w:type="pct"/>
            <w:shd w:val="clear" w:color="auto" w:fill="auto"/>
            <w:vAlign w:val="center"/>
          </w:tcPr>
          <w:p w14:paraId="442C7495" w14:textId="77777777" w:rsidR="00B91198" w:rsidRPr="007D1918" w:rsidRDefault="00B91198" w:rsidP="00945DB8">
            <w:pPr>
              <w:pStyle w:val="TableHeading"/>
              <w:keepLines/>
              <w:jc w:val="center"/>
              <w:rPr>
                <w:snapToGrid w:val="0"/>
                <w:lang w:eastAsia="en-US"/>
              </w:rPr>
            </w:pPr>
            <w:r w:rsidRPr="007D1918">
              <w:rPr>
                <w:snapToGrid w:val="0"/>
                <w:lang w:eastAsia="en-US"/>
              </w:rPr>
              <w:t>Key outcome(s)</w:t>
            </w:r>
          </w:p>
        </w:tc>
        <w:tc>
          <w:tcPr>
            <w:tcW w:w="529" w:type="pct"/>
            <w:shd w:val="clear" w:color="auto" w:fill="auto"/>
            <w:vAlign w:val="center"/>
          </w:tcPr>
          <w:p w14:paraId="78815509" w14:textId="6599D189" w:rsidR="00B91198" w:rsidRPr="007D1918" w:rsidRDefault="003D1D95" w:rsidP="00945DB8">
            <w:pPr>
              <w:pStyle w:val="TableHeading"/>
              <w:keepLines/>
              <w:jc w:val="center"/>
              <w:rPr>
                <w:snapToGrid w:val="0"/>
                <w:lang w:eastAsia="en-US"/>
              </w:rPr>
            </w:pPr>
            <w:r w:rsidRPr="007D1918">
              <w:rPr>
                <w:snapToGrid w:val="0"/>
                <w:lang w:eastAsia="en-US"/>
              </w:rPr>
              <w:t>U</w:t>
            </w:r>
            <w:r w:rsidR="00B91198" w:rsidRPr="007D1918">
              <w:rPr>
                <w:snapToGrid w:val="0"/>
                <w:lang w:eastAsia="en-US"/>
              </w:rPr>
              <w:t>sed in econ model</w:t>
            </w:r>
          </w:p>
        </w:tc>
      </w:tr>
      <w:tr w:rsidR="00B91198" w:rsidRPr="007D1918" w14:paraId="6DD02212" w14:textId="77777777" w:rsidTr="00B11541">
        <w:trPr>
          <w:tblHeader/>
        </w:trPr>
        <w:tc>
          <w:tcPr>
            <w:tcW w:w="5000" w:type="pct"/>
            <w:gridSpan w:val="8"/>
            <w:shd w:val="clear" w:color="auto" w:fill="EEECE1" w:themeFill="background2"/>
          </w:tcPr>
          <w:p w14:paraId="3817381A" w14:textId="77777777" w:rsidR="00B91198" w:rsidRPr="007D1918" w:rsidRDefault="00B91198" w:rsidP="00B11541">
            <w:pPr>
              <w:pStyle w:val="Tabletext1"/>
              <w:rPr>
                <w:snapToGrid w:val="0"/>
                <w:lang w:eastAsia="en-US"/>
              </w:rPr>
            </w:pPr>
            <w:r w:rsidRPr="007D1918">
              <w:rPr>
                <w:snapToGrid w:val="0"/>
                <w:lang w:eastAsia="en-US"/>
              </w:rPr>
              <w:t>Indication 3</w:t>
            </w:r>
          </w:p>
        </w:tc>
      </w:tr>
      <w:tr w:rsidR="00F16D72" w:rsidRPr="007D1918" w14:paraId="30574F76" w14:textId="77777777" w:rsidTr="00B11541">
        <w:trPr>
          <w:tblHeader/>
        </w:trPr>
        <w:tc>
          <w:tcPr>
            <w:tcW w:w="680" w:type="pct"/>
            <w:shd w:val="clear" w:color="auto" w:fill="auto"/>
            <w:vAlign w:val="center"/>
          </w:tcPr>
          <w:p w14:paraId="1ECE41B6" w14:textId="236CEEA3" w:rsidR="00B91198" w:rsidRPr="007D1918" w:rsidRDefault="00B91198" w:rsidP="00F70859">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r>
            <w:r w:rsidR="001A0E53" w:rsidRPr="007D1918">
              <w:rPr>
                <w:rFonts w:ascii="Arial Narrow" w:hAnsi="Arial Narrow"/>
                <w:snapToGrid w:val="0"/>
                <w:sz w:val="20"/>
                <w:lang w:eastAsia="en-US"/>
              </w:rPr>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001A0E53" w:rsidRPr="007D1918">
              <w:rPr>
                <w:rFonts w:ascii="Cambria Math" w:hAnsi="Cambria Math" w:cs="Cambria Math"/>
                <w:snapToGrid w:val="0"/>
                <w:sz w:val="20"/>
                <w:lang w:eastAsia="en-US"/>
              </w:rPr>
              <w:instrText>‐</w:instrText>
            </w:r>
            <w:r w:rsidR="001A0E53" w:rsidRPr="007D1918">
              <w:rPr>
                <w:rFonts w:ascii="Arial Narrow" w:hAnsi="Arial Narrow"/>
                <w:snapToGrid w:val="0"/>
                <w:sz w:val="20"/>
                <w:lang w:eastAsia="en-US"/>
              </w:rPr>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001A0E53" w:rsidRPr="007D1918">
              <w:rPr>
                <w:rFonts w:ascii="Cambria Math" w:hAnsi="Cambria Math" w:cs="Cambria Math"/>
                <w:snapToGrid w:val="0"/>
                <w:sz w:val="20"/>
                <w:lang w:eastAsia="en-US"/>
              </w:rPr>
              <w:instrText>‐</w:instrText>
            </w:r>
            <w:r w:rsidR="001A0E53" w:rsidRPr="007D1918">
              <w:rPr>
                <w:rFonts w:ascii="Arial Narrow" w:hAnsi="Arial Narrow"/>
                <w:snapToGrid w:val="0"/>
                <w:sz w:val="20"/>
                <w:lang w:eastAsia="en-US"/>
              </w:rPr>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001A0E53" w:rsidRPr="007D1918">
              <w:rPr>
                <w:rFonts w:ascii="Cambria Math" w:hAnsi="Cambria Math" w:cs="Cambria Math"/>
                <w:snapToGrid w:val="0"/>
                <w:sz w:val="20"/>
                <w:lang w:eastAsia="en-US"/>
              </w:rPr>
              <w:instrText>‐</w:instrText>
            </w:r>
            <w:r w:rsidR="001A0E53" w:rsidRPr="007D1918">
              <w:rPr>
                <w:rFonts w:ascii="Arial Narrow" w:hAnsi="Arial Narrow"/>
                <w:snapToGrid w:val="0"/>
                <w:sz w:val="20"/>
                <w:lang w:eastAsia="en-US"/>
              </w:rPr>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rPr>
                <w:rFonts w:ascii="Arial Narrow" w:hAnsi="Arial Narrow"/>
                <w:snapToGrid w:val="0"/>
                <w:sz w:val="20"/>
                <w:lang w:eastAsia="en-US"/>
              </w:rPr>
              <w:fldChar w:fldCharType="separate"/>
            </w:r>
            <w:r w:rsidR="001A0E53" w:rsidRPr="007D1918">
              <w:rPr>
                <w:rFonts w:ascii="Arial Narrow" w:hAnsi="Arial Narrow"/>
                <w:noProof/>
                <w:snapToGrid w:val="0"/>
                <w:sz w:val="20"/>
                <w:lang w:eastAsia="en-US"/>
              </w:rPr>
              <w:t>(</w:t>
            </w:r>
            <w:hyperlink w:anchor="_ENREF_8" w:tooltip="Barth, 2011 #48" w:history="1">
              <w:r w:rsidR="007D4948" w:rsidRPr="007D1918">
                <w:rPr>
                  <w:rFonts w:ascii="Arial Narrow" w:hAnsi="Arial Narrow"/>
                  <w:noProof/>
                  <w:snapToGrid w:val="0"/>
                  <w:sz w:val="20"/>
                  <w:lang w:eastAsia="en-US"/>
                </w:rPr>
                <w:t>Barth et al. 2011</w:t>
              </w:r>
            </w:hyperlink>
            <w:r w:rsidR="001A0E53"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p w14:paraId="64B80A91" w14:textId="4A535619" w:rsidR="00A14C5F" w:rsidRPr="007D1918" w:rsidRDefault="003736AC"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r>
            <w:r w:rsidR="00C437BA" w:rsidRPr="007D1918">
              <w:rPr>
                <w:rFonts w:ascii="Arial Narrow" w:hAnsi="Arial Narrow"/>
                <w:snapToGrid w:val="0"/>
                <w:sz w:val="20"/>
                <w:lang w:eastAsia="en-US"/>
              </w:rPr>
              <w:instrText xml:space="preserve"> ADDIN EN.CITE &lt;EndNote&gt;&lt;Cite&gt;&lt;Author&gt;Barnett&lt;/Author&gt;&lt;Year&gt;2013&lt;/Year&gt;&lt;RecNum&gt;18&lt;/RecNum&gt;&lt;DisplayText&gt;(Barnett et al. 2013)&lt;/DisplayText&gt;&lt;record&gt;&lt;rec-number&gt;18&lt;/rec-number&gt;&lt;foreign-keys&gt;&lt;key app="EN" db-id="2aevrx2slsts5ve9sdavatf125dsx0av2v9d" timestamp="1558070750"&gt;18&lt;/key&gt;&lt;/foreign-keys&gt;&lt;ref-type name="Journal Article"&gt;17&lt;/ref-type&gt;&lt;contributors&gt;&lt;authors&gt;&lt;author&gt;Barnett, C.&lt;/author&gt;&lt;author&gt;Wilson, G.&lt;/author&gt;&lt;author&gt;Barth, D.&lt;/author&gt;&lt;author&gt;Katzberg, H. D.&lt;/author&gt;&lt;author&gt;Bril, V.&lt;/author&gt;&lt;/authors&gt;&lt;/contributors&gt;&lt;titles&gt;&lt;title&gt;Changes in quality of life scores with intravenous immunoglobulin or plasmapheresis in patients with myasthenia gravis&lt;/title&gt;&lt;secondary-title&gt;Journal of neurology, neurosurgery, and psychiatry&lt;/secondary-title&gt;&lt;/titles&gt;&lt;periodical&gt;&lt;full-title&gt;Journal of neurology, neurosurgery, and psychiatry&lt;/full-title&gt;&lt;/periodical&gt;&lt;pages&gt;94</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97&lt;/pages&gt;&lt;volume&gt;84&lt;/volume&gt;&lt;number&gt;1&lt;/number&gt;&lt;keywords&gt;&lt;keyword&gt;Female&lt;/keyword&gt;&lt;keyword&gt;Humans&lt;/keyword&gt;&lt;keyword&gt;Immunoglobulins, Intravenous [*therapeutic use]&lt;/keyword&gt;&lt;keyword&gt;Immunologic Factors [therapeutic use]&lt;/keyword&gt;&lt;keyword&gt;Male&lt;/keyword&gt;&lt;keyword&gt;Middle Aged&lt;/keyword&gt;&lt;keyword&gt;Myasthenia Gravis [*drug therapy, psychology, *therapy]&lt;/keyword&gt;&lt;keyword&gt;Plasmapheresis [methods, *psychology]&lt;/keyword&gt;&lt;keyword&gt;Quality of Life [*psychology]&lt;/keyword&gt;&lt;keyword&gt;Single</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Blind Method&lt;/keyword&gt;&lt;keyword&gt;Surveys and Questionnaires&lt;/keyword&gt;&lt;/keywords&gt;&lt;dates&gt;&lt;year&gt;2013&lt;/year&gt;&lt;/dates&gt;&lt;accession-num&gt;CN-00841730&lt;/accession-num&gt;&lt;work-type&gt;Journal Article; Randomized Controlled Trial&lt;/work-type&gt;&lt;urls&gt;&lt;related-urls&gt;&lt;url&gt;https://www.cochranelibrary.com/central/doi/10.1002/central/CN-00841730/full&lt;/url&gt;&lt;url&gt;https://jnnp.bmj.com/content/jnnp/84/1/94.full.pdf&lt;/url&gt;&lt;/related-urls&gt;&lt;/urls&gt;&lt;custom3&gt;PUBMED 23154126&lt;/custom3&gt;&lt;electronic-resource-num&gt;10.1136/jnnp-2011-301449&lt;/electronic-resource-num&gt;&lt;/record&gt;&lt;/Cite&gt;&lt;/EndNote&gt;</w:instrText>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7" w:tooltip="Barnett, 2013 #18" w:history="1">
              <w:r w:rsidR="007D4948" w:rsidRPr="007D1918">
                <w:rPr>
                  <w:rFonts w:ascii="Arial Narrow" w:hAnsi="Arial Narrow"/>
                  <w:noProof/>
                  <w:snapToGrid w:val="0"/>
                  <w:sz w:val="20"/>
                  <w:lang w:eastAsia="en-US"/>
                </w:rPr>
                <w:t>Barnett et al. 2013</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037A4A99"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84</w:t>
            </w:r>
          </w:p>
        </w:tc>
        <w:tc>
          <w:tcPr>
            <w:tcW w:w="455" w:type="pct"/>
            <w:shd w:val="clear" w:color="auto" w:fill="auto"/>
            <w:vAlign w:val="center"/>
          </w:tcPr>
          <w:p w14:paraId="058C94F8"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RCT</w:t>
            </w:r>
          </w:p>
          <w:p w14:paraId="11334CEB" w14:textId="6840958E" w:rsidR="00BF3BE0" w:rsidRPr="007D1918" w:rsidRDefault="00BF3B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SC, SB</w:t>
            </w:r>
          </w:p>
          <w:p w14:paraId="7D3BA935"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w:t>
            </w:r>
          </w:p>
        </w:tc>
        <w:tc>
          <w:tcPr>
            <w:tcW w:w="454" w:type="pct"/>
            <w:shd w:val="clear" w:color="auto" w:fill="auto"/>
            <w:vAlign w:val="center"/>
          </w:tcPr>
          <w:p w14:paraId="74D76284"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low</w:t>
            </w:r>
          </w:p>
        </w:tc>
        <w:tc>
          <w:tcPr>
            <w:tcW w:w="1365" w:type="pct"/>
            <w:shd w:val="clear" w:color="auto" w:fill="auto"/>
            <w:vAlign w:val="center"/>
          </w:tcPr>
          <w:p w14:paraId="05EB635C" w14:textId="42483129" w:rsidR="00B91198" w:rsidRPr="007D1918" w:rsidRDefault="00B070B5" w:rsidP="00F70859">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Adults (&gt;18 y) with moderate to severe MG with QMGS &gt;10.5 and worsening weakness sufficient to warrant change in treatment</w:t>
            </w:r>
          </w:p>
        </w:tc>
        <w:tc>
          <w:tcPr>
            <w:tcW w:w="606" w:type="pct"/>
            <w:vAlign w:val="center"/>
          </w:tcPr>
          <w:p w14:paraId="324F6836"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6F2A0C4B"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48C276F4" w14:textId="77777777" w:rsidR="007E41F6" w:rsidRPr="007D1918" w:rsidRDefault="007E41F6"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QMGS</w:t>
            </w:r>
          </w:p>
          <w:p w14:paraId="2B5DA467" w14:textId="0A3BD72B" w:rsidR="00A14C5F" w:rsidRPr="007D1918" w:rsidRDefault="00A14C5F" w:rsidP="00FF6C3C">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QoL</w:t>
            </w:r>
          </w:p>
        </w:tc>
        <w:tc>
          <w:tcPr>
            <w:tcW w:w="529" w:type="pct"/>
            <w:shd w:val="clear" w:color="auto" w:fill="auto"/>
            <w:vAlign w:val="center"/>
          </w:tcPr>
          <w:p w14:paraId="4278D384" w14:textId="247FC83D" w:rsidR="00B91198" w:rsidRPr="007D1918" w:rsidRDefault="00E7367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00EAC8A6" w14:textId="77777777" w:rsidTr="00B11541">
        <w:trPr>
          <w:tblHeader/>
        </w:trPr>
        <w:tc>
          <w:tcPr>
            <w:tcW w:w="680" w:type="pct"/>
            <w:shd w:val="clear" w:color="auto" w:fill="auto"/>
            <w:vAlign w:val="center"/>
          </w:tcPr>
          <w:p w14:paraId="209039E9" w14:textId="0698BC0D"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63" w:tooltip="Liu, 2010 #56" w:history="1">
              <w:r w:rsidR="007D4948" w:rsidRPr="007D1918">
                <w:rPr>
                  <w:rFonts w:ascii="Arial Narrow" w:hAnsi="Arial Narrow"/>
                  <w:noProof/>
                  <w:snapToGrid w:val="0"/>
                  <w:sz w:val="20"/>
                  <w:lang w:eastAsia="en-US"/>
                </w:rPr>
                <w:t>Liu et al. 2010</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580A6387"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40</w:t>
            </w:r>
          </w:p>
        </w:tc>
        <w:tc>
          <w:tcPr>
            <w:tcW w:w="455" w:type="pct"/>
            <w:shd w:val="clear" w:color="auto" w:fill="auto"/>
            <w:vAlign w:val="center"/>
          </w:tcPr>
          <w:p w14:paraId="2199219D"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RCT</w:t>
            </w:r>
          </w:p>
          <w:p w14:paraId="3D2489FE" w14:textId="663E873C" w:rsidR="00BF3BE0" w:rsidRPr="007D1918" w:rsidRDefault="00BF3B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SC, SB</w:t>
            </w:r>
          </w:p>
          <w:p w14:paraId="0AAB4946"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w:t>
            </w:r>
          </w:p>
        </w:tc>
        <w:tc>
          <w:tcPr>
            <w:tcW w:w="454" w:type="pct"/>
            <w:shd w:val="clear" w:color="auto" w:fill="auto"/>
            <w:vAlign w:val="center"/>
          </w:tcPr>
          <w:p w14:paraId="6826AF9C"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5" w:type="pct"/>
            <w:shd w:val="clear" w:color="auto" w:fill="auto"/>
            <w:vAlign w:val="center"/>
          </w:tcPr>
          <w:p w14:paraId="2F2BE1D1" w14:textId="521E1990" w:rsidR="00B91198" w:rsidRPr="007D1918" w:rsidRDefault="00B070B5" w:rsidP="00BF4322">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Patients with late-onset MG attending a Chinese hospital</w:t>
            </w:r>
          </w:p>
        </w:tc>
        <w:tc>
          <w:tcPr>
            <w:tcW w:w="606" w:type="pct"/>
            <w:vAlign w:val="center"/>
          </w:tcPr>
          <w:p w14:paraId="4182E937"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5BE595F7"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5639B819" w14:textId="5E074B2A" w:rsidR="007E41F6" w:rsidRPr="007D1918" w:rsidRDefault="007E41F6"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QMGS</w:t>
            </w:r>
          </w:p>
        </w:tc>
        <w:tc>
          <w:tcPr>
            <w:tcW w:w="529" w:type="pct"/>
            <w:shd w:val="clear" w:color="auto" w:fill="auto"/>
            <w:vAlign w:val="center"/>
          </w:tcPr>
          <w:p w14:paraId="7F587E1B" w14:textId="57455288"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7EAD33AE" w14:textId="77777777" w:rsidTr="00B11541">
        <w:trPr>
          <w:tblHeader/>
        </w:trPr>
        <w:tc>
          <w:tcPr>
            <w:tcW w:w="680" w:type="pct"/>
            <w:shd w:val="clear" w:color="auto" w:fill="auto"/>
            <w:vAlign w:val="center"/>
          </w:tcPr>
          <w:p w14:paraId="4A203F14" w14:textId="07C3604C"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rFonts w:ascii="Arial Narrow" w:hAnsi="Arial Narrow"/>
                <w:snapToGrid w:val="0"/>
                <w:sz w:val="20"/>
                <w:lang w:eastAsia="en-US"/>
              </w:rPr>
              <w:instrText xml:space="preserve"> ADDIN EN.CITE </w:instrText>
            </w:r>
            <w:r w:rsidR="007F4CDE" w:rsidRPr="007D1918">
              <w:rPr>
                <w:rFonts w:ascii="Arial Narrow" w:hAnsi="Arial Narrow"/>
                <w:snapToGrid w:val="0"/>
                <w:sz w:val="20"/>
                <w:lang w:eastAsia="en-US"/>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rFonts w:ascii="Arial Narrow" w:hAnsi="Arial Narrow"/>
                <w:snapToGrid w:val="0"/>
                <w:sz w:val="20"/>
                <w:lang w:eastAsia="en-US"/>
              </w:rPr>
              <w:instrText xml:space="preserve"> ADDIN EN.CITE.DATA </w:instrText>
            </w:r>
            <w:r w:rsidR="007F4CDE" w:rsidRPr="007D1918">
              <w:rPr>
                <w:rFonts w:ascii="Arial Narrow" w:hAnsi="Arial Narrow"/>
                <w:snapToGrid w:val="0"/>
                <w:sz w:val="20"/>
                <w:lang w:eastAsia="en-US"/>
              </w:rPr>
            </w:r>
            <w:r w:rsidR="007F4CDE"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83" w:tooltip="Rønager, 2001 #41" w:history="1">
              <w:r w:rsidR="007D4948" w:rsidRPr="007D1918">
                <w:rPr>
                  <w:rFonts w:ascii="Arial Narrow" w:hAnsi="Arial Narrow"/>
                  <w:noProof/>
                  <w:snapToGrid w:val="0"/>
                  <w:sz w:val="20"/>
                  <w:lang w:eastAsia="en-US"/>
                </w:rPr>
                <w:t>Rønager et al. 2001</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5220B3A3"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12</w:t>
            </w:r>
          </w:p>
        </w:tc>
        <w:tc>
          <w:tcPr>
            <w:tcW w:w="455" w:type="pct"/>
            <w:shd w:val="clear" w:color="auto" w:fill="auto"/>
            <w:vAlign w:val="center"/>
          </w:tcPr>
          <w:p w14:paraId="4B98638F" w14:textId="16306268"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 xml:space="preserve">RCT (cross-over) </w:t>
            </w:r>
            <w:r w:rsidR="00F16D72" w:rsidRPr="007D1918">
              <w:rPr>
                <w:rFonts w:ascii="Arial Narrow" w:hAnsi="Arial Narrow"/>
                <w:snapToGrid w:val="0"/>
                <w:sz w:val="20"/>
                <w:lang w:eastAsia="en-US"/>
              </w:rPr>
              <w:br/>
            </w:r>
            <w:r w:rsidRPr="007D1918">
              <w:rPr>
                <w:rFonts w:ascii="Arial Narrow" w:hAnsi="Arial Narrow"/>
                <w:snapToGrid w:val="0"/>
                <w:sz w:val="20"/>
                <w:lang w:eastAsia="en-US"/>
              </w:rPr>
              <w:t>Level II</w:t>
            </w:r>
          </w:p>
        </w:tc>
        <w:tc>
          <w:tcPr>
            <w:tcW w:w="454" w:type="pct"/>
            <w:shd w:val="clear" w:color="auto" w:fill="auto"/>
            <w:vAlign w:val="center"/>
          </w:tcPr>
          <w:p w14:paraId="30303BA4"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high</w:t>
            </w:r>
          </w:p>
        </w:tc>
        <w:tc>
          <w:tcPr>
            <w:tcW w:w="1365" w:type="pct"/>
            <w:shd w:val="clear" w:color="auto" w:fill="auto"/>
            <w:vAlign w:val="center"/>
          </w:tcPr>
          <w:p w14:paraId="456CE27D" w14:textId="5299C694" w:rsidR="00B91198" w:rsidRPr="007D1918" w:rsidRDefault="00B070B5" w:rsidP="00B070B5">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 xml:space="preserve">Generalised moderate to severe MG on IS treatment for at least 12 months, in Osserman Classes 3-5 and with functional status 4-5 </w:t>
            </w:r>
          </w:p>
        </w:tc>
        <w:tc>
          <w:tcPr>
            <w:tcW w:w="606" w:type="pct"/>
            <w:vAlign w:val="center"/>
          </w:tcPr>
          <w:p w14:paraId="7D399C10"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5E171633"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26251D08" w14:textId="6FDC3D56" w:rsidR="007E41F6" w:rsidRPr="007D1918" w:rsidRDefault="007E41F6"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Infection rate</w:t>
            </w:r>
          </w:p>
        </w:tc>
        <w:tc>
          <w:tcPr>
            <w:tcW w:w="529" w:type="pct"/>
            <w:shd w:val="clear" w:color="auto" w:fill="auto"/>
            <w:vAlign w:val="center"/>
          </w:tcPr>
          <w:p w14:paraId="78D78243" w14:textId="2841861D"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5E2F25" w:rsidRPr="007D1918" w14:paraId="0EFCEDB0" w14:textId="77777777" w:rsidTr="00B11541">
        <w:trPr>
          <w:tblHeader/>
        </w:trPr>
        <w:tc>
          <w:tcPr>
            <w:tcW w:w="680" w:type="pct"/>
            <w:shd w:val="clear" w:color="auto" w:fill="auto"/>
            <w:vAlign w:val="center"/>
          </w:tcPr>
          <w:p w14:paraId="2FC2AA89" w14:textId="315E5EB4" w:rsidR="00A14C5F" w:rsidRPr="007D1918" w:rsidRDefault="00A14C5F"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r>
            <w:r w:rsidR="00C437BA" w:rsidRPr="007D1918">
              <w:rPr>
                <w:rFonts w:ascii="Arial Narrow" w:hAnsi="Arial Narrow"/>
                <w:snapToGrid w:val="0"/>
                <w:sz w:val="20"/>
                <w:lang w:eastAsia="en-US"/>
              </w:rPr>
              <w:instrText xml:space="preserve"> ADDIN EN.CITE &lt;EndNote&gt;&lt;Cite&gt;&lt;Author&gt;Zinman&lt;/Author&gt;&lt;Year&gt;2007&lt;/Year&gt;&lt;RecNum&gt;44&lt;/RecNum&gt;&lt;DisplayText&gt;(Zinman, Ng &amp;amp; Bril 2007)&lt;/DisplayText&gt;&lt;record&gt;&lt;rec-number&gt;44&lt;/rec-number&gt;&lt;foreign-keys&gt;&lt;key app="EN" db-id="2aevrx2slsts5ve9sdavatf125dsx0av2v9d" timestamp="1562810907"&gt;44&lt;/key&gt;&lt;/foreign-keys&gt;&lt;ref-type name="Journal Article"&gt;17&lt;/ref-type&gt;&lt;contributors&gt;&lt;authors&gt;&lt;author&gt;Zinman, L.&lt;/author&gt;&lt;author&gt;Ng, E.&lt;/author&gt;&lt;author&gt;Bril, V.&lt;/author&gt;&lt;/authors&gt;&lt;/contributors&gt;&lt;titles&gt;&lt;title&gt;IV immunoglobulin in patients with myasthenia gravis: a randomized controlled trial&lt;/title&gt;&lt;secondary-title&gt;Neurology&lt;/secondary-title&gt;&lt;/titles&gt;&lt;periodical&gt;&lt;full-title&gt;Neurology&lt;/full-title&gt;&lt;/periodical&gt;&lt;pages&gt;837</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841&lt;/pages&gt;&lt;volume&gt;68&lt;/volume&gt;&lt;number&gt;11&lt;/number&gt;&lt;keywords&gt;&lt;keyword&gt;Adult&lt;/keyword&gt;&lt;keyword&gt;Aged&lt;/keyword&gt;&lt;keyword&gt;Aged, 80 and over&lt;/keyword&gt;&lt;keyword&gt;Double</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Blind Method&lt;/keyword&gt;&lt;keyword&gt;Female&lt;/keyword&gt;&lt;keyword&gt;Humans&lt;/keyword&gt;&lt;keyword&gt;Immunoglobulins, Intravenous [*therapeutic use]&lt;/keyword&gt;&lt;keyword&gt;Male&lt;/keyword&gt;&lt;keyword&gt;Middle Aged&lt;/keyword&gt;&lt;keyword&gt;Myasthenia Gravis [epidemiology, *therapy]&lt;/keyword&gt;&lt;/keywords&gt;&lt;dates&gt;&lt;year&gt;2007&lt;/year&gt;&lt;/dates&gt;&lt;accession-num&gt;CN-00579165&lt;/accession-num&gt;&lt;work-type&gt;Comparative Study; Journal Article; Randomized Controlled Trial; Research Support, Non</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U.S. Gov&amp;apos;t; Validation Studies&lt;/work-type&gt;&lt;urls&gt;&lt;related-urls&gt;&lt;url&gt;https://www.cochranelibrary.com/central/doi/10.1002/central/CN-00579165/full&lt;/url&gt;&lt;url&gt;https://n.neurology.org/content/68/11/837.long&lt;/url&gt;&lt;/related-urls&gt;&lt;/urls&gt;&lt;custom3&gt;PUBMED 17353471&lt;/custom3&gt;&lt;electronic-resource-num&gt;10.1212/01.wnl.0000256698.69121.45&lt;/electronic-resource-num&gt;&lt;research-notes&gt;See Zinman &amp;amp; Bril 2008&lt;/research-notes&gt;&lt;/record&gt;&lt;/Cite&gt;&lt;/EndNote&gt;</w:instrText>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109" w:tooltip="Zinman, 2007 #44" w:history="1">
              <w:r w:rsidR="007D4948" w:rsidRPr="007D1918">
                <w:rPr>
                  <w:rFonts w:ascii="Arial Narrow" w:hAnsi="Arial Narrow"/>
                  <w:noProof/>
                  <w:snapToGrid w:val="0"/>
                  <w:sz w:val="20"/>
                  <w:lang w:eastAsia="en-US"/>
                </w:rPr>
                <w:t>Zinman, Ng &amp; Bril 2007</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5A151452" w14:textId="77777777" w:rsidR="00A14C5F" w:rsidRPr="007D1918" w:rsidRDefault="00A14C5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51</w:t>
            </w:r>
          </w:p>
        </w:tc>
        <w:tc>
          <w:tcPr>
            <w:tcW w:w="455" w:type="pct"/>
            <w:shd w:val="clear" w:color="auto" w:fill="auto"/>
            <w:vAlign w:val="center"/>
          </w:tcPr>
          <w:p w14:paraId="75B983B9" w14:textId="77777777" w:rsidR="00A14C5F" w:rsidRPr="007D1918" w:rsidRDefault="00A14C5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RCT</w:t>
            </w:r>
          </w:p>
          <w:p w14:paraId="00157B2B" w14:textId="0226A737" w:rsidR="00BF3BE0" w:rsidRPr="007D1918" w:rsidRDefault="00BF3B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SC, DB</w:t>
            </w:r>
          </w:p>
          <w:p w14:paraId="68FF4CA9" w14:textId="77777777" w:rsidR="00A14C5F" w:rsidRPr="007D1918" w:rsidRDefault="00A14C5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w:t>
            </w:r>
          </w:p>
        </w:tc>
        <w:tc>
          <w:tcPr>
            <w:tcW w:w="454" w:type="pct"/>
            <w:shd w:val="clear" w:color="auto" w:fill="auto"/>
            <w:vAlign w:val="center"/>
          </w:tcPr>
          <w:p w14:paraId="252CE45C" w14:textId="77777777" w:rsidR="00A14C5F" w:rsidRPr="007D1918" w:rsidRDefault="00A14C5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low</w:t>
            </w:r>
          </w:p>
        </w:tc>
        <w:tc>
          <w:tcPr>
            <w:tcW w:w="1365" w:type="pct"/>
            <w:shd w:val="clear" w:color="auto" w:fill="auto"/>
            <w:vAlign w:val="center"/>
          </w:tcPr>
          <w:p w14:paraId="464165A7" w14:textId="25E221C1" w:rsidR="00A14C5F" w:rsidRPr="007D1918" w:rsidRDefault="00B070B5" w:rsidP="00B070B5">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Adults with worsening weakness</w:t>
            </w:r>
          </w:p>
        </w:tc>
        <w:tc>
          <w:tcPr>
            <w:tcW w:w="606" w:type="pct"/>
            <w:vAlign w:val="center"/>
          </w:tcPr>
          <w:p w14:paraId="55E59567" w14:textId="77777777" w:rsidR="00A14C5F" w:rsidRPr="007D1918" w:rsidRDefault="00A14C5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placebo</w:t>
            </w:r>
          </w:p>
        </w:tc>
        <w:tc>
          <w:tcPr>
            <w:tcW w:w="607" w:type="pct"/>
            <w:shd w:val="clear" w:color="auto" w:fill="auto"/>
            <w:vAlign w:val="center"/>
          </w:tcPr>
          <w:p w14:paraId="63A1732C" w14:textId="0EB1742C" w:rsidR="00A14C5F" w:rsidRPr="007D1918" w:rsidRDefault="00A14C5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QMGS</w:t>
            </w:r>
          </w:p>
        </w:tc>
        <w:tc>
          <w:tcPr>
            <w:tcW w:w="529" w:type="pct"/>
            <w:shd w:val="clear" w:color="auto" w:fill="auto"/>
            <w:vAlign w:val="center"/>
          </w:tcPr>
          <w:p w14:paraId="43CC4842" w14:textId="5CDC12A6" w:rsidR="00A14C5F"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347F228B" w14:textId="77777777" w:rsidTr="00B11541">
        <w:trPr>
          <w:tblHeader/>
        </w:trPr>
        <w:tc>
          <w:tcPr>
            <w:tcW w:w="680" w:type="pct"/>
            <w:shd w:val="clear" w:color="auto" w:fill="auto"/>
            <w:vAlign w:val="center"/>
          </w:tcPr>
          <w:p w14:paraId="55A4976A" w14:textId="77777777" w:rsidR="00B91198" w:rsidRPr="007D1918" w:rsidRDefault="00B91198" w:rsidP="00F70859">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NCT02473952</w:t>
            </w:r>
          </w:p>
          <w:p w14:paraId="2651AB6E" w14:textId="78F17F12"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40" w:tooltip="Griffin, 2017 #62" w:history="1">
              <w:r w:rsidR="007D4948" w:rsidRPr="007D1918">
                <w:rPr>
                  <w:rFonts w:ascii="Arial Narrow" w:hAnsi="Arial Narrow"/>
                  <w:noProof/>
                  <w:snapToGrid w:val="0"/>
                  <w:sz w:val="20"/>
                  <w:lang w:eastAsia="en-US"/>
                </w:rPr>
                <w:t>Griffin et al. 2017b</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262A6059"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62</w:t>
            </w:r>
          </w:p>
        </w:tc>
        <w:tc>
          <w:tcPr>
            <w:tcW w:w="455" w:type="pct"/>
            <w:shd w:val="clear" w:color="auto" w:fill="auto"/>
            <w:vAlign w:val="center"/>
          </w:tcPr>
          <w:p w14:paraId="42BEF173"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RCT</w:t>
            </w:r>
          </w:p>
          <w:p w14:paraId="3241AEAE"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w:t>
            </w:r>
          </w:p>
        </w:tc>
        <w:tc>
          <w:tcPr>
            <w:tcW w:w="454" w:type="pct"/>
            <w:shd w:val="clear" w:color="auto" w:fill="auto"/>
            <w:vAlign w:val="center"/>
          </w:tcPr>
          <w:p w14:paraId="1CD72440"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NA</w:t>
            </w:r>
          </w:p>
        </w:tc>
        <w:tc>
          <w:tcPr>
            <w:tcW w:w="1365" w:type="pct"/>
            <w:shd w:val="clear" w:color="auto" w:fill="auto"/>
            <w:vAlign w:val="center"/>
          </w:tcPr>
          <w:p w14:paraId="04967954" w14:textId="75E41313" w:rsidR="00B91198" w:rsidRPr="007D1918" w:rsidRDefault="00F16D72" w:rsidP="00F16D72">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MG patients who are symptomatic on standard of care treatment with a QMGS &gt; 10 points at screening.</w:t>
            </w:r>
          </w:p>
        </w:tc>
        <w:tc>
          <w:tcPr>
            <w:tcW w:w="606" w:type="pct"/>
            <w:vAlign w:val="center"/>
          </w:tcPr>
          <w:p w14:paraId="1BB94956"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placebo</w:t>
            </w:r>
          </w:p>
        </w:tc>
        <w:tc>
          <w:tcPr>
            <w:tcW w:w="607" w:type="pct"/>
            <w:shd w:val="clear" w:color="auto" w:fill="auto"/>
            <w:vAlign w:val="center"/>
          </w:tcPr>
          <w:p w14:paraId="6A185CEC"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2E3F161A" w14:textId="5A661709"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Mortality</w:t>
            </w:r>
          </w:p>
        </w:tc>
        <w:tc>
          <w:tcPr>
            <w:tcW w:w="529" w:type="pct"/>
            <w:shd w:val="clear" w:color="auto" w:fill="auto"/>
            <w:vAlign w:val="center"/>
          </w:tcPr>
          <w:p w14:paraId="453F9D37" w14:textId="5B0AF188"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3B293DAF" w14:textId="77777777" w:rsidTr="00B11541">
        <w:trPr>
          <w:tblHeader/>
        </w:trPr>
        <w:tc>
          <w:tcPr>
            <w:tcW w:w="680" w:type="pct"/>
            <w:shd w:val="clear" w:color="auto" w:fill="auto"/>
            <w:vAlign w:val="center"/>
          </w:tcPr>
          <w:p w14:paraId="0C5D06FD" w14:textId="636F6B11"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snapToGrid w:val="0"/>
                <w:sz w:val="20"/>
                <w:lang w:eastAsia="en-US"/>
              </w:rPr>
              <w:instrText xml:space="preserve"> ADDIN EN.CITE </w:instrText>
            </w:r>
            <w:r w:rsidR="007F4CDE" w:rsidRPr="007D1918">
              <w:rPr>
                <w:rFonts w:ascii="Arial Narrow" w:hAnsi="Arial Narrow"/>
                <w:snapToGrid w:val="0"/>
                <w:sz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snapToGrid w:val="0"/>
                <w:sz w:val="20"/>
                <w:lang w:eastAsia="en-US"/>
              </w:rPr>
              <w:instrText xml:space="preserve"> ADDIN EN.CITE.DATA </w:instrText>
            </w:r>
            <w:r w:rsidR="007F4CDE" w:rsidRPr="007D1918">
              <w:rPr>
                <w:rFonts w:ascii="Arial Narrow" w:hAnsi="Arial Narrow"/>
                <w:snapToGrid w:val="0"/>
                <w:sz w:val="20"/>
                <w:lang w:eastAsia="en-US"/>
              </w:rPr>
            </w:r>
            <w:r w:rsidR="007F4CDE"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64" w:tooltip="Mandawat, 2010 #37" w:history="1">
              <w:r w:rsidR="007D4948" w:rsidRPr="007D1918">
                <w:rPr>
                  <w:rFonts w:ascii="Arial Narrow" w:hAnsi="Arial Narrow"/>
                  <w:noProof/>
                  <w:snapToGrid w:val="0"/>
                  <w:sz w:val="20"/>
                  <w:lang w:eastAsia="en-US"/>
                </w:rPr>
                <w:t>Mandawat et al. 2010</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67E1DF3D"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908</w:t>
            </w:r>
          </w:p>
        </w:tc>
        <w:tc>
          <w:tcPr>
            <w:tcW w:w="455" w:type="pct"/>
            <w:shd w:val="clear" w:color="auto" w:fill="auto"/>
            <w:vAlign w:val="center"/>
          </w:tcPr>
          <w:p w14:paraId="5F3E245D"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6E05F1A1"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4" w:type="pct"/>
            <w:shd w:val="clear" w:color="auto" w:fill="auto"/>
            <w:vAlign w:val="center"/>
          </w:tcPr>
          <w:p w14:paraId="75139244"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5" w:type="pct"/>
            <w:shd w:val="clear" w:color="auto" w:fill="auto"/>
            <w:vAlign w:val="center"/>
          </w:tcPr>
          <w:p w14:paraId="0ADF2062" w14:textId="62F654FA" w:rsidR="00B91198" w:rsidRPr="007D1918" w:rsidRDefault="00B070B5" w:rsidP="00F70859">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ICD-9-CM codes for primary diagnoses of MG (358.0) and MG crisis (358.01)</w:t>
            </w:r>
          </w:p>
        </w:tc>
        <w:tc>
          <w:tcPr>
            <w:tcW w:w="606" w:type="pct"/>
            <w:vAlign w:val="center"/>
          </w:tcPr>
          <w:p w14:paraId="2CEA15D0"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198EADCE"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2B53879C" w14:textId="26A61533"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Infection rate</w:t>
            </w:r>
          </w:p>
        </w:tc>
        <w:tc>
          <w:tcPr>
            <w:tcW w:w="529" w:type="pct"/>
            <w:shd w:val="clear" w:color="auto" w:fill="auto"/>
            <w:vAlign w:val="center"/>
          </w:tcPr>
          <w:p w14:paraId="3E86243E" w14:textId="17C721E6"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11944F20" w14:textId="77777777" w:rsidTr="00B11541">
        <w:trPr>
          <w:tblHeader/>
        </w:trPr>
        <w:tc>
          <w:tcPr>
            <w:tcW w:w="680" w:type="pct"/>
            <w:shd w:val="clear" w:color="auto" w:fill="auto"/>
            <w:vAlign w:val="center"/>
          </w:tcPr>
          <w:p w14:paraId="38303047" w14:textId="053E8769"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62" w:tooltip="Liew, 2014 #55" w:history="1">
              <w:r w:rsidR="007D4948" w:rsidRPr="007D1918">
                <w:rPr>
                  <w:rFonts w:ascii="Arial Narrow" w:hAnsi="Arial Narrow"/>
                  <w:noProof/>
                  <w:snapToGrid w:val="0"/>
                  <w:sz w:val="20"/>
                  <w:lang w:eastAsia="en-US"/>
                </w:rPr>
                <w:t>Liew et al. 2014</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2BB8D522"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33</w:t>
            </w:r>
          </w:p>
        </w:tc>
        <w:tc>
          <w:tcPr>
            <w:tcW w:w="455" w:type="pct"/>
            <w:shd w:val="clear" w:color="auto" w:fill="auto"/>
            <w:vAlign w:val="center"/>
          </w:tcPr>
          <w:p w14:paraId="6CD53BD0"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Coh</w:t>
            </w:r>
          </w:p>
          <w:p w14:paraId="4B6478D2"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4" w:type="pct"/>
            <w:shd w:val="clear" w:color="auto" w:fill="auto"/>
            <w:vAlign w:val="center"/>
          </w:tcPr>
          <w:p w14:paraId="687BFD9B"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5" w:type="pct"/>
            <w:shd w:val="clear" w:color="auto" w:fill="auto"/>
            <w:vAlign w:val="center"/>
          </w:tcPr>
          <w:p w14:paraId="77BD2408" w14:textId="492568A3" w:rsidR="00B91198" w:rsidRPr="007D1918" w:rsidRDefault="00B070B5" w:rsidP="00B070B5">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 xml:space="preserve">Children and adolescents with a diagnosis of juvenile MG who were seen in 3 Boston clinics </w:t>
            </w:r>
          </w:p>
        </w:tc>
        <w:tc>
          <w:tcPr>
            <w:tcW w:w="606" w:type="pct"/>
            <w:vAlign w:val="center"/>
          </w:tcPr>
          <w:p w14:paraId="2E1C495C"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v PE</w:t>
            </w:r>
          </w:p>
        </w:tc>
        <w:tc>
          <w:tcPr>
            <w:tcW w:w="607" w:type="pct"/>
            <w:shd w:val="clear" w:color="auto" w:fill="auto"/>
            <w:vAlign w:val="center"/>
          </w:tcPr>
          <w:p w14:paraId="4846E9E0"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0E370B0B" w14:textId="413EED9B" w:rsidR="00FF6C3C" w:rsidRPr="007D1918" w:rsidRDefault="000D68D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Response to treatment</w:t>
            </w:r>
          </w:p>
        </w:tc>
        <w:tc>
          <w:tcPr>
            <w:tcW w:w="529" w:type="pct"/>
            <w:shd w:val="clear" w:color="auto" w:fill="auto"/>
            <w:vAlign w:val="center"/>
          </w:tcPr>
          <w:p w14:paraId="70AF5672" w14:textId="1DB7E256"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035DF02C" w14:textId="77777777" w:rsidTr="00B11541">
        <w:trPr>
          <w:tblHeader/>
        </w:trPr>
        <w:tc>
          <w:tcPr>
            <w:tcW w:w="680" w:type="pct"/>
            <w:shd w:val="clear" w:color="auto" w:fill="auto"/>
            <w:vAlign w:val="center"/>
          </w:tcPr>
          <w:p w14:paraId="01AC2DE9" w14:textId="130D4439"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r>
            <w:r w:rsidR="00C437BA" w:rsidRPr="007D1918">
              <w:rPr>
                <w:rFonts w:ascii="Arial Narrow" w:hAnsi="Arial Narrow"/>
                <w:snapToGrid w:val="0"/>
                <w:sz w:val="20"/>
                <w:lang w:eastAsia="en-US"/>
              </w:rPr>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104" w:tooltip="Wang, 2016 #43" w:history="1">
              <w:r w:rsidR="007D4948" w:rsidRPr="007D1918">
                <w:rPr>
                  <w:rFonts w:ascii="Arial Narrow" w:hAnsi="Arial Narrow"/>
                  <w:noProof/>
                  <w:snapToGrid w:val="0"/>
                  <w:sz w:val="20"/>
                  <w:lang w:eastAsia="en-US"/>
                </w:rPr>
                <w:t>Wang et al. 2016</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4569E85C"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70</w:t>
            </w:r>
          </w:p>
        </w:tc>
        <w:tc>
          <w:tcPr>
            <w:tcW w:w="455" w:type="pct"/>
            <w:shd w:val="clear" w:color="auto" w:fill="auto"/>
            <w:vAlign w:val="center"/>
          </w:tcPr>
          <w:p w14:paraId="0B03EB6B"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Ret CC</w:t>
            </w:r>
          </w:p>
          <w:p w14:paraId="306B11C2"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III-2</w:t>
            </w:r>
          </w:p>
        </w:tc>
        <w:tc>
          <w:tcPr>
            <w:tcW w:w="454" w:type="pct"/>
            <w:shd w:val="clear" w:color="auto" w:fill="auto"/>
            <w:vAlign w:val="center"/>
          </w:tcPr>
          <w:p w14:paraId="1695078F"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high</w:t>
            </w:r>
          </w:p>
        </w:tc>
        <w:tc>
          <w:tcPr>
            <w:tcW w:w="1365" w:type="pct"/>
            <w:shd w:val="clear" w:color="auto" w:fill="auto"/>
            <w:vAlign w:val="center"/>
          </w:tcPr>
          <w:p w14:paraId="6E4FC8BF" w14:textId="44B8D3B4" w:rsidR="00B91198" w:rsidRPr="007D1918" w:rsidRDefault="009B35B0" w:rsidP="009B35B0">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Children with MG, pathological fatigue and daily unstable manifestation of myasthenia, positive neostigmine test result</w:t>
            </w:r>
          </w:p>
        </w:tc>
        <w:tc>
          <w:tcPr>
            <w:tcW w:w="606" w:type="pct"/>
            <w:vAlign w:val="center"/>
          </w:tcPr>
          <w:p w14:paraId="05D53263"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 + MPN v MPN</w:t>
            </w:r>
          </w:p>
        </w:tc>
        <w:tc>
          <w:tcPr>
            <w:tcW w:w="607" w:type="pct"/>
            <w:shd w:val="clear" w:color="auto" w:fill="auto"/>
            <w:vAlign w:val="center"/>
          </w:tcPr>
          <w:p w14:paraId="262E36D1"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5EFAC220" w14:textId="7F223D33" w:rsidR="000D68DF" w:rsidRPr="007D1918" w:rsidRDefault="000D68D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symptoms</w:t>
            </w:r>
          </w:p>
        </w:tc>
        <w:tc>
          <w:tcPr>
            <w:tcW w:w="529" w:type="pct"/>
            <w:shd w:val="clear" w:color="auto" w:fill="auto"/>
            <w:vAlign w:val="center"/>
          </w:tcPr>
          <w:p w14:paraId="54F62E60" w14:textId="382A7069"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025CFC" w:rsidRPr="007D1918" w14:paraId="30686ACE" w14:textId="77777777" w:rsidTr="00922B51">
        <w:trPr>
          <w:tblHeader/>
        </w:trPr>
        <w:tc>
          <w:tcPr>
            <w:tcW w:w="680" w:type="pct"/>
            <w:shd w:val="clear" w:color="auto" w:fill="auto"/>
            <w:vAlign w:val="center"/>
          </w:tcPr>
          <w:p w14:paraId="481BC9E4" w14:textId="197F5B3E" w:rsidR="00025CFC" w:rsidRPr="007D1918" w:rsidRDefault="003736AC"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Pr="007D1918">
              <w:rPr>
                <w:rFonts w:ascii="Arial Narrow" w:hAnsi="Arial Narrow"/>
                <w:snapToGrid w:val="0"/>
                <w:sz w:val="20"/>
                <w:lang w:eastAsia="en-US"/>
              </w:rPr>
              <w:instrText xml:space="preserve"> ADDIN EN.CITE </w:instrText>
            </w:r>
            <w:r w:rsidRPr="007D1918">
              <w:rPr>
                <w:rFonts w:ascii="Arial Narrow" w:hAnsi="Arial Narrow"/>
                <w:snapToGrid w:val="0"/>
                <w:sz w:val="20"/>
                <w:lang w:eastAsia="en-US"/>
              </w:rPr>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Pr="007D1918">
              <w:rPr>
                <w:rFonts w:ascii="Arial Narrow" w:hAnsi="Arial Narrow"/>
                <w:snapToGrid w:val="0"/>
                <w:sz w:val="20"/>
                <w:lang w:eastAsia="en-US"/>
              </w:rPr>
              <w:instrText xml:space="preserve"> ADDIN EN.CITE.DATA </w:instrText>
            </w:r>
            <w:r w:rsidRPr="007D1918">
              <w:rPr>
                <w:rFonts w:ascii="Arial Narrow" w:hAnsi="Arial Narrow"/>
                <w:snapToGrid w:val="0"/>
                <w:sz w:val="20"/>
                <w:lang w:eastAsia="en-US"/>
              </w:rPr>
            </w:r>
            <w:r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73" w:tooltip="Nosadini, 2016 #147" w:history="1">
              <w:r w:rsidR="007D4948" w:rsidRPr="007D1918">
                <w:rPr>
                  <w:rFonts w:ascii="Arial Narrow" w:hAnsi="Arial Narrow"/>
                  <w:noProof/>
                  <w:snapToGrid w:val="0"/>
                  <w:sz w:val="20"/>
                  <w:lang w:eastAsia="en-US"/>
                </w:rPr>
                <w:t>Nosadini et al. 2016</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6D1D1009" w14:textId="38511B80" w:rsidR="00025CFC" w:rsidRPr="007D1918" w:rsidRDefault="0019057B" w:rsidP="00952624">
            <w:pPr>
              <w:jc w:val="center"/>
              <w:rPr>
                <w:rFonts w:ascii="Arial Narrow" w:hAnsi="Arial Narrow"/>
                <w:snapToGrid w:val="0"/>
                <w:sz w:val="20"/>
                <w:lang w:eastAsia="en-US"/>
              </w:rPr>
            </w:pPr>
            <w:r w:rsidRPr="007D1918">
              <w:rPr>
                <w:rFonts w:ascii="Arial Narrow" w:hAnsi="Arial Narrow"/>
                <w:snapToGrid w:val="0"/>
                <w:sz w:val="20"/>
                <w:lang w:eastAsia="en-US"/>
              </w:rPr>
              <w:t>12</w:t>
            </w:r>
          </w:p>
        </w:tc>
        <w:tc>
          <w:tcPr>
            <w:tcW w:w="455" w:type="pct"/>
            <w:shd w:val="clear" w:color="auto" w:fill="auto"/>
            <w:vAlign w:val="center"/>
          </w:tcPr>
          <w:p w14:paraId="57A6ED8F" w14:textId="77777777" w:rsidR="0019057B" w:rsidRPr="007D1918" w:rsidRDefault="0019057B" w:rsidP="00952624">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CS</w:t>
            </w:r>
          </w:p>
          <w:p w14:paraId="0EFD0BCE" w14:textId="39F45FE4" w:rsidR="00025CFC" w:rsidRPr="007D1918" w:rsidRDefault="0019057B" w:rsidP="00952624">
            <w:pPr>
              <w:jc w:val="center"/>
              <w:rPr>
                <w:rFonts w:ascii="Arial Narrow" w:hAnsi="Arial Narrow"/>
                <w:snapToGrid w:val="0"/>
                <w:sz w:val="20"/>
                <w:lang w:eastAsia="en-US"/>
              </w:rPr>
            </w:pPr>
            <w:r w:rsidRPr="007D1918">
              <w:rPr>
                <w:rFonts w:ascii="Arial Narrow" w:hAnsi="Arial Narrow"/>
                <w:snapToGrid w:val="0"/>
                <w:sz w:val="20"/>
                <w:lang w:eastAsia="en-US"/>
              </w:rPr>
              <w:t>Level IV</w:t>
            </w:r>
          </w:p>
        </w:tc>
        <w:tc>
          <w:tcPr>
            <w:tcW w:w="454" w:type="pct"/>
            <w:shd w:val="clear" w:color="auto" w:fill="auto"/>
            <w:vAlign w:val="center"/>
          </w:tcPr>
          <w:p w14:paraId="1CBA8BEB" w14:textId="493325A4" w:rsidR="00025CFC" w:rsidRPr="007D1918" w:rsidRDefault="0019057B" w:rsidP="0019057B">
            <w:pP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5" w:type="pct"/>
            <w:shd w:val="clear" w:color="auto" w:fill="auto"/>
            <w:vAlign w:val="center"/>
          </w:tcPr>
          <w:p w14:paraId="3B96850C" w14:textId="469E44B2" w:rsidR="00025CFC" w:rsidRPr="007D1918" w:rsidRDefault="00816943" w:rsidP="00816943">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Children who received IVIg for MG at a single Australian hospital</w:t>
            </w:r>
          </w:p>
        </w:tc>
        <w:tc>
          <w:tcPr>
            <w:tcW w:w="606" w:type="pct"/>
            <w:vAlign w:val="center"/>
          </w:tcPr>
          <w:p w14:paraId="187AEC90" w14:textId="5CB33103" w:rsidR="00025CFC" w:rsidRPr="007D1918" w:rsidRDefault="00816943" w:rsidP="00952624">
            <w:pPr>
              <w:jc w:val="center"/>
              <w:rPr>
                <w:rFonts w:ascii="Arial Narrow" w:hAnsi="Arial Narrow"/>
                <w:snapToGrid w:val="0"/>
                <w:sz w:val="20"/>
                <w:lang w:eastAsia="en-US"/>
              </w:rPr>
            </w:pPr>
            <w:r w:rsidRPr="007D1918">
              <w:rPr>
                <w:rFonts w:ascii="Arial Narrow" w:hAnsi="Arial Narrow"/>
                <w:snapToGrid w:val="0"/>
                <w:sz w:val="20"/>
                <w:lang w:eastAsia="en-US"/>
              </w:rPr>
              <w:t>IVIg</w:t>
            </w:r>
          </w:p>
        </w:tc>
        <w:tc>
          <w:tcPr>
            <w:tcW w:w="607" w:type="pct"/>
            <w:shd w:val="clear" w:color="auto" w:fill="auto"/>
            <w:vAlign w:val="center"/>
          </w:tcPr>
          <w:p w14:paraId="3ED20390" w14:textId="59241E82" w:rsidR="00025CFC" w:rsidRPr="007D1918" w:rsidRDefault="00816943" w:rsidP="00952624">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severity (mRS)</w:t>
            </w:r>
          </w:p>
        </w:tc>
        <w:tc>
          <w:tcPr>
            <w:tcW w:w="529" w:type="pct"/>
            <w:shd w:val="clear" w:color="auto" w:fill="auto"/>
            <w:vAlign w:val="center"/>
          </w:tcPr>
          <w:p w14:paraId="19DF8E72" w14:textId="18147DDB" w:rsidR="00025CFC" w:rsidRPr="007D1918" w:rsidRDefault="00BF4322" w:rsidP="00922B51">
            <w:pPr>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025CFC" w:rsidRPr="007D1918" w14:paraId="326598B3" w14:textId="77777777" w:rsidTr="00922B51">
        <w:trPr>
          <w:tblHeader/>
        </w:trPr>
        <w:tc>
          <w:tcPr>
            <w:tcW w:w="680" w:type="pct"/>
            <w:shd w:val="clear" w:color="auto" w:fill="auto"/>
            <w:vAlign w:val="center"/>
          </w:tcPr>
          <w:p w14:paraId="770781D0" w14:textId="55346FCF" w:rsidR="00025CFC" w:rsidRPr="007D1918" w:rsidRDefault="003736AC"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PEVuZE5vdGU+PENpdGU+PEF1dGhvcj5TZWxjZW48L0F1dGhvcj48WWVhcj4yMDAwPC9ZZWFyPjxS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</w:fldData>
              </w:fldChar>
            </w:r>
            <w:r w:rsidRPr="007D1918">
              <w:rPr>
                <w:rFonts w:ascii="Arial Narrow" w:hAnsi="Arial Narrow"/>
                <w:snapToGrid w:val="0"/>
                <w:sz w:val="20"/>
                <w:lang w:eastAsia="en-US"/>
              </w:rPr>
              <w:instrText xml:space="preserve"> ADDIN EN.CITE </w:instrText>
            </w:r>
            <w:r w:rsidRPr="007D1918">
              <w:rPr>
                <w:rFonts w:ascii="Arial Narrow" w:hAnsi="Arial Narrow"/>
                <w:snapToGrid w:val="0"/>
                <w:sz w:val="20"/>
                <w:lang w:eastAsia="en-US"/>
              </w:rPr>
              <w:fldChar w:fldCharType="begin">
                <w:fldData xml:space="preserve">PEVuZE5vdGU+PENpdGU+PEF1dGhvcj5TZWxjZW48L0F1dGhvcj48WWVhcj4yMDAwPC9ZZWFyPjxS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</w:fldData>
              </w:fldChar>
            </w:r>
            <w:r w:rsidRPr="007D1918">
              <w:rPr>
                <w:rFonts w:ascii="Arial Narrow" w:hAnsi="Arial Narrow"/>
                <w:snapToGrid w:val="0"/>
                <w:sz w:val="20"/>
                <w:lang w:eastAsia="en-US"/>
              </w:rPr>
              <w:instrText xml:space="preserve"> ADDIN EN.CITE.DATA </w:instrText>
            </w:r>
            <w:r w:rsidRPr="007D1918">
              <w:rPr>
                <w:rFonts w:ascii="Arial Narrow" w:hAnsi="Arial Narrow"/>
                <w:snapToGrid w:val="0"/>
                <w:sz w:val="20"/>
                <w:lang w:eastAsia="en-US"/>
              </w:rPr>
            </w:r>
            <w:r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88" w:tooltip="Selcen, 2000 #46" w:history="1">
              <w:r w:rsidR="007D4948" w:rsidRPr="007D1918">
                <w:rPr>
                  <w:rFonts w:ascii="Arial Narrow" w:hAnsi="Arial Narrow"/>
                  <w:noProof/>
                  <w:snapToGrid w:val="0"/>
                  <w:sz w:val="20"/>
                  <w:lang w:eastAsia="en-US"/>
                </w:rPr>
                <w:t>Selcen et al. 2000</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760C058A" w14:textId="69963E73" w:rsidR="00025CFC" w:rsidRPr="007D1918" w:rsidRDefault="0019057B" w:rsidP="00952624">
            <w:pPr>
              <w:jc w:val="center"/>
              <w:rPr>
                <w:rFonts w:ascii="Arial Narrow" w:hAnsi="Arial Narrow"/>
                <w:snapToGrid w:val="0"/>
                <w:sz w:val="20"/>
                <w:lang w:eastAsia="en-US"/>
              </w:rPr>
            </w:pPr>
            <w:r w:rsidRPr="007D1918">
              <w:rPr>
                <w:rFonts w:ascii="Arial Narrow" w:hAnsi="Arial Narrow"/>
                <w:snapToGrid w:val="0"/>
                <w:sz w:val="20"/>
                <w:lang w:eastAsia="en-US"/>
              </w:rPr>
              <w:t>9</w:t>
            </w:r>
          </w:p>
        </w:tc>
        <w:tc>
          <w:tcPr>
            <w:tcW w:w="455" w:type="pct"/>
            <w:shd w:val="clear" w:color="auto" w:fill="auto"/>
            <w:vAlign w:val="center"/>
          </w:tcPr>
          <w:p w14:paraId="683AFAC5" w14:textId="77777777" w:rsidR="0019057B" w:rsidRPr="007D1918" w:rsidRDefault="0019057B" w:rsidP="00952624">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CS</w:t>
            </w:r>
          </w:p>
          <w:p w14:paraId="463D7E70" w14:textId="39B34796" w:rsidR="00025CFC" w:rsidRPr="007D1918" w:rsidRDefault="0019057B" w:rsidP="00952624">
            <w:pPr>
              <w:jc w:val="center"/>
              <w:rPr>
                <w:rFonts w:ascii="Arial Narrow" w:hAnsi="Arial Narrow"/>
                <w:snapToGrid w:val="0"/>
                <w:sz w:val="20"/>
                <w:lang w:eastAsia="en-US"/>
              </w:rPr>
            </w:pPr>
            <w:r w:rsidRPr="007D1918">
              <w:rPr>
                <w:rFonts w:ascii="Arial Narrow" w:hAnsi="Arial Narrow"/>
                <w:snapToGrid w:val="0"/>
                <w:sz w:val="20"/>
                <w:lang w:eastAsia="en-US"/>
              </w:rPr>
              <w:t>Level IV</w:t>
            </w:r>
          </w:p>
        </w:tc>
        <w:tc>
          <w:tcPr>
            <w:tcW w:w="454" w:type="pct"/>
            <w:shd w:val="clear" w:color="auto" w:fill="auto"/>
            <w:vAlign w:val="center"/>
          </w:tcPr>
          <w:p w14:paraId="4028598B" w14:textId="2639C7D1" w:rsidR="00025CFC" w:rsidRPr="007D1918" w:rsidRDefault="0019057B" w:rsidP="0019057B">
            <w:pP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5" w:type="pct"/>
            <w:shd w:val="clear" w:color="auto" w:fill="auto"/>
            <w:vAlign w:val="center"/>
          </w:tcPr>
          <w:p w14:paraId="66FFEE94" w14:textId="5A583022" w:rsidR="00025CFC" w:rsidRPr="007D1918" w:rsidRDefault="00816943" w:rsidP="00952624">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Juvenile MG patients refractory to other treatments</w:t>
            </w:r>
          </w:p>
        </w:tc>
        <w:tc>
          <w:tcPr>
            <w:tcW w:w="606" w:type="pct"/>
            <w:vAlign w:val="center"/>
          </w:tcPr>
          <w:p w14:paraId="03708FBE" w14:textId="62080756" w:rsidR="00025CFC" w:rsidRPr="007D1918" w:rsidRDefault="00952624" w:rsidP="00952624">
            <w:pPr>
              <w:jc w:val="center"/>
              <w:rPr>
                <w:rFonts w:ascii="Arial Narrow" w:hAnsi="Arial Narrow"/>
                <w:snapToGrid w:val="0"/>
                <w:sz w:val="20"/>
                <w:lang w:eastAsia="en-US"/>
              </w:rPr>
            </w:pPr>
            <w:r w:rsidRPr="007D1918">
              <w:rPr>
                <w:rFonts w:ascii="Arial Narrow" w:hAnsi="Arial Narrow"/>
                <w:snapToGrid w:val="0"/>
                <w:sz w:val="20"/>
                <w:lang w:eastAsia="en-US"/>
              </w:rPr>
              <w:t>IVIg</w:t>
            </w:r>
          </w:p>
        </w:tc>
        <w:tc>
          <w:tcPr>
            <w:tcW w:w="607" w:type="pct"/>
            <w:shd w:val="clear" w:color="auto" w:fill="auto"/>
            <w:vAlign w:val="center"/>
          </w:tcPr>
          <w:p w14:paraId="104715B0" w14:textId="04E478BA" w:rsidR="00025CFC" w:rsidRPr="007D1918" w:rsidRDefault="00952624" w:rsidP="00952624">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functional status</w:t>
            </w:r>
            <w:r w:rsidRPr="007D1918">
              <w:rPr>
                <w:rFonts w:ascii="Arial Narrow" w:hAnsi="Arial Narrow"/>
                <w:snapToGrid w:val="0"/>
                <w:sz w:val="20"/>
                <w:vertAlign w:val="superscript"/>
                <w:lang w:eastAsia="en-US"/>
              </w:rPr>
              <w:t>a</w:t>
            </w:r>
          </w:p>
        </w:tc>
        <w:tc>
          <w:tcPr>
            <w:tcW w:w="529" w:type="pct"/>
            <w:shd w:val="clear" w:color="auto" w:fill="auto"/>
            <w:vAlign w:val="center"/>
          </w:tcPr>
          <w:p w14:paraId="1217B41E" w14:textId="39C5C8F6" w:rsidR="00025CFC" w:rsidRPr="007D1918" w:rsidRDefault="00BF4322" w:rsidP="00922B51">
            <w:pPr>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025CFC" w:rsidRPr="007D1918" w14:paraId="0374D90D" w14:textId="77777777" w:rsidTr="00922B51">
        <w:trPr>
          <w:tblHeader/>
        </w:trPr>
        <w:tc>
          <w:tcPr>
            <w:tcW w:w="680" w:type="pct"/>
            <w:shd w:val="clear" w:color="auto" w:fill="auto"/>
            <w:vAlign w:val="center"/>
          </w:tcPr>
          <w:p w14:paraId="02523E63" w14:textId="77228333" w:rsidR="00025CFC" w:rsidRPr="007D1918" w:rsidRDefault="003736AC"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PEVuZE5vdGU+PENpdGU+PEF1dGhvcj5WYW5kZXJQbHV5bTwvQXV0aG9yPjxZZWFyPjIwMTM8L1ll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=
</w:fldData>
              </w:fldChar>
            </w:r>
            <w:r w:rsidRPr="007D1918">
              <w:rPr>
                <w:rFonts w:ascii="Arial Narrow" w:hAnsi="Arial Narrow"/>
                <w:snapToGrid w:val="0"/>
                <w:sz w:val="20"/>
                <w:lang w:eastAsia="en-US"/>
              </w:rPr>
              <w:instrText xml:space="preserve"> ADDIN EN.CITE </w:instrText>
            </w:r>
            <w:r w:rsidRPr="007D1918">
              <w:rPr>
                <w:rFonts w:ascii="Arial Narrow" w:hAnsi="Arial Narrow"/>
                <w:snapToGrid w:val="0"/>
                <w:sz w:val="20"/>
                <w:lang w:eastAsia="en-US"/>
              </w:rPr>
              <w:fldChar w:fldCharType="begin">
                <w:fldData xml:space="preserve">PEVuZE5vdGU+PENpdGU+PEF1dGhvcj5WYW5kZXJQbHV5bTwvQXV0aG9yPjxZZWFyPjIwMTM8L1ll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=
</w:fldData>
              </w:fldChar>
            </w:r>
            <w:r w:rsidRPr="007D1918">
              <w:rPr>
                <w:rFonts w:ascii="Arial Narrow" w:hAnsi="Arial Narrow"/>
                <w:snapToGrid w:val="0"/>
                <w:sz w:val="20"/>
                <w:lang w:eastAsia="en-US"/>
              </w:rPr>
              <w:instrText xml:space="preserve"> ADDIN EN.CITE.DATA </w:instrText>
            </w:r>
            <w:r w:rsidRPr="007D1918">
              <w:rPr>
                <w:rFonts w:ascii="Arial Narrow" w:hAnsi="Arial Narrow"/>
                <w:snapToGrid w:val="0"/>
                <w:sz w:val="20"/>
                <w:lang w:eastAsia="en-US"/>
              </w:rPr>
            </w:r>
            <w:r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101" w:tooltip="VanderPluym, 2013 #118" w:history="1">
              <w:r w:rsidR="007D4948" w:rsidRPr="007D1918">
                <w:rPr>
                  <w:rFonts w:ascii="Arial Narrow" w:hAnsi="Arial Narrow"/>
                  <w:noProof/>
                  <w:snapToGrid w:val="0"/>
                  <w:sz w:val="20"/>
                  <w:lang w:eastAsia="en-US"/>
                </w:rPr>
                <w:t>VanderPluym et al. 2013</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283006FA" w14:textId="467FA30B" w:rsidR="00025CFC" w:rsidRPr="007D1918" w:rsidRDefault="0019057B" w:rsidP="00952624">
            <w:pPr>
              <w:jc w:val="center"/>
              <w:rPr>
                <w:rFonts w:ascii="Arial Narrow" w:hAnsi="Arial Narrow"/>
                <w:snapToGrid w:val="0"/>
                <w:sz w:val="20"/>
                <w:lang w:eastAsia="en-US"/>
              </w:rPr>
            </w:pPr>
            <w:r w:rsidRPr="007D1918">
              <w:rPr>
                <w:rFonts w:ascii="Arial Narrow" w:hAnsi="Arial Narrow"/>
                <w:snapToGrid w:val="0"/>
                <w:sz w:val="20"/>
                <w:lang w:eastAsia="en-US"/>
              </w:rPr>
              <w:t>34</w:t>
            </w:r>
          </w:p>
        </w:tc>
        <w:tc>
          <w:tcPr>
            <w:tcW w:w="455" w:type="pct"/>
            <w:shd w:val="clear" w:color="auto" w:fill="auto"/>
            <w:vAlign w:val="center"/>
          </w:tcPr>
          <w:p w14:paraId="1A75354C" w14:textId="77777777" w:rsidR="0019057B" w:rsidRPr="007D1918" w:rsidRDefault="0019057B" w:rsidP="00952624">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CS</w:t>
            </w:r>
          </w:p>
          <w:p w14:paraId="55886256" w14:textId="1D8A5BFC" w:rsidR="00025CFC" w:rsidRPr="007D1918" w:rsidRDefault="0019057B" w:rsidP="00952624">
            <w:pPr>
              <w:jc w:val="center"/>
              <w:rPr>
                <w:rFonts w:ascii="Arial Narrow" w:hAnsi="Arial Narrow"/>
                <w:snapToGrid w:val="0"/>
                <w:sz w:val="20"/>
                <w:lang w:eastAsia="en-US"/>
              </w:rPr>
            </w:pPr>
            <w:r w:rsidRPr="007D1918">
              <w:rPr>
                <w:rFonts w:ascii="Arial Narrow" w:hAnsi="Arial Narrow"/>
                <w:snapToGrid w:val="0"/>
                <w:sz w:val="20"/>
                <w:lang w:eastAsia="en-US"/>
              </w:rPr>
              <w:t>Level IV</w:t>
            </w:r>
          </w:p>
        </w:tc>
        <w:tc>
          <w:tcPr>
            <w:tcW w:w="454" w:type="pct"/>
            <w:shd w:val="clear" w:color="auto" w:fill="auto"/>
            <w:vAlign w:val="center"/>
          </w:tcPr>
          <w:p w14:paraId="6C3172F4" w14:textId="4BBC8D46" w:rsidR="00025CFC" w:rsidRPr="007D1918" w:rsidRDefault="0019057B" w:rsidP="0019057B">
            <w:pP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5" w:type="pct"/>
            <w:shd w:val="clear" w:color="auto" w:fill="auto"/>
            <w:vAlign w:val="center"/>
          </w:tcPr>
          <w:p w14:paraId="4013E231" w14:textId="5B3D5D8D" w:rsidR="00025CFC" w:rsidRPr="007D1918" w:rsidRDefault="00952624" w:rsidP="00952624">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Cases of PM identified through the Canadian paediatric Surveillance Program</w:t>
            </w:r>
          </w:p>
        </w:tc>
        <w:tc>
          <w:tcPr>
            <w:tcW w:w="606" w:type="pct"/>
            <w:vAlign w:val="center"/>
          </w:tcPr>
          <w:p w14:paraId="55D94CD6" w14:textId="0BED4EC9" w:rsidR="00025CFC" w:rsidRPr="007D1918" w:rsidRDefault="00952624" w:rsidP="00952624">
            <w:pPr>
              <w:jc w:val="center"/>
              <w:rPr>
                <w:rFonts w:ascii="Arial Narrow" w:hAnsi="Arial Narrow"/>
                <w:snapToGrid w:val="0"/>
                <w:sz w:val="20"/>
                <w:lang w:eastAsia="en-US"/>
              </w:rPr>
            </w:pPr>
            <w:r w:rsidRPr="007D1918">
              <w:rPr>
                <w:rFonts w:ascii="Arial Narrow" w:hAnsi="Arial Narrow"/>
                <w:snapToGrid w:val="0"/>
                <w:sz w:val="20"/>
                <w:lang w:eastAsia="en-US"/>
              </w:rPr>
              <w:t>IVIg</w:t>
            </w:r>
          </w:p>
        </w:tc>
        <w:tc>
          <w:tcPr>
            <w:tcW w:w="607" w:type="pct"/>
            <w:shd w:val="clear" w:color="auto" w:fill="auto"/>
            <w:vAlign w:val="center"/>
          </w:tcPr>
          <w:p w14:paraId="0C65A22F" w14:textId="1C21EDF9" w:rsidR="00025CFC" w:rsidRPr="007D1918" w:rsidRDefault="00952624" w:rsidP="00952624">
            <w:pPr>
              <w:jc w:val="center"/>
              <w:rPr>
                <w:rFonts w:ascii="Arial Narrow" w:hAnsi="Arial Narrow"/>
                <w:snapToGrid w:val="0"/>
                <w:sz w:val="20"/>
                <w:lang w:eastAsia="en-US"/>
              </w:rPr>
            </w:pPr>
            <w:r w:rsidRPr="007D1918">
              <w:rPr>
                <w:rFonts w:ascii="Arial Narrow" w:hAnsi="Arial Narrow"/>
                <w:snapToGrid w:val="0"/>
                <w:sz w:val="20"/>
                <w:lang w:eastAsia="en-US"/>
              </w:rPr>
              <w:t>Improvement</w:t>
            </w:r>
          </w:p>
        </w:tc>
        <w:tc>
          <w:tcPr>
            <w:tcW w:w="529" w:type="pct"/>
            <w:shd w:val="clear" w:color="auto" w:fill="auto"/>
            <w:vAlign w:val="center"/>
          </w:tcPr>
          <w:p w14:paraId="320BA2E4" w14:textId="239E3645" w:rsidR="00025CFC" w:rsidRPr="007D1918" w:rsidRDefault="00BF4322" w:rsidP="00922B51">
            <w:pPr>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17AD7711" w14:textId="77777777" w:rsidTr="00B11541">
        <w:trPr>
          <w:tblHeader/>
        </w:trPr>
        <w:tc>
          <w:tcPr>
            <w:tcW w:w="680" w:type="pct"/>
            <w:shd w:val="clear" w:color="auto" w:fill="auto"/>
            <w:vAlign w:val="center"/>
          </w:tcPr>
          <w:p w14:paraId="28D9C138" w14:textId="33868E25" w:rsidR="00DF1EE0" w:rsidRPr="007D1918" w:rsidRDefault="00DF1EE0"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r>
            <w:r w:rsidR="00C437BA" w:rsidRPr="007D1918">
              <w:rPr>
                <w:rFonts w:ascii="Arial Narrow" w:hAnsi="Arial Narrow"/>
                <w:snapToGrid w:val="0"/>
                <w:sz w:val="20"/>
                <w:lang w:eastAsia="en-US"/>
              </w:rPr>
              <w:instrText xml:space="preserve"> ADDIN EN.CITE &lt;EndNote&gt;&lt;Cite&gt;&lt;Author&gt;Eienbröker&lt;/Author&gt;&lt;Year&gt;2014&lt;/Year&gt;&lt;RecNum&gt;51&lt;/RecNum&gt;&lt;DisplayText&gt;(Eienbröker et al. 2014)&lt;/DisplayText&gt;&lt;record&gt;&lt;rec-number&gt;51&lt;/rec-number&gt;&lt;foreign-keys&gt;&lt;key app="EN" db-id="2aevrx2slsts5ve9sdavatf125dsx0av2v9d" timestamp="1562811028"&gt;51&lt;/key&gt;&lt;/foreign-keys&gt;&lt;ref-type name="Journal Article"&gt;17&lt;/ref-type&gt;&lt;contributors&gt;&lt;authors&gt;&lt;author&gt;Eienbröker, C.&lt;/author&gt;&lt;author&gt;Seitz, F.&lt;/author&gt;&lt;author&gt;Spengler, A.&lt;/author&gt;&lt;author&gt;Kurz, H.&lt;/author&gt;&lt;author&gt;Seipelt, M.&lt;/author&gt;&lt;author&gt;Sommer, N.&lt;/author&gt;&lt;author&gt;Oertel, W. H.&lt;/author&gt;&lt;author&gt;Timmesfeld, N.&lt;/author&gt;&lt;author&gt;Tackenberg, B.&lt;/author&gt;&lt;/authors&gt;&lt;/contributors&gt;&lt;titles&gt;&lt;title&gt;Intravenous immunoglobulin maintenance treatment in myasthenia gravis: a randomized, controlled trial sample size simulation&lt;/title&gt;&lt;secondary-title&gt;Muscle &amp;amp; nerve&lt;/secondary-title&gt;&lt;/titles&gt;&lt;periodical&gt;&lt;full-title&gt;Muscle &amp;amp; Nerve&lt;/full-title&gt;&lt;/periodical&gt;&lt;pages&gt;999</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1004&lt;/pages&gt;&lt;volume&gt;50&lt;/volume&gt;&lt;number&gt;6&lt;/number&gt;&lt;keywords&gt;&lt;keyword&gt;Adult&lt;/keyword&gt;&lt;keyword&gt;Aged&lt;/keyword&gt;&lt;keyword&gt;Endpoint Determination&lt;/keyword&gt;&lt;keyword&gt;Female&lt;/keyword&gt;&lt;keyword&gt;Humans&lt;/keyword&gt;&lt;keyword&gt;Immunoglobulins, Intravenous [*therapeutic use]&lt;/keyword&gt;&lt;keyword&gt;Male&lt;/keyword&gt;&lt;keyword&gt;Middle Aged&lt;/keyword&gt;&lt;keyword&gt;Myasthenia Gravis [*drug therapy]&lt;/keyword&gt;&lt;keyword&gt;Prospective Studies&lt;/keyword&gt;&lt;keyword&gt;Severity of Illness Index&lt;/keyword&gt;&lt;keyword&gt;Treatment Outcome&lt;/keyword&gt;&lt;/keywords&gt;&lt;dates&gt;&lt;year&gt;2014&lt;/year&gt;&lt;/dates&gt;&lt;accession-num&gt;CN-01117282&lt;/accession-num&gt;&lt;work-type&gt;Journal Article; Randomized Controlled Trial; Research Support, Non</w:instrText>
            </w:r>
            <w:r w:rsidR="00C437BA" w:rsidRPr="007D1918">
              <w:rPr>
                <w:rFonts w:ascii="Cambria Math" w:hAnsi="Cambria Math" w:cs="Cambria Math"/>
                <w:snapToGrid w:val="0"/>
                <w:sz w:val="20"/>
                <w:lang w:eastAsia="en-US"/>
              </w:rPr>
              <w:instrText>‐</w:instrText>
            </w:r>
            <w:r w:rsidR="00C437BA" w:rsidRPr="007D1918">
              <w:rPr>
                <w:rFonts w:ascii="Arial Narrow" w:hAnsi="Arial Narrow"/>
                <w:snapToGrid w:val="0"/>
                <w:sz w:val="20"/>
                <w:lang w:eastAsia="en-US"/>
              </w:rPr>
              <w:instrText>U.S. Gov&amp;apos;t&lt;/work-type&gt;&lt;urls&gt;&lt;related-urls&gt;&lt;url&gt;https://www.cochranelibrary.com/central/doi/10.1002/central/CN-01117282/full&lt;/url&gt;&lt;url&gt;https://onlinelibrary.wiley.com/doi/pdf/10.1002/mus.24259&lt;/url&gt;&lt;/related-urls&gt;&lt;/urls&gt;&lt;custom3&gt;PUBMED 24710856&lt;/custom3&gt;&lt;electronic-resource-num&gt;10.1002/mus.24259&lt;/electronic-resource-num&gt;&lt;/record&gt;&lt;/Cite&gt;&lt;/EndNote&gt;</w:instrText>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23" w:tooltip="Eienbröker, 2014 #51" w:history="1">
              <w:r w:rsidR="007D4948" w:rsidRPr="007D1918">
                <w:rPr>
                  <w:rFonts w:ascii="Arial Narrow" w:hAnsi="Arial Narrow"/>
                  <w:noProof/>
                  <w:snapToGrid w:val="0"/>
                  <w:sz w:val="20"/>
                  <w:lang w:eastAsia="en-US"/>
                </w:rPr>
                <w:t>Eienbröker et al. 2014</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44D658DC"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16</w:t>
            </w:r>
          </w:p>
        </w:tc>
        <w:tc>
          <w:tcPr>
            <w:tcW w:w="455" w:type="pct"/>
            <w:shd w:val="clear" w:color="auto" w:fill="auto"/>
            <w:vAlign w:val="center"/>
          </w:tcPr>
          <w:p w14:paraId="6E1BCFC1"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CS</w:t>
            </w:r>
          </w:p>
          <w:p w14:paraId="3BFE052B"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IV</w:t>
            </w:r>
          </w:p>
        </w:tc>
        <w:tc>
          <w:tcPr>
            <w:tcW w:w="454" w:type="pct"/>
            <w:shd w:val="clear" w:color="auto" w:fill="auto"/>
            <w:vAlign w:val="center"/>
          </w:tcPr>
          <w:p w14:paraId="1B190563"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moderate</w:t>
            </w:r>
          </w:p>
        </w:tc>
        <w:tc>
          <w:tcPr>
            <w:tcW w:w="1365" w:type="pct"/>
            <w:shd w:val="clear" w:color="auto" w:fill="auto"/>
            <w:vAlign w:val="center"/>
          </w:tcPr>
          <w:p w14:paraId="29F05460" w14:textId="626704FD" w:rsidR="00DF1EE0" w:rsidRPr="007D1918" w:rsidRDefault="00B070B5" w:rsidP="00617872">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Incomplete response to standard long-term, high-dos</w:t>
            </w:r>
            <w:r w:rsidR="00617872" w:rsidRPr="007D1918">
              <w:rPr>
                <w:rFonts w:ascii="Arial Narrow" w:hAnsi="Arial Narrow"/>
                <w:snapToGrid w:val="0"/>
                <w:sz w:val="20"/>
                <w:lang w:eastAsia="en-US"/>
              </w:rPr>
              <w:t>e IS</w:t>
            </w:r>
            <w:r w:rsidRPr="007D1918">
              <w:rPr>
                <w:rFonts w:ascii="Arial Narrow" w:hAnsi="Arial Narrow"/>
                <w:snapToGrid w:val="0"/>
                <w:sz w:val="20"/>
                <w:lang w:eastAsia="en-US"/>
              </w:rPr>
              <w:t xml:space="preserve"> therapy</w:t>
            </w:r>
          </w:p>
        </w:tc>
        <w:tc>
          <w:tcPr>
            <w:tcW w:w="606" w:type="pct"/>
            <w:vAlign w:val="center"/>
          </w:tcPr>
          <w:p w14:paraId="03E19D34"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w:t>
            </w:r>
          </w:p>
        </w:tc>
        <w:tc>
          <w:tcPr>
            <w:tcW w:w="607" w:type="pct"/>
            <w:shd w:val="clear" w:color="auto" w:fill="auto"/>
            <w:vAlign w:val="center"/>
          </w:tcPr>
          <w:p w14:paraId="01587B75" w14:textId="5F4B2FAC" w:rsidR="00DF1EE0" w:rsidRPr="007D1918" w:rsidRDefault="00FF6C3C"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QMGS</w:t>
            </w:r>
          </w:p>
        </w:tc>
        <w:tc>
          <w:tcPr>
            <w:tcW w:w="529" w:type="pct"/>
            <w:shd w:val="clear" w:color="auto" w:fill="auto"/>
            <w:vAlign w:val="center"/>
          </w:tcPr>
          <w:p w14:paraId="3A84E762" w14:textId="6D3FE317" w:rsidR="00DF1EE0"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3E7D144D" w14:textId="77777777" w:rsidTr="00B11541">
        <w:trPr>
          <w:tblHeader/>
        </w:trPr>
        <w:tc>
          <w:tcPr>
            <w:tcW w:w="680" w:type="pct"/>
            <w:shd w:val="clear" w:color="auto" w:fill="auto"/>
            <w:vAlign w:val="center"/>
          </w:tcPr>
          <w:p w14:paraId="74BD8BA8" w14:textId="2254C20A" w:rsidR="00DF1EE0" w:rsidRPr="007D1918" w:rsidRDefault="00DF1EE0"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rPr>
                <w:rFonts w:ascii="Arial Narrow" w:hAnsi="Arial Narrow"/>
                <w:snapToGrid w:val="0"/>
                <w:sz w:val="20"/>
                <w:lang w:eastAsia="en-US"/>
              </w:rPr>
              <w:instrText xml:space="preserve"> ADDIN EN.CITE </w:instrText>
            </w:r>
            <w:r w:rsidR="007F4CDE" w:rsidRPr="007D1918">
              <w:rPr>
                <w:rFonts w:ascii="Arial Narrow" w:hAnsi="Arial Narrow"/>
                <w:snapToGrid w:val="0"/>
                <w:sz w:val="20"/>
                <w:lang w:eastAsia="en-US"/>
              </w:rPr>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rPr>
                <w:rFonts w:ascii="Arial Narrow" w:hAnsi="Arial Narrow"/>
                <w:snapToGrid w:val="0"/>
                <w:sz w:val="20"/>
                <w:lang w:eastAsia="en-US"/>
              </w:rPr>
              <w:instrText xml:space="preserve"> ADDIN EN.CITE.DATA </w:instrText>
            </w:r>
            <w:r w:rsidR="007F4CDE" w:rsidRPr="007D1918">
              <w:rPr>
                <w:rFonts w:ascii="Arial Narrow" w:hAnsi="Arial Narrow"/>
                <w:snapToGrid w:val="0"/>
                <w:sz w:val="20"/>
                <w:lang w:eastAsia="en-US"/>
              </w:rPr>
            </w:r>
            <w:r w:rsidR="007F4CDE"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49" w:tooltip="Hellmann, 2014 #53" w:history="1">
              <w:r w:rsidR="007D4948" w:rsidRPr="007D1918">
                <w:rPr>
                  <w:rFonts w:ascii="Arial Narrow" w:hAnsi="Arial Narrow"/>
                  <w:noProof/>
                  <w:snapToGrid w:val="0"/>
                  <w:sz w:val="20"/>
                  <w:lang w:eastAsia="en-US"/>
                </w:rPr>
                <w:t>Hellmann et al. 2014</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26A3ACFC"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52</w:t>
            </w:r>
          </w:p>
        </w:tc>
        <w:tc>
          <w:tcPr>
            <w:tcW w:w="455" w:type="pct"/>
            <w:shd w:val="clear" w:color="auto" w:fill="auto"/>
            <w:vAlign w:val="center"/>
          </w:tcPr>
          <w:p w14:paraId="70300A3F"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CS</w:t>
            </w:r>
          </w:p>
          <w:p w14:paraId="7E0616C2"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IV</w:t>
            </w:r>
          </w:p>
        </w:tc>
        <w:tc>
          <w:tcPr>
            <w:tcW w:w="454" w:type="pct"/>
            <w:shd w:val="clear" w:color="auto" w:fill="auto"/>
            <w:vAlign w:val="center"/>
          </w:tcPr>
          <w:p w14:paraId="4AA404B1"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low</w:t>
            </w:r>
          </w:p>
        </w:tc>
        <w:tc>
          <w:tcPr>
            <w:tcW w:w="1365" w:type="pct"/>
            <w:shd w:val="clear" w:color="auto" w:fill="auto"/>
            <w:vAlign w:val="center"/>
          </w:tcPr>
          <w:p w14:paraId="1154C9A7" w14:textId="7CCFA164" w:rsidR="00DF1EE0" w:rsidRPr="007D1918" w:rsidRDefault="00B070B5" w:rsidP="00B070B5">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Patients of any MG class attending a medical centre who failed to respond or were contraindicated to other therapies and offered maintenance IVIg</w:t>
            </w:r>
          </w:p>
        </w:tc>
        <w:tc>
          <w:tcPr>
            <w:tcW w:w="606" w:type="pct"/>
            <w:vAlign w:val="center"/>
          </w:tcPr>
          <w:p w14:paraId="7CC8CCDA" w14:textId="77777777"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IVIg</w:t>
            </w:r>
          </w:p>
        </w:tc>
        <w:tc>
          <w:tcPr>
            <w:tcW w:w="607" w:type="pct"/>
            <w:shd w:val="clear" w:color="auto" w:fill="auto"/>
            <w:vAlign w:val="center"/>
          </w:tcPr>
          <w:p w14:paraId="01FA5F01" w14:textId="6612C55C" w:rsidR="00FF6C3C" w:rsidRPr="007D1918" w:rsidRDefault="00FF6C3C"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3E67C872" w14:textId="5EED5F1F" w:rsidR="00DF1EE0" w:rsidRPr="007D1918" w:rsidRDefault="00DF1EE0"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MGFA class</w:t>
            </w:r>
          </w:p>
        </w:tc>
        <w:tc>
          <w:tcPr>
            <w:tcW w:w="529" w:type="pct"/>
            <w:shd w:val="clear" w:color="auto" w:fill="auto"/>
            <w:vAlign w:val="center"/>
          </w:tcPr>
          <w:p w14:paraId="2E81A3FE" w14:textId="13F84297" w:rsidR="00DF1EE0"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6CCBFD97" w14:textId="77777777" w:rsidTr="00B11541">
        <w:trPr>
          <w:tblHeader/>
        </w:trPr>
        <w:tc>
          <w:tcPr>
            <w:tcW w:w="680" w:type="pct"/>
            <w:shd w:val="clear" w:color="auto" w:fill="auto"/>
            <w:vAlign w:val="center"/>
          </w:tcPr>
          <w:p w14:paraId="45D36C8D" w14:textId="27FA35C8"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lastRenderedPageBreak/>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9" w:tooltip="Beecher, 2017 #49" w:history="1">
              <w:r w:rsidR="007D4948" w:rsidRPr="007D1918">
                <w:rPr>
                  <w:rFonts w:ascii="Arial Narrow" w:hAnsi="Arial Narrow"/>
                  <w:noProof/>
                  <w:snapToGrid w:val="0"/>
                  <w:sz w:val="20"/>
                  <w:lang w:eastAsia="en-US"/>
                </w:rPr>
                <w:t>Beecher, Anderson &amp; Siddiqi 2017</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5AF82946"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22</w:t>
            </w:r>
          </w:p>
        </w:tc>
        <w:tc>
          <w:tcPr>
            <w:tcW w:w="455" w:type="pct"/>
            <w:shd w:val="clear" w:color="auto" w:fill="auto"/>
            <w:vAlign w:val="center"/>
          </w:tcPr>
          <w:p w14:paraId="7D544A47"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CS</w:t>
            </w:r>
          </w:p>
          <w:p w14:paraId="25B27C8E"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IV</w:t>
            </w:r>
          </w:p>
        </w:tc>
        <w:tc>
          <w:tcPr>
            <w:tcW w:w="454" w:type="pct"/>
            <w:shd w:val="clear" w:color="auto" w:fill="auto"/>
            <w:vAlign w:val="center"/>
          </w:tcPr>
          <w:p w14:paraId="4B6129AE"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low</w:t>
            </w:r>
          </w:p>
        </w:tc>
        <w:tc>
          <w:tcPr>
            <w:tcW w:w="1365" w:type="pct"/>
            <w:shd w:val="clear" w:color="auto" w:fill="auto"/>
            <w:vAlign w:val="center"/>
          </w:tcPr>
          <w:p w14:paraId="6988C6BC" w14:textId="0A4E2358" w:rsidR="00B91198" w:rsidRPr="007D1918" w:rsidRDefault="00B070B5" w:rsidP="00B070B5">
            <w:pPr>
              <w:spacing w:before="40" w:after="40" w:line="240" w:lineRule="auto"/>
              <w:rPr>
                <w:rFonts w:ascii="Arial Narrow" w:hAnsi="Arial Narrow"/>
                <w:snapToGrid w:val="0"/>
                <w:sz w:val="20"/>
                <w:lang w:eastAsia="en-US"/>
              </w:rPr>
            </w:pPr>
            <w:r w:rsidRPr="007D1918">
              <w:rPr>
                <w:rFonts w:ascii="Arial Narrow" w:hAnsi="Arial Narrow"/>
                <w:sz w:val="18"/>
                <w:szCs w:val="18"/>
              </w:rPr>
              <w:t>18 y or older, mild to moderate MG, worsening symptoms (MGFA class I to II/III or class II to III)</w:t>
            </w:r>
          </w:p>
        </w:tc>
        <w:tc>
          <w:tcPr>
            <w:tcW w:w="606" w:type="pct"/>
            <w:vAlign w:val="center"/>
          </w:tcPr>
          <w:p w14:paraId="3F3D01EC"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SCIg</w:t>
            </w:r>
          </w:p>
        </w:tc>
        <w:tc>
          <w:tcPr>
            <w:tcW w:w="607" w:type="pct"/>
            <w:shd w:val="clear" w:color="auto" w:fill="auto"/>
            <w:vAlign w:val="center"/>
          </w:tcPr>
          <w:p w14:paraId="5F92BDD8"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21114F34" w14:textId="538C65BE" w:rsidR="000D68DF" w:rsidRPr="007D1918" w:rsidRDefault="000D68D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symptoms</w:t>
            </w:r>
            <w:r w:rsidR="002E6F5D" w:rsidRPr="007D1918">
              <w:rPr>
                <w:rFonts w:ascii="Arial Narrow" w:hAnsi="Arial Narrow"/>
                <w:snapToGrid w:val="0"/>
                <w:sz w:val="20"/>
                <w:lang w:eastAsia="en-US"/>
              </w:rPr>
              <w:t xml:space="preserve"> (MGC, MMT QMGS)</w:t>
            </w:r>
          </w:p>
          <w:p w14:paraId="227F9C98" w14:textId="2F9461FF" w:rsidR="000D68DF" w:rsidRPr="007D1918" w:rsidRDefault="000D68D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QoL</w:t>
            </w:r>
          </w:p>
        </w:tc>
        <w:tc>
          <w:tcPr>
            <w:tcW w:w="529" w:type="pct"/>
            <w:shd w:val="clear" w:color="auto" w:fill="auto"/>
            <w:vAlign w:val="center"/>
          </w:tcPr>
          <w:p w14:paraId="14A72F3D" w14:textId="255B4C4D"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r w:rsidR="00F16D72" w:rsidRPr="007D1918" w14:paraId="146FF0D4" w14:textId="77777777" w:rsidTr="00B11541">
        <w:trPr>
          <w:tblHeader/>
        </w:trPr>
        <w:tc>
          <w:tcPr>
            <w:tcW w:w="680" w:type="pct"/>
            <w:shd w:val="clear" w:color="auto" w:fill="auto"/>
            <w:vAlign w:val="center"/>
          </w:tcPr>
          <w:p w14:paraId="68CC802A" w14:textId="484EB74A" w:rsidR="00B91198" w:rsidRPr="007D1918" w:rsidRDefault="00B91198" w:rsidP="007D4948">
            <w:pPr>
              <w:keepNext/>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rPr>
                <w:rFonts w:ascii="Arial Narrow" w:hAnsi="Arial Narrow"/>
                <w:snapToGrid w:val="0"/>
                <w:sz w:val="20"/>
                <w:lang w:eastAsia="en-US"/>
              </w:rPr>
              <w:instrText xml:space="preserve"> ADDIN EN.CITE </w:instrText>
            </w:r>
            <w:r w:rsidR="00C437BA" w:rsidRPr="007D1918">
              <w:rPr>
                <w:rFonts w:ascii="Arial Narrow" w:hAnsi="Arial Narrow"/>
                <w:snapToGrid w:val="0"/>
                <w:sz w:val="20"/>
                <w:lang w:eastAsia="en-US"/>
              </w:rPr>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rPr>
                <w:rFonts w:ascii="Arial Narrow" w:hAnsi="Arial Narrow"/>
                <w:snapToGrid w:val="0"/>
                <w:sz w:val="20"/>
                <w:lang w:eastAsia="en-US"/>
              </w:rPr>
              <w:instrText xml:space="preserve"> ADDIN EN.CITE.DATA </w:instrText>
            </w:r>
            <w:r w:rsidR="00C437BA" w:rsidRPr="007D1918">
              <w:rPr>
                <w:rFonts w:ascii="Arial Narrow" w:hAnsi="Arial Narrow"/>
                <w:snapToGrid w:val="0"/>
                <w:sz w:val="20"/>
                <w:lang w:eastAsia="en-US"/>
              </w:rPr>
            </w:r>
            <w:r w:rsidR="00C437BA" w:rsidRPr="007D1918">
              <w:rPr>
                <w:rFonts w:ascii="Arial Narrow" w:hAnsi="Arial Narrow"/>
                <w:snapToGrid w:val="0"/>
                <w:sz w:val="20"/>
                <w:lang w:eastAsia="en-US"/>
              </w:rPr>
              <w:fldChar w:fldCharType="end"/>
            </w:r>
            <w:r w:rsidRPr="007D1918">
              <w:rPr>
                <w:rFonts w:ascii="Arial Narrow" w:hAnsi="Arial Narrow"/>
                <w:snapToGrid w:val="0"/>
                <w:sz w:val="20"/>
                <w:lang w:eastAsia="en-US"/>
              </w:rPr>
            </w:r>
            <w:r w:rsidRPr="007D1918">
              <w:rPr>
                <w:rFonts w:ascii="Arial Narrow" w:hAnsi="Arial Narrow"/>
                <w:snapToGrid w:val="0"/>
                <w:sz w:val="20"/>
                <w:lang w:eastAsia="en-US"/>
              </w:rPr>
              <w:fldChar w:fldCharType="separate"/>
            </w:r>
            <w:r w:rsidRPr="007D1918">
              <w:rPr>
                <w:rFonts w:ascii="Arial Narrow" w:hAnsi="Arial Narrow"/>
                <w:noProof/>
                <w:snapToGrid w:val="0"/>
                <w:sz w:val="20"/>
                <w:lang w:eastAsia="en-US"/>
              </w:rPr>
              <w:t>(</w:t>
            </w:r>
            <w:hyperlink w:anchor="_ENREF_12" w:tooltip="Bourque, 2016 #50" w:history="1">
              <w:r w:rsidR="007D4948" w:rsidRPr="007D1918">
                <w:rPr>
                  <w:rFonts w:ascii="Arial Narrow" w:hAnsi="Arial Narrow"/>
                  <w:noProof/>
                  <w:snapToGrid w:val="0"/>
                  <w:sz w:val="20"/>
                  <w:lang w:eastAsia="en-US"/>
                </w:rPr>
                <w:t>Bourque et al. 2016</w:t>
              </w:r>
            </w:hyperlink>
            <w:r w:rsidRPr="007D1918">
              <w:rPr>
                <w:rFonts w:ascii="Arial Narrow" w:hAnsi="Arial Narrow"/>
                <w:noProof/>
                <w:snapToGrid w:val="0"/>
                <w:sz w:val="20"/>
                <w:lang w:eastAsia="en-US"/>
              </w:rPr>
              <w:t>)</w:t>
            </w:r>
            <w:r w:rsidRPr="007D1918">
              <w:rPr>
                <w:rFonts w:ascii="Arial Narrow" w:hAnsi="Arial Narrow"/>
                <w:snapToGrid w:val="0"/>
                <w:sz w:val="20"/>
                <w:lang w:eastAsia="en-US"/>
              </w:rPr>
              <w:fldChar w:fldCharType="end"/>
            </w:r>
          </w:p>
        </w:tc>
        <w:tc>
          <w:tcPr>
            <w:tcW w:w="304" w:type="pct"/>
            <w:shd w:val="clear" w:color="auto" w:fill="auto"/>
            <w:vAlign w:val="center"/>
          </w:tcPr>
          <w:p w14:paraId="085DC445"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9</w:t>
            </w:r>
          </w:p>
        </w:tc>
        <w:tc>
          <w:tcPr>
            <w:tcW w:w="455" w:type="pct"/>
            <w:shd w:val="clear" w:color="auto" w:fill="auto"/>
            <w:vAlign w:val="center"/>
          </w:tcPr>
          <w:p w14:paraId="103F4BF5"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CS</w:t>
            </w:r>
          </w:p>
          <w:p w14:paraId="6751B504"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Level IV</w:t>
            </w:r>
          </w:p>
        </w:tc>
        <w:tc>
          <w:tcPr>
            <w:tcW w:w="454" w:type="pct"/>
            <w:shd w:val="clear" w:color="auto" w:fill="auto"/>
            <w:vAlign w:val="center"/>
          </w:tcPr>
          <w:p w14:paraId="449A5170"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low</w:t>
            </w:r>
          </w:p>
        </w:tc>
        <w:tc>
          <w:tcPr>
            <w:tcW w:w="1365" w:type="pct"/>
            <w:shd w:val="clear" w:color="auto" w:fill="auto"/>
            <w:vAlign w:val="center"/>
          </w:tcPr>
          <w:p w14:paraId="6F33209C" w14:textId="5DC58ECF" w:rsidR="00B91198" w:rsidRPr="007D1918" w:rsidRDefault="00B070B5" w:rsidP="00B070B5">
            <w:pPr>
              <w:keepNext/>
              <w:spacing w:before="40" w:after="40" w:line="240" w:lineRule="auto"/>
              <w:rPr>
                <w:rFonts w:ascii="Arial Narrow" w:hAnsi="Arial Narrow"/>
                <w:snapToGrid w:val="0"/>
                <w:sz w:val="20"/>
                <w:lang w:eastAsia="en-US"/>
              </w:rPr>
            </w:pPr>
            <w:r w:rsidRPr="007D1918">
              <w:rPr>
                <w:sz w:val="18"/>
                <w:szCs w:val="18"/>
              </w:rPr>
              <w:t>Consecutive cases identified on a hospital Neuromuscular Disease Database</w:t>
            </w:r>
          </w:p>
        </w:tc>
        <w:tc>
          <w:tcPr>
            <w:tcW w:w="606" w:type="pct"/>
            <w:vAlign w:val="center"/>
          </w:tcPr>
          <w:p w14:paraId="1776E23B"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SCIg</w:t>
            </w:r>
          </w:p>
        </w:tc>
        <w:tc>
          <w:tcPr>
            <w:tcW w:w="607" w:type="pct"/>
            <w:shd w:val="clear" w:color="auto" w:fill="auto"/>
            <w:vAlign w:val="center"/>
          </w:tcPr>
          <w:p w14:paraId="6A8044B5" w14:textId="77777777" w:rsidR="00B91198" w:rsidRPr="007D1918" w:rsidRDefault="00B91198"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AEs</w:t>
            </w:r>
          </w:p>
          <w:p w14:paraId="46D1B817" w14:textId="38E36743" w:rsidR="000D68DF" w:rsidRPr="007D1918" w:rsidRDefault="000D68DF"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Change in QoL</w:t>
            </w:r>
          </w:p>
        </w:tc>
        <w:tc>
          <w:tcPr>
            <w:tcW w:w="529" w:type="pct"/>
            <w:shd w:val="clear" w:color="auto" w:fill="auto"/>
            <w:vAlign w:val="center"/>
          </w:tcPr>
          <w:p w14:paraId="76902F35" w14:textId="3A8AE0B8" w:rsidR="00B91198" w:rsidRPr="007D1918" w:rsidRDefault="00BF4322" w:rsidP="00F70859">
            <w:pPr>
              <w:keepNext/>
              <w:spacing w:before="40" w:after="40" w:line="240" w:lineRule="auto"/>
              <w:jc w:val="center"/>
              <w:rPr>
                <w:rFonts w:ascii="Arial Narrow" w:hAnsi="Arial Narrow"/>
                <w:snapToGrid w:val="0"/>
                <w:sz w:val="20"/>
                <w:lang w:eastAsia="en-US"/>
              </w:rPr>
            </w:pPr>
            <w:r w:rsidRPr="007D1918">
              <w:rPr>
                <w:rFonts w:ascii="Arial Narrow" w:hAnsi="Arial Narrow"/>
                <w:snapToGrid w:val="0"/>
                <w:sz w:val="20"/>
                <w:lang w:eastAsia="en-US"/>
              </w:rPr>
              <w:t>no</w:t>
            </w:r>
          </w:p>
        </w:tc>
      </w:tr>
    </w:tbl>
    <w:p w14:paraId="3DA771A4" w14:textId="18A0F467" w:rsidR="008C3BEC" w:rsidRPr="007D1918" w:rsidRDefault="00CC2C31" w:rsidP="008C3BEC">
      <w:pPr>
        <w:widowControl w:val="0"/>
        <w:spacing w:after="120" w:line="240" w:lineRule="auto"/>
        <w:jc w:val="both"/>
        <w:rPr>
          <w:rStyle w:val="TablenotesChar0"/>
        </w:rPr>
      </w:pPr>
      <w:r w:rsidRPr="007D1918">
        <w:rPr>
          <w:rStyle w:val="TablenotesChar0"/>
        </w:rPr>
        <w:t xml:space="preserve">AChRAb = acetylcholine receptor antibodies; </w:t>
      </w:r>
      <w:r w:rsidR="003B7830" w:rsidRPr="007D1918">
        <w:rPr>
          <w:rStyle w:val="TablenotesChar0"/>
        </w:rPr>
        <w:t>AE = adverse event</w:t>
      </w:r>
      <w:r w:rsidR="00BF3BE0" w:rsidRPr="007D1918">
        <w:rPr>
          <w:rStyle w:val="TablenotesChar0"/>
        </w:rPr>
        <w:t xml:space="preserve">; </w:t>
      </w:r>
      <w:r w:rsidR="008C3BEC" w:rsidRPr="007D1918">
        <w:rPr>
          <w:rStyle w:val="TablenotesChar0"/>
        </w:rPr>
        <w:t>CS</w:t>
      </w:r>
      <w:r w:rsidR="00DF1EE0" w:rsidRPr="007D1918">
        <w:rPr>
          <w:rStyle w:val="TablenotesChar0"/>
        </w:rPr>
        <w:t xml:space="preserve"> </w:t>
      </w:r>
      <w:r w:rsidR="008C3BEC" w:rsidRPr="007D1918">
        <w:rPr>
          <w:rStyle w:val="TablenotesChar0"/>
        </w:rPr>
        <w:t>=</w:t>
      </w:r>
      <w:r w:rsidR="00DF1EE0" w:rsidRPr="007D1918">
        <w:rPr>
          <w:rStyle w:val="TablenotesChar0"/>
        </w:rPr>
        <w:t xml:space="preserve"> </w:t>
      </w:r>
      <w:r w:rsidR="008C3BEC" w:rsidRPr="007D1918">
        <w:rPr>
          <w:rStyle w:val="TablenotesChar0"/>
        </w:rPr>
        <w:t>case series; DB</w:t>
      </w:r>
      <w:r w:rsidR="00DF1EE0" w:rsidRPr="007D1918">
        <w:rPr>
          <w:rStyle w:val="TablenotesChar0"/>
        </w:rPr>
        <w:t xml:space="preserve"> </w:t>
      </w:r>
      <w:r w:rsidR="008C3BEC" w:rsidRPr="007D1918">
        <w:rPr>
          <w:rStyle w:val="TablenotesChar0"/>
        </w:rPr>
        <w:t>=</w:t>
      </w:r>
      <w:r w:rsidR="00DF1EE0" w:rsidRPr="007D1918">
        <w:rPr>
          <w:rStyle w:val="TablenotesChar0"/>
        </w:rPr>
        <w:t xml:space="preserve"> </w:t>
      </w:r>
      <w:r w:rsidR="008C3BEC" w:rsidRPr="007D1918">
        <w:rPr>
          <w:rStyle w:val="TablenotesChar0"/>
        </w:rPr>
        <w:t xml:space="preserve">double blind; </w:t>
      </w:r>
      <w:r w:rsidR="00BF4322" w:rsidRPr="007D1918">
        <w:rPr>
          <w:rStyle w:val="TablenotesChar0"/>
        </w:rPr>
        <w:t xml:space="preserve">ICU = </w:t>
      </w:r>
      <w:r w:rsidR="00922B51" w:rsidRPr="007D1918">
        <w:rPr>
          <w:rStyle w:val="TablenotesChar0"/>
        </w:rPr>
        <w:t>intensive</w:t>
      </w:r>
      <w:r w:rsidR="00BF4322" w:rsidRPr="007D1918">
        <w:rPr>
          <w:rStyle w:val="TablenotesChar0"/>
        </w:rPr>
        <w:t xml:space="preserve"> care unit; </w:t>
      </w:r>
      <w:r w:rsidR="002E6F5D" w:rsidRPr="007D1918">
        <w:rPr>
          <w:rStyle w:val="TablenotesChar0"/>
        </w:rPr>
        <w:t xml:space="preserve">IS = immunosuppressive therapy; </w:t>
      </w:r>
      <w:r w:rsidR="00934434" w:rsidRPr="007D1918">
        <w:rPr>
          <w:rStyle w:val="TablenotesChar0"/>
        </w:rPr>
        <w:t xml:space="preserve">IVIg = intravenous immunoglobulin therapy; </w:t>
      </w:r>
      <w:r w:rsidR="008C3BEC" w:rsidRPr="007D1918">
        <w:rPr>
          <w:rStyle w:val="TablenotesChar0"/>
        </w:rPr>
        <w:t>M</w:t>
      </w:r>
      <w:r w:rsidR="00BF4322" w:rsidRPr="007D1918">
        <w:rPr>
          <w:rStyle w:val="TablenotesChar0"/>
        </w:rPr>
        <w:t>C</w:t>
      </w:r>
      <w:r w:rsidR="00BF3BE0" w:rsidRPr="007D1918">
        <w:rPr>
          <w:rStyle w:val="TablenotesChar0"/>
        </w:rPr>
        <w:t xml:space="preserve"> </w:t>
      </w:r>
      <w:r w:rsidR="008C3BEC" w:rsidRPr="007D1918">
        <w:rPr>
          <w:rStyle w:val="TablenotesChar0"/>
        </w:rPr>
        <w:t>=</w:t>
      </w:r>
      <w:r w:rsidR="00BF3BE0" w:rsidRPr="007D1918">
        <w:rPr>
          <w:rStyle w:val="TablenotesChar0"/>
        </w:rPr>
        <w:t xml:space="preserve"> </w:t>
      </w:r>
      <w:r w:rsidR="008C3BEC" w:rsidRPr="007D1918">
        <w:rPr>
          <w:rStyle w:val="TablenotesChar0"/>
        </w:rPr>
        <w:t xml:space="preserve">multi-centre; </w:t>
      </w:r>
      <w:r w:rsidR="00934434" w:rsidRPr="007D1918">
        <w:rPr>
          <w:rStyle w:val="TablenotesChar0"/>
        </w:rPr>
        <w:t>MG = myasthenia gravis;</w:t>
      </w:r>
      <w:r w:rsidR="002E6F5D" w:rsidRPr="007D1918">
        <w:rPr>
          <w:rStyle w:val="TablenotesChar0"/>
        </w:rPr>
        <w:t xml:space="preserve"> MGC = myasthenia gravis composite score;</w:t>
      </w:r>
      <w:r w:rsidR="00934434" w:rsidRPr="007D1918">
        <w:rPr>
          <w:rStyle w:val="TablenotesChar0"/>
        </w:rPr>
        <w:t xml:space="preserve"> </w:t>
      </w:r>
      <w:r w:rsidR="008F187B" w:rsidRPr="007D1918">
        <w:rPr>
          <w:rStyle w:val="TablenotesChar0"/>
        </w:rPr>
        <w:t xml:space="preserve">MGFA = Myasthenia gravis Foundation America; </w:t>
      </w:r>
      <w:r w:rsidRPr="007D1918">
        <w:rPr>
          <w:rStyle w:val="TablenotesChar0"/>
        </w:rPr>
        <w:t>MMS = myasthenia muscle score;</w:t>
      </w:r>
      <w:r w:rsidR="002E6F5D" w:rsidRPr="007D1918">
        <w:rPr>
          <w:rStyle w:val="TablenotesChar0"/>
        </w:rPr>
        <w:t xml:space="preserve"> MMT = manual muscle test;</w:t>
      </w:r>
      <w:r w:rsidRPr="007D1918">
        <w:rPr>
          <w:rStyle w:val="TablenotesChar0"/>
        </w:rPr>
        <w:t xml:space="preserve"> </w:t>
      </w:r>
      <w:r w:rsidR="00934434" w:rsidRPr="007D1918">
        <w:rPr>
          <w:rStyle w:val="TablenotesChar0"/>
        </w:rPr>
        <w:t xml:space="preserve">MPN = </w:t>
      </w:r>
      <w:r w:rsidR="006B6C7E" w:rsidRPr="007D1918">
        <w:rPr>
          <w:rStyle w:val="TablenotesChar0"/>
        </w:rPr>
        <w:t>methylprednisolone</w:t>
      </w:r>
      <w:r w:rsidR="00934434" w:rsidRPr="007D1918">
        <w:rPr>
          <w:rStyle w:val="TablenotesChar0"/>
        </w:rPr>
        <w:t xml:space="preserve"> therapy; </w:t>
      </w:r>
      <w:r w:rsidR="008F187B" w:rsidRPr="007D1918">
        <w:rPr>
          <w:rStyle w:val="TablenotesChar0"/>
        </w:rPr>
        <w:t>mRS = modified Ran</w:t>
      </w:r>
      <w:r w:rsidR="00816943" w:rsidRPr="007D1918">
        <w:rPr>
          <w:rStyle w:val="TablenotesChar0"/>
        </w:rPr>
        <w:t xml:space="preserve">kin Scale; </w:t>
      </w:r>
      <w:r w:rsidR="008F187B" w:rsidRPr="007D1918">
        <w:rPr>
          <w:rStyle w:val="TablenotesChar0"/>
        </w:rPr>
        <w:t xml:space="preserve">MSS = myasthenia severity scale; </w:t>
      </w:r>
      <w:r w:rsidR="00934434" w:rsidRPr="007D1918">
        <w:rPr>
          <w:rStyle w:val="TablenotesChar0"/>
        </w:rPr>
        <w:t xml:space="preserve">NA = not applicable; </w:t>
      </w:r>
      <w:r w:rsidRPr="007D1918">
        <w:rPr>
          <w:rStyle w:val="TablenotesChar0"/>
        </w:rPr>
        <w:t>O</w:t>
      </w:r>
      <w:r w:rsidR="00CE537E" w:rsidRPr="007D1918">
        <w:rPr>
          <w:rStyle w:val="TablenotesChar0"/>
        </w:rPr>
        <w:t>G</w:t>
      </w:r>
      <w:r w:rsidRPr="007D1918">
        <w:rPr>
          <w:rStyle w:val="TablenotesChar0"/>
        </w:rPr>
        <w:t xml:space="preserve"> = Osserman </w:t>
      </w:r>
      <w:r w:rsidR="00CE537E" w:rsidRPr="007D1918">
        <w:rPr>
          <w:rStyle w:val="TablenotesChar0"/>
        </w:rPr>
        <w:t>grade</w:t>
      </w:r>
      <w:r w:rsidRPr="007D1918">
        <w:rPr>
          <w:rStyle w:val="TablenotesChar0"/>
        </w:rPr>
        <w:t xml:space="preserve">; </w:t>
      </w:r>
      <w:r w:rsidR="008C3BEC" w:rsidRPr="007D1918">
        <w:rPr>
          <w:rStyle w:val="TablenotesChar0"/>
        </w:rPr>
        <w:t xml:space="preserve">OL=open label (unblinded); </w:t>
      </w:r>
      <w:r w:rsidR="00934434" w:rsidRPr="007D1918">
        <w:rPr>
          <w:rStyle w:val="TablenotesChar0"/>
        </w:rPr>
        <w:t xml:space="preserve">PE = plasma exchange therapy; </w:t>
      </w:r>
      <w:r w:rsidR="008F187B" w:rsidRPr="007D1918">
        <w:rPr>
          <w:rStyle w:val="TablenotesChar0"/>
        </w:rPr>
        <w:t xml:space="preserve">QMGS = quantitative myasthenia gravis score; </w:t>
      </w:r>
      <w:r w:rsidR="008C3BEC" w:rsidRPr="007D1918">
        <w:rPr>
          <w:rStyle w:val="TablenotesChar0"/>
        </w:rPr>
        <w:t>QoL=quality of life; R</w:t>
      </w:r>
      <w:r w:rsidR="00617872" w:rsidRPr="007D1918">
        <w:rPr>
          <w:rStyle w:val="TablenotesChar0"/>
        </w:rPr>
        <w:t>CT</w:t>
      </w:r>
      <w:r w:rsidR="008C3BEC" w:rsidRPr="007D1918">
        <w:rPr>
          <w:rStyle w:val="TablenotesChar0"/>
        </w:rPr>
        <w:t>=randomised</w:t>
      </w:r>
      <w:r w:rsidR="00617872" w:rsidRPr="007D1918">
        <w:rPr>
          <w:rStyle w:val="TablenotesChar0"/>
        </w:rPr>
        <w:t xml:space="preserve"> controlled trial</w:t>
      </w:r>
      <w:r w:rsidR="008C3BEC" w:rsidRPr="007D1918">
        <w:rPr>
          <w:rStyle w:val="TablenotesChar0"/>
        </w:rPr>
        <w:t xml:space="preserve">; </w:t>
      </w:r>
      <w:r w:rsidR="00617872" w:rsidRPr="007D1918">
        <w:rPr>
          <w:rStyle w:val="TablenotesChar0"/>
        </w:rPr>
        <w:t>Ret CC = retrospective case control; Ret Coh = retrospective cohort;</w:t>
      </w:r>
      <w:r w:rsidR="00DF1EE0" w:rsidRPr="007D1918">
        <w:rPr>
          <w:rStyle w:val="TablenotesChar0"/>
        </w:rPr>
        <w:t xml:space="preserve"> </w:t>
      </w:r>
      <w:r w:rsidR="008C3BEC" w:rsidRPr="007D1918">
        <w:rPr>
          <w:rStyle w:val="TablenotesChar0"/>
        </w:rPr>
        <w:t xml:space="preserve">SB=single blind; </w:t>
      </w:r>
      <w:r w:rsidR="00BF3BE0" w:rsidRPr="007D1918">
        <w:rPr>
          <w:rStyle w:val="TablenotesChar0"/>
        </w:rPr>
        <w:t>SC = single centre</w:t>
      </w:r>
      <w:r w:rsidR="00934434" w:rsidRPr="007D1918">
        <w:rPr>
          <w:rStyle w:val="TablenotesChar0"/>
        </w:rPr>
        <w:t>; SCIg = subcutaneous immunoglobulin therapy</w:t>
      </w:r>
    </w:p>
    <w:p w14:paraId="4BF82FFE" w14:textId="56B1387A" w:rsidR="00952624" w:rsidRPr="007D1918" w:rsidRDefault="00952624" w:rsidP="000C0559">
      <w:pPr>
        <w:widowControl w:val="0"/>
        <w:spacing w:after="0" w:line="240" w:lineRule="auto"/>
        <w:jc w:val="both"/>
        <w:rPr>
          <w:rStyle w:val="TablenotesChar0"/>
        </w:rPr>
      </w:pPr>
      <w:r w:rsidRPr="007D1918">
        <w:rPr>
          <w:rStyle w:val="TablenotesChar0"/>
          <w:vertAlign w:val="superscript"/>
        </w:rPr>
        <w:t>a</w:t>
      </w:r>
      <w:r w:rsidRPr="007D1918">
        <w:rPr>
          <w:rStyle w:val="TablenotesChar0"/>
        </w:rPr>
        <w:t xml:space="preserve"> Functional status measured by the University of Virginia modification of Osserman cla</w:t>
      </w:r>
      <w:r w:rsidR="008F187B" w:rsidRPr="007D1918">
        <w:rPr>
          <w:rStyle w:val="TablenotesChar0"/>
        </w:rPr>
        <w:t>s</w:t>
      </w:r>
      <w:r w:rsidRPr="007D1918">
        <w:rPr>
          <w:rStyle w:val="TablenotesChar0"/>
        </w:rPr>
        <w:t>sification</w:t>
      </w:r>
    </w:p>
    <w:p w14:paraId="5E3A6975" w14:textId="77777777" w:rsidR="00DB3295" w:rsidRPr="007D1918" w:rsidRDefault="00DB3295" w:rsidP="00001635"/>
    <w:p w14:paraId="01EC90B7" w14:textId="77777777" w:rsidR="008D77C9" w:rsidRPr="007D1918" w:rsidRDefault="008D77C9" w:rsidP="00CE3A8B">
      <w:pPr>
        <w:pStyle w:val="Heading2"/>
        <w:numPr>
          <w:ilvl w:val="1"/>
          <w:numId w:val="10"/>
        </w:numPr>
      </w:pPr>
      <w:bookmarkStart w:id="197" w:name="_Toc23766958"/>
      <w:r w:rsidRPr="007D1918">
        <w:t>Outcome</w:t>
      </w:r>
      <w:r w:rsidR="0060025E" w:rsidRPr="007D1918">
        <w:t xml:space="preserve"> Measure</w:t>
      </w:r>
      <w:r w:rsidRPr="007D1918">
        <w:t>s</w:t>
      </w:r>
      <w:r w:rsidR="0060025E" w:rsidRPr="007D1918">
        <w:t xml:space="preserve"> and Analysis</w:t>
      </w:r>
      <w:bookmarkEnd w:id="197"/>
    </w:p>
    <w:p w14:paraId="3CD99319" w14:textId="77777777" w:rsidR="00DE67A5" w:rsidRPr="007D1918" w:rsidRDefault="00DE67A5" w:rsidP="00922B51">
      <w:pPr>
        <w:spacing w:after="120"/>
        <w:jc w:val="both"/>
      </w:pPr>
      <w:r w:rsidRPr="007D1918">
        <w:t>The clinical effectiveness outcomes of interest reported by the included studies were:</w:t>
      </w:r>
    </w:p>
    <w:p w14:paraId="41DE7D3B" w14:textId="5A2A07A2" w:rsidR="00DE67A5" w:rsidRPr="007D1918" w:rsidRDefault="00DE67A5" w:rsidP="00CE3A8B">
      <w:pPr>
        <w:pStyle w:val="ListParagraph"/>
        <w:numPr>
          <w:ilvl w:val="0"/>
          <w:numId w:val="15"/>
        </w:numPr>
        <w:ind w:left="714" w:hanging="357"/>
        <w:contextualSpacing/>
        <w:jc w:val="both"/>
      </w:pPr>
      <w:r w:rsidRPr="007D1918">
        <w:t>mortality</w:t>
      </w:r>
    </w:p>
    <w:p w14:paraId="696E079F" w14:textId="431F6D18" w:rsidR="00DE67A5" w:rsidRPr="007D1918" w:rsidRDefault="00DE67A5" w:rsidP="00CE3A8B">
      <w:pPr>
        <w:pStyle w:val="ListParagraph"/>
        <w:numPr>
          <w:ilvl w:val="0"/>
          <w:numId w:val="15"/>
        </w:numPr>
        <w:contextualSpacing/>
        <w:jc w:val="both"/>
      </w:pPr>
      <w:r w:rsidRPr="007D1918">
        <w:t xml:space="preserve">change in </w:t>
      </w:r>
      <w:r w:rsidR="005257F9" w:rsidRPr="007D1918">
        <w:t xml:space="preserve">symptoms (change in </w:t>
      </w:r>
      <w:r w:rsidRPr="007D1918">
        <w:t xml:space="preserve">disability and muscle strength </w:t>
      </w:r>
      <w:r w:rsidR="005257F9" w:rsidRPr="007D1918">
        <w:t xml:space="preserve">by </w:t>
      </w:r>
      <w:r w:rsidR="00481888" w:rsidRPr="007D1918">
        <w:t>various scales, described below</w:t>
      </w:r>
      <w:r w:rsidRPr="007D1918">
        <w:t>)</w:t>
      </w:r>
    </w:p>
    <w:p w14:paraId="3D27584C" w14:textId="1C58C012" w:rsidR="00DE67A5" w:rsidRPr="007D1918" w:rsidRDefault="00DE67A5" w:rsidP="00CE3A8B">
      <w:pPr>
        <w:pStyle w:val="ListParagraph"/>
        <w:numPr>
          <w:ilvl w:val="0"/>
          <w:numId w:val="15"/>
        </w:numPr>
        <w:ind w:left="714" w:hanging="357"/>
        <w:contextualSpacing/>
        <w:jc w:val="both"/>
      </w:pPr>
      <w:r w:rsidRPr="007D1918">
        <w:t>change in quality of life (</w:t>
      </w:r>
      <w:r w:rsidR="005257F9" w:rsidRPr="007D1918">
        <w:t xml:space="preserve">by </w:t>
      </w:r>
      <w:r w:rsidR="00481888" w:rsidRPr="007D1918">
        <w:t>various scales described below</w:t>
      </w:r>
      <w:r w:rsidRPr="007D1918">
        <w:t>)</w:t>
      </w:r>
    </w:p>
    <w:p w14:paraId="297326EA" w14:textId="71CCDABF" w:rsidR="00DE67A5" w:rsidRPr="007D1918" w:rsidRDefault="00DE67A5" w:rsidP="00CE3A8B">
      <w:pPr>
        <w:pStyle w:val="ListParagraph"/>
        <w:numPr>
          <w:ilvl w:val="0"/>
          <w:numId w:val="15"/>
        </w:numPr>
        <w:ind w:left="714" w:hanging="357"/>
        <w:contextualSpacing/>
        <w:jc w:val="both"/>
      </w:pPr>
      <w:r w:rsidRPr="007D1918">
        <w:t>rate of remission</w:t>
      </w:r>
    </w:p>
    <w:p w14:paraId="41A8A78A" w14:textId="0721CF27" w:rsidR="00DE67A5" w:rsidRPr="007D1918" w:rsidRDefault="00DE67A5" w:rsidP="00CE3A8B">
      <w:pPr>
        <w:pStyle w:val="ListParagraph"/>
        <w:numPr>
          <w:ilvl w:val="0"/>
          <w:numId w:val="15"/>
        </w:numPr>
        <w:ind w:left="714" w:hanging="357"/>
        <w:contextualSpacing/>
        <w:jc w:val="both"/>
      </w:pPr>
      <w:r w:rsidRPr="007D1918">
        <w:t>disease stability</w:t>
      </w:r>
    </w:p>
    <w:p w14:paraId="7E302C60" w14:textId="4022A48C" w:rsidR="00DE67A5" w:rsidRPr="007D1918" w:rsidRDefault="00DE67A5" w:rsidP="00CE3A8B">
      <w:pPr>
        <w:pStyle w:val="ListParagraph"/>
        <w:numPr>
          <w:ilvl w:val="0"/>
          <w:numId w:val="15"/>
        </w:numPr>
        <w:ind w:left="714" w:hanging="357"/>
        <w:contextualSpacing/>
        <w:jc w:val="both"/>
      </w:pPr>
      <w:r w:rsidRPr="007D1918">
        <w:t>time to relapse</w:t>
      </w:r>
    </w:p>
    <w:p w14:paraId="20B039E4" w14:textId="3FA1AA39" w:rsidR="00DE67A5" w:rsidRPr="007D1918" w:rsidRDefault="00DE67A5" w:rsidP="00CE3A8B">
      <w:pPr>
        <w:pStyle w:val="ListParagraph"/>
        <w:numPr>
          <w:ilvl w:val="0"/>
          <w:numId w:val="15"/>
        </w:numPr>
        <w:ind w:left="714" w:hanging="357"/>
        <w:contextualSpacing/>
        <w:jc w:val="both"/>
      </w:pPr>
      <w:r w:rsidRPr="007D1918">
        <w:t>need for ventilation or other life support systems</w:t>
      </w:r>
    </w:p>
    <w:p w14:paraId="40B12DA7" w14:textId="5DE8EAC4" w:rsidR="00DE67A5" w:rsidRPr="007D1918" w:rsidRDefault="00DE67A5" w:rsidP="00151EAE">
      <w:pPr>
        <w:pStyle w:val="ListParagraph"/>
        <w:numPr>
          <w:ilvl w:val="0"/>
          <w:numId w:val="15"/>
        </w:numPr>
        <w:ind w:left="714" w:hanging="357"/>
        <w:contextualSpacing/>
        <w:jc w:val="both"/>
      </w:pPr>
      <w:r w:rsidRPr="007D1918">
        <w:t xml:space="preserve">adverse events (AEs) associated with administration of the therapy </w:t>
      </w:r>
      <w:r w:rsidR="005257F9" w:rsidRPr="007D1918">
        <w:t xml:space="preserve">or side effects of therapy </w:t>
      </w:r>
      <w:r w:rsidRPr="007D1918">
        <w:t>(such as IV li</w:t>
      </w:r>
      <w:r w:rsidR="005257F9" w:rsidRPr="007D1918">
        <w:t xml:space="preserve">ne insertion risks, line sepsis, </w:t>
      </w:r>
      <w:r w:rsidRPr="007D1918">
        <w:t>haemodynamic effects, inflammatory and thrombotic effects)</w:t>
      </w:r>
    </w:p>
    <w:p w14:paraId="08FB29D4" w14:textId="20E65842" w:rsidR="00104C44" w:rsidRPr="007D1918" w:rsidRDefault="00104C44" w:rsidP="00104C44">
      <w:pPr>
        <w:jc w:val="both"/>
      </w:pPr>
      <w:r w:rsidRPr="007D1918">
        <w:t xml:space="preserve">The included studies used different classification scales to determine the change in muscle strength (or MG severity) in response to treatment. These measures fell into four broad categories: 1) functional categorical scales that divided patients into four or five classes or grades depending on their physical abilities; 2) categorical scales that measured the effectiveness of treatments according to the relative degree of physical improvement or detriment of patients after treatment; 3) subjective clinical and/or patient-reported questionnaires based on functional, clinical and QOL aspects of the disease, and 4) diagnostic tests such as </w:t>
      </w:r>
      <w:r w:rsidR="00481888" w:rsidRPr="007D1918">
        <w:t>antibody testing for</w:t>
      </w:r>
      <w:r w:rsidR="006F69D8" w:rsidRPr="007D1918">
        <w:t xml:space="preserve"> AChRAb and MuSK titres </w:t>
      </w:r>
      <w:r w:rsidRPr="007D1918">
        <w:t xml:space="preserve">or electrophysiology studies. </w:t>
      </w:r>
      <w:r w:rsidR="006F69D8" w:rsidRPr="007D1918">
        <w:t xml:space="preserve">Outcomes for </w:t>
      </w:r>
      <w:r w:rsidR="00BA78E3" w:rsidRPr="007D1918">
        <w:t xml:space="preserve">category 4) </w:t>
      </w:r>
      <w:r w:rsidR="006F69D8" w:rsidRPr="007D1918">
        <w:t xml:space="preserve">diagnostic tests were not included </w:t>
      </w:r>
      <w:r w:rsidR="00481888" w:rsidRPr="007D1918">
        <w:t>in</w:t>
      </w:r>
      <w:r w:rsidR="006F69D8" w:rsidRPr="007D1918">
        <w:t xml:space="preserve"> this assessment. </w:t>
      </w:r>
      <w:r w:rsidRPr="007D1918">
        <w:t>See Appendix C for details on the outcome measures used in each included study, along with the statistical methods used to analyse the results.</w:t>
      </w:r>
    </w:p>
    <w:p w14:paraId="2680564D" w14:textId="77777777" w:rsidR="00104C44" w:rsidRPr="007D1918" w:rsidRDefault="00104C44" w:rsidP="00104C44">
      <w:pPr>
        <w:pStyle w:val="Heading3"/>
      </w:pPr>
      <w:bookmarkStart w:id="198" w:name="_Toc23766959"/>
      <w:r w:rsidRPr="007D1918">
        <w:lastRenderedPageBreak/>
        <w:t>Functional or clinical categorical scales</w:t>
      </w:r>
      <w:bookmarkEnd w:id="198"/>
    </w:p>
    <w:p w14:paraId="247B88DD" w14:textId="6789B32E" w:rsidR="00104C44" w:rsidRPr="007D1918" w:rsidRDefault="00104C44" w:rsidP="00104C44">
      <w:pPr>
        <w:jc w:val="both"/>
      </w:pPr>
      <w:r w:rsidRPr="007D1918">
        <w:t xml:space="preserve">Functional or clinical scales are designed to identify subgroups of patients with MG who share distinct clinical features or severity of disease. This may indicate different prognoses or responses to therapy </w:t>
      </w:r>
      <w:r w:rsidRPr="007D1918">
        <w:fldChar w:fldCharType="begin"/>
      </w:r>
      <w:r w:rsidR="0075212A" w:rsidRPr="007D1918">
        <w:instrText xml:space="preserve"> ADDIN EN.CITE &lt;EndNote&gt;&lt;Cite&gt;&lt;Author&gt;Jaretzki&lt;/Author&gt;&lt;Year&gt;2000&lt;/Year&gt;&lt;RecNum&gt;10&lt;/RecNum&gt;&lt;DisplayText&gt;(Jaretzki et al. 2000)&lt;/DisplayText&gt;&lt;record&gt;&lt;rec-number&gt;10&lt;/rec-number&gt;&lt;foreign-keys&gt;&lt;key app="EN" db-id="2aevrx2slsts5ve9sdavatf125dsx0av2v9d" timestamp="1558054083"&gt;10&lt;/key&gt;&lt;/foreign-keys&gt;&lt;ref-type name="Journal Article"&gt;17&lt;/ref-type&gt;&lt;contributors&gt;&lt;authors&gt;&lt;author&gt;Jaretzki, A.&lt;/author&gt;&lt;author&gt;Barohn, R.J.&lt;/author&gt;&lt;author&gt;Ernstoff, R.M.&lt;/author&gt;&lt;author&gt;Kaminski, H.J.&lt;/author&gt;&lt;author&gt;Keesey, J.C.&lt;/author&gt;&lt;author&gt;Penn, A.S.&lt;/author&gt;&lt;author&gt;Sanders, D.B.&lt;/author&gt;&lt;/authors&gt;&lt;/contributors&gt;&lt;titles&gt;&lt;title&gt;Myasthenia gravis: Recommendations for clinical research standards: Task Force of the Medical Scientific Advisory Board of the Myasthenia Gravis Foundation of America&lt;/title&gt;&lt;secondary-title&gt;Neurology&lt;/secondary-title&gt;&lt;/titles&gt;&lt;periodical&gt;&lt;full-title&gt;Neurology&lt;/full-title&gt;&lt;/periodical&gt;&lt;pages&gt;16-23&lt;/pages&gt;&lt;volume&gt;55&lt;/volume&gt;&lt;number&gt;1&lt;/number&gt;&lt;dates&gt;&lt;year&gt;2000&lt;/year&gt;&lt;/dates&gt;&lt;urls&gt;&lt;related-urls&gt;&lt;url&gt;https://n.neurology.org/content/neurology/55/1/16.full.pdf&lt;/url&gt;&lt;url&gt;https://n.neurology.org/content/55/1/16.long&lt;/url&gt;&lt;/related-urls&gt;&lt;/urls&gt;&lt;electronic-resource-num&gt;10.1212/wnl.55.1.16&lt;/electronic-resource-num&gt;&lt;/record&gt;&lt;/Cite&gt;&lt;/EndNote&gt;</w:instrText>
      </w:r>
      <w:r w:rsidRPr="007D1918">
        <w:fldChar w:fldCharType="separate"/>
      </w:r>
      <w:r w:rsidRPr="007D1918">
        <w:rPr>
          <w:noProof/>
        </w:rPr>
        <w:t>(</w:t>
      </w:r>
      <w:hyperlink w:anchor="_ENREF_55" w:tooltip="Jaretzki, 2000 #10" w:history="1">
        <w:r w:rsidR="007D4948" w:rsidRPr="007D1918">
          <w:rPr>
            <w:noProof/>
          </w:rPr>
          <w:t>Jaretzki et al. 2000</w:t>
        </w:r>
      </w:hyperlink>
      <w:r w:rsidRPr="007D1918">
        <w:rPr>
          <w:noProof/>
        </w:rPr>
        <w:t>)</w:t>
      </w:r>
      <w:r w:rsidRPr="007D1918">
        <w:fldChar w:fldCharType="end"/>
      </w:r>
      <w:r w:rsidRPr="007D1918">
        <w:t>. Statistical evaluation of changes in these s</w:t>
      </w:r>
      <w:r w:rsidR="006F69D8" w:rsidRPr="007D1918">
        <w:t>c</w:t>
      </w:r>
      <w:r w:rsidRPr="007D1918">
        <w:t xml:space="preserve">ales must </w:t>
      </w:r>
      <w:r w:rsidR="006F69D8" w:rsidRPr="007D1918">
        <w:t>treat</w:t>
      </w:r>
      <w:r w:rsidRPr="007D1918">
        <w:t xml:space="preserve"> variables as categorical/ordinal values and not as linear variables, or the results would be unreliable </w:t>
      </w:r>
      <w:r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C437BA" w:rsidRPr="007D1918">
        <w:instrText xml:space="preserve"> ADDIN EN.CITE </w:instrText>
      </w:r>
      <w:r w:rsidR="00C437BA"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C437BA" w:rsidRPr="007D1918">
        <w:instrText xml:space="preserve"> ADDIN EN.CITE.DATA </w:instrText>
      </w:r>
      <w:r w:rsidR="00C437BA" w:rsidRPr="007D1918">
        <w:fldChar w:fldCharType="end"/>
      </w:r>
      <w:r w:rsidRPr="007D1918">
        <w:fldChar w:fldCharType="separate"/>
      </w:r>
      <w:r w:rsidRPr="007D1918">
        <w:rPr>
          <w:noProof/>
        </w:rPr>
        <w:t>(</w:t>
      </w:r>
      <w:hyperlink w:anchor="_ENREF_2" w:tooltip="Alabdali, 2014 #4" w:history="1">
        <w:r w:rsidR="007D4948" w:rsidRPr="007D1918">
          <w:rPr>
            <w:noProof/>
          </w:rPr>
          <w:t>Alabdali et al. 2014</w:t>
        </w:r>
      </w:hyperlink>
      <w:r w:rsidRPr="007D1918">
        <w:rPr>
          <w:noProof/>
        </w:rPr>
        <w:t>)</w:t>
      </w:r>
      <w:r w:rsidRPr="007D1918">
        <w:fldChar w:fldCharType="end"/>
      </w:r>
      <w:r w:rsidRPr="007D1918">
        <w:t xml:space="preserve">. The scales that were used are listed in </w:t>
      </w:r>
      <w:r w:rsidRPr="007D1918">
        <w:fldChar w:fldCharType="begin"/>
      </w:r>
      <w:r w:rsidRPr="007D1918">
        <w:instrText xml:space="preserve"> REF _Ref8980759 \h </w:instrText>
      </w:r>
      <w:r w:rsidR="00E07567" w:rsidRPr="007D1918">
        <w:instrText xml:space="preserve"> \* MERGEFORMAT </w:instrText>
      </w:r>
      <w:r w:rsidRPr="007D1918">
        <w:fldChar w:fldCharType="separate"/>
      </w:r>
      <w:r w:rsidR="00001635" w:rsidRPr="007D1918">
        <w:t xml:space="preserve">Table </w:t>
      </w:r>
      <w:r w:rsidR="00001635" w:rsidRPr="007D1918">
        <w:rPr>
          <w:noProof/>
        </w:rPr>
        <w:t>13</w:t>
      </w:r>
      <w:r w:rsidRPr="007D1918">
        <w:fldChar w:fldCharType="end"/>
      </w:r>
      <w:r w:rsidRPr="007D1918">
        <w:t xml:space="preserve">. All of these scales were based on the historical Osserman clinical scales </w:t>
      </w:r>
      <w:r w:rsidR="0075212A" w:rsidRPr="007D1918">
        <w:fldChar w:fldCharType="begin"/>
      </w:r>
      <w:r w:rsidR="0075212A" w:rsidRPr="007D1918">
        <w:instrText xml:space="preserve"> ADDIN EN.CITE &lt;EndNote&gt;&lt;Cite&gt;&lt;Author&gt;Osserman&lt;/Author&gt;&lt;Year&gt;1971&lt;/Year&gt;&lt;RecNum&gt;9&lt;/RecNum&gt;&lt;DisplayText&gt;(Osserman &amp;amp; Genkins 1971)&lt;/DisplayText&gt;&lt;record&gt;&lt;rec-number&gt;9&lt;/rec-number&gt;&lt;foreign-keys&gt;&lt;key app="EN" db-id="2aevrx2slsts5ve9sdavatf125dsx0av2v9d" timestamp="1558053938"&gt;9&lt;/key&gt;&lt;/foreign-keys&gt;&lt;ref-type name="Journal Article"&gt;17&lt;/ref-type&gt;&lt;contributors&gt;&lt;authors&gt;&lt;author&gt;Osserman, K. E.&lt;/author&gt;&lt;author&gt;Genkins, G.&lt;/author&gt;&lt;/authors&gt;&lt;/contributors&gt;&lt;titles&gt;&lt;title&gt;Studies in myasthenia gravis: review of a twenty-year experience in over 1200 patients&lt;/title&gt;&lt;secondary-title&gt;Mt Sinai J Med&lt;/secondary-title&gt;&lt;/titles&gt;&lt;periodical&gt;&lt;full-title&gt;Mt Sinai J Med&lt;/full-title&gt;&lt;/periodical&gt;&lt;pages&gt;497-537&lt;/pages&gt;&lt;volume&gt;38&lt;/volume&gt;&lt;number&gt;6&lt;/number&gt;&lt;edition&gt;1971/11/01&lt;/edition&gt;&lt;keywords&gt;&lt;keyword&gt;Adolescent&lt;/keyword&gt;&lt;keyword&gt;Adult&lt;/keyword&gt;&lt;keyword&gt;Age Factors&lt;/keyword&gt;&lt;keyword&gt;Aged&lt;/keyword&gt;&lt;keyword&gt;Ambulatory Care&lt;/keyword&gt;&lt;keyword&gt;Child&lt;/keyword&gt;&lt;keyword&gt;Child, Preschool&lt;/keyword&gt;&lt;keyword&gt;Curare&lt;/keyword&gt;&lt;keyword&gt;Decamethonium Compounds&lt;/keyword&gt;&lt;keyword&gt;Edrophonium&lt;/keyword&gt;&lt;keyword&gt;Female&lt;/keyword&gt;&lt;keyword&gt;Humans&lt;/keyword&gt;&lt;keyword&gt;Male&lt;/keyword&gt;&lt;keyword&gt;Middle Aged&lt;/keyword&gt;&lt;keyword&gt;Myasthenia&lt;/keyword&gt;&lt;keyword&gt;Gravis/classification/complications/diagnosis/epidemiology/genetics/pathology/the&lt;/keyword&gt;&lt;keyword&gt;rapy&lt;/keyword&gt;&lt;keyword&gt;Sex Factors&lt;/keyword&gt;&lt;keyword&gt;Thymectomy&lt;/keyword&gt;&lt;keyword&gt;Thymoma/epidemiology&lt;/keyword&gt;&lt;keyword&gt;Thymus Gland/pathology&lt;/keyword&gt;&lt;keyword&gt;Thymus Neoplasms/epidemiology&lt;/keyword&gt;&lt;/keywords&gt;&lt;dates&gt;&lt;year&gt;1971&lt;/year&gt;&lt;pub-dates&gt;&lt;date&gt;Nov-Dec&lt;/date&gt;&lt;/pub-dates&gt;&lt;/dates&gt;&lt;isbn&gt;0027-2507 (Print)&amp;#xD;0027-2507 (Linking)&lt;/isbn&gt;&lt;accession-num&gt;4941403&lt;/accession-num&gt;&lt;urls&gt;&lt;/urls&gt;&lt;remote-database-provider&gt;NLM&lt;/remote-database-provider&gt;&lt;language&gt;eng&lt;/language&gt;&lt;/record&gt;&lt;/Cite&gt;&lt;/EndNote&gt;</w:instrText>
      </w:r>
      <w:r w:rsidR="0075212A" w:rsidRPr="007D1918">
        <w:fldChar w:fldCharType="separate"/>
      </w:r>
      <w:r w:rsidR="0075212A" w:rsidRPr="007D1918">
        <w:rPr>
          <w:noProof/>
        </w:rPr>
        <w:t>(</w:t>
      </w:r>
      <w:hyperlink w:anchor="_ENREF_75" w:tooltip="Osserman, 1971 #9" w:history="1">
        <w:r w:rsidR="007D4948" w:rsidRPr="007D1918">
          <w:rPr>
            <w:noProof/>
          </w:rPr>
          <w:t>Osserman &amp; Genkins 1971</w:t>
        </w:r>
      </w:hyperlink>
      <w:r w:rsidR="0075212A" w:rsidRPr="007D1918">
        <w:rPr>
          <w:noProof/>
        </w:rPr>
        <w:t>)</w:t>
      </w:r>
      <w:r w:rsidR="0075212A" w:rsidRPr="007D1918">
        <w:fldChar w:fldCharType="end"/>
      </w:r>
      <w:r w:rsidRPr="007D1918">
        <w:t xml:space="preserve">, the most recognised being the Myasthenia Gravis Foundation of America (MGFA) classification </w:t>
      </w:r>
      <w:r w:rsidR="0075212A" w:rsidRPr="007D1918">
        <w:fldChar w:fldCharType="begin"/>
      </w:r>
      <w:r w:rsidR="0075212A" w:rsidRPr="007D1918">
        <w:instrText xml:space="preserve"> ADDIN EN.CITE &lt;EndNote&gt;&lt;Cite&gt;&lt;Author&gt;Jaretzki&lt;/Author&gt;&lt;Year&gt;2000&lt;/Year&gt;&lt;RecNum&gt;10&lt;/RecNum&gt;&lt;DisplayText&gt;(Jaretzki et al. 2000)&lt;/DisplayText&gt;&lt;record&gt;&lt;rec-number&gt;10&lt;/rec-number&gt;&lt;foreign-keys&gt;&lt;key app="EN" db-id="2aevrx2slsts5ve9sdavatf125dsx0av2v9d" timestamp="1558054083"&gt;10&lt;/key&gt;&lt;/foreign-keys&gt;&lt;ref-type name="Journal Article"&gt;17&lt;/ref-type&gt;&lt;contributors&gt;&lt;authors&gt;&lt;author&gt;Jaretzki, A.&lt;/author&gt;&lt;author&gt;Barohn, R.J.&lt;/author&gt;&lt;author&gt;Ernstoff, R.M.&lt;/author&gt;&lt;author&gt;Kaminski, H.J.&lt;/author&gt;&lt;author&gt;Keesey, J.C.&lt;/author&gt;&lt;author&gt;Penn, A.S.&lt;/author&gt;&lt;author&gt;Sanders, D.B.&lt;/author&gt;&lt;/authors&gt;&lt;/contributors&gt;&lt;titles&gt;&lt;title&gt;Myasthenia gravis: Recommendations for clinical research standards: Task Force of the Medical Scientific Advisory Board of the Myasthenia Gravis Foundation of America&lt;/title&gt;&lt;secondary-title&gt;Neurology&lt;/secondary-title&gt;&lt;/titles&gt;&lt;periodical&gt;&lt;full-title&gt;Neurology&lt;/full-title&gt;&lt;/periodical&gt;&lt;pages&gt;16-23&lt;/pages&gt;&lt;volume&gt;55&lt;/volume&gt;&lt;number&gt;1&lt;/number&gt;&lt;dates&gt;&lt;year&gt;2000&lt;/year&gt;&lt;/dates&gt;&lt;urls&gt;&lt;related-urls&gt;&lt;url&gt;https://n.neurology.org/content/neurology/55/1/16.full.pdf&lt;/url&gt;&lt;url&gt;https://n.neurology.org/content/55/1/16.long&lt;/url&gt;&lt;/related-urls&gt;&lt;/urls&gt;&lt;electronic-resource-num&gt;10.1212/wnl.55.1.16&lt;/electronic-resource-num&gt;&lt;/record&gt;&lt;/Cite&gt;&lt;/EndNote&gt;</w:instrText>
      </w:r>
      <w:r w:rsidR="0075212A" w:rsidRPr="007D1918">
        <w:fldChar w:fldCharType="separate"/>
      </w:r>
      <w:r w:rsidR="0075212A" w:rsidRPr="007D1918">
        <w:rPr>
          <w:noProof/>
        </w:rPr>
        <w:t>(</w:t>
      </w:r>
      <w:hyperlink w:anchor="_ENREF_55" w:tooltip="Jaretzki, 2000 #10" w:history="1">
        <w:r w:rsidR="007D4948" w:rsidRPr="007D1918">
          <w:rPr>
            <w:noProof/>
          </w:rPr>
          <w:t>Jaretzki et al. 2000</w:t>
        </w:r>
      </w:hyperlink>
      <w:r w:rsidR="0075212A" w:rsidRPr="007D1918">
        <w:rPr>
          <w:noProof/>
        </w:rPr>
        <w:t>)</w:t>
      </w:r>
      <w:r w:rsidR="0075212A" w:rsidRPr="007D1918">
        <w:fldChar w:fldCharType="end"/>
      </w:r>
      <w:r w:rsidRPr="007D1918">
        <w:t>.</w:t>
      </w:r>
    </w:p>
    <w:p w14:paraId="323E454D" w14:textId="77777777" w:rsidR="00104C44" w:rsidRPr="007D1918" w:rsidRDefault="00104C44" w:rsidP="00104C44">
      <w:pPr>
        <w:pStyle w:val="Heading3"/>
      </w:pPr>
      <w:bookmarkStart w:id="199" w:name="_Toc23766960"/>
      <w:r w:rsidRPr="007D1918">
        <w:t>Treatment effectiveness scales</w:t>
      </w:r>
      <w:bookmarkEnd w:id="199"/>
    </w:p>
    <w:p w14:paraId="19F56B99" w14:textId="1B804F89" w:rsidR="00104C44" w:rsidRPr="007D1918" w:rsidRDefault="00BF1768" w:rsidP="00104C44">
      <w:pPr>
        <w:jc w:val="both"/>
      </w:pPr>
      <w:r w:rsidRPr="007D1918">
        <w:t>Two s</w:t>
      </w:r>
      <w:r w:rsidR="00104C44" w:rsidRPr="007D1918">
        <w:t xml:space="preserve">tudies </w:t>
      </w:r>
      <w:r w:rsidRPr="007D1918">
        <w:t xml:space="preserve">discussed in </w:t>
      </w:r>
      <w:r w:rsidRPr="007D1918">
        <w:rPr>
          <w:i/>
        </w:rPr>
        <w:t>Section F</w:t>
      </w:r>
      <w:r w:rsidR="00FA2516" w:rsidRPr="007D1918">
        <w:rPr>
          <w:i/>
        </w:rPr>
        <w:t xml:space="preserve"> Other Relevant Considerations</w:t>
      </w:r>
      <w:r w:rsidRPr="007D1918">
        <w:t xml:space="preserve"> </w:t>
      </w:r>
      <w:r w:rsidR="00104C44" w:rsidRPr="007D1918">
        <w:t xml:space="preserve">used the MGFA-ratified post-treatment status classifications scales (MGFA-PIS) to determine the effectiveness of the treatment, rating patients according to response to treatment from complete remission to death </w:t>
      </w:r>
      <w:r w:rsidR="0075212A" w:rsidRPr="007D1918">
        <w:fldChar w:fldCharType="begin"/>
      </w:r>
      <w:r w:rsidR="0075212A" w:rsidRPr="007D1918">
        <w:instrText xml:space="preserve"> ADDIN EN.CITE &lt;EndNote&gt;&lt;Cite&gt;&lt;Author&gt;Jaretzki&lt;/Author&gt;&lt;Year&gt;2000&lt;/Year&gt;&lt;RecNum&gt;10&lt;/RecNum&gt;&lt;DisplayText&gt;(Jaretzki et al. 2000)&lt;/DisplayText&gt;&lt;record&gt;&lt;rec-number&gt;10&lt;/rec-number&gt;&lt;foreign-keys&gt;&lt;key app="EN" db-id="2aevrx2slsts5ve9sdavatf125dsx0av2v9d" timestamp="1558054083"&gt;10&lt;/key&gt;&lt;/foreign-keys&gt;&lt;ref-type name="Journal Article"&gt;17&lt;/ref-type&gt;&lt;contributors&gt;&lt;authors&gt;&lt;author&gt;Jaretzki, A.&lt;/author&gt;&lt;author&gt;Barohn, R.J.&lt;/author&gt;&lt;author&gt;Ernstoff, R.M.&lt;/author&gt;&lt;author&gt;Kaminski, H.J.&lt;/author&gt;&lt;author&gt;Keesey, J.C.&lt;/author&gt;&lt;author&gt;Penn, A.S.&lt;/author&gt;&lt;author&gt;Sanders, D.B.&lt;/author&gt;&lt;/authors&gt;&lt;/contributors&gt;&lt;titles&gt;&lt;title&gt;Myasthenia gravis: Recommendations for clinical research standards: Task Force of the Medical Scientific Advisory Board of the Myasthenia Gravis Foundation of America&lt;/title&gt;&lt;secondary-title&gt;Neurology&lt;/secondary-title&gt;&lt;/titles&gt;&lt;periodical&gt;&lt;full-title&gt;Neurology&lt;/full-title&gt;&lt;/periodical&gt;&lt;pages&gt;16-23&lt;/pages&gt;&lt;volume&gt;55&lt;/volume&gt;&lt;number&gt;1&lt;/number&gt;&lt;dates&gt;&lt;year&gt;2000&lt;/year&gt;&lt;/dates&gt;&lt;urls&gt;&lt;related-urls&gt;&lt;url&gt;https://n.neurology.org/content/neurology/55/1/16.full.pdf&lt;/url&gt;&lt;url&gt;https://n.neurology.org/content/55/1/16.long&lt;/url&gt;&lt;/related-urls&gt;&lt;/urls&gt;&lt;electronic-resource-num&gt;10.1212/wnl.55.1.16&lt;/electronic-resource-num&gt;&lt;/record&gt;&lt;/Cite&gt;&lt;/EndNote&gt;</w:instrText>
      </w:r>
      <w:r w:rsidR="0075212A" w:rsidRPr="007D1918">
        <w:fldChar w:fldCharType="separate"/>
      </w:r>
      <w:r w:rsidR="0075212A" w:rsidRPr="007D1918">
        <w:rPr>
          <w:noProof/>
        </w:rPr>
        <w:t>(</w:t>
      </w:r>
      <w:hyperlink w:anchor="_ENREF_55" w:tooltip="Jaretzki, 2000 #10" w:history="1">
        <w:r w:rsidR="007D4948" w:rsidRPr="007D1918">
          <w:rPr>
            <w:noProof/>
          </w:rPr>
          <w:t>Jaretzki et al. 2000</w:t>
        </w:r>
      </w:hyperlink>
      <w:r w:rsidR="0075212A" w:rsidRPr="007D1918">
        <w:rPr>
          <w:noProof/>
        </w:rPr>
        <w:t>)</w:t>
      </w:r>
      <w:r w:rsidR="0075212A" w:rsidRPr="007D1918">
        <w:fldChar w:fldCharType="end"/>
      </w:r>
      <w:r w:rsidR="00104C44" w:rsidRPr="007D1918">
        <w:t xml:space="preserve">. One study used the relative difference in pre-and post-treatment scores of the Myasthenia Gravis absolute score (MGAS; scored 0−60) to classify patients as recovered, improved or unchanged </w:t>
      </w:r>
      <w:r w:rsidR="0075212A" w:rsidRPr="007D1918">
        <w:fldChar w:fldCharType="begin"/>
      </w:r>
      <w:r w:rsidR="00C437BA" w:rsidRPr="007D1918">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0075212A" w:rsidRPr="007D1918">
        <w:fldChar w:fldCharType="separate"/>
      </w:r>
      <w:r w:rsidR="0075212A" w:rsidRPr="007D1918">
        <w:rPr>
          <w:noProof/>
        </w:rPr>
        <w:t>(</w:t>
      </w:r>
      <w:hyperlink w:anchor="_ENREF_104" w:tooltip="Wang, 2016 #43" w:history="1">
        <w:r w:rsidR="007D4948" w:rsidRPr="007D1918">
          <w:rPr>
            <w:noProof/>
          </w:rPr>
          <w:t>Wang et al. 2016</w:t>
        </w:r>
      </w:hyperlink>
      <w:r w:rsidR="0075212A" w:rsidRPr="007D1918">
        <w:rPr>
          <w:noProof/>
        </w:rPr>
        <w:t>)</w:t>
      </w:r>
      <w:r w:rsidR="0075212A" w:rsidRPr="007D1918">
        <w:fldChar w:fldCharType="end"/>
      </w:r>
      <w:r w:rsidR="00104C44" w:rsidRPr="007D1918">
        <w:t xml:space="preserve">. The details of these two scales are summarised in </w:t>
      </w:r>
      <w:r w:rsidR="00104C44" w:rsidRPr="007D1918">
        <w:fldChar w:fldCharType="begin"/>
      </w:r>
      <w:r w:rsidR="00104C44" w:rsidRPr="007D1918">
        <w:instrText xml:space="preserve"> REF _Ref9345506 \h </w:instrText>
      </w:r>
      <w:r w:rsidR="00E07567" w:rsidRPr="007D1918">
        <w:instrText xml:space="preserve"> \* MERGEFORMAT </w:instrText>
      </w:r>
      <w:r w:rsidR="00104C44" w:rsidRPr="007D1918">
        <w:fldChar w:fldCharType="separate"/>
      </w:r>
      <w:r w:rsidR="00001635" w:rsidRPr="007D1918">
        <w:t xml:space="preserve">Table </w:t>
      </w:r>
      <w:r w:rsidR="00001635" w:rsidRPr="007D1918">
        <w:rPr>
          <w:noProof/>
        </w:rPr>
        <w:t>14</w:t>
      </w:r>
      <w:r w:rsidR="00104C44" w:rsidRPr="007D1918">
        <w:fldChar w:fldCharType="end"/>
      </w:r>
      <w:r w:rsidR="00104C44" w:rsidRPr="007D1918">
        <w:t>.</w:t>
      </w:r>
    </w:p>
    <w:p w14:paraId="772D9123" w14:textId="77777777" w:rsidR="00104C44" w:rsidRPr="007D1918" w:rsidRDefault="00104C44" w:rsidP="00104C44">
      <w:pPr>
        <w:pStyle w:val="Heading3"/>
      </w:pPr>
      <w:bookmarkStart w:id="200" w:name="_Toc23766961"/>
      <w:r w:rsidRPr="007D1918">
        <w:t>MG severity and/or QOL linear scales</w:t>
      </w:r>
      <w:bookmarkEnd w:id="200"/>
    </w:p>
    <w:p w14:paraId="2A25F3A3" w14:textId="5020B5CB" w:rsidR="00104C44" w:rsidRPr="007D1918" w:rsidRDefault="00104C44" w:rsidP="00104C44">
      <w:pPr>
        <w:jc w:val="both"/>
      </w:pPr>
      <w:r w:rsidRPr="007D1918">
        <w:t xml:space="preserve">These scales provide a score based on questions about muscle function or coping with daily living. To assess the effect of treatment, the scales should </w:t>
      </w:r>
      <w:r w:rsidR="006F69D8" w:rsidRPr="007D1918">
        <w:t>compare measurements at appropriate intervals with a baseline measurement.</w:t>
      </w:r>
      <w:r w:rsidRPr="007D1918">
        <w:t xml:space="preserve"> The effectiveness of a treatment can be assessed according to whether or not the change in score </w:t>
      </w:r>
      <w:r w:rsidR="006F69D8" w:rsidRPr="007D1918">
        <w:t>effects a</w:t>
      </w:r>
      <w:r w:rsidRPr="007D1918">
        <w:t xml:space="preserve"> minimal clinically important difference (MCID). The scales used by the included studies are listed in </w:t>
      </w:r>
      <w:r w:rsidR="00BA78E3" w:rsidRPr="007D1918">
        <w:fldChar w:fldCharType="begin"/>
      </w:r>
      <w:r w:rsidR="00BA78E3" w:rsidRPr="007D1918">
        <w:instrText xml:space="preserve"> REF _Ref8996979 \h </w:instrText>
      </w:r>
      <w:r w:rsidR="00E07567" w:rsidRPr="007D1918">
        <w:instrText xml:space="preserve"> \* MERGEFORMAT </w:instrText>
      </w:r>
      <w:r w:rsidR="00BA78E3" w:rsidRPr="007D1918">
        <w:fldChar w:fldCharType="separate"/>
      </w:r>
      <w:r w:rsidR="00001635" w:rsidRPr="007D1918">
        <w:t xml:space="preserve">Table </w:t>
      </w:r>
      <w:r w:rsidR="00001635" w:rsidRPr="007D1918">
        <w:rPr>
          <w:noProof/>
        </w:rPr>
        <w:t>15</w:t>
      </w:r>
      <w:r w:rsidR="00BA78E3" w:rsidRPr="007D1918">
        <w:fldChar w:fldCharType="end"/>
      </w:r>
      <w:r w:rsidRPr="007D1918">
        <w:t>, with a summary of what the scales measure provided in the footnotes.</w:t>
      </w:r>
      <w:r w:rsidR="00FA2516" w:rsidRPr="007D1918">
        <w:t xml:space="preserve"> </w:t>
      </w:r>
    </w:p>
    <w:p w14:paraId="0BA57388" w14:textId="1C4A0087" w:rsidR="00101159" w:rsidRPr="007D1918" w:rsidRDefault="00104C44" w:rsidP="009E3BBF">
      <w:pPr>
        <w:jc w:val="both"/>
      </w:pPr>
      <w:r w:rsidRPr="007D1918">
        <w:t xml:space="preserve">Only one study </w:t>
      </w:r>
      <w:r w:rsidR="0075212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 </w:instrText>
      </w:r>
      <w:r w:rsidR="00C437B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9" w:tooltip="Beecher, 2017 #49" w:history="1">
        <w:r w:rsidR="007D4948" w:rsidRPr="007D1918">
          <w:rPr>
            <w:noProof/>
          </w:rPr>
          <w:t>Beecher, Anderson &amp; Siddiqi 2017</w:t>
        </w:r>
      </w:hyperlink>
      <w:r w:rsidR="0075212A" w:rsidRPr="007D1918">
        <w:rPr>
          <w:noProof/>
        </w:rPr>
        <w:t>)</w:t>
      </w:r>
      <w:r w:rsidR="0075212A" w:rsidRPr="007D1918">
        <w:fldChar w:fldCharType="end"/>
      </w:r>
      <w:r w:rsidRPr="007D1918">
        <w:t xml:space="preserve"> used the MGC scale to measure the change in muscle strength after treatment, as outlined above. The most commonly used scale was the </w:t>
      </w:r>
      <w:r w:rsidR="007E19B5" w:rsidRPr="007D1918">
        <w:t>q</w:t>
      </w:r>
      <w:r w:rsidRPr="007D1918">
        <w:t xml:space="preserve">uantitative </w:t>
      </w:r>
      <w:r w:rsidR="007E19B5" w:rsidRPr="007D1918">
        <w:t xml:space="preserve">myasthenia gravis </w:t>
      </w:r>
      <w:r w:rsidRPr="007D1918">
        <w:t xml:space="preserve">score (QMGS), and its use in clinical trials has been recommended by the MGFA </w:t>
      </w:r>
      <w:r w:rsidR="0075212A" w:rsidRPr="007D1918">
        <w:fldChar w:fldCharType="begin"/>
      </w:r>
      <w:r w:rsidR="0075212A" w:rsidRPr="007D1918">
        <w:instrText xml:space="preserve"> ADDIN EN.CITE &lt;EndNote&gt;&lt;Cite&gt;&lt;Author&gt;Jaretzki&lt;/Author&gt;&lt;Year&gt;2000&lt;/Year&gt;&lt;RecNum&gt;10&lt;/RecNum&gt;&lt;DisplayText&gt;(Jaretzki et al. 2000)&lt;/DisplayText&gt;&lt;record&gt;&lt;rec-number&gt;10&lt;/rec-number&gt;&lt;foreign-keys&gt;&lt;key app="EN" db-id="2aevrx2slsts5ve9sdavatf125dsx0av2v9d" timestamp="1558054083"&gt;10&lt;/key&gt;&lt;/foreign-keys&gt;&lt;ref-type name="Journal Article"&gt;17&lt;/ref-type&gt;&lt;contributors&gt;&lt;authors&gt;&lt;author&gt;Jaretzki, A.&lt;/author&gt;&lt;author&gt;Barohn, R.J.&lt;/author&gt;&lt;author&gt;Ernstoff, R.M.&lt;/author&gt;&lt;author&gt;Kaminski, H.J.&lt;/author&gt;&lt;author&gt;Keesey, J.C.&lt;/author&gt;&lt;author&gt;Penn, A.S.&lt;/author&gt;&lt;author&gt;Sanders, D.B.&lt;/author&gt;&lt;/authors&gt;&lt;/contributors&gt;&lt;titles&gt;&lt;title&gt;Myasthenia gravis: Recommendations for clinical research standards: Task Force of the Medical Scientific Advisory Board of the Myasthenia Gravis Foundation of America&lt;/title&gt;&lt;secondary-title&gt;Neurology&lt;/secondary-title&gt;&lt;/titles&gt;&lt;periodical&gt;&lt;full-title&gt;Neurology&lt;/full-title&gt;&lt;/periodical&gt;&lt;pages&gt;16-23&lt;/pages&gt;&lt;volume&gt;55&lt;/volume&gt;&lt;number&gt;1&lt;/number&gt;&lt;dates&gt;&lt;year&gt;2000&lt;/year&gt;&lt;/dates&gt;&lt;urls&gt;&lt;related-urls&gt;&lt;url&gt;https://n.neurology.org/content/neurology/55/1/16.full.pdf&lt;/url&gt;&lt;url&gt;https://n.neurology.org/content/55/1/16.long&lt;/url&gt;&lt;/related-urls&gt;&lt;/urls&gt;&lt;electronic-resource-num&gt;10.1212/wnl.55.1.16&lt;/electronic-resource-num&gt;&lt;/record&gt;&lt;/Cite&gt;&lt;/EndNote&gt;</w:instrText>
      </w:r>
      <w:r w:rsidR="0075212A" w:rsidRPr="007D1918">
        <w:fldChar w:fldCharType="separate"/>
      </w:r>
      <w:r w:rsidR="0075212A" w:rsidRPr="007D1918">
        <w:rPr>
          <w:noProof/>
        </w:rPr>
        <w:t>(</w:t>
      </w:r>
      <w:hyperlink w:anchor="_ENREF_55" w:tooltip="Jaretzki, 2000 #10" w:history="1">
        <w:r w:rsidR="007D4948" w:rsidRPr="007D1918">
          <w:rPr>
            <w:noProof/>
          </w:rPr>
          <w:t>Jaretzki et al. 2000</w:t>
        </w:r>
      </w:hyperlink>
      <w:r w:rsidR="0075212A" w:rsidRPr="007D1918">
        <w:rPr>
          <w:noProof/>
        </w:rPr>
        <w:t>)</w:t>
      </w:r>
      <w:r w:rsidR="0075212A" w:rsidRPr="007D1918">
        <w:fldChar w:fldCharType="end"/>
      </w:r>
      <w:r w:rsidRPr="007D1918">
        <w:t xml:space="preserve">. The QMGS is a quantitative assessment of sentinel muscle groups that measures the severity of any loss of strength to the eyelids, throat, hands, arms and legs. It provides an objective evaluation of therapy for MG. </w:t>
      </w:r>
    </w:p>
    <w:p w14:paraId="3F79469B" w14:textId="064E70D7" w:rsidR="007E19B5" w:rsidRPr="007D1918" w:rsidRDefault="007E19B5" w:rsidP="009E3BBF">
      <w:pPr>
        <w:jc w:val="both"/>
      </w:pPr>
      <w:r w:rsidRPr="007D1918">
        <w:t xml:space="preserve">The MGC score is used for eligibility in </w:t>
      </w:r>
      <w:r w:rsidRPr="007D1918">
        <w:rPr>
          <w:i/>
        </w:rPr>
        <w:t>Criteria V3</w:t>
      </w:r>
      <w:r w:rsidRPr="007D1918">
        <w:t xml:space="preserve"> and is considered a condensed and less time consuming assessment compared to the QMGS. It uses items routinely measured at a clinical examination. An improvement of </w:t>
      </w:r>
      <w:r w:rsidRPr="007D1918">
        <w:rPr>
          <w:rFonts w:cs="Calibri"/>
        </w:rPr>
        <w:t>≥</w:t>
      </w:r>
      <w:r w:rsidRPr="007D1918">
        <w:t xml:space="preserve"> 3 points on the MGC has been shown to have clinical significance </w:t>
      </w:r>
      <w:r w:rsidRPr="007D1918">
        <w:fldChar w:fldCharType="begin"/>
      </w:r>
      <w:r w:rsidRPr="007D1918">
        <w:instrText xml:space="preserve"> ADDIN EN.CITE &lt;EndNote&gt;&lt;Cite ExcludeYear="1"&gt;&lt;Author&gt;National Blood Authority&lt;/Author&gt;&lt;RecNum&gt;25&lt;/RecNum&gt;&lt;DisplayText&gt;(National Blood Authority)&lt;/DisplayText&gt;&lt;record&gt;&lt;rec-number&gt;25&lt;/rec-number&gt;&lt;foreign-keys&gt;&lt;key app="EN" db-id="2aevrx2slsts5ve9sdavatf125dsx0av2v9d" timestamp="1559712908"&gt;25&lt;/key&gt;&lt;/foreign-keys&gt;&lt;ref-type name="Web Page"&gt;12&lt;/ref-type&gt;&lt;contributors&gt;&lt;authors&gt;&lt;author&gt;National Blood Authority, &lt;/author&gt;&lt;/authors&gt;&lt;secondary-authors&gt;&lt;author&gt;National Blood Authority&lt;/author&gt;&lt;/secondary-authors&gt;&lt;/contributors&gt;&lt;titles&gt;&lt;title&gt;Myasthenia gravis (MG) - Conditions for which IVIg has an established role&lt;/title&gt;&lt;/titles&gt;&lt;number&gt;5 June 2019&lt;/number&gt;&lt;dates&gt;&lt;/dates&gt;&lt;pub-location&gt;Australia&lt;/pub-location&gt;&lt;urls&gt;&lt;related-urls&gt;&lt;url&gt;https://www.blood.gov.au/system/files/Myasthenia-gravis-MG-CV3.pdf&lt;/url&gt;&lt;/related-urls&gt;&lt;/urls&gt;&lt;/record&gt;&lt;/Cite&gt;&lt;/EndNote&gt;</w:instrText>
      </w:r>
      <w:r w:rsidRPr="007D1918">
        <w:fldChar w:fldCharType="separate"/>
      </w:r>
      <w:r w:rsidRPr="007D1918">
        <w:rPr>
          <w:noProof/>
        </w:rPr>
        <w:t>(</w:t>
      </w:r>
      <w:hyperlink w:anchor="_ENREF_70" w:tooltip="National Blood Authority,  #25" w:history="1">
        <w:r w:rsidR="007D4948" w:rsidRPr="007D1918">
          <w:rPr>
            <w:noProof/>
          </w:rPr>
          <w:t>National Blood Authority</w:t>
        </w:r>
      </w:hyperlink>
      <w:r w:rsidRPr="007D1918">
        <w:rPr>
          <w:noProof/>
        </w:rPr>
        <w:t>)</w:t>
      </w:r>
      <w:r w:rsidRPr="007D1918">
        <w:fldChar w:fldCharType="end"/>
      </w:r>
      <w:r w:rsidRPr="007D1918">
        <w:t>.</w:t>
      </w:r>
    </w:p>
    <w:p w14:paraId="6676A1DD" w14:textId="4DA39E12" w:rsidR="00104C44" w:rsidRPr="007D1918" w:rsidRDefault="00104C44" w:rsidP="00104C44">
      <w:pPr>
        <w:jc w:val="both"/>
      </w:pPr>
      <w:r w:rsidRPr="007D1918">
        <w:t xml:space="preserve">The MG activities of daily living (MG-ADL) scale is also a validated scale </w:t>
      </w:r>
      <w:r w:rsidR="0075212A" w:rsidRPr="007D1918">
        <w:fldChar w:fldCharType="begin"/>
      </w:r>
      <w:r w:rsidR="0075212A" w:rsidRPr="007D1918">
        <w:instrText xml:space="preserve"> ADDIN EN.CITE &lt;EndNote&gt;&lt;Cite&gt;&lt;Author&gt;Wolfe&lt;/Author&gt;&lt;Year&gt;1999&lt;/Year&gt;&lt;RecNum&gt;15&lt;/RecNum&gt;&lt;DisplayText&gt;(Wolfe et al. 1999)&lt;/DisplayText&gt;&lt;record&gt;&lt;rec-number&gt;15&lt;/rec-number&gt;&lt;foreign-keys&gt;&lt;key app="EN" db-id="2aevrx2slsts5ve9sdavatf125dsx0av2v9d" timestamp="1558070547"&gt;15&lt;/key&gt;&lt;/foreign-keys&gt;&lt;ref-type name="Journal Article"&gt;17&lt;/ref-type&gt;&lt;contributors&gt;&lt;authors&gt;&lt;author&gt;Wolfe, G.I.&lt;/author&gt;&lt;author&gt;Herbelin, L.&lt;/author&gt;&lt;author&gt;Nations, S.P.&lt;/author&gt;&lt;author&gt;Foster, B.&lt;/author&gt;&lt;author&gt;Bryan, W.W.&lt;/author&gt;&lt;author&gt;Barohn, R.J.&lt;/author&gt;&lt;/authors&gt;&lt;/contributors&gt;&lt;titles&gt;&lt;title&gt;Myasthenia gravis activities of daily living profile&lt;/title&gt;&lt;secondary-title&gt;Neurology&lt;/secondary-title&gt;&lt;/titles&gt;&lt;periodical&gt;&lt;full-title&gt;Neurology&lt;/full-title&gt;&lt;/periodical&gt;&lt;pages&gt;1487-1487&lt;/pages&gt;&lt;volume&gt;52&lt;/volume&gt;&lt;number&gt;7&lt;/number&gt;&lt;dates&gt;&lt;year&gt;1999&lt;/year&gt;&lt;/dates&gt;&lt;urls&gt;&lt;/urls&gt;&lt;electronic-resource-num&gt;10.1212/wnl.52.7.1487&lt;/electronic-resource-num&gt;&lt;/record&gt;&lt;/Cite&gt;&lt;/EndNote&gt;</w:instrText>
      </w:r>
      <w:r w:rsidR="0075212A" w:rsidRPr="007D1918">
        <w:fldChar w:fldCharType="separate"/>
      </w:r>
      <w:r w:rsidR="0075212A" w:rsidRPr="007D1918">
        <w:rPr>
          <w:noProof/>
        </w:rPr>
        <w:t>(</w:t>
      </w:r>
      <w:hyperlink w:anchor="_ENREF_106" w:tooltip="Wolfe, 1999 #15" w:history="1">
        <w:r w:rsidR="007D4948" w:rsidRPr="007D1918">
          <w:rPr>
            <w:noProof/>
          </w:rPr>
          <w:t>Wolfe et al. 1999</w:t>
        </w:r>
      </w:hyperlink>
      <w:r w:rsidR="0075212A" w:rsidRPr="007D1918">
        <w:rPr>
          <w:noProof/>
        </w:rPr>
        <w:t>)</w:t>
      </w:r>
      <w:r w:rsidR="0075212A" w:rsidRPr="007D1918">
        <w:fldChar w:fldCharType="end"/>
      </w:r>
      <w:r w:rsidRPr="007D1918">
        <w:t xml:space="preserve"> that was used in several studies. Most of the other scales used by studies to evaluate muscle strength were validated against either the QMGS or MG-ADL scales.</w:t>
      </w:r>
    </w:p>
    <w:p w14:paraId="702C87DB" w14:textId="481700FD" w:rsidR="00104C44" w:rsidRPr="007D1918" w:rsidRDefault="00104C44" w:rsidP="00104C44">
      <w:pPr>
        <w:jc w:val="both"/>
      </w:pPr>
      <w:r w:rsidRPr="007D1918">
        <w:lastRenderedPageBreak/>
        <w:t>The Myasthenia Gravis Quality-of-</w:t>
      </w:r>
      <w:r w:rsidR="001419D8" w:rsidRPr="007D1918">
        <w:t xml:space="preserve">Life </w:t>
      </w:r>
      <w:r w:rsidR="007E19B5" w:rsidRPr="007D1918">
        <w:t>(MG-Q</w:t>
      </w:r>
      <w:r w:rsidR="001419D8" w:rsidRPr="007D1918">
        <w:t>o</w:t>
      </w:r>
      <w:r w:rsidR="007E19B5" w:rsidRPr="007D1918">
        <w:t xml:space="preserve">L-60) 60-question scale was used to in one RCT </w:t>
      </w:r>
      <w:r w:rsidR="001419D8" w:rsidRPr="007D1918">
        <w:t>that measured QoL</w:t>
      </w:r>
      <w:r w:rsidR="007E19B5" w:rsidRPr="007D1918">
        <w:t xml:space="preserve">. </w:t>
      </w:r>
      <w:r w:rsidR="001419D8" w:rsidRPr="007D1918">
        <w:t xml:space="preserve">This questionnaire was constructed by interviewing neuromuscular experts and MG patients through focus groups. </w:t>
      </w:r>
      <w:r w:rsidR="007E19B5" w:rsidRPr="007D1918">
        <w:t xml:space="preserve">The shorter </w:t>
      </w:r>
      <w:r w:rsidRPr="007D1918">
        <w:t>MG-</w:t>
      </w:r>
      <w:r w:rsidR="001419D8" w:rsidRPr="007D1918">
        <w:t>QoL</w:t>
      </w:r>
      <w:r w:rsidRPr="007D1918">
        <w:t xml:space="preserve">-15 </w:t>
      </w:r>
      <w:r w:rsidR="007E19B5" w:rsidRPr="007D1918">
        <w:t>(</w:t>
      </w:r>
      <w:r w:rsidRPr="007D1918">
        <w:t>15-question scale</w:t>
      </w:r>
      <w:r w:rsidR="007E19B5" w:rsidRPr="007D1918">
        <w:t>)</w:t>
      </w:r>
      <w:r w:rsidRPr="007D1918">
        <w:t xml:space="preserve"> used to measure in </w:t>
      </w:r>
      <w:r w:rsidR="007E19B5" w:rsidRPr="007D1918">
        <w:t xml:space="preserve">other </w:t>
      </w:r>
      <w:r w:rsidRPr="007D1918">
        <w:t>studies reporting this outcome</w:t>
      </w:r>
      <w:r w:rsidR="001419D8" w:rsidRPr="007D1918">
        <w:t xml:space="preserve">, </w:t>
      </w:r>
      <w:r w:rsidRPr="007D1918">
        <w:t xml:space="preserve"> was designed to capture the “role-physical” and “social functioning” subscale of the Short Form Health Survey </w:t>
      </w:r>
      <w:r w:rsidR="0075212A" w:rsidRPr="007D1918">
        <w:fldChar w:fldCharType="begin"/>
      </w:r>
      <w:r w:rsidR="0075212A" w:rsidRPr="007D1918">
        <w:instrText xml:space="preserve"> ADDIN EN.CITE &lt;EndNote&gt;&lt;Cite&gt;&lt;Author&gt;Burns&lt;/Author&gt;&lt;Year&gt;2008&lt;/Year&gt;&lt;RecNum&gt;17&lt;/RecNum&gt;&lt;DisplayText&gt;(Burns et al. 2008)&lt;/DisplayText&gt;&lt;record&gt;&lt;rec-number&gt;17&lt;/rec-number&gt;&lt;foreign-keys&gt;&lt;key app="EN" db-id="2aevrx2slsts5ve9sdavatf125dsx0av2v9d" timestamp="1558070606"&gt;17&lt;/key&gt;&lt;/foreign-keys&gt;&lt;ref-type name="Journal Article"&gt;17&lt;/ref-type&gt;&lt;contributors&gt;&lt;authors&gt;&lt;author&gt;Burns, Ted M.&lt;/author&gt;&lt;author&gt;Conaway, Mark R.&lt;/author&gt;&lt;author&gt;Cutter, Gary R.&lt;/author&gt;&lt;author&gt;Sanders, Donald B.&lt;/author&gt;&lt;author&gt;The Muscle Study Group&lt;/author&gt;&lt;/authors&gt;&lt;/contributors&gt;&lt;titles&gt;&lt;title&gt;Less is more, or almost as much: A 15-item quality-of-life instrument for myasthenia gravis&lt;/title&gt;&lt;secondary-title&gt;Muscle &amp;amp; Nerve&lt;/secondary-title&gt;&lt;/titles&gt;&lt;periodical&gt;&lt;full-title&gt;Muscle &amp;amp; Nerve&lt;/full-title&gt;&lt;/periodical&gt;&lt;pages&gt;957-963&lt;/pages&gt;&lt;volume&gt;38&lt;/volume&gt;&lt;number&gt;2&lt;/number&gt;&lt;dates&gt;&lt;year&gt;2008&lt;/year&gt;&lt;/dates&gt;&lt;isbn&gt;0148-639X&lt;/isbn&gt;&lt;urls&gt;&lt;related-urls&gt;&lt;url&gt;https://onlinelibrary.wiley.com/doi/abs/10.1002/mus.21053&lt;/url&gt;&lt;url&gt;https://onlinelibrary.wiley.com/doi/pdf/10.1002/mus.21053&lt;/url&gt;&lt;/related-urls&gt;&lt;/urls&gt;&lt;electronic-resource-num&gt;10.1002/mus.21053&lt;/electronic-resource-num&gt;&lt;/record&gt;&lt;/Cite&gt;&lt;/EndNote&gt;</w:instrText>
      </w:r>
      <w:r w:rsidR="0075212A" w:rsidRPr="007D1918">
        <w:fldChar w:fldCharType="separate"/>
      </w:r>
      <w:r w:rsidR="0075212A" w:rsidRPr="007D1918">
        <w:rPr>
          <w:noProof/>
        </w:rPr>
        <w:t>(</w:t>
      </w:r>
      <w:hyperlink w:anchor="_ENREF_15" w:tooltip="Burns, 2008 #17" w:history="1">
        <w:r w:rsidR="007D4948" w:rsidRPr="007D1918">
          <w:rPr>
            <w:noProof/>
          </w:rPr>
          <w:t>Burns et al. 2008</w:t>
        </w:r>
      </w:hyperlink>
      <w:r w:rsidR="0075212A" w:rsidRPr="007D1918">
        <w:rPr>
          <w:noProof/>
        </w:rPr>
        <w:t>)</w:t>
      </w:r>
      <w:r w:rsidR="0075212A" w:rsidRPr="007D1918">
        <w:fldChar w:fldCharType="end"/>
      </w:r>
      <w:r w:rsidRPr="007D1918">
        <w:t>.</w:t>
      </w:r>
    </w:p>
    <w:p w14:paraId="465FA063" w14:textId="0FC3E266" w:rsidR="00857A60" w:rsidRPr="007D1918" w:rsidRDefault="00104C44" w:rsidP="00104C44">
      <w:pPr>
        <w:jc w:val="both"/>
      </w:pPr>
      <w:r w:rsidRPr="007D1918">
        <w:t xml:space="preserve">The QMGS was the only linear scale for which a correlation to a categorical scale was reported. QMGS correlated strongly (r=0.54) with the MGFA </w:t>
      </w:r>
      <w:r w:rsidR="0075212A"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75212A" w:rsidRPr="007D1918">
        <w:instrText xml:space="preserve"> ADDIN EN.CITE </w:instrText>
      </w:r>
      <w:r w:rsidR="0075212A" w:rsidRPr="007D1918">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0075212A" w:rsidRPr="007D1918">
        <w:instrText xml:space="preserve"> ADDIN EN.CITE.DATA </w:instrText>
      </w:r>
      <w:r w:rsidR="0075212A" w:rsidRPr="007D1918">
        <w:fldChar w:fldCharType="end"/>
      </w:r>
      <w:r w:rsidR="0075212A" w:rsidRPr="007D1918">
        <w:fldChar w:fldCharType="separate"/>
      </w:r>
      <w:r w:rsidR="0075212A" w:rsidRPr="007D1918">
        <w:rPr>
          <w:noProof/>
        </w:rPr>
        <w:t>(</w:t>
      </w:r>
      <w:hyperlink w:anchor="_ENREF_2" w:tooltip="Alabdali, 2014 #4" w:history="1">
        <w:r w:rsidR="007D4948" w:rsidRPr="007D1918">
          <w:rPr>
            <w:noProof/>
          </w:rPr>
          <w:t>Alabdali et al. 2014</w:t>
        </w:r>
      </w:hyperlink>
      <w:r w:rsidR="0075212A" w:rsidRPr="007D1918">
        <w:rPr>
          <w:noProof/>
        </w:rPr>
        <w:t>)</w:t>
      </w:r>
      <w:r w:rsidR="0075212A" w:rsidRPr="007D1918">
        <w:fldChar w:fldCharType="end"/>
      </w:r>
      <w:r w:rsidRPr="007D1918">
        <w:t xml:space="preserve">, however no details of whether the comparison was using the MGFA scale as a categorical or linear variable was provided. </w:t>
      </w:r>
      <w:r w:rsidR="003736AC" w:rsidRPr="007D1918">
        <w:fldChar w:fldCharType="begin"/>
      </w:r>
      <w:r w:rsidR="003736AC" w:rsidRPr="007D1918">
        <w:instrText xml:space="preserve"> ADDIN EN.CITE &lt;EndNote&gt;&lt;Cite&gt;&lt;Author&gt;Burns&lt;/Author&gt;&lt;Year&gt;2010&lt;/Year&gt;&lt;RecNum&gt;12&lt;/RecNum&gt;&lt;DisplayText&gt;(Burns, Conaway &amp;amp; Sanders 2010)&lt;/DisplayText&gt;&lt;record&gt;&lt;rec-number&gt;12&lt;/rec-number&gt;&lt;foreign-keys&gt;&lt;key app="EN" db-id="2aevrx2slsts5ve9sdavatf125dsx0av2v9d" timestamp="1558056727"&gt;12&lt;/key&gt;&lt;/foreign-keys&gt;&lt;ref-type name="Journal Article"&gt;17&lt;/ref-type&gt;&lt;contributors&gt;&lt;authors&gt;&lt;author&gt;Burns, Ted M.&lt;/author&gt;&lt;author&gt;Conaway, Mark&lt;/author&gt;&lt;author&gt;Sanders, Donald B.&lt;/author&gt;&lt;/authors&gt;&lt;/contributors&gt;&lt;titles&gt;&lt;title&gt;The MG Composite: A valid and reliable outcome measure for myasthenia gravis&lt;/title&gt;&lt;secondary-title&gt;Neurology&lt;/secondary-title&gt;&lt;/titles&gt;&lt;periodical&gt;&lt;full-title&gt;Neurology&lt;/full-title&gt;&lt;/periodical&gt;&lt;pages&gt;1434&lt;/pages&gt;&lt;volume&gt;74&lt;/volume&gt;&lt;number&gt;18&lt;/number&gt;&lt;dates&gt;&lt;year&gt;2010&lt;/year&gt;&lt;/dates&gt;&lt;urls&gt;&lt;related-urls&gt;&lt;url&gt;http://n.neurology.org/content/74/18/1434.abstract&lt;/url&gt;&lt;url&gt;https://www.ncbi.nlm.nih.gov/pmc/articles/PMC3462556/pdf/znl1434.pdf&lt;/url&gt;&lt;/related-urls&gt;&lt;/urls&gt;&lt;electronic-resource-num&gt;10.1212/WNL.0b013e3181dc1b1e&lt;/electronic-resource-num&gt;&lt;/record&gt;&lt;/Cite&gt;&lt;/EndNote&gt;</w:instrText>
      </w:r>
      <w:r w:rsidR="003736AC" w:rsidRPr="007D1918">
        <w:fldChar w:fldCharType="separate"/>
      </w:r>
      <w:r w:rsidR="003736AC" w:rsidRPr="007D1918">
        <w:rPr>
          <w:noProof/>
        </w:rPr>
        <w:t>(</w:t>
      </w:r>
      <w:hyperlink w:anchor="_ENREF_14" w:tooltip="Burns, 2010 #12" w:history="1">
        <w:r w:rsidR="007D4948" w:rsidRPr="007D1918">
          <w:rPr>
            <w:noProof/>
          </w:rPr>
          <w:t>Burns, Conaway &amp; Sanders 2010</w:t>
        </w:r>
      </w:hyperlink>
      <w:r w:rsidR="003736AC" w:rsidRPr="007D1918">
        <w:rPr>
          <w:noProof/>
        </w:rPr>
        <w:t>)</w:t>
      </w:r>
      <w:r w:rsidR="003736AC" w:rsidRPr="007D1918">
        <w:fldChar w:fldCharType="end"/>
      </w:r>
      <w:r w:rsidRPr="007D1918">
        <w:t>.</w:t>
      </w:r>
      <w:r w:rsidR="00185E3B" w:rsidRPr="007D1918">
        <w:t xml:space="preserve"> Correlations between various linear scales for severity and QoL are given in </w:t>
      </w:r>
      <w:r w:rsidR="00185E3B" w:rsidRPr="007D1918">
        <w:fldChar w:fldCharType="begin"/>
      </w:r>
      <w:r w:rsidR="00185E3B" w:rsidRPr="007D1918">
        <w:instrText xml:space="preserve"> REF _Ref8996979 \h </w:instrText>
      </w:r>
      <w:r w:rsidR="00E07567" w:rsidRPr="007D1918">
        <w:instrText xml:space="preserve"> \* MERGEFORMAT </w:instrText>
      </w:r>
      <w:r w:rsidR="00185E3B" w:rsidRPr="007D1918">
        <w:fldChar w:fldCharType="separate"/>
      </w:r>
      <w:r w:rsidR="00001635" w:rsidRPr="007D1918">
        <w:t xml:space="preserve">Table </w:t>
      </w:r>
      <w:r w:rsidR="00001635" w:rsidRPr="007D1918">
        <w:rPr>
          <w:noProof/>
        </w:rPr>
        <w:t>15</w:t>
      </w:r>
      <w:r w:rsidR="00185E3B" w:rsidRPr="007D1918">
        <w:fldChar w:fldCharType="end"/>
      </w:r>
      <w:r w:rsidR="00185E3B" w:rsidRPr="007D1918">
        <w:t xml:space="preserve">. </w:t>
      </w:r>
    </w:p>
    <w:p w14:paraId="6ED88BA9" w14:textId="5D98D7AB" w:rsidR="00104C44" w:rsidRPr="007D1918" w:rsidRDefault="00104C44" w:rsidP="00104C44">
      <w:pPr>
        <w:jc w:val="both"/>
      </w:pPr>
      <w:r w:rsidRPr="007D1918">
        <w:t>(Suggested guidelines for interpreting the strength of the correlation using the Pearson’s correlation coefficient are strong 0.5−1.0, moderate 0.3−0.5 and weak &lt;0.3)</w:t>
      </w:r>
    </w:p>
    <w:p w14:paraId="3A6E8400" w14:textId="77777777" w:rsidR="00104C44" w:rsidRPr="007D1918" w:rsidRDefault="00104C44" w:rsidP="00104C44"/>
    <w:p w14:paraId="3CCAD914" w14:textId="77777777" w:rsidR="00104C44" w:rsidRPr="007D1918" w:rsidRDefault="00104C44" w:rsidP="00104C44">
      <w:pPr>
        <w:sectPr w:rsidR="00104C44" w:rsidRPr="007D1918" w:rsidSect="00945DB8">
          <w:headerReference w:type="even" r:id="rId38"/>
          <w:headerReference w:type="default" r:id="rId39"/>
          <w:headerReference w:type="first" r:id="rId40"/>
          <w:pgSz w:w="11906" w:h="16838"/>
          <w:pgMar w:top="1440" w:right="1440" w:bottom="1440" w:left="1440" w:header="720" w:footer="720" w:gutter="0"/>
          <w:paperSrc w:first="2" w:other="2"/>
          <w:cols w:space="720"/>
        </w:sectPr>
      </w:pPr>
    </w:p>
    <w:p w14:paraId="743D339F" w14:textId="7523C69A" w:rsidR="00E6429D" w:rsidRPr="007D1918" w:rsidRDefault="00E6429D" w:rsidP="00E6429D">
      <w:pPr>
        <w:pStyle w:val="TableHeading"/>
      </w:pPr>
      <w:bookmarkStart w:id="201" w:name="_Ref8980759"/>
      <w:bookmarkStart w:id="202" w:name="_Toc23769500"/>
      <w:r w:rsidRPr="007D1918">
        <w:lastRenderedPageBreak/>
        <w:t xml:space="preserve">Table </w:t>
      </w:r>
      <w:r w:rsidR="005B2B2B" w:rsidRPr="007D1918">
        <w:rPr>
          <w:noProof/>
        </w:rPr>
        <w:fldChar w:fldCharType="begin"/>
      </w:r>
      <w:r w:rsidR="005B2B2B" w:rsidRPr="007D1918">
        <w:rPr>
          <w:noProof/>
        </w:rPr>
        <w:instrText xml:space="preserve"> SEQ Table \* ARABIC </w:instrText>
      </w:r>
      <w:r w:rsidR="005B2B2B" w:rsidRPr="007D1918">
        <w:rPr>
          <w:noProof/>
        </w:rPr>
        <w:fldChar w:fldCharType="separate"/>
      </w:r>
      <w:r w:rsidR="00942701" w:rsidRPr="007D1918">
        <w:rPr>
          <w:noProof/>
        </w:rPr>
        <w:t>13</w:t>
      </w:r>
      <w:r w:rsidR="005B2B2B" w:rsidRPr="007D1918">
        <w:rPr>
          <w:noProof/>
        </w:rPr>
        <w:fldChar w:fldCharType="end"/>
      </w:r>
      <w:bookmarkEnd w:id="201"/>
      <w:r w:rsidRPr="007D1918">
        <w:tab/>
      </w:r>
      <w:r w:rsidR="00C43CAE" w:rsidRPr="007D1918">
        <w:t>T</w:t>
      </w:r>
      <w:r w:rsidRPr="007D1918">
        <w:t>he functional or clinical categorical scales used to assess patients in the included studies</w:t>
      </w:r>
      <w:bookmarkEnd w:id="202"/>
    </w:p>
    <w:tbl>
      <w:tblPr>
        <w:tblStyle w:val="TableGridLight"/>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1 The functional or clinical categorical scales used to assess patients in the included studies"/>
        <w:tblDescription w:val="Description and comparison of the functional/ clinical categorical scales used to assess MG patients (specifically the hisotrical Osserman clinical stage, the modified Osserman classification, MGFA classification, the OOsterhuis grade)"/>
      </w:tblPr>
      <w:tblGrid>
        <w:gridCol w:w="2004"/>
        <w:gridCol w:w="1535"/>
        <w:gridCol w:w="1843"/>
        <w:gridCol w:w="2268"/>
        <w:gridCol w:w="2370"/>
        <w:gridCol w:w="2166"/>
        <w:gridCol w:w="1843"/>
      </w:tblGrid>
      <w:tr w:rsidR="00E6429D" w:rsidRPr="007D1918" w14:paraId="24C9C6DB" w14:textId="77777777" w:rsidTr="00E6429D">
        <w:trPr>
          <w:tblHeader/>
        </w:trPr>
        <w:tc>
          <w:tcPr>
            <w:tcW w:w="2004" w:type="dxa"/>
          </w:tcPr>
          <w:p w14:paraId="667DB0B0" w14:textId="77777777" w:rsidR="00E6429D" w:rsidRPr="007D1918" w:rsidRDefault="00E6429D" w:rsidP="00E6429D">
            <w:pPr>
              <w:spacing w:after="40" w:line="240" w:lineRule="auto"/>
              <w:rPr>
                <w:rFonts w:ascii="Arial Narrow" w:hAnsi="Arial Narrow"/>
                <w:b/>
                <w:sz w:val="20"/>
                <w:szCs w:val="20"/>
              </w:rPr>
            </w:pPr>
            <w:r w:rsidRPr="007D1918">
              <w:rPr>
                <w:rFonts w:ascii="Arial Narrow" w:hAnsi="Arial Narrow"/>
                <w:b/>
                <w:sz w:val="20"/>
                <w:szCs w:val="20"/>
              </w:rPr>
              <w:t>Scale</w:t>
            </w:r>
          </w:p>
        </w:tc>
        <w:tc>
          <w:tcPr>
            <w:tcW w:w="1535" w:type="dxa"/>
          </w:tcPr>
          <w:p w14:paraId="7EF02B32" w14:textId="77777777" w:rsidR="00E6429D" w:rsidRPr="007D1918" w:rsidRDefault="00E6429D" w:rsidP="00E6429D">
            <w:pPr>
              <w:spacing w:after="40" w:line="240" w:lineRule="auto"/>
              <w:rPr>
                <w:rFonts w:ascii="Arial Narrow" w:hAnsi="Arial Narrow"/>
                <w:b/>
                <w:sz w:val="20"/>
                <w:szCs w:val="20"/>
              </w:rPr>
            </w:pPr>
            <w:r w:rsidRPr="007D1918">
              <w:rPr>
                <w:rFonts w:ascii="Arial Narrow" w:hAnsi="Arial Narrow"/>
                <w:b/>
                <w:sz w:val="20"/>
                <w:szCs w:val="20"/>
              </w:rPr>
              <w:t>Remission</w:t>
            </w:r>
          </w:p>
        </w:tc>
        <w:tc>
          <w:tcPr>
            <w:tcW w:w="1843" w:type="dxa"/>
          </w:tcPr>
          <w:p w14:paraId="5EB62682" w14:textId="77777777" w:rsidR="00E6429D" w:rsidRPr="007D1918" w:rsidRDefault="00E6429D" w:rsidP="00E6429D">
            <w:pPr>
              <w:spacing w:after="40" w:line="240" w:lineRule="auto"/>
              <w:rPr>
                <w:rFonts w:ascii="Arial Narrow" w:hAnsi="Arial Narrow"/>
                <w:b/>
                <w:sz w:val="20"/>
                <w:szCs w:val="20"/>
              </w:rPr>
            </w:pPr>
            <w:r w:rsidRPr="007D1918">
              <w:rPr>
                <w:rFonts w:ascii="Arial Narrow" w:hAnsi="Arial Narrow"/>
                <w:b/>
                <w:sz w:val="20"/>
                <w:szCs w:val="20"/>
              </w:rPr>
              <w:t>Ocular disease</w:t>
            </w:r>
          </w:p>
        </w:tc>
        <w:tc>
          <w:tcPr>
            <w:tcW w:w="2268" w:type="dxa"/>
          </w:tcPr>
          <w:p w14:paraId="0CF0211F" w14:textId="77777777" w:rsidR="00E6429D" w:rsidRPr="007D1918" w:rsidRDefault="00E6429D" w:rsidP="00E6429D">
            <w:pPr>
              <w:spacing w:after="40" w:line="240" w:lineRule="auto"/>
              <w:rPr>
                <w:rFonts w:ascii="Arial Narrow" w:hAnsi="Arial Narrow"/>
                <w:b/>
                <w:sz w:val="20"/>
                <w:szCs w:val="20"/>
              </w:rPr>
            </w:pPr>
            <w:r w:rsidRPr="007D1918">
              <w:rPr>
                <w:rFonts w:ascii="Arial Narrow" w:hAnsi="Arial Narrow"/>
                <w:b/>
                <w:sz w:val="20"/>
                <w:szCs w:val="20"/>
              </w:rPr>
              <w:t>Mild disease</w:t>
            </w:r>
          </w:p>
        </w:tc>
        <w:tc>
          <w:tcPr>
            <w:tcW w:w="2370" w:type="dxa"/>
          </w:tcPr>
          <w:p w14:paraId="73335835" w14:textId="77777777" w:rsidR="00E6429D" w:rsidRPr="007D1918" w:rsidRDefault="00E6429D" w:rsidP="00E6429D">
            <w:pPr>
              <w:spacing w:after="40" w:line="240" w:lineRule="auto"/>
              <w:rPr>
                <w:rFonts w:ascii="Arial Narrow" w:hAnsi="Arial Narrow"/>
                <w:b/>
                <w:sz w:val="20"/>
                <w:szCs w:val="20"/>
              </w:rPr>
            </w:pPr>
            <w:r w:rsidRPr="007D1918">
              <w:rPr>
                <w:rFonts w:ascii="Arial Narrow" w:hAnsi="Arial Narrow"/>
                <w:b/>
                <w:sz w:val="20"/>
                <w:szCs w:val="20"/>
              </w:rPr>
              <w:t>Moderate disease</w:t>
            </w:r>
          </w:p>
        </w:tc>
        <w:tc>
          <w:tcPr>
            <w:tcW w:w="2166" w:type="dxa"/>
          </w:tcPr>
          <w:p w14:paraId="13CBE111" w14:textId="77777777" w:rsidR="00E6429D" w:rsidRPr="007D1918" w:rsidRDefault="00E6429D" w:rsidP="00E6429D">
            <w:pPr>
              <w:spacing w:after="40" w:line="240" w:lineRule="auto"/>
              <w:rPr>
                <w:rFonts w:ascii="Arial Narrow" w:hAnsi="Arial Narrow"/>
                <w:b/>
                <w:sz w:val="20"/>
                <w:szCs w:val="20"/>
              </w:rPr>
            </w:pPr>
            <w:r w:rsidRPr="007D1918">
              <w:rPr>
                <w:rFonts w:ascii="Arial Narrow" w:hAnsi="Arial Narrow"/>
                <w:b/>
                <w:sz w:val="20"/>
                <w:szCs w:val="20"/>
              </w:rPr>
              <w:t>Severe disease</w:t>
            </w:r>
          </w:p>
        </w:tc>
        <w:tc>
          <w:tcPr>
            <w:tcW w:w="1843" w:type="dxa"/>
          </w:tcPr>
          <w:p w14:paraId="0F860DBD" w14:textId="77777777" w:rsidR="00E6429D" w:rsidRPr="007D1918" w:rsidRDefault="00E6429D" w:rsidP="00E6429D">
            <w:pPr>
              <w:spacing w:after="40" w:line="240" w:lineRule="auto"/>
              <w:rPr>
                <w:rFonts w:ascii="Arial Narrow" w:hAnsi="Arial Narrow"/>
                <w:b/>
                <w:sz w:val="20"/>
                <w:szCs w:val="20"/>
              </w:rPr>
            </w:pPr>
            <w:r w:rsidRPr="007D1918">
              <w:rPr>
                <w:rFonts w:ascii="Arial Narrow" w:hAnsi="Arial Narrow"/>
                <w:b/>
                <w:sz w:val="20"/>
                <w:szCs w:val="20"/>
              </w:rPr>
              <w:t>Advanced disease</w:t>
            </w:r>
          </w:p>
        </w:tc>
      </w:tr>
      <w:tr w:rsidR="00E6429D" w:rsidRPr="007D1918" w14:paraId="331711D8" w14:textId="77777777" w:rsidTr="00E6429D">
        <w:tc>
          <w:tcPr>
            <w:tcW w:w="2004" w:type="dxa"/>
            <w:tcBorders>
              <w:bottom w:val="single" w:sz="4" w:space="0" w:color="auto"/>
            </w:tcBorders>
          </w:tcPr>
          <w:p w14:paraId="6BDE8610"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Historical Osserman clinical stage</w:t>
            </w:r>
          </w:p>
          <w:p w14:paraId="52CA1117" w14:textId="1F570D53" w:rsidR="00E6429D" w:rsidRPr="007D1918" w:rsidRDefault="0075212A" w:rsidP="007D4948">
            <w:pPr>
              <w:spacing w:after="40" w:line="240" w:lineRule="auto"/>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&lt;EndNote&gt;&lt;Cite&gt;&lt;Author&gt;Osserman&lt;/Author&gt;&lt;Year&gt;1971&lt;/Year&gt;&lt;RecNum&gt;9&lt;/RecNum&gt;&lt;DisplayText&gt;(Osserman &amp;amp; Genkins 1971)&lt;/DisplayText&gt;&lt;record&gt;&lt;rec-number&gt;9&lt;/rec-number&gt;&lt;foreign-keys&gt;&lt;key app="EN" db-id="2aevrx2slsts5ve9sdavatf125dsx0av2v9d" timestamp="1558053938"&gt;9&lt;/key&gt;&lt;/foreign-keys&gt;&lt;ref-type name="Journal Article"&gt;17&lt;/ref-type&gt;&lt;contributors&gt;&lt;authors&gt;&lt;author&gt;Osserman, K. E.&lt;/author&gt;&lt;author&gt;Genkins, G.&lt;/author&gt;&lt;/authors&gt;&lt;/contributors&gt;&lt;titles&gt;&lt;title&gt;Studies in myasthenia gravis: review of a twenty-year experience in over 1200 patients&lt;/title&gt;&lt;secondary-title&gt;Mt Sinai J Med&lt;/secondary-title&gt;&lt;/titles&gt;&lt;periodical&gt;&lt;full-title&gt;Mt Sinai J Med&lt;/full-title&gt;&lt;/periodical&gt;&lt;pages&gt;497-537&lt;/pages&gt;&lt;volume&gt;38&lt;/volume&gt;&lt;number&gt;6&lt;/number&gt;&lt;edition&gt;1971/11/01&lt;/edition&gt;&lt;keywords&gt;&lt;keyword&gt;Adolescent&lt;/keyword&gt;&lt;keyword&gt;Adult&lt;/keyword&gt;&lt;keyword&gt;Age Factors&lt;/keyword&gt;&lt;keyword&gt;Aged&lt;/keyword&gt;&lt;keyword&gt;Ambulatory Care&lt;/keyword&gt;&lt;keyword&gt;Child&lt;/keyword&gt;&lt;keyword&gt;Child, Preschool&lt;/keyword&gt;&lt;keyword&gt;Curare&lt;/keyword&gt;&lt;keyword&gt;Decamethonium Compounds&lt;/keyword&gt;&lt;keyword&gt;Edrophonium&lt;/keyword&gt;&lt;keyword&gt;Female&lt;/keyword&gt;&lt;keyword&gt;Humans&lt;/keyword&gt;&lt;keyword&gt;Male&lt;/keyword&gt;&lt;keyword&gt;Middle Aged&lt;/keyword&gt;&lt;keyword&gt;Myasthenia&lt;/keyword&gt;&lt;keyword&gt;Gravis/classification/complications/diagnosis/epidemiology/genetics/pathology/the&lt;/keyword&gt;&lt;keyword&gt;rapy&lt;/keyword&gt;&lt;keyword&gt;Sex Factors&lt;/keyword&gt;&lt;keyword&gt;Thymectomy&lt;/keyword&gt;&lt;keyword&gt;Thymoma/epidemiology&lt;/keyword&gt;&lt;keyword&gt;Thymus Gland/pathology&lt;/keyword&gt;&lt;keyword&gt;Thymus Neoplasms/epidemiology&lt;/keyword&gt;&lt;/keywords&gt;&lt;dates&gt;&lt;year&gt;1971&lt;/year&gt;&lt;pub-dates&gt;&lt;date&gt;Nov-Dec&lt;/date&gt;&lt;/pub-dates&gt;&lt;/dates&gt;&lt;isbn&gt;0027-2507 (Print)&amp;#xD;0027-2507 (Linking)&lt;/isbn&gt;&lt;accession-num&gt;4941403&lt;/accession-num&gt;&lt;urls&gt;&lt;/urls&gt;&lt;remote-database-provider&gt;NLM&lt;/remote-database-provider&gt;&lt;language&gt;eng&lt;/language&gt;&lt;/record&gt;&lt;/Cite&gt;&lt;/EndNote&gt;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75" w:tooltip="Osserman, 1971 #9" w:history="1">
              <w:r w:rsidR="007D4948" w:rsidRPr="007D1918">
                <w:rPr>
                  <w:rFonts w:ascii="Arial Narrow" w:hAnsi="Arial Narrow"/>
                  <w:noProof/>
                  <w:sz w:val="20"/>
                  <w:szCs w:val="20"/>
                </w:rPr>
                <w:t>Osserman &amp; Genkins 1971</w:t>
              </w:r>
            </w:hyperlink>
            <w:r w:rsidRPr="007D1918">
              <w:rPr>
                <w:rFonts w:ascii="Arial Narrow" w:hAnsi="Arial Narrow"/>
                <w:noProof/>
                <w:sz w:val="20"/>
                <w:szCs w:val="20"/>
              </w:rPr>
              <w:t>)</w:t>
            </w:r>
            <w:r w:rsidRPr="007D1918">
              <w:rPr>
                <w:rFonts w:ascii="Arial Narrow" w:hAnsi="Arial Narrow"/>
                <w:sz w:val="20"/>
                <w:szCs w:val="20"/>
              </w:rPr>
              <w:fldChar w:fldCharType="end"/>
            </w:r>
          </w:p>
        </w:tc>
        <w:tc>
          <w:tcPr>
            <w:tcW w:w="1535" w:type="dxa"/>
            <w:tcBorders>
              <w:bottom w:val="single" w:sz="4" w:space="0" w:color="auto"/>
            </w:tcBorders>
          </w:tcPr>
          <w:p w14:paraId="2CFE942C"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No symptoms</w:t>
            </w:r>
          </w:p>
        </w:tc>
        <w:tc>
          <w:tcPr>
            <w:tcW w:w="1843" w:type="dxa"/>
            <w:tcBorders>
              <w:bottom w:val="single" w:sz="4" w:space="0" w:color="auto"/>
            </w:tcBorders>
          </w:tcPr>
          <w:p w14:paraId="3D871647"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Stage I:</w:t>
            </w:r>
          </w:p>
          <w:p w14:paraId="026E87C6"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 xml:space="preserve">Ocular signs only </w:t>
            </w:r>
          </w:p>
        </w:tc>
        <w:tc>
          <w:tcPr>
            <w:tcW w:w="2268" w:type="dxa"/>
            <w:tcBorders>
              <w:bottom w:val="single" w:sz="4" w:space="0" w:color="auto"/>
            </w:tcBorders>
          </w:tcPr>
          <w:p w14:paraId="655B7292"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Stage IIA:</w:t>
            </w:r>
          </w:p>
          <w:p w14:paraId="00473B5D"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Generalized mild muscle weakness</w:t>
            </w:r>
          </w:p>
        </w:tc>
        <w:tc>
          <w:tcPr>
            <w:tcW w:w="2370" w:type="dxa"/>
            <w:tcBorders>
              <w:bottom w:val="single" w:sz="4" w:space="0" w:color="auto"/>
            </w:tcBorders>
          </w:tcPr>
          <w:p w14:paraId="47BD0D9D"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Stage IIB:</w:t>
            </w:r>
          </w:p>
          <w:p w14:paraId="3AC02E08"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Generalized moderate weakness and/or bulbar dysfunction</w:t>
            </w:r>
          </w:p>
        </w:tc>
        <w:tc>
          <w:tcPr>
            <w:tcW w:w="2166" w:type="dxa"/>
            <w:tcBorders>
              <w:bottom w:val="single" w:sz="4" w:space="0" w:color="auto"/>
            </w:tcBorders>
          </w:tcPr>
          <w:p w14:paraId="79B2C3A4"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Stage III:</w:t>
            </w:r>
          </w:p>
          <w:p w14:paraId="5A086981"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Acute fulminating presentation and/or respiratory dysfunction</w:t>
            </w:r>
          </w:p>
        </w:tc>
        <w:tc>
          <w:tcPr>
            <w:tcW w:w="1843" w:type="dxa"/>
            <w:tcBorders>
              <w:bottom w:val="single" w:sz="4" w:space="0" w:color="auto"/>
            </w:tcBorders>
          </w:tcPr>
          <w:p w14:paraId="0FC46EAE"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Stage IV:</w:t>
            </w:r>
          </w:p>
          <w:p w14:paraId="7DD6C380"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Late generalized weakness</w:t>
            </w:r>
          </w:p>
        </w:tc>
      </w:tr>
      <w:tr w:rsidR="00E6429D" w:rsidRPr="007D1918" w14:paraId="3C528F2C" w14:textId="77777777" w:rsidTr="00E6429D">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004" w:type="dxa"/>
            <w:tcBorders>
              <w:top w:val="single" w:sz="4" w:space="0" w:color="auto"/>
              <w:left w:val="single" w:sz="4" w:space="0" w:color="auto"/>
              <w:bottom w:val="single" w:sz="4" w:space="0" w:color="auto"/>
              <w:right w:val="single" w:sz="4" w:space="0" w:color="auto"/>
            </w:tcBorders>
          </w:tcPr>
          <w:p w14:paraId="17144730"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Modified Osserman classification</w:t>
            </w:r>
          </w:p>
          <w:p w14:paraId="7FFBCD5B" w14:textId="769DD310" w:rsidR="00E6429D" w:rsidRPr="007D1918" w:rsidRDefault="0075212A" w:rsidP="007D4948">
            <w:pPr>
              <w:spacing w:after="40" w:line="240" w:lineRule="auto"/>
              <w:rPr>
                <w:rFonts w:ascii="Arial Narrow" w:hAnsi="Arial Narrow"/>
                <w:sz w:val="20"/>
                <w:szCs w:val="20"/>
              </w:rPr>
            </w:pPr>
            <w:r w:rsidRPr="007D1918">
              <w:rPr>
                <w:rFonts w:ascii="Arial Narrow" w:hAnsi="Arial Narrow"/>
                <w:sz w:val="20"/>
                <w:szCs w:val="20"/>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56" w:tooltip="Jensen, 2008 #13" w:history="1">
              <w:r w:rsidR="007D4948" w:rsidRPr="007D1918">
                <w:rPr>
                  <w:rFonts w:ascii="Arial Narrow" w:hAnsi="Arial Narrow"/>
                  <w:noProof/>
                  <w:sz w:val="20"/>
                  <w:szCs w:val="20"/>
                </w:rPr>
                <w:t>Jensen &amp; Bril 2008</w:t>
              </w:r>
            </w:hyperlink>
            <w:r w:rsidRPr="007D1918">
              <w:rPr>
                <w:rFonts w:ascii="Arial Narrow" w:hAnsi="Arial Narrow"/>
                <w:noProof/>
                <w:sz w:val="20"/>
                <w:szCs w:val="20"/>
              </w:rPr>
              <w:t>)</w:t>
            </w:r>
            <w:r w:rsidRPr="007D1918">
              <w:rPr>
                <w:rFonts w:ascii="Arial Narrow" w:hAnsi="Arial Narrow"/>
                <w:sz w:val="20"/>
                <w:szCs w:val="20"/>
              </w:rPr>
              <w:fldChar w:fldCharType="end"/>
            </w:r>
          </w:p>
        </w:tc>
        <w:tc>
          <w:tcPr>
            <w:tcW w:w="1535" w:type="dxa"/>
            <w:tcBorders>
              <w:top w:val="single" w:sz="4" w:space="0" w:color="auto"/>
              <w:left w:val="single" w:sz="4" w:space="0" w:color="auto"/>
              <w:bottom w:val="single" w:sz="4" w:space="0" w:color="auto"/>
              <w:right w:val="single" w:sz="4" w:space="0" w:color="auto"/>
            </w:tcBorders>
          </w:tcPr>
          <w:p w14:paraId="7A0222DA"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Class 0</w:t>
            </w:r>
          </w:p>
          <w:p w14:paraId="3EFFFCB5" w14:textId="156E35CF"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No symptoms</w:t>
            </w:r>
          </w:p>
        </w:tc>
        <w:tc>
          <w:tcPr>
            <w:tcW w:w="1843" w:type="dxa"/>
            <w:tcBorders>
              <w:top w:val="single" w:sz="4" w:space="0" w:color="auto"/>
              <w:left w:val="single" w:sz="4" w:space="0" w:color="auto"/>
              <w:bottom w:val="single" w:sz="4" w:space="0" w:color="auto"/>
              <w:right w:val="single" w:sz="4" w:space="0" w:color="auto"/>
            </w:tcBorders>
          </w:tcPr>
          <w:p w14:paraId="7D8E7ACD" w14:textId="3E4E666D" w:rsidR="00E6429D" w:rsidRPr="007D1918" w:rsidRDefault="00CE537E" w:rsidP="00E6429D">
            <w:pPr>
              <w:spacing w:after="40" w:line="240" w:lineRule="auto"/>
              <w:rPr>
                <w:rFonts w:ascii="Arial Narrow" w:hAnsi="Arial Narrow"/>
                <w:sz w:val="20"/>
                <w:szCs w:val="20"/>
              </w:rPr>
            </w:pPr>
            <w:r w:rsidRPr="007D1918">
              <w:rPr>
                <w:rFonts w:ascii="Arial Narrow" w:hAnsi="Arial Narrow"/>
                <w:sz w:val="20"/>
                <w:szCs w:val="20"/>
              </w:rPr>
              <w:t>Grade</w:t>
            </w:r>
            <w:r w:rsidR="00E6429D" w:rsidRPr="007D1918">
              <w:rPr>
                <w:rFonts w:ascii="Arial Narrow" w:hAnsi="Arial Narrow"/>
                <w:sz w:val="20"/>
                <w:szCs w:val="20"/>
              </w:rPr>
              <w:t xml:space="preserve"> 1</w:t>
            </w:r>
          </w:p>
          <w:p w14:paraId="5E09FC83"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Ocular signs and symptoms</w:t>
            </w:r>
          </w:p>
        </w:tc>
        <w:tc>
          <w:tcPr>
            <w:tcW w:w="2268" w:type="dxa"/>
            <w:tcBorders>
              <w:top w:val="single" w:sz="4" w:space="0" w:color="auto"/>
              <w:left w:val="single" w:sz="4" w:space="0" w:color="auto"/>
              <w:bottom w:val="single" w:sz="4" w:space="0" w:color="auto"/>
              <w:right w:val="single" w:sz="4" w:space="0" w:color="auto"/>
            </w:tcBorders>
          </w:tcPr>
          <w:p w14:paraId="4029191D" w14:textId="245186A3" w:rsidR="00E6429D" w:rsidRPr="007D1918" w:rsidRDefault="00CE537E" w:rsidP="00E6429D">
            <w:pPr>
              <w:spacing w:after="40" w:line="240" w:lineRule="auto"/>
              <w:rPr>
                <w:rFonts w:ascii="Arial Narrow" w:hAnsi="Arial Narrow"/>
                <w:sz w:val="20"/>
                <w:szCs w:val="20"/>
              </w:rPr>
            </w:pPr>
            <w:r w:rsidRPr="007D1918">
              <w:rPr>
                <w:rFonts w:ascii="Arial Narrow" w:hAnsi="Arial Narrow"/>
                <w:sz w:val="20"/>
                <w:szCs w:val="20"/>
              </w:rPr>
              <w:t>Grade</w:t>
            </w:r>
            <w:r w:rsidR="00E6429D" w:rsidRPr="007D1918">
              <w:rPr>
                <w:rFonts w:ascii="Arial Narrow" w:hAnsi="Arial Narrow"/>
                <w:sz w:val="20"/>
                <w:szCs w:val="20"/>
              </w:rPr>
              <w:t xml:space="preserve"> 2</w:t>
            </w:r>
          </w:p>
          <w:p w14:paraId="03B53A1E"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Mild generalized symptoms</w:t>
            </w:r>
          </w:p>
        </w:tc>
        <w:tc>
          <w:tcPr>
            <w:tcW w:w="2370" w:type="dxa"/>
            <w:tcBorders>
              <w:top w:val="single" w:sz="4" w:space="0" w:color="auto"/>
              <w:left w:val="single" w:sz="4" w:space="0" w:color="auto"/>
              <w:bottom w:val="single" w:sz="4" w:space="0" w:color="auto"/>
              <w:right w:val="single" w:sz="4" w:space="0" w:color="auto"/>
            </w:tcBorders>
          </w:tcPr>
          <w:p w14:paraId="5A833670" w14:textId="5B5335F4" w:rsidR="00E6429D" w:rsidRPr="007D1918" w:rsidRDefault="00CE537E" w:rsidP="00E6429D">
            <w:pPr>
              <w:spacing w:after="40" w:line="240" w:lineRule="auto"/>
              <w:rPr>
                <w:rFonts w:ascii="Arial Narrow" w:hAnsi="Arial Narrow"/>
                <w:sz w:val="20"/>
                <w:szCs w:val="20"/>
              </w:rPr>
            </w:pPr>
            <w:r w:rsidRPr="007D1918">
              <w:rPr>
                <w:rFonts w:ascii="Arial Narrow" w:hAnsi="Arial Narrow"/>
                <w:sz w:val="20"/>
                <w:szCs w:val="20"/>
              </w:rPr>
              <w:t>Grade</w:t>
            </w:r>
            <w:r w:rsidR="00E6429D" w:rsidRPr="007D1918">
              <w:rPr>
                <w:rFonts w:ascii="Arial Narrow" w:hAnsi="Arial Narrow"/>
                <w:sz w:val="20"/>
                <w:szCs w:val="20"/>
              </w:rPr>
              <w:t xml:space="preserve"> 3</w:t>
            </w:r>
          </w:p>
          <w:p w14:paraId="76CC4099"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Moderate generalized symptoms, bulbar dysfunction, or both</w:t>
            </w:r>
          </w:p>
        </w:tc>
        <w:tc>
          <w:tcPr>
            <w:tcW w:w="2166" w:type="dxa"/>
            <w:tcBorders>
              <w:top w:val="single" w:sz="4" w:space="0" w:color="auto"/>
              <w:left w:val="single" w:sz="4" w:space="0" w:color="auto"/>
              <w:bottom w:val="single" w:sz="4" w:space="0" w:color="auto"/>
              <w:right w:val="single" w:sz="4" w:space="0" w:color="auto"/>
            </w:tcBorders>
          </w:tcPr>
          <w:p w14:paraId="14D72C97" w14:textId="184709E1" w:rsidR="00E6429D" w:rsidRPr="007D1918" w:rsidRDefault="00CE537E" w:rsidP="00E6429D">
            <w:pPr>
              <w:spacing w:after="40" w:line="240" w:lineRule="auto"/>
              <w:rPr>
                <w:rFonts w:ascii="Arial Narrow" w:hAnsi="Arial Narrow"/>
                <w:sz w:val="20"/>
                <w:szCs w:val="20"/>
              </w:rPr>
            </w:pPr>
            <w:r w:rsidRPr="007D1918">
              <w:rPr>
                <w:rFonts w:ascii="Arial Narrow" w:hAnsi="Arial Narrow"/>
                <w:sz w:val="20"/>
                <w:szCs w:val="20"/>
              </w:rPr>
              <w:t>Grade</w:t>
            </w:r>
            <w:r w:rsidR="00E6429D" w:rsidRPr="007D1918">
              <w:rPr>
                <w:rFonts w:ascii="Arial Narrow" w:hAnsi="Arial Narrow"/>
                <w:sz w:val="20"/>
                <w:szCs w:val="20"/>
              </w:rPr>
              <w:t xml:space="preserve"> 4</w:t>
            </w:r>
          </w:p>
          <w:p w14:paraId="1DD64BD7"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Severe generalized weakness, respiratory dysfunction, or both</w:t>
            </w:r>
          </w:p>
        </w:tc>
        <w:tc>
          <w:tcPr>
            <w:tcW w:w="1843" w:type="dxa"/>
            <w:tcBorders>
              <w:top w:val="single" w:sz="4" w:space="0" w:color="auto"/>
              <w:left w:val="single" w:sz="4" w:space="0" w:color="auto"/>
              <w:bottom w:val="single" w:sz="4" w:space="0" w:color="auto"/>
              <w:right w:val="single" w:sz="4" w:space="0" w:color="auto"/>
            </w:tcBorders>
          </w:tcPr>
          <w:p w14:paraId="41282650" w14:textId="7852C14C" w:rsidR="00E6429D" w:rsidRPr="007D1918" w:rsidRDefault="00CE537E" w:rsidP="00E6429D">
            <w:pPr>
              <w:spacing w:after="40" w:line="240" w:lineRule="auto"/>
              <w:rPr>
                <w:rFonts w:ascii="Arial Narrow" w:hAnsi="Arial Narrow"/>
                <w:sz w:val="20"/>
                <w:szCs w:val="20"/>
              </w:rPr>
            </w:pPr>
            <w:r w:rsidRPr="007D1918">
              <w:rPr>
                <w:rFonts w:ascii="Arial Narrow" w:hAnsi="Arial Narrow"/>
                <w:sz w:val="20"/>
                <w:szCs w:val="20"/>
              </w:rPr>
              <w:t>-</w:t>
            </w:r>
          </w:p>
        </w:tc>
      </w:tr>
      <w:tr w:rsidR="00E6429D" w:rsidRPr="007D1918" w14:paraId="1184593D" w14:textId="77777777" w:rsidTr="00E6429D">
        <w:tc>
          <w:tcPr>
            <w:tcW w:w="2004" w:type="dxa"/>
            <w:tcBorders>
              <w:top w:val="single" w:sz="4" w:space="0" w:color="auto"/>
            </w:tcBorders>
          </w:tcPr>
          <w:p w14:paraId="464B6918"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MGFA classification</w:t>
            </w:r>
          </w:p>
          <w:p w14:paraId="560B9CF4" w14:textId="27E17830" w:rsidR="00E6429D" w:rsidRPr="007D1918" w:rsidRDefault="0075212A" w:rsidP="007D4948">
            <w:pPr>
              <w:spacing w:after="40" w:line="240" w:lineRule="auto"/>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&lt;EndNote&gt;&lt;Cite&gt;&lt;Author&gt;Jaretzki&lt;/Author&gt;&lt;Year&gt;2000&lt;/Year&gt;&lt;RecNum&gt;10&lt;/RecNum&gt;&lt;DisplayText&gt;(Jaretzki et al. 2000)&lt;/DisplayText&gt;&lt;record&gt;&lt;rec-number&gt;10&lt;/rec-number&gt;&lt;foreign-keys&gt;&lt;key app="EN" db-id="2aevrx2slsts5ve9sdavatf125dsx0av2v9d" timestamp="1558054083"&gt;10&lt;/key&gt;&lt;/foreign-keys&gt;&lt;ref-type name="Journal Article"&gt;17&lt;/ref-type&gt;&lt;contributors&gt;&lt;authors&gt;&lt;author&gt;Jaretzki, A.&lt;/author&gt;&lt;author&gt;Barohn, R.J.&lt;/author&gt;&lt;author&gt;Ernstoff, R.M.&lt;/author&gt;&lt;author&gt;Kaminski, H.J.&lt;/author&gt;&lt;author&gt;Keesey, J.C.&lt;/author&gt;&lt;author&gt;Penn, A.S.&lt;/author&gt;&lt;author&gt;Sanders, D.B.&lt;/author&gt;&lt;/authors&gt;&lt;/contributors&gt;&lt;titles&gt;&lt;title&gt;Myasthenia gravis: Recommendations for clinical research standards: Task Force of the Medical Scientific Advisory Board of the Myasthenia Gravis Foundation of America&lt;/title&gt;&lt;secondary-title&gt;Neurology&lt;/secondary-title&gt;&lt;/titles&gt;&lt;periodical&gt;&lt;full-title&gt;Neurology&lt;/full-title&gt;&lt;/periodical&gt;&lt;pages&gt;16-23&lt;/pages&gt;&lt;volume&gt;55&lt;/volume&gt;&lt;number&gt;1&lt;/number&gt;&lt;dates&gt;&lt;year&gt;2000&lt;/year&gt;&lt;/dates&gt;&lt;urls&gt;&lt;related-urls&gt;&lt;url&gt;https://n.neurology.org/content/neurology/55/1/16.full.pdf&lt;/url&gt;&lt;url&gt;https://n.neurology.org/content/55/1/16.long&lt;/url&gt;&lt;/related-urls&gt;&lt;/urls&gt;&lt;electronic-resource-num&gt;10.1212/wnl.55.1.16&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55" w:tooltip="Jaretzki, 2000 #10" w:history="1">
              <w:r w:rsidR="007D4948" w:rsidRPr="007D1918">
                <w:rPr>
                  <w:rFonts w:ascii="Arial Narrow" w:hAnsi="Arial Narrow"/>
                  <w:noProof/>
                  <w:sz w:val="20"/>
                  <w:szCs w:val="20"/>
                </w:rPr>
                <w:t>Jaretzki et al. 2000</w:t>
              </w:r>
            </w:hyperlink>
            <w:r w:rsidRPr="007D1918">
              <w:rPr>
                <w:rFonts w:ascii="Arial Narrow" w:hAnsi="Arial Narrow"/>
                <w:noProof/>
                <w:sz w:val="20"/>
                <w:szCs w:val="20"/>
              </w:rPr>
              <w:t>)</w:t>
            </w:r>
            <w:r w:rsidRPr="007D1918">
              <w:rPr>
                <w:rFonts w:ascii="Arial Narrow" w:hAnsi="Arial Narrow"/>
                <w:sz w:val="20"/>
                <w:szCs w:val="20"/>
              </w:rPr>
              <w:fldChar w:fldCharType="end"/>
            </w:r>
          </w:p>
        </w:tc>
        <w:tc>
          <w:tcPr>
            <w:tcW w:w="1535" w:type="dxa"/>
            <w:tcBorders>
              <w:top w:val="single" w:sz="4" w:space="0" w:color="auto"/>
            </w:tcBorders>
          </w:tcPr>
          <w:p w14:paraId="16911150"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No symptoms</w:t>
            </w:r>
          </w:p>
        </w:tc>
        <w:tc>
          <w:tcPr>
            <w:tcW w:w="1843" w:type="dxa"/>
            <w:tcBorders>
              <w:top w:val="single" w:sz="4" w:space="0" w:color="auto"/>
            </w:tcBorders>
          </w:tcPr>
          <w:p w14:paraId="5651E747"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Grade I:</w:t>
            </w:r>
          </w:p>
          <w:p w14:paraId="1F2277FF"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Any ocular muscle weakness</w:t>
            </w:r>
          </w:p>
        </w:tc>
        <w:tc>
          <w:tcPr>
            <w:tcW w:w="2268" w:type="dxa"/>
            <w:tcBorders>
              <w:top w:val="single" w:sz="4" w:space="0" w:color="auto"/>
            </w:tcBorders>
          </w:tcPr>
          <w:p w14:paraId="08622604"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Grade II:</w:t>
            </w:r>
          </w:p>
          <w:p w14:paraId="385919A8"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Mild weakness affecting muscles with or without ocular muscle weakness</w:t>
            </w:r>
          </w:p>
        </w:tc>
        <w:tc>
          <w:tcPr>
            <w:tcW w:w="2370" w:type="dxa"/>
            <w:tcBorders>
              <w:top w:val="single" w:sz="4" w:space="0" w:color="auto"/>
            </w:tcBorders>
          </w:tcPr>
          <w:p w14:paraId="4D3A1055"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Grade III:</w:t>
            </w:r>
          </w:p>
          <w:p w14:paraId="47915F99"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Moderate</w:t>
            </w:r>
            <w:r w:rsidRPr="007D1918">
              <w:t xml:space="preserve"> </w:t>
            </w:r>
            <w:r w:rsidRPr="007D1918">
              <w:rPr>
                <w:rFonts w:ascii="Arial Narrow" w:hAnsi="Arial Narrow"/>
                <w:sz w:val="20"/>
                <w:szCs w:val="20"/>
              </w:rPr>
              <w:t>weakness affecting muscles with or without ocular muscle weakness</w:t>
            </w:r>
          </w:p>
        </w:tc>
        <w:tc>
          <w:tcPr>
            <w:tcW w:w="2166" w:type="dxa"/>
            <w:tcBorders>
              <w:top w:val="single" w:sz="4" w:space="0" w:color="auto"/>
            </w:tcBorders>
          </w:tcPr>
          <w:p w14:paraId="2F0D5ECE"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Grade IV:</w:t>
            </w:r>
          </w:p>
          <w:p w14:paraId="2EFABFBB"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Severe</w:t>
            </w:r>
            <w:r w:rsidRPr="007D1918">
              <w:t xml:space="preserve"> </w:t>
            </w:r>
            <w:r w:rsidRPr="007D1918">
              <w:rPr>
                <w:rFonts w:ascii="Arial Narrow" w:hAnsi="Arial Narrow"/>
                <w:sz w:val="20"/>
                <w:szCs w:val="20"/>
              </w:rPr>
              <w:t>weakness affecting muscles with or without ocular muscle weakness</w:t>
            </w:r>
          </w:p>
        </w:tc>
        <w:tc>
          <w:tcPr>
            <w:tcW w:w="1843" w:type="dxa"/>
            <w:tcBorders>
              <w:top w:val="single" w:sz="4" w:space="0" w:color="auto"/>
            </w:tcBorders>
          </w:tcPr>
          <w:p w14:paraId="649A39EE"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Grade V:</w:t>
            </w:r>
          </w:p>
          <w:p w14:paraId="0BAD46DE" w14:textId="77777777" w:rsidR="00E6429D" w:rsidRPr="007D1918" w:rsidRDefault="00E6429D" w:rsidP="00E6429D">
            <w:pPr>
              <w:spacing w:after="40" w:line="240" w:lineRule="auto"/>
              <w:rPr>
                <w:rFonts w:ascii="Arial Narrow" w:hAnsi="Arial Narrow"/>
                <w:sz w:val="20"/>
                <w:szCs w:val="20"/>
              </w:rPr>
            </w:pPr>
            <w:r w:rsidRPr="007D1918">
              <w:rPr>
                <w:rFonts w:ascii="Arial Narrow" w:hAnsi="Arial Narrow"/>
                <w:sz w:val="20"/>
                <w:szCs w:val="20"/>
              </w:rPr>
              <w:t>Defined by intubation, with or without mechanical ventilation and/or a feeding tube</w:t>
            </w:r>
          </w:p>
        </w:tc>
      </w:tr>
      <w:tr w:rsidR="00FD2E83" w:rsidRPr="007D1918" w14:paraId="4696CDC2" w14:textId="77777777" w:rsidTr="00B27C78">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004" w:type="dxa"/>
            <w:tcBorders>
              <w:top w:val="single" w:sz="4" w:space="0" w:color="auto"/>
              <w:left w:val="single" w:sz="4" w:space="0" w:color="auto"/>
              <w:bottom w:val="single" w:sz="4" w:space="0" w:color="auto"/>
              <w:right w:val="single" w:sz="4" w:space="0" w:color="auto"/>
            </w:tcBorders>
          </w:tcPr>
          <w:p w14:paraId="7B3A0C5E" w14:textId="77777777" w:rsidR="00FD2E83" w:rsidRPr="007D1918" w:rsidRDefault="00FD2E83" w:rsidP="00B27C78">
            <w:pPr>
              <w:spacing w:after="40" w:line="240" w:lineRule="auto"/>
              <w:rPr>
                <w:rFonts w:ascii="Arial Narrow" w:hAnsi="Arial Narrow"/>
                <w:sz w:val="20"/>
                <w:szCs w:val="20"/>
              </w:rPr>
            </w:pPr>
            <w:r w:rsidRPr="007D1918">
              <w:rPr>
                <w:rFonts w:ascii="Arial Narrow" w:hAnsi="Arial Narrow"/>
                <w:sz w:val="20"/>
                <w:szCs w:val="20"/>
              </w:rPr>
              <w:t>Oosterhuis grade</w:t>
            </w:r>
          </w:p>
          <w:p w14:paraId="2E5C3398" w14:textId="77777777" w:rsidR="00E842DB"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Functional status</w:t>
            </w:r>
          </w:p>
          <w:p w14:paraId="3AC75745" w14:textId="198CAE4A" w:rsidR="00E842DB" w:rsidRPr="007D1918" w:rsidRDefault="003736AC" w:rsidP="007D4948">
            <w:pPr>
              <w:spacing w:after="40" w:line="240" w:lineRule="auto"/>
              <w:rPr>
                <w:rFonts w:ascii="Arial Narrow" w:hAnsi="Arial Narrow"/>
                <w:sz w:val="20"/>
                <w:szCs w:val="20"/>
              </w:rPr>
            </w:pPr>
            <w:r w:rsidRPr="007D1918">
              <w:rPr>
                <w:rFonts w:ascii="Arial Narrow" w:hAnsi="Arial Narrow"/>
                <w:sz w:val="20"/>
                <w:szCs w:val="20"/>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rFonts w:ascii="Arial Narrow" w:hAnsi="Arial Narrow"/>
                <w:sz w:val="20"/>
                <w:szCs w:val="20"/>
              </w:rPr>
              <w:instrText xml:space="preserve"> ADDIN EN.CITE </w:instrText>
            </w:r>
            <w:r w:rsidR="007F4CDE" w:rsidRPr="007D1918">
              <w:rPr>
                <w:rFonts w:ascii="Arial Narrow" w:hAnsi="Arial Narrow"/>
                <w:sz w:val="20"/>
                <w:szCs w:val="20"/>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rFonts w:ascii="Arial Narrow" w:hAnsi="Arial Narrow"/>
                <w:sz w:val="20"/>
                <w:szCs w:val="20"/>
              </w:rPr>
              <w:instrText xml:space="preserve"> ADDIN EN.CITE.DATA </w:instrText>
            </w:r>
            <w:r w:rsidR="007F4CDE" w:rsidRPr="007D1918">
              <w:rPr>
                <w:rFonts w:ascii="Arial Narrow" w:hAnsi="Arial Narrow"/>
                <w:sz w:val="20"/>
                <w:szCs w:val="20"/>
              </w:rPr>
            </w:r>
            <w:r w:rsidR="007F4CDE"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83" w:tooltip="Rønager, 2001 #41" w:history="1">
              <w:r w:rsidR="007D4948" w:rsidRPr="007D1918">
                <w:rPr>
                  <w:rFonts w:ascii="Arial Narrow" w:hAnsi="Arial Narrow"/>
                  <w:noProof/>
                  <w:sz w:val="20"/>
                  <w:szCs w:val="20"/>
                </w:rPr>
                <w:t>Rønager et al. 2001</w:t>
              </w:r>
            </w:hyperlink>
            <w:r w:rsidRPr="007D1918">
              <w:rPr>
                <w:rFonts w:ascii="Arial Narrow" w:hAnsi="Arial Narrow"/>
                <w:noProof/>
                <w:sz w:val="20"/>
                <w:szCs w:val="20"/>
              </w:rPr>
              <w:t>)</w:t>
            </w:r>
            <w:r w:rsidRPr="007D1918">
              <w:rPr>
                <w:rFonts w:ascii="Arial Narrow" w:hAnsi="Arial Narrow"/>
                <w:sz w:val="20"/>
                <w:szCs w:val="20"/>
              </w:rPr>
              <w:fldChar w:fldCharType="end"/>
            </w:r>
          </w:p>
        </w:tc>
        <w:tc>
          <w:tcPr>
            <w:tcW w:w="1535" w:type="dxa"/>
            <w:tcBorders>
              <w:top w:val="single" w:sz="4" w:space="0" w:color="auto"/>
              <w:left w:val="single" w:sz="4" w:space="0" w:color="auto"/>
              <w:bottom w:val="single" w:sz="4" w:space="0" w:color="auto"/>
              <w:right w:val="single" w:sz="4" w:space="0" w:color="auto"/>
            </w:tcBorders>
          </w:tcPr>
          <w:p w14:paraId="568BE407" w14:textId="77777777" w:rsidR="00FD2E83"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Grade 1</w:t>
            </w:r>
          </w:p>
          <w:p w14:paraId="0C6BBA60" w14:textId="11061CF9" w:rsidR="00E842DB"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Asymptomatic</w:t>
            </w:r>
          </w:p>
        </w:tc>
        <w:tc>
          <w:tcPr>
            <w:tcW w:w="1843" w:type="dxa"/>
            <w:tcBorders>
              <w:top w:val="single" w:sz="4" w:space="0" w:color="auto"/>
              <w:left w:val="single" w:sz="4" w:space="0" w:color="auto"/>
              <w:bottom w:val="single" w:sz="4" w:space="0" w:color="auto"/>
              <w:right w:val="single" w:sz="4" w:space="0" w:color="auto"/>
            </w:tcBorders>
          </w:tcPr>
          <w:p w14:paraId="1BD9B338" w14:textId="42F32E4F" w:rsidR="00FD2E83" w:rsidRPr="007D1918" w:rsidRDefault="00D968FE" w:rsidP="00B27C78">
            <w:pPr>
              <w:spacing w:after="40" w:line="240" w:lineRule="auto"/>
              <w:rPr>
                <w:rFonts w:ascii="Arial Narrow" w:hAnsi="Arial Narrow"/>
                <w:sz w:val="20"/>
                <w:szCs w:val="20"/>
              </w:rPr>
            </w:pPr>
            <w:r w:rsidRPr="007D1918">
              <w:rPr>
                <w:rFonts w:ascii="Arial Narrow" w:hAnsi="Arial Narrow"/>
                <w:sz w:val="20"/>
                <w:szCs w:val="20"/>
              </w:rPr>
              <w:t>-</w:t>
            </w:r>
          </w:p>
        </w:tc>
        <w:tc>
          <w:tcPr>
            <w:tcW w:w="2268" w:type="dxa"/>
            <w:tcBorders>
              <w:top w:val="single" w:sz="4" w:space="0" w:color="auto"/>
              <w:left w:val="single" w:sz="4" w:space="0" w:color="auto"/>
              <w:bottom w:val="single" w:sz="4" w:space="0" w:color="auto"/>
              <w:right w:val="single" w:sz="4" w:space="0" w:color="auto"/>
            </w:tcBorders>
          </w:tcPr>
          <w:p w14:paraId="7AEABE11" w14:textId="77777777" w:rsidR="00FD2E83"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Grade 2</w:t>
            </w:r>
          </w:p>
          <w:p w14:paraId="09BD239E" w14:textId="4C0C334E" w:rsidR="00E842DB"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Minor symptoms with repetitive exercise</w:t>
            </w:r>
          </w:p>
        </w:tc>
        <w:tc>
          <w:tcPr>
            <w:tcW w:w="2370" w:type="dxa"/>
            <w:tcBorders>
              <w:top w:val="single" w:sz="4" w:space="0" w:color="auto"/>
              <w:left w:val="single" w:sz="4" w:space="0" w:color="auto"/>
              <w:bottom w:val="single" w:sz="4" w:space="0" w:color="auto"/>
              <w:right w:val="single" w:sz="4" w:space="0" w:color="auto"/>
            </w:tcBorders>
          </w:tcPr>
          <w:p w14:paraId="0B191D9E" w14:textId="77777777" w:rsidR="00FD2E83"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Grade 3</w:t>
            </w:r>
          </w:p>
          <w:p w14:paraId="380C27AF" w14:textId="472E8C2A" w:rsidR="00E842DB" w:rsidRPr="007D1918" w:rsidRDefault="00E842DB" w:rsidP="00E842DB">
            <w:pPr>
              <w:spacing w:after="40" w:line="240" w:lineRule="auto"/>
              <w:rPr>
                <w:rFonts w:ascii="Arial Narrow" w:hAnsi="Arial Narrow"/>
                <w:sz w:val="20"/>
                <w:szCs w:val="20"/>
              </w:rPr>
            </w:pPr>
            <w:r w:rsidRPr="007D1918">
              <w:rPr>
                <w:rFonts w:ascii="Arial Narrow" w:hAnsi="Arial Narrow"/>
                <w:sz w:val="20"/>
                <w:szCs w:val="20"/>
              </w:rPr>
              <w:t>Mildly disabled (symptoms readily apparent, with restrictions of more demanding exercise)</w:t>
            </w:r>
          </w:p>
        </w:tc>
        <w:tc>
          <w:tcPr>
            <w:tcW w:w="2166" w:type="dxa"/>
            <w:tcBorders>
              <w:top w:val="single" w:sz="4" w:space="0" w:color="auto"/>
              <w:left w:val="single" w:sz="4" w:space="0" w:color="auto"/>
              <w:bottom w:val="single" w:sz="4" w:space="0" w:color="auto"/>
              <w:right w:val="single" w:sz="4" w:space="0" w:color="auto"/>
            </w:tcBorders>
          </w:tcPr>
          <w:p w14:paraId="1DEB6449" w14:textId="77777777" w:rsidR="00FD2E83"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Grade 4</w:t>
            </w:r>
          </w:p>
          <w:p w14:paraId="455B42C2" w14:textId="5C244F51" w:rsidR="00E842DB"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Patients restricted in daily activities and symptomatic at rest</w:t>
            </w:r>
          </w:p>
        </w:tc>
        <w:tc>
          <w:tcPr>
            <w:tcW w:w="1843" w:type="dxa"/>
            <w:tcBorders>
              <w:top w:val="single" w:sz="4" w:space="0" w:color="auto"/>
              <w:left w:val="single" w:sz="4" w:space="0" w:color="auto"/>
              <w:bottom w:val="single" w:sz="4" w:space="0" w:color="auto"/>
              <w:right w:val="single" w:sz="4" w:space="0" w:color="auto"/>
            </w:tcBorders>
          </w:tcPr>
          <w:p w14:paraId="56D7A035" w14:textId="77777777" w:rsidR="00FD2E83"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Grade 5</w:t>
            </w:r>
          </w:p>
          <w:p w14:paraId="591CF2AD" w14:textId="34655435" w:rsidR="00E842DB" w:rsidRPr="007D1918" w:rsidRDefault="00E842DB" w:rsidP="00B27C78">
            <w:pPr>
              <w:spacing w:after="40" w:line="240" w:lineRule="auto"/>
              <w:rPr>
                <w:rFonts w:ascii="Arial Narrow" w:hAnsi="Arial Narrow"/>
                <w:sz w:val="20"/>
                <w:szCs w:val="20"/>
              </w:rPr>
            </w:pPr>
            <w:r w:rsidRPr="007D1918">
              <w:rPr>
                <w:rFonts w:ascii="Arial Narrow" w:hAnsi="Arial Narrow"/>
                <w:sz w:val="20"/>
                <w:szCs w:val="20"/>
              </w:rPr>
              <w:t>Completely dependent on skilled care for support</w:t>
            </w:r>
          </w:p>
        </w:tc>
      </w:tr>
    </w:tbl>
    <w:p w14:paraId="6BAADA9B" w14:textId="77777777" w:rsidR="00BA78E3" w:rsidRPr="007D1918" w:rsidRDefault="00BA78E3" w:rsidP="00D968FE">
      <w:pPr>
        <w:spacing w:before="240"/>
      </w:pPr>
    </w:p>
    <w:p w14:paraId="10A12083" w14:textId="77777777" w:rsidR="00BA78E3" w:rsidRPr="007D1918" w:rsidRDefault="00BA78E3" w:rsidP="00BA78E3">
      <w:pPr>
        <w:pStyle w:val="TableHeading"/>
      </w:pPr>
      <w:bookmarkStart w:id="203" w:name="_Ref9345506"/>
      <w:bookmarkStart w:id="204" w:name="_Toc23769501"/>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14</w:t>
      </w:r>
      <w:r w:rsidRPr="007D1918">
        <w:rPr>
          <w:noProof/>
        </w:rPr>
        <w:fldChar w:fldCharType="end"/>
      </w:r>
      <w:bookmarkEnd w:id="203"/>
      <w:r w:rsidRPr="007D1918">
        <w:tab/>
        <w:t>The categorical scales used to evaluate treatment effectiveness</w:t>
      </w:r>
      <w:bookmarkEnd w:id="204"/>
    </w:p>
    <w:tbl>
      <w:tblPr>
        <w:tblStyle w:val="TableGridLight"/>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2 The categorical scales used to evaluate treatment effectiveness"/>
        <w:tblDescription w:val="Description and comparison of the categorical scales used to evaluate MG treatment effectiveness (specifically MGFA-PIS, relative MGAS)"/>
      </w:tblPr>
      <w:tblGrid>
        <w:gridCol w:w="1271"/>
        <w:gridCol w:w="3544"/>
        <w:gridCol w:w="3118"/>
        <w:gridCol w:w="1772"/>
        <w:gridCol w:w="1772"/>
        <w:gridCol w:w="2552"/>
      </w:tblGrid>
      <w:tr w:rsidR="00BA78E3" w:rsidRPr="007D1918" w14:paraId="4B84F546" w14:textId="77777777" w:rsidTr="00EC62F5">
        <w:trPr>
          <w:tblHeader/>
        </w:trPr>
        <w:tc>
          <w:tcPr>
            <w:tcW w:w="1271" w:type="dxa"/>
          </w:tcPr>
          <w:p w14:paraId="106906D4" w14:textId="77777777" w:rsidR="00BA78E3" w:rsidRPr="007D1918" w:rsidRDefault="00BA78E3" w:rsidP="00EC62F5">
            <w:pPr>
              <w:spacing w:after="40" w:line="240" w:lineRule="auto"/>
              <w:rPr>
                <w:rFonts w:ascii="Arial Narrow" w:hAnsi="Arial Narrow"/>
                <w:b/>
                <w:sz w:val="20"/>
                <w:szCs w:val="20"/>
              </w:rPr>
            </w:pPr>
            <w:r w:rsidRPr="007D1918">
              <w:rPr>
                <w:rFonts w:ascii="Arial Narrow" w:hAnsi="Arial Narrow"/>
                <w:b/>
                <w:sz w:val="20"/>
                <w:szCs w:val="20"/>
              </w:rPr>
              <w:t>Scale</w:t>
            </w:r>
          </w:p>
        </w:tc>
        <w:tc>
          <w:tcPr>
            <w:tcW w:w="3544" w:type="dxa"/>
          </w:tcPr>
          <w:p w14:paraId="2837A033" w14:textId="77777777" w:rsidR="00BA78E3" w:rsidRPr="007D1918" w:rsidRDefault="00BA78E3" w:rsidP="00EC62F5">
            <w:pPr>
              <w:spacing w:after="40" w:line="240" w:lineRule="auto"/>
              <w:rPr>
                <w:rFonts w:ascii="Arial Narrow" w:hAnsi="Arial Narrow"/>
                <w:b/>
                <w:sz w:val="20"/>
                <w:szCs w:val="20"/>
              </w:rPr>
            </w:pPr>
            <w:r w:rsidRPr="007D1918">
              <w:rPr>
                <w:rFonts w:ascii="Arial Narrow" w:hAnsi="Arial Narrow"/>
                <w:b/>
                <w:sz w:val="20"/>
                <w:szCs w:val="20"/>
              </w:rPr>
              <w:t>Remission</w:t>
            </w:r>
          </w:p>
        </w:tc>
        <w:tc>
          <w:tcPr>
            <w:tcW w:w="3118" w:type="dxa"/>
          </w:tcPr>
          <w:p w14:paraId="79098C4E" w14:textId="77777777" w:rsidR="00BA78E3" w:rsidRPr="007D1918" w:rsidRDefault="00BA78E3" w:rsidP="00EC62F5">
            <w:pPr>
              <w:spacing w:after="40" w:line="240" w:lineRule="auto"/>
              <w:rPr>
                <w:rFonts w:ascii="Arial Narrow" w:hAnsi="Arial Narrow"/>
                <w:b/>
                <w:sz w:val="20"/>
                <w:szCs w:val="20"/>
              </w:rPr>
            </w:pPr>
            <w:r w:rsidRPr="007D1918">
              <w:rPr>
                <w:rFonts w:ascii="Arial Narrow" w:hAnsi="Arial Narrow"/>
                <w:b/>
                <w:sz w:val="20"/>
                <w:szCs w:val="20"/>
              </w:rPr>
              <w:t>Improved</w:t>
            </w:r>
          </w:p>
        </w:tc>
        <w:tc>
          <w:tcPr>
            <w:tcW w:w="1772" w:type="dxa"/>
          </w:tcPr>
          <w:p w14:paraId="7E588CFC" w14:textId="77777777" w:rsidR="00BA78E3" w:rsidRPr="007D1918" w:rsidRDefault="00BA78E3" w:rsidP="00EC62F5">
            <w:pPr>
              <w:spacing w:after="40" w:line="240" w:lineRule="auto"/>
              <w:rPr>
                <w:rFonts w:ascii="Arial Narrow" w:hAnsi="Arial Narrow"/>
                <w:b/>
                <w:sz w:val="20"/>
                <w:szCs w:val="20"/>
              </w:rPr>
            </w:pPr>
            <w:r w:rsidRPr="007D1918">
              <w:rPr>
                <w:rFonts w:ascii="Arial Narrow" w:hAnsi="Arial Narrow"/>
                <w:b/>
                <w:sz w:val="20"/>
                <w:szCs w:val="20"/>
              </w:rPr>
              <w:t>Unchanged</w:t>
            </w:r>
          </w:p>
        </w:tc>
        <w:tc>
          <w:tcPr>
            <w:tcW w:w="1772" w:type="dxa"/>
          </w:tcPr>
          <w:p w14:paraId="26259B1B" w14:textId="77777777" w:rsidR="00BA78E3" w:rsidRPr="007D1918" w:rsidRDefault="00BA78E3" w:rsidP="00EC62F5">
            <w:pPr>
              <w:spacing w:after="40" w:line="240" w:lineRule="auto"/>
              <w:rPr>
                <w:rFonts w:ascii="Arial Narrow" w:hAnsi="Arial Narrow"/>
                <w:b/>
                <w:sz w:val="20"/>
                <w:szCs w:val="20"/>
              </w:rPr>
            </w:pPr>
            <w:r w:rsidRPr="007D1918">
              <w:rPr>
                <w:rFonts w:ascii="Arial Narrow" w:hAnsi="Arial Narrow"/>
                <w:b/>
                <w:sz w:val="20"/>
                <w:szCs w:val="20"/>
              </w:rPr>
              <w:t>Worse</w:t>
            </w:r>
          </w:p>
        </w:tc>
        <w:tc>
          <w:tcPr>
            <w:tcW w:w="2552" w:type="dxa"/>
          </w:tcPr>
          <w:p w14:paraId="0BBC2285" w14:textId="77777777" w:rsidR="00BA78E3" w:rsidRPr="007D1918" w:rsidRDefault="00BA78E3" w:rsidP="00EC62F5">
            <w:pPr>
              <w:spacing w:after="40" w:line="240" w:lineRule="auto"/>
              <w:rPr>
                <w:rFonts w:ascii="Arial Narrow" w:hAnsi="Arial Narrow"/>
                <w:b/>
                <w:sz w:val="20"/>
                <w:szCs w:val="20"/>
              </w:rPr>
            </w:pPr>
            <w:r w:rsidRPr="007D1918">
              <w:rPr>
                <w:rFonts w:ascii="Arial Narrow" w:hAnsi="Arial Narrow"/>
                <w:b/>
                <w:sz w:val="20"/>
                <w:szCs w:val="20"/>
              </w:rPr>
              <w:t>Exacerbated</w:t>
            </w:r>
          </w:p>
        </w:tc>
      </w:tr>
      <w:tr w:rsidR="00BA78E3" w:rsidRPr="007D1918" w14:paraId="4F6F2D3C" w14:textId="77777777" w:rsidTr="00EC62F5">
        <w:tc>
          <w:tcPr>
            <w:tcW w:w="1271" w:type="dxa"/>
          </w:tcPr>
          <w:p w14:paraId="46C257AB"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MGFA-PIS</w:t>
            </w:r>
          </w:p>
        </w:tc>
        <w:tc>
          <w:tcPr>
            <w:tcW w:w="3544" w:type="dxa"/>
          </w:tcPr>
          <w:p w14:paraId="28AA21C6"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Complete Stable Remission:</w:t>
            </w:r>
          </w:p>
          <w:p w14:paraId="21DE7CED"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 xml:space="preserve">The patient has no symptoms and has received no therapy for MG for at least 1 year </w:t>
            </w:r>
          </w:p>
          <w:p w14:paraId="6F6B5B53"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Pharmacologic Remission:</w:t>
            </w:r>
          </w:p>
          <w:p w14:paraId="049B6715"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The patient has no symptoms but continues to take some form of therapy for MG</w:t>
            </w:r>
          </w:p>
          <w:p w14:paraId="58CE41B5"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Minimal Manifestations:</w:t>
            </w:r>
          </w:p>
          <w:p w14:paraId="7BBB959E"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lastRenderedPageBreak/>
              <w:t>The patient has no symptoms of functional limitations but has some weakness on examination of some muscles.</w:t>
            </w:r>
          </w:p>
        </w:tc>
        <w:tc>
          <w:tcPr>
            <w:tcW w:w="3118" w:type="dxa"/>
          </w:tcPr>
          <w:p w14:paraId="6667B892"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lastRenderedPageBreak/>
              <w:t>Improved</w:t>
            </w:r>
          </w:p>
          <w:p w14:paraId="3420A1B7"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A substantial decrease in pre-treatment clinical manifestations or a sustained substantial reduction in MG medications</w:t>
            </w:r>
          </w:p>
        </w:tc>
        <w:tc>
          <w:tcPr>
            <w:tcW w:w="1772" w:type="dxa"/>
          </w:tcPr>
          <w:p w14:paraId="62E8B9CD"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Unchanged</w:t>
            </w:r>
          </w:p>
          <w:p w14:paraId="152CE2E3"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No substantial change in pre-treatment clinical manifestations or reduction in MG medications</w:t>
            </w:r>
          </w:p>
        </w:tc>
        <w:tc>
          <w:tcPr>
            <w:tcW w:w="1772" w:type="dxa"/>
          </w:tcPr>
          <w:p w14:paraId="7608EA24"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Worse:</w:t>
            </w:r>
          </w:p>
          <w:p w14:paraId="4F0B5273"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A substantial increase in pre-treatment clinical manifestations or a substantial increase in MG medication</w:t>
            </w:r>
          </w:p>
        </w:tc>
        <w:tc>
          <w:tcPr>
            <w:tcW w:w="2552" w:type="dxa"/>
          </w:tcPr>
          <w:p w14:paraId="0066EADC"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Exacerbation:</w:t>
            </w:r>
          </w:p>
          <w:p w14:paraId="074CAEAD"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Patients who have subsequently developed clinical findings greater than permitted in the study research protocol</w:t>
            </w:r>
          </w:p>
          <w:p w14:paraId="23D5D188"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Died of MG:</w:t>
            </w:r>
          </w:p>
          <w:p w14:paraId="5CD4167A"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lastRenderedPageBreak/>
              <w:t>Patients who died of MG, of complications of MG therapy, or within 30 days after thymectomy.</w:t>
            </w:r>
          </w:p>
        </w:tc>
      </w:tr>
      <w:tr w:rsidR="00BA78E3" w:rsidRPr="007D1918" w14:paraId="0D6EAD78" w14:textId="77777777" w:rsidTr="00EC62F5">
        <w:tc>
          <w:tcPr>
            <w:tcW w:w="1271" w:type="dxa"/>
            <w:tcBorders>
              <w:top w:val="single" w:sz="4" w:space="0" w:color="auto"/>
              <w:left w:val="single" w:sz="4" w:space="0" w:color="auto"/>
              <w:bottom w:val="single" w:sz="4" w:space="0" w:color="auto"/>
              <w:right w:val="single" w:sz="4" w:space="0" w:color="auto"/>
            </w:tcBorders>
          </w:tcPr>
          <w:p w14:paraId="77272FF5"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lastRenderedPageBreak/>
              <w:t>Relative MGAS</w:t>
            </w:r>
          </w:p>
        </w:tc>
        <w:tc>
          <w:tcPr>
            <w:tcW w:w="3544" w:type="dxa"/>
            <w:tcBorders>
              <w:top w:val="single" w:sz="4" w:space="0" w:color="auto"/>
              <w:left w:val="single" w:sz="4" w:space="0" w:color="auto"/>
              <w:bottom w:val="single" w:sz="4" w:space="0" w:color="auto"/>
              <w:right w:val="single" w:sz="4" w:space="0" w:color="auto"/>
            </w:tcBorders>
          </w:tcPr>
          <w:p w14:paraId="3567D00D"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Score = 0.95:</w:t>
            </w:r>
          </w:p>
          <w:p w14:paraId="6AA55AE9"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The patient has recovered</w:t>
            </w:r>
          </w:p>
        </w:tc>
        <w:tc>
          <w:tcPr>
            <w:tcW w:w="3118" w:type="dxa"/>
            <w:tcBorders>
              <w:bottom w:val="single" w:sz="4" w:space="0" w:color="auto"/>
            </w:tcBorders>
          </w:tcPr>
          <w:p w14:paraId="649D94D4"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Score = 0.80− 0.95:</w:t>
            </w:r>
          </w:p>
          <w:p w14:paraId="0C637058"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The patients are basically cured</w:t>
            </w:r>
          </w:p>
          <w:p w14:paraId="5DD9A5F3"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Score = 0.50−0.79:</w:t>
            </w:r>
          </w:p>
          <w:p w14:paraId="01C04E26"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There are evident effects</w:t>
            </w:r>
          </w:p>
          <w:p w14:paraId="4982A660"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Score = 0.25−0.49:</w:t>
            </w:r>
          </w:p>
          <w:p w14:paraId="34358EEA"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The conditions of patients are improved</w:t>
            </w:r>
          </w:p>
        </w:tc>
        <w:tc>
          <w:tcPr>
            <w:tcW w:w="1772" w:type="dxa"/>
            <w:tcBorders>
              <w:bottom w:val="single" w:sz="4" w:space="0" w:color="auto"/>
            </w:tcBorders>
          </w:tcPr>
          <w:p w14:paraId="05B86FEB"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Score &lt; 0.25:</w:t>
            </w:r>
          </w:p>
          <w:p w14:paraId="0FAA33BC"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No treatment effect.</w:t>
            </w:r>
          </w:p>
        </w:tc>
        <w:tc>
          <w:tcPr>
            <w:tcW w:w="1772" w:type="dxa"/>
            <w:tcBorders>
              <w:bottom w:val="single" w:sz="4" w:space="0" w:color="auto"/>
            </w:tcBorders>
          </w:tcPr>
          <w:p w14:paraId="0F8F70F7"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w:t>
            </w:r>
          </w:p>
        </w:tc>
        <w:tc>
          <w:tcPr>
            <w:tcW w:w="2552" w:type="dxa"/>
            <w:tcBorders>
              <w:bottom w:val="single" w:sz="4" w:space="0" w:color="auto"/>
            </w:tcBorders>
          </w:tcPr>
          <w:p w14:paraId="0CED7A04" w14:textId="77777777" w:rsidR="00BA78E3" w:rsidRPr="007D1918" w:rsidRDefault="00BA78E3" w:rsidP="00EC62F5">
            <w:pPr>
              <w:spacing w:after="40" w:line="240" w:lineRule="auto"/>
              <w:rPr>
                <w:rFonts w:ascii="Arial Narrow" w:hAnsi="Arial Narrow"/>
                <w:sz w:val="20"/>
                <w:szCs w:val="20"/>
              </w:rPr>
            </w:pPr>
            <w:r w:rsidRPr="007D1918">
              <w:rPr>
                <w:rFonts w:ascii="Arial Narrow" w:hAnsi="Arial Narrow"/>
                <w:sz w:val="20"/>
                <w:szCs w:val="20"/>
              </w:rPr>
              <w:t>-</w:t>
            </w:r>
          </w:p>
        </w:tc>
      </w:tr>
    </w:tbl>
    <w:p w14:paraId="6A01890B" w14:textId="0C52C577" w:rsidR="00BA78E3" w:rsidRPr="007D1918" w:rsidRDefault="00BA78E3" w:rsidP="00BA78E3">
      <w:pPr>
        <w:pStyle w:val="Tablenotes0"/>
      </w:pPr>
      <w:r w:rsidRPr="007D1918">
        <w:t xml:space="preserve">MGFA-PIS = Myasthenia Gravis Foundation of America post-intervention status </w:t>
      </w:r>
      <w:r w:rsidRPr="007D1918">
        <w:fldChar w:fldCharType="begin"/>
      </w:r>
      <w:r w:rsidRPr="007D1918">
        <w:instrText xml:space="preserve"> ADDIN EN.CITE &lt;EndNote&gt;&lt;Cite&gt;&lt;Author&gt;Jaretzki&lt;/Author&gt;&lt;Year&gt;2000&lt;/Year&gt;&lt;RecNum&gt;10&lt;/RecNum&gt;&lt;DisplayText&gt;(Jaretzki et al. 2000)&lt;/DisplayText&gt;&lt;record&gt;&lt;rec-number&gt;10&lt;/rec-number&gt;&lt;foreign-keys&gt;&lt;key app="EN" db-id="2aevrx2slsts5ve9sdavatf125dsx0av2v9d" timestamp="1558054083"&gt;10&lt;/key&gt;&lt;/foreign-keys&gt;&lt;ref-type name="Journal Article"&gt;17&lt;/ref-type&gt;&lt;contributors&gt;&lt;authors&gt;&lt;author&gt;Jaretzki, A.&lt;/author&gt;&lt;author&gt;Barohn, R.J.&lt;/author&gt;&lt;author&gt;Ernstoff, R.M.&lt;/author&gt;&lt;author&gt;Kaminski, H.J.&lt;/author&gt;&lt;author&gt;Keesey, J.C.&lt;/author&gt;&lt;author&gt;Penn, A.S.&lt;/author&gt;&lt;author&gt;Sanders, D.B.&lt;/author&gt;&lt;/authors&gt;&lt;/contributors&gt;&lt;titles&gt;&lt;title&gt;Myasthenia gravis: Recommendations for clinical research standards: Task Force of the Medical Scientific Advisory Board of the Myasthenia Gravis Foundation of America&lt;/title&gt;&lt;secondary-title&gt;Neurology&lt;/secondary-title&gt;&lt;/titles&gt;&lt;periodical&gt;&lt;full-title&gt;Neurology&lt;/full-title&gt;&lt;/periodical&gt;&lt;pages&gt;16-23&lt;/pages&gt;&lt;volume&gt;55&lt;/volume&gt;&lt;number&gt;1&lt;/number&gt;&lt;dates&gt;&lt;year&gt;2000&lt;/year&gt;&lt;/dates&gt;&lt;urls&gt;&lt;related-urls&gt;&lt;url&gt;https://n.neurology.org/content/neurology/55/1/16.full.pdf&lt;/url&gt;&lt;url&gt;https://n.neurology.org/content/55/1/16.long&lt;/url&gt;&lt;/related-urls&gt;&lt;/urls&gt;&lt;electronic-resource-num&gt;10.1212/wnl.55.1.16&lt;/electronic-resource-num&gt;&lt;/record&gt;&lt;/Cite&gt;&lt;/EndNote&gt;</w:instrText>
      </w:r>
      <w:r w:rsidRPr="007D1918">
        <w:fldChar w:fldCharType="separate"/>
      </w:r>
      <w:r w:rsidRPr="007D1918">
        <w:rPr>
          <w:noProof/>
        </w:rPr>
        <w:t>(</w:t>
      </w:r>
      <w:hyperlink w:anchor="_ENREF_55" w:tooltip="Jaretzki, 2000 #10" w:history="1">
        <w:r w:rsidR="007D4948" w:rsidRPr="007D1918">
          <w:rPr>
            <w:noProof/>
          </w:rPr>
          <w:t>Jaretzki et al. 2000</w:t>
        </w:r>
      </w:hyperlink>
      <w:r w:rsidRPr="007D1918">
        <w:rPr>
          <w:noProof/>
        </w:rPr>
        <w:t>)</w:t>
      </w:r>
      <w:r w:rsidRPr="007D1918">
        <w:fldChar w:fldCharType="end"/>
      </w:r>
    </w:p>
    <w:p w14:paraId="57F34A87" w14:textId="2495AD3E" w:rsidR="00BA78E3" w:rsidRPr="007D1918" w:rsidRDefault="00BA78E3" w:rsidP="00BA78E3">
      <w:pPr>
        <w:pStyle w:val="Tablenotes0"/>
      </w:pPr>
      <w:r w:rsidRPr="007D1918">
        <w:t xml:space="preserve">Relative MGAS = the relative score of the Myasthenia Gravis absolute score (MGAS; scored 0−60) is the </w:t>
      </w:r>
      <w:r w:rsidR="008945E8" w:rsidRPr="007D1918">
        <w:t xml:space="preserve">per cent </w:t>
      </w:r>
      <w:r w:rsidRPr="007D1918">
        <w:t xml:space="preserve">change in the before treatment and after treatment scores </w:t>
      </w:r>
      <w:r w:rsidRPr="007D1918">
        <w:fldChar w:fldCharType="begin"/>
      </w:r>
      <w:r w:rsidR="00C437BA" w:rsidRPr="007D1918">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Pr="007D1918">
        <w:fldChar w:fldCharType="separate"/>
      </w:r>
      <w:r w:rsidRPr="007D1918">
        <w:rPr>
          <w:noProof/>
        </w:rPr>
        <w:t>(</w:t>
      </w:r>
      <w:hyperlink w:anchor="_ENREF_104" w:tooltip="Wang, 2016 #43" w:history="1">
        <w:r w:rsidR="007D4948" w:rsidRPr="007D1918">
          <w:rPr>
            <w:noProof/>
          </w:rPr>
          <w:t>Wang et al. 2016</w:t>
        </w:r>
      </w:hyperlink>
      <w:r w:rsidRPr="007D1918">
        <w:rPr>
          <w:noProof/>
        </w:rPr>
        <w:t>)</w:t>
      </w:r>
      <w:r w:rsidRPr="007D1918">
        <w:fldChar w:fldCharType="end"/>
      </w:r>
    </w:p>
    <w:p w14:paraId="14916240" w14:textId="77777777" w:rsidR="00BA78E3" w:rsidRPr="007D1918" w:rsidRDefault="00BA78E3" w:rsidP="00BA78E3">
      <w:pPr>
        <w:spacing w:after="0"/>
      </w:pPr>
    </w:p>
    <w:p w14:paraId="7421A043" w14:textId="28DEAEC3" w:rsidR="00E6429D" w:rsidRPr="007D1918" w:rsidRDefault="00C43CAE" w:rsidP="00C43CAE">
      <w:pPr>
        <w:pStyle w:val="TableHeading"/>
      </w:pPr>
      <w:bookmarkStart w:id="205" w:name="_Ref8996979"/>
      <w:bookmarkStart w:id="206" w:name="_Toc23769502"/>
      <w:r w:rsidRPr="007D1918">
        <w:t xml:space="preserve">Table </w:t>
      </w:r>
      <w:r w:rsidR="005B2B2B" w:rsidRPr="007D1918">
        <w:rPr>
          <w:noProof/>
        </w:rPr>
        <w:fldChar w:fldCharType="begin"/>
      </w:r>
      <w:r w:rsidR="005B2B2B" w:rsidRPr="007D1918">
        <w:rPr>
          <w:noProof/>
        </w:rPr>
        <w:instrText xml:space="preserve"> SEQ Table \* ARABIC </w:instrText>
      </w:r>
      <w:r w:rsidR="005B2B2B" w:rsidRPr="007D1918">
        <w:rPr>
          <w:noProof/>
        </w:rPr>
        <w:fldChar w:fldCharType="separate"/>
      </w:r>
      <w:r w:rsidR="00942701" w:rsidRPr="007D1918">
        <w:rPr>
          <w:noProof/>
        </w:rPr>
        <w:t>15</w:t>
      </w:r>
      <w:r w:rsidR="005B2B2B" w:rsidRPr="007D1918">
        <w:rPr>
          <w:noProof/>
        </w:rPr>
        <w:fldChar w:fldCharType="end"/>
      </w:r>
      <w:bookmarkEnd w:id="205"/>
      <w:r w:rsidRPr="007D1918">
        <w:tab/>
        <w:t xml:space="preserve">The </w:t>
      </w:r>
      <w:r w:rsidR="00E6429D" w:rsidRPr="007D1918">
        <w:t>MG severity and/or QOL linear scales</w:t>
      </w:r>
      <w:r w:rsidRPr="007D1918">
        <w:t xml:space="preserve"> used to assess patients in the included studies</w:t>
      </w:r>
      <w:bookmarkEnd w:id="206"/>
    </w:p>
    <w:tbl>
      <w:tblPr>
        <w:tblStyle w:val="TableGridLight"/>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13 The MG severity and/or QOL linear scales used to assess patients in the included studies"/>
        <w:tblDescription w:val="Description and comparison of the severity and other linear sclaes to assess MG (specifically QMGS, MGC, MG-ADL, MMS, MMT, MSS, QoL, MG-QoL-15, MG-QoL-60) "/>
      </w:tblPr>
      <w:tblGrid>
        <w:gridCol w:w="1271"/>
        <w:gridCol w:w="1276"/>
        <w:gridCol w:w="1843"/>
        <w:gridCol w:w="1701"/>
        <w:gridCol w:w="1417"/>
        <w:gridCol w:w="1418"/>
        <w:gridCol w:w="2268"/>
        <w:gridCol w:w="2835"/>
      </w:tblGrid>
      <w:tr w:rsidR="003057BF" w:rsidRPr="007D1918" w14:paraId="173ABA33" w14:textId="77777777" w:rsidTr="008F580C">
        <w:trPr>
          <w:trHeight w:val="213"/>
          <w:tblHeader/>
        </w:trPr>
        <w:tc>
          <w:tcPr>
            <w:tcW w:w="1271" w:type="dxa"/>
            <w:tcBorders>
              <w:bottom w:val="single" w:sz="4" w:space="0" w:color="auto"/>
            </w:tcBorders>
          </w:tcPr>
          <w:p w14:paraId="490E25BF" w14:textId="77777777" w:rsidR="003057BF" w:rsidRPr="007D1918" w:rsidRDefault="003057BF" w:rsidP="00E6429D">
            <w:pPr>
              <w:spacing w:after="40" w:line="240" w:lineRule="auto"/>
              <w:rPr>
                <w:rFonts w:ascii="Arial Narrow" w:hAnsi="Arial Narrow"/>
                <w:b/>
                <w:sz w:val="20"/>
                <w:szCs w:val="20"/>
              </w:rPr>
            </w:pPr>
            <w:r w:rsidRPr="007D1918">
              <w:rPr>
                <w:rFonts w:ascii="Arial Narrow" w:hAnsi="Arial Narrow"/>
                <w:b/>
                <w:sz w:val="20"/>
                <w:szCs w:val="20"/>
              </w:rPr>
              <w:t>Scale</w:t>
            </w:r>
          </w:p>
        </w:tc>
        <w:tc>
          <w:tcPr>
            <w:tcW w:w="1276" w:type="dxa"/>
            <w:tcBorders>
              <w:bottom w:val="single" w:sz="4" w:space="0" w:color="auto"/>
            </w:tcBorders>
          </w:tcPr>
          <w:p w14:paraId="3ECAF085" w14:textId="77777777" w:rsidR="003057BF" w:rsidRPr="007D1918" w:rsidRDefault="003057BF" w:rsidP="00E6429D">
            <w:pPr>
              <w:spacing w:after="40" w:line="240" w:lineRule="auto"/>
              <w:jc w:val="center"/>
              <w:rPr>
                <w:rFonts w:ascii="Arial Narrow" w:hAnsi="Arial Narrow"/>
                <w:b/>
                <w:sz w:val="20"/>
                <w:szCs w:val="20"/>
              </w:rPr>
            </w:pPr>
            <w:r w:rsidRPr="007D1918">
              <w:rPr>
                <w:rFonts w:ascii="Arial Narrow" w:hAnsi="Arial Narrow"/>
                <w:b/>
                <w:sz w:val="20"/>
                <w:szCs w:val="20"/>
              </w:rPr>
              <w:t>Number of questions</w:t>
            </w:r>
          </w:p>
        </w:tc>
        <w:tc>
          <w:tcPr>
            <w:tcW w:w="1843" w:type="dxa"/>
            <w:tcBorders>
              <w:bottom w:val="single" w:sz="4" w:space="0" w:color="auto"/>
            </w:tcBorders>
          </w:tcPr>
          <w:p w14:paraId="0A79F9E2" w14:textId="77777777" w:rsidR="003057BF" w:rsidRPr="007D1918" w:rsidRDefault="003057BF" w:rsidP="00E6429D">
            <w:pPr>
              <w:spacing w:after="40" w:line="240" w:lineRule="auto"/>
              <w:jc w:val="center"/>
              <w:rPr>
                <w:rFonts w:ascii="Arial Narrow" w:hAnsi="Arial Narrow"/>
                <w:b/>
                <w:sz w:val="20"/>
                <w:szCs w:val="20"/>
              </w:rPr>
            </w:pPr>
            <w:r w:rsidRPr="007D1918">
              <w:rPr>
                <w:rFonts w:ascii="Arial Narrow" w:hAnsi="Arial Narrow"/>
                <w:b/>
                <w:sz w:val="20"/>
                <w:szCs w:val="20"/>
              </w:rPr>
              <w:t>Scoring per question</w:t>
            </w:r>
          </w:p>
        </w:tc>
        <w:tc>
          <w:tcPr>
            <w:tcW w:w="1701" w:type="dxa"/>
            <w:tcBorders>
              <w:bottom w:val="single" w:sz="4" w:space="0" w:color="auto"/>
            </w:tcBorders>
          </w:tcPr>
          <w:p w14:paraId="0474053C" w14:textId="77777777" w:rsidR="003057BF" w:rsidRPr="007D1918" w:rsidRDefault="003057BF" w:rsidP="00E6429D">
            <w:pPr>
              <w:spacing w:after="40" w:line="240" w:lineRule="auto"/>
              <w:jc w:val="center"/>
              <w:rPr>
                <w:rFonts w:ascii="Arial Narrow" w:hAnsi="Arial Narrow"/>
                <w:b/>
                <w:sz w:val="20"/>
                <w:szCs w:val="20"/>
              </w:rPr>
            </w:pPr>
            <w:r w:rsidRPr="007D1918">
              <w:rPr>
                <w:rFonts w:ascii="Arial Narrow" w:hAnsi="Arial Narrow"/>
                <w:b/>
                <w:sz w:val="20"/>
                <w:szCs w:val="20"/>
              </w:rPr>
              <w:t>Total score range</w:t>
            </w:r>
          </w:p>
        </w:tc>
        <w:tc>
          <w:tcPr>
            <w:tcW w:w="1417" w:type="dxa"/>
            <w:tcBorders>
              <w:bottom w:val="single" w:sz="4" w:space="0" w:color="auto"/>
            </w:tcBorders>
          </w:tcPr>
          <w:p w14:paraId="71F96FC3" w14:textId="77777777" w:rsidR="003057BF" w:rsidRPr="007D1918" w:rsidRDefault="003057BF" w:rsidP="00E6429D">
            <w:pPr>
              <w:spacing w:after="40" w:line="240" w:lineRule="auto"/>
              <w:jc w:val="center"/>
              <w:rPr>
                <w:rFonts w:ascii="Arial Narrow" w:hAnsi="Arial Narrow"/>
                <w:b/>
                <w:sz w:val="20"/>
                <w:szCs w:val="20"/>
              </w:rPr>
            </w:pPr>
            <w:r w:rsidRPr="007D1918">
              <w:rPr>
                <w:rFonts w:ascii="Arial Narrow" w:hAnsi="Arial Narrow"/>
                <w:b/>
                <w:sz w:val="20"/>
                <w:szCs w:val="20"/>
              </w:rPr>
              <w:t>Normal</w:t>
            </w:r>
          </w:p>
        </w:tc>
        <w:tc>
          <w:tcPr>
            <w:tcW w:w="1418" w:type="dxa"/>
            <w:tcBorders>
              <w:bottom w:val="single" w:sz="4" w:space="0" w:color="auto"/>
            </w:tcBorders>
          </w:tcPr>
          <w:p w14:paraId="0941890C" w14:textId="77777777" w:rsidR="003057BF" w:rsidRPr="007D1918" w:rsidRDefault="003057BF" w:rsidP="00E6429D">
            <w:pPr>
              <w:spacing w:after="40" w:line="240" w:lineRule="auto"/>
              <w:jc w:val="center"/>
              <w:rPr>
                <w:rFonts w:ascii="Arial Narrow" w:hAnsi="Arial Narrow"/>
                <w:b/>
                <w:sz w:val="20"/>
                <w:szCs w:val="20"/>
              </w:rPr>
            </w:pPr>
            <w:r w:rsidRPr="007D1918">
              <w:rPr>
                <w:rFonts w:ascii="Arial Narrow" w:hAnsi="Arial Narrow"/>
                <w:b/>
                <w:sz w:val="20"/>
                <w:szCs w:val="20"/>
              </w:rPr>
              <w:t>Most severe</w:t>
            </w:r>
          </w:p>
        </w:tc>
        <w:tc>
          <w:tcPr>
            <w:tcW w:w="2268" w:type="dxa"/>
            <w:tcBorders>
              <w:bottom w:val="single" w:sz="4" w:space="0" w:color="auto"/>
            </w:tcBorders>
          </w:tcPr>
          <w:p w14:paraId="76E6F4C0" w14:textId="77777777" w:rsidR="003057BF" w:rsidRPr="007D1918" w:rsidRDefault="003057BF" w:rsidP="00E6429D">
            <w:pPr>
              <w:spacing w:after="40" w:line="240" w:lineRule="auto"/>
              <w:rPr>
                <w:rFonts w:ascii="Arial Narrow" w:hAnsi="Arial Narrow"/>
                <w:b/>
                <w:sz w:val="20"/>
                <w:szCs w:val="20"/>
              </w:rPr>
            </w:pPr>
            <w:r w:rsidRPr="007D1918">
              <w:rPr>
                <w:rFonts w:ascii="Arial Narrow" w:hAnsi="Arial Narrow"/>
                <w:b/>
                <w:sz w:val="20"/>
                <w:szCs w:val="20"/>
              </w:rPr>
              <w:t>Minimal clinically important difference</w:t>
            </w:r>
          </w:p>
        </w:tc>
        <w:tc>
          <w:tcPr>
            <w:tcW w:w="2835" w:type="dxa"/>
            <w:tcBorders>
              <w:bottom w:val="single" w:sz="4" w:space="0" w:color="auto"/>
            </w:tcBorders>
          </w:tcPr>
          <w:p w14:paraId="15487199" w14:textId="77777777" w:rsidR="003057BF" w:rsidRPr="007D1918" w:rsidRDefault="003057BF" w:rsidP="00E6429D">
            <w:pPr>
              <w:spacing w:after="40" w:line="240" w:lineRule="auto"/>
              <w:rPr>
                <w:rFonts w:ascii="Arial Narrow" w:hAnsi="Arial Narrow"/>
                <w:b/>
                <w:sz w:val="20"/>
                <w:szCs w:val="20"/>
              </w:rPr>
            </w:pPr>
            <w:r w:rsidRPr="007D1918">
              <w:rPr>
                <w:rFonts w:ascii="Arial Narrow" w:hAnsi="Arial Narrow"/>
                <w:b/>
                <w:sz w:val="20"/>
                <w:szCs w:val="20"/>
              </w:rPr>
              <w:t>Correlation</w:t>
            </w:r>
          </w:p>
        </w:tc>
      </w:tr>
      <w:tr w:rsidR="000B0EF6" w:rsidRPr="007D1918" w14:paraId="22D90CC3"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nil"/>
            </w:tcBorders>
          </w:tcPr>
          <w:p w14:paraId="1E452E16" w14:textId="72C5E2CF" w:rsidR="000B0EF6" w:rsidRPr="007D1918" w:rsidRDefault="000B0EF6" w:rsidP="000B0EF6">
            <w:pPr>
              <w:keepNext/>
              <w:spacing w:after="40" w:line="240" w:lineRule="auto"/>
              <w:rPr>
                <w:rFonts w:ascii="Arial Narrow" w:hAnsi="Arial Narrow"/>
                <w:b/>
                <w:sz w:val="20"/>
                <w:szCs w:val="20"/>
              </w:rPr>
            </w:pPr>
            <w:r w:rsidRPr="007D1918">
              <w:rPr>
                <w:rFonts w:ascii="Arial Narrow" w:hAnsi="Arial Narrow"/>
                <w:b/>
                <w:sz w:val="20"/>
                <w:szCs w:val="20"/>
              </w:rPr>
              <w:t>MG severity</w:t>
            </w:r>
          </w:p>
        </w:tc>
        <w:tc>
          <w:tcPr>
            <w:tcW w:w="1276" w:type="dxa"/>
            <w:tcBorders>
              <w:top w:val="single" w:sz="4" w:space="0" w:color="auto"/>
              <w:left w:val="nil"/>
              <w:bottom w:val="single" w:sz="4" w:space="0" w:color="auto"/>
              <w:right w:val="nil"/>
            </w:tcBorders>
          </w:tcPr>
          <w:p w14:paraId="5F05B817" w14:textId="77777777" w:rsidR="000B0EF6" w:rsidRPr="007D1918" w:rsidRDefault="000B0EF6" w:rsidP="000B0EF6">
            <w:pPr>
              <w:keepNext/>
              <w:spacing w:after="40" w:line="240" w:lineRule="auto"/>
              <w:jc w:val="center"/>
              <w:rPr>
                <w:rFonts w:ascii="Arial Narrow" w:hAnsi="Arial Narrow"/>
                <w:b/>
                <w:color w:val="FFFFFF" w:themeColor="background1"/>
                <w:sz w:val="20"/>
                <w:szCs w:val="20"/>
              </w:rPr>
            </w:pPr>
          </w:p>
        </w:tc>
        <w:tc>
          <w:tcPr>
            <w:tcW w:w="1843" w:type="dxa"/>
            <w:tcBorders>
              <w:top w:val="single" w:sz="4" w:space="0" w:color="auto"/>
              <w:left w:val="nil"/>
              <w:bottom w:val="single" w:sz="4" w:space="0" w:color="auto"/>
              <w:right w:val="nil"/>
            </w:tcBorders>
          </w:tcPr>
          <w:p w14:paraId="797429BC" w14:textId="77777777" w:rsidR="000B0EF6" w:rsidRPr="007D1918" w:rsidRDefault="000B0EF6" w:rsidP="000B0EF6">
            <w:pPr>
              <w:keepNext/>
              <w:spacing w:after="40" w:line="240" w:lineRule="auto"/>
              <w:jc w:val="center"/>
              <w:rPr>
                <w:rFonts w:ascii="Arial Narrow" w:hAnsi="Arial Narrow"/>
                <w:b/>
                <w:color w:val="FFFFFF" w:themeColor="background1"/>
                <w:sz w:val="20"/>
                <w:szCs w:val="20"/>
              </w:rPr>
            </w:pPr>
          </w:p>
        </w:tc>
        <w:tc>
          <w:tcPr>
            <w:tcW w:w="1701" w:type="dxa"/>
            <w:tcBorders>
              <w:top w:val="single" w:sz="4" w:space="0" w:color="auto"/>
              <w:left w:val="nil"/>
              <w:bottom w:val="single" w:sz="4" w:space="0" w:color="auto"/>
              <w:right w:val="nil"/>
            </w:tcBorders>
          </w:tcPr>
          <w:p w14:paraId="78721A43" w14:textId="77777777" w:rsidR="000B0EF6" w:rsidRPr="007D1918" w:rsidRDefault="000B0EF6" w:rsidP="000B0EF6">
            <w:pPr>
              <w:keepNext/>
              <w:spacing w:after="40" w:line="240" w:lineRule="auto"/>
              <w:jc w:val="center"/>
              <w:rPr>
                <w:rFonts w:ascii="Arial Narrow" w:hAnsi="Arial Narrow"/>
                <w:b/>
                <w:color w:val="FFFFFF" w:themeColor="background1"/>
                <w:sz w:val="20"/>
                <w:szCs w:val="20"/>
              </w:rPr>
            </w:pPr>
          </w:p>
        </w:tc>
        <w:tc>
          <w:tcPr>
            <w:tcW w:w="1417" w:type="dxa"/>
            <w:tcBorders>
              <w:top w:val="single" w:sz="4" w:space="0" w:color="auto"/>
              <w:left w:val="nil"/>
              <w:bottom w:val="single" w:sz="4" w:space="0" w:color="auto"/>
              <w:right w:val="nil"/>
            </w:tcBorders>
          </w:tcPr>
          <w:p w14:paraId="4C667E0A" w14:textId="77777777" w:rsidR="000B0EF6" w:rsidRPr="007D1918" w:rsidRDefault="000B0EF6" w:rsidP="000B0EF6">
            <w:pPr>
              <w:keepNext/>
              <w:spacing w:after="40" w:line="240" w:lineRule="auto"/>
              <w:jc w:val="center"/>
              <w:rPr>
                <w:rFonts w:ascii="Arial Narrow" w:hAnsi="Arial Narrow"/>
                <w:b/>
                <w:color w:val="FFFFFF" w:themeColor="background1"/>
                <w:sz w:val="20"/>
                <w:szCs w:val="20"/>
              </w:rPr>
            </w:pPr>
          </w:p>
        </w:tc>
        <w:tc>
          <w:tcPr>
            <w:tcW w:w="1418" w:type="dxa"/>
            <w:tcBorders>
              <w:top w:val="single" w:sz="4" w:space="0" w:color="auto"/>
              <w:left w:val="nil"/>
              <w:bottom w:val="single" w:sz="4" w:space="0" w:color="auto"/>
              <w:right w:val="nil"/>
            </w:tcBorders>
          </w:tcPr>
          <w:p w14:paraId="12FE2FA9" w14:textId="77777777" w:rsidR="000B0EF6" w:rsidRPr="007D1918" w:rsidRDefault="000B0EF6" w:rsidP="000B0EF6">
            <w:pPr>
              <w:keepNext/>
              <w:spacing w:after="40" w:line="240" w:lineRule="auto"/>
              <w:jc w:val="center"/>
              <w:rPr>
                <w:rFonts w:ascii="Arial Narrow" w:hAnsi="Arial Narrow"/>
                <w:b/>
                <w:color w:val="FFFFFF" w:themeColor="background1"/>
                <w:sz w:val="20"/>
                <w:szCs w:val="20"/>
              </w:rPr>
            </w:pPr>
          </w:p>
        </w:tc>
        <w:tc>
          <w:tcPr>
            <w:tcW w:w="2268" w:type="dxa"/>
            <w:tcBorders>
              <w:top w:val="single" w:sz="4" w:space="0" w:color="auto"/>
              <w:left w:val="nil"/>
              <w:bottom w:val="single" w:sz="4" w:space="0" w:color="auto"/>
              <w:right w:val="nil"/>
            </w:tcBorders>
          </w:tcPr>
          <w:p w14:paraId="3C771AB2" w14:textId="77777777" w:rsidR="000B0EF6" w:rsidRPr="007D1918" w:rsidRDefault="000B0EF6" w:rsidP="000B0EF6">
            <w:pPr>
              <w:keepNext/>
              <w:spacing w:after="40" w:line="240" w:lineRule="auto"/>
              <w:rPr>
                <w:rFonts w:ascii="Arial Narrow" w:hAnsi="Arial Narrow"/>
                <w:b/>
                <w:color w:val="FFFFFF" w:themeColor="background1"/>
                <w:sz w:val="20"/>
                <w:szCs w:val="20"/>
              </w:rPr>
            </w:pPr>
          </w:p>
        </w:tc>
        <w:tc>
          <w:tcPr>
            <w:tcW w:w="2835" w:type="dxa"/>
            <w:tcBorders>
              <w:top w:val="single" w:sz="4" w:space="0" w:color="auto"/>
              <w:left w:val="nil"/>
              <w:bottom w:val="single" w:sz="4" w:space="0" w:color="auto"/>
              <w:right w:val="single" w:sz="4" w:space="0" w:color="auto"/>
            </w:tcBorders>
          </w:tcPr>
          <w:p w14:paraId="4047F043" w14:textId="77777777" w:rsidR="000B0EF6" w:rsidRPr="007D1918" w:rsidRDefault="000B0EF6" w:rsidP="000B0EF6">
            <w:pPr>
              <w:keepNext/>
              <w:spacing w:after="40" w:line="240" w:lineRule="auto"/>
              <w:rPr>
                <w:rFonts w:ascii="Arial Narrow" w:hAnsi="Arial Narrow"/>
                <w:b/>
                <w:color w:val="FFFFFF" w:themeColor="background1"/>
                <w:sz w:val="20"/>
                <w:szCs w:val="20"/>
              </w:rPr>
            </w:pPr>
          </w:p>
        </w:tc>
      </w:tr>
      <w:tr w:rsidR="000B0EF6" w:rsidRPr="007D1918" w14:paraId="256DB0DD"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7E70FD49" w14:textId="23CC9C60" w:rsidR="003057BF" w:rsidRPr="007D1918" w:rsidRDefault="005E20C2" w:rsidP="005B2B2B">
            <w:pPr>
              <w:spacing w:after="40" w:line="240" w:lineRule="auto"/>
              <w:rPr>
                <w:rFonts w:ascii="Arial Narrow" w:hAnsi="Arial Narrow"/>
                <w:sz w:val="20"/>
                <w:szCs w:val="20"/>
              </w:rPr>
            </w:pPr>
            <w:r w:rsidRPr="007D1918">
              <w:rPr>
                <w:rFonts w:ascii="Arial Narrow" w:hAnsi="Arial Narrow"/>
                <w:sz w:val="20"/>
                <w:szCs w:val="20"/>
              </w:rPr>
              <w:t>QMGS</w:t>
            </w:r>
          </w:p>
        </w:tc>
        <w:tc>
          <w:tcPr>
            <w:tcW w:w="1276" w:type="dxa"/>
            <w:tcBorders>
              <w:top w:val="single" w:sz="4" w:space="0" w:color="auto"/>
              <w:left w:val="single" w:sz="4" w:space="0" w:color="auto"/>
              <w:bottom w:val="single" w:sz="4" w:space="0" w:color="auto"/>
              <w:right w:val="single" w:sz="4" w:space="0" w:color="auto"/>
            </w:tcBorders>
          </w:tcPr>
          <w:p w14:paraId="4FB1D90C" w14:textId="77777777" w:rsidR="003057BF" w:rsidRPr="007D1918" w:rsidRDefault="003057BF" w:rsidP="005B2B2B">
            <w:pPr>
              <w:spacing w:after="40" w:line="240" w:lineRule="auto"/>
              <w:jc w:val="center"/>
              <w:rPr>
                <w:rFonts w:ascii="Arial Narrow" w:hAnsi="Arial Narrow"/>
                <w:sz w:val="20"/>
                <w:szCs w:val="20"/>
              </w:rPr>
            </w:pPr>
            <w:r w:rsidRPr="007D1918">
              <w:rPr>
                <w:rFonts w:ascii="Arial Narrow" w:hAnsi="Arial Narrow"/>
                <w:sz w:val="20"/>
                <w:szCs w:val="20"/>
              </w:rPr>
              <w:t>13</w:t>
            </w:r>
          </w:p>
        </w:tc>
        <w:tc>
          <w:tcPr>
            <w:tcW w:w="1843" w:type="dxa"/>
            <w:tcBorders>
              <w:top w:val="single" w:sz="4" w:space="0" w:color="auto"/>
              <w:left w:val="single" w:sz="4" w:space="0" w:color="auto"/>
              <w:bottom w:val="single" w:sz="4" w:space="0" w:color="auto"/>
              <w:right w:val="single" w:sz="4" w:space="0" w:color="auto"/>
            </w:tcBorders>
          </w:tcPr>
          <w:p w14:paraId="74E08131" w14:textId="77777777" w:rsidR="003057BF" w:rsidRPr="007D1918" w:rsidRDefault="003057BF" w:rsidP="005B2B2B">
            <w:pPr>
              <w:spacing w:after="40" w:line="240" w:lineRule="auto"/>
              <w:jc w:val="center"/>
              <w:rPr>
                <w:rFonts w:ascii="Arial Narrow" w:hAnsi="Arial Narrow"/>
                <w:sz w:val="20"/>
                <w:szCs w:val="20"/>
              </w:rPr>
            </w:pPr>
            <w:r w:rsidRPr="007D1918">
              <w:rPr>
                <w:rFonts w:ascii="Arial Narrow" w:hAnsi="Arial Narrow"/>
                <w:sz w:val="20"/>
                <w:szCs w:val="20"/>
              </w:rPr>
              <w:t>0−3</w:t>
            </w:r>
          </w:p>
        </w:tc>
        <w:tc>
          <w:tcPr>
            <w:tcW w:w="1701" w:type="dxa"/>
            <w:tcBorders>
              <w:top w:val="single" w:sz="4" w:space="0" w:color="auto"/>
              <w:left w:val="single" w:sz="4" w:space="0" w:color="auto"/>
              <w:bottom w:val="single" w:sz="4" w:space="0" w:color="auto"/>
              <w:right w:val="single" w:sz="4" w:space="0" w:color="auto"/>
            </w:tcBorders>
          </w:tcPr>
          <w:p w14:paraId="63C91ADA" w14:textId="77777777" w:rsidR="003057BF" w:rsidRPr="007D1918" w:rsidRDefault="003057BF" w:rsidP="005B2B2B">
            <w:pPr>
              <w:spacing w:after="40" w:line="240" w:lineRule="auto"/>
              <w:jc w:val="center"/>
              <w:rPr>
                <w:rFonts w:ascii="Arial Narrow" w:hAnsi="Arial Narrow"/>
                <w:sz w:val="20"/>
                <w:szCs w:val="20"/>
              </w:rPr>
            </w:pPr>
            <w:r w:rsidRPr="007D1918">
              <w:rPr>
                <w:rFonts w:ascii="Arial Narrow" w:hAnsi="Arial Narrow"/>
                <w:sz w:val="20"/>
                <w:szCs w:val="20"/>
              </w:rPr>
              <w:t>0−39</w:t>
            </w:r>
          </w:p>
        </w:tc>
        <w:tc>
          <w:tcPr>
            <w:tcW w:w="1417" w:type="dxa"/>
            <w:tcBorders>
              <w:top w:val="single" w:sz="4" w:space="0" w:color="auto"/>
              <w:left w:val="single" w:sz="4" w:space="0" w:color="auto"/>
              <w:bottom w:val="single" w:sz="4" w:space="0" w:color="auto"/>
              <w:right w:val="single" w:sz="4" w:space="0" w:color="auto"/>
            </w:tcBorders>
          </w:tcPr>
          <w:p w14:paraId="35180652" w14:textId="77777777" w:rsidR="003057BF" w:rsidRPr="007D1918" w:rsidRDefault="003057BF" w:rsidP="005B2B2B">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75B74B8E" w14:textId="77777777" w:rsidR="003057BF" w:rsidRPr="007D1918" w:rsidRDefault="003057BF" w:rsidP="005B2B2B">
            <w:pPr>
              <w:spacing w:after="40" w:line="240" w:lineRule="auto"/>
              <w:jc w:val="center"/>
              <w:rPr>
                <w:rFonts w:ascii="Arial Narrow" w:hAnsi="Arial Narrow"/>
                <w:sz w:val="20"/>
                <w:szCs w:val="20"/>
              </w:rPr>
            </w:pPr>
            <w:r w:rsidRPr="007D1918">
              <w:rPr>
                <w:rFonts w:ascii="Arial Narrow" w:hAnsi="Arial Narrow"/>
                <w:sz w:val="20"/>
                <w:szCs w:val="20"/>
              </w:rPr>
              <w:t>39</w:t>
            </w:r>
          </w:p>
        </w:tc>
        <w:tc>
          <w:tcPr>
            <w:tcW w:w="2268" w:type="dxa"/>
            <w:tcBorders>
              <w:top w:val="single" w:sz="4" w:space="0" w:color="auto"/>
              <w:left w:val="single" w:sz="4" w:space="0" w:color="auto"/>
              <w:bottom w:val="single" w:sz="4" w:space="0" w:color="auto"/>
              <w:right w:val="single" w:sz="4" w:space="0" w:color="auto"/>
            </w:tcBorders>
          </w:tcPr>
          <w:p w14:paraId="13DA89A3" w14:textId="77777777" w:rsidR="003057BF" w:rsidRPr="007D1918" w:rsidRDefault="003057BF" w:rsidP="005B2B2B">
            <w:pPr>
              <w:spacing w:after="40" w:line="240" w:lineRule="auto"/>
              <w:rPr>
                <w:rFonts w:ascii="Arial Narrow" w:hAnsi="Arial Narrow"/>
                <w:b/>
                <w:sz w:val="20"/>
                <w:szCs w:val="20"/>
              </w:rPr>
            </w:pPr>
            <w:r w:rsidRPr="007D1918">
              <w:rPr>
                <w:rFonts w:ascii="Arial Narrow" w:hAnsi="Arial Narrow"/>
                <w:b/>
                <w:sz w:val="20"/>
                <w:szCs w:val="20"/>
              </w:rPr>
              <w:t>By baseline score:</w:t>
            </w:r>
          </w:p>
          <w:p w14:paraId="41DF0037" w14:textId="22C94625" w:rsidR="003057BF" w:rsidRPr="007D1918" w:rsidRDefault="003057BF" w:rsidP="005B2B2B">
            <w:pPr>
              <w:spacing w:after="40" w:line="240" w:lineRule="auto"/>
              <w:rPr>
                <w:rFonts w:ascii="Arial Narrow" w:hAnsi="Arial Narrow"/>
                <w:sz w:val="20"/>
                <w:szCs w:val="20"/>
              </w:rPr>
            </w:pPr>
            <w:r w:rsidRPr="007D1918">
              <w:rPr>
                <w:rFonts w:ascii="Arial Narrow" w:hAnsi="Arial Narrow"/>
                <w:sz w:val="20"/>
                <w:szCs w:val="20"/>
              </w:rPr>
              <w:t>0</w:t>
            </w:r>
            <w:r w:rsidR="00C8488E" w:rsidRPr="007D1918">
              <w:rPr>
                <w:rFonts w:ascii="Arial Narrow" w:hAnsi="Arial Narrow"/>
                <w:sz w:val="20"/>
                <w:szCs w:val="20"/>
              </w:rPr>
              <w:t>-</w:t>
            </w:r>
            <w:r w:rsidRPr="007D1918">
              <w:rPr>
                <w:rFonts w:ascii="Arial Narrow" w:hAnsi="Arial Narrow"/>
                <w:sz w:val="20"/>
                <w:szCs w:val="20"/>
              </w:rPr>
              <w:t>16 MCID ≥2 points</w:t>
            </w:r>
            <w:r w:rsidRPr="007D1918">
              <w:rPr>
                <w:rFonts w:ascii="Arial Narrow" w:hAnsi="Arial Narrow"/>
                <w:sz w:val="20"/>
                <w:szCs w:val="20"/>
              </w:rPr>
              <w:br/>
              <w:t>17-39 MCID ≥3 points</w:t>
            </w:r>
          </w:p>
          <w:p w14:paraId="23181B31" w14:textId="77777777" w:rsidR="003057BF" w:rsidRPr="007D1918" w:rsidRDefault="003057BF" w:rsidP="005B2B2B">
            <w:pPr>
              <w:spacing w:after="40" w:line="240" w:lineRule="auto"/>
              <w:rPr>
                <w:rFonts w:ascii="Arial Narrow" w:hAnsi="Arial Narrow"/>
                <w:sz w:val="20"/>
                <w:szCs w:val="20"/>
              </w:rPr>
            </w:pPr>
            <w:r w:rsidRPr="007D1918">
              <w:rPr>
                <w:rFonts w:ascii="Arial Narrow" w:hAnsi="Arial Narrow"/>
                <w:b/>
                <w:sz w:val="20"/>
                <w:szCs w:val="20"/>
              </w:rPr>
              <w:t xml:space="preserve">Overall: </w:t>
            </w:r>
            <w:r w:rsidRPr="007D1918">
              <w:rPr>
                <w:rFonts w:ascii="Arial Narrow" w:hAnsi="Arial Narrow"/>
                <w:sz w:val="20"/>
                <w:szCs w:val="20"/>
              </w:rPr>
              <w:t>≥3.5 points</w:t>
            </w:r>
          </w:p>
        </w:tc>
        <w:tc>
          <w:tcPr>
            <w:tcW w:w="2835" w:type="dxa"/>
            <w:tcBorders>
              <w:top w:val="single" w:sz="4" w:space="0" w:color="auto"/>
              <w:left w:val="single" w:sz="4" w:space="0" w:color="auto"/>
              <w:bottom w:val="single" w:sz="4" w:space="0" w:color="auto"/>
              <w:right w:val="single" w:sz="4" w:space="0" w:color="auto"/>
            </w:tcBorders>
          </w:tcPr>
          <w:p w14:paraId="6ED7FF24" w14:textId="77777777" w:rsidR="003057BF" w:rsidRPr="007D1918" w:rsidRDefault="003057BF" w:rsidP="005B2B2B">
            <w:pPr>
              <w:spacing w:after="40" w:line="240" w:lineRule="auto"/>
              <w:rPr>
                <w:rFonts w:ascii="Arial Narrow" w:hAnsi="Arial Narrow"/>
                <w:sz w:val="20"/>
                <w:szCs w:val="20"/>
              </w:rPr>
            </w:pPr>
            <w:r w:rsidRPr="007D1918">
              <w:rPr>
                <w:rFonts w:ascii="Arial Narrow" w:hAnsi="Arial Narrow"/>
                <w:sz w:val="20"/>
                <w:szCs w:val="20"/>
              </w:rPr>
              <w:t>MGFA: r=0.54</w:t>
            </w:r>
          </w:p>
          <w:p w14:paraId="6F63E7D5" w14:textId="1E94B4A3" w:rsidR="003057BF" w:rsidRPr="007D1918" w:rsidRDefault="003057BF" w:rsidP="005B2B2B">
            <w:pPr>
              <w:spacing w:after="40" w:line="240" w:lineRule="auto"/>
              <w:rPr>
                <w:rFonts w:ascii="Arial Narrow" w:hAnsi="Arial Narrow"/>
                <w:sz w:val="20"/>
                <w:szCs w:val="20"/>
              </w:rPr>
            </w:pPr>
            <w:r w:rsidRPr="007D1918">
              <w:rPr>
                <w:rFonts w:ascii="Arial Narrow" w:hAnsi="Arial Narrow"/>
                <w:sz w:val="20"/>
                <w:szCs w:val="20"/>
              </w:rPr>
              <w:t>MG-</w:t>
            </w:r>
            <w:r w:rsidR="001419D8" w:rsidRPr="007D1918">
              <w:rPr>
                <w:rFonts w:ascii="Arial Narrow" w:hAnsi="Arial Narrow"/>
                <w:sz w:val="20"/>
                <w:szCs w:val="20"/>
              </w:rPr>
              <w:t>QoL</w:t>
            </w:r>
            <w:r w:rsidRPr="007D1918">
              <w:rPr>
                <w:rFonts w:ascii="Arial Narrow" w:hAnsi="Arial Narrow"/>
                <w:sz w:val="20"/>
                <w:szCs w:val="20"/>
              </w:rPr>
              <w:t>-15: r=−0.41, p=0.0007</w:t>
            </w:r>
          </w:p>
          <w:p w14:paraId="3620DA91" w14:textId="3E66F99E" w:rsidR="003057BF" w:rsidRPr="007D1918" w:rsidRDefault="00E86A61" w:rsidP="00C300D6">
            <w:pPr>
              <w:spacing w:after="40" w:line="240" w:lineRule="auto"/>
              <w:rPr>
                <w:rFonts w:ascii="Arial Narrow" w:hAnsi="Arial Narrow"/>
                <w:sz w:val="20"/>
                <w:szCs w:val="20"/>
              </w:rPr>
            </w:pPr>
            <w:r w:rsidRPr="007D1918">
              <w:rPr>
                <w:rFonts w:ascii="Arial Narrow" w:hAnsi="Arial Narrow"/>
                <w:sz w:val="20"/>
                <w:szCs w:val="20"/>
              </w:rPr>
              <w:t>MMT: r=0.73, p&lt;0.0001</w:t>
            </w:r>
          </w:p>
        </w:tc>
      </w:tr>
      <w:tr w:rsidR="003057BF" w:rsidRPr="007D1918" w14:paraId="4FA41DFE"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4305F22C" w14:textId="77777777" w:rsidR="003057BF" w:rsidRPr="007D1918" w:rsidRDefault="003057BF" w:rsidP="003057BF">
            <w:pPr>
              <w:keepNext/>
              <w:spacing w:after="40" w:line="240" w:lineRule="auto"/>
              <w:rPr>
                <w:rFonts w:ascii="Arial Narrow" w:hAnsi="Arial Narrow"/>
                <w:sz w:val="20"/>
                <w:szCs w:val="20"/>
              </w:rPr>
            </w:pPr>
            <w:r w:rsidRPr="007D1918">
              <w:rPr>
                <w:rFonts w:ascii="Arial Narrow" w:hAnsi="Arial Narrow"/>
                <w:sz w:val="20"/>
                <w:szCs w:val="20"/>
              </w:rPr>
              <w:t>MGC</w:t>
            </w:r>
          </w:p>
        </w:tc>
        <w:tc>
          <w:tcPr>
            <w:tcW w:w="1276" w:type="dxa"/>
            <w:tcBorders>
              <w:top w:val="single" w:sz="4" w:space="0" w:color="auto"/>
              <w:left w:val="single" w:sz="4" w:space="0" w:color="auto"/>
              <w:bottom w:val="single" w:sz="4" w:space="0" w:color="auto"/>
              <w:right w:val="single" w:sz="4" w:space="0" w:color="auto"/>
            </w:tcBorders>
          </w:tcPr>
          <w:p w14:paraId="56284BF0" w14:textId="77777777" w:rsidR="003057BF" w:rsidRPr="007D1918" w:rsidRDefault="003057BF" w:rsidP="003057BF">
            <w:pPr>
              <w:keepNext/>
              <w:spacing w:after="40" w:line="240" w:lineRule="auto"/>
              <w:jc w:val="center"/>
              <w:rPr>
                <w:rFonts w:ascii="Arial Narrow" w:hAnsi="Arial Narrow"/>
                <w:sz w:val="20"/>
                <w:szCs w:val="20"/>
              </w:rPr>
            </w:pPr>
            <w:r w:rsidRPr="007D1918">
              <w:rPr>
                <w:rFonts w:ascii="Arial Narrow" w:hAnsi="Arial Narrow"/>
                <w:sz w:val="20"/>
                <w:szCs w:val="20"/>
              </w:rPr>
              <w:t>10</w:t>
            </w:r>
          </w:p>
        </w:tc>
        <w:tc>
          <w:tcPr>
            <w:tcW w:w="1843" w:type="dxa"/>
            <w:tcBorders>
              <w:top w:val="single" w:sz="4" w:space="0" w:color="auto"/>
              <w:left w:val="single" w:sz="4" w:space="0" w:color="auto"/>
              <w:bottom w:val="single" w:sz="4" w:space="0" w:color="auto"/>
              <w:right w:val="single" w:sz="4" w:space="0" w:color="auto"/>
            </w:tcBorders>
          </w:tcPr>
          <w:p w14:paraId="62F61ABD" w14:textId="77777777" w:rsidR="003057BF" w:rsidRPr="007D1918" w:rsidRDefault="003057BF" w:rsidP="003057BF">
            <w:pPr>
              <w:keepNext/>
              <w:spacing w:after="40" w:line="240" w:lineRule="auto"/>
              <w:jc w:val="center"/>
              <w:rPr>
                <w:rFonts w:ascii="Arial Narrow" w:hAnsi="Arial Narrow"/>
                <w:sz w:val="20"/>
                <w:szCs w:val="20"/>
              </w:rPr>
            </w:pPr>
            <w:r w:rsidRPr="007D1918">
              <w:rPr>
                <w:rFonts w:ascii="Arial Narrow" w:hAnsi="Arial Narrow"/>
                <w:sz w:val="20"/>
                <w:szCs w:val="20"/>
              </w:rPr>
              <w:t>4 possible scores per Q: varies 0−9</w:t>
            </w:r>
          </w:p>
        </w:tc>
        <w:tc>
          <w:tcPr>
            <w:tcW w:w="1701" w:type="dxa"/>
            <w:tcBorders>
              <w:top w:val="single" w:sz="4" w:space="0" w:color="auto"/>
              <w:left w:val="single" w:sz="4" w:space="0" w:color="auto"/>
              <w:bottom w:val="single" w:sz="4" w:space="0" w:color="auto"/>
              <w:right w:val="single" w:sz="4" w:space="0" w:color="auto"/>
            </w:tcBorders>
          </w:tcPr>
          <w:p w14:paraId="166CBBB9" w14:textId="77777777" w:rsidR="003057BF" w:rsidRPr="007D1918" w:rsidRDefault="003057BF" w:rsidP="003057BF">
            <w:pPr>
              <w:keepNext/>
              <w:spacing w:after="40" w:line="240" w:lineRule="auto"/>
              <w:jc w:val="center"/>
              <w:rPr>
                <w:rFonts w:ascii="Arial Narrow" w:hAnsi="Arial Narrow"/>
                <w:sz w:val="20"/>
                <w:szCs w:val="20"/>
              </w:rPr>
            </w:pPr>
            <w:r w:rsidRPr="007D1918">
              <w:rPr>
                <w:rFonts w:ascii="Arial Narrow" w:hAnsi="Arial Narrow"/>
                <w:sz w:val="20"/>
                <w:szCs w:val="20"/>
              </w:rPr>
              <w:t>0−50</w:t>
            </w:r>
          </w:p>
        </w:tc>
        <w:tc>
          <w:tcPr>
            <w:tcW w:w="1417" w:type="dxa"/>
            <w:tcBorders>
              <w:top w:val="single" w:sz="4" w:space="0" w:color="auto"/>
              <w:left w:val="single" w:sz="4" w:space="0" w:color="auto"/>
              <w:bottom w:val="single" w:sz="4" w:space="0" w:color="auto"/>
              <w:right w:val="single" w:sz="4" w:space="0" w:color="auto"/>
            </w:tcBorders>
          </w:tcPr>
          <w:p w14:paraId="646A73BC" w14:textId="77777777" w:rsidR="003057BF" w:rsidRPr="007D1918" w:rsidRDefault="003057BF" w:rsidP="003057BF">
            <w:pPr>
              <w:keepNext/>
              <w:spacing w:after="40" w:line="240" w:lineRule="auto"/>
              <w:jc w:val="center"/>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62E6D0BB" w14:textId="77777777" w:rsidR="003057BF" w:rsidRPr="007D1918" w:rsidRDefault="003057BF" w:rsidP="003057BF">
            <w:pPr>
              <w:keepNext/>
              <w:spacing w:after="40" w:line="240" w:lineRule="auto"/>
              <w:jc w:val="center"/>
              <w:rPr>
                <w:rFonts w:ascii="Arial Narrow" w:hAnsi="Arial Narrow"/>
                <w:sz w:val="20"/>
                <w:szCs w:val="20"/>
              </w:rPr>
            </w:pPr>
            <w:r w:rsidRPr="007D1918">
              <w:rPr>
                <w:rFonts w:ascii="Arial Narrow" w:hAnsi="Arial Narrow"/>
                <w:sz w:val="20"/>
                <w:szCs w:val="20"/>
              </w:rPr>
              <w:t>50</w:t>
            </w:r>
          </w:p>
        </w:tc>
        <w:tc>
          <w:tcPr>
            <w:tcW w:w="2268" w:type="dxa"/>
            <w:tcBorders>
              <w:top w:val="single" w:sz="4" w:space="0" w:color="auto"/>
              <w:left w:val="single" w:sz="4" w:space="0" w:color="auto"/>
              <w:bottom w:val="single" w:sz="4" w:space="0" w:color="auto"/>
              <w:right w:val="single" w:sz="4" w:space="0" w:color="auto"/>
            </w:tcBorders>
          </w:tcPr>
          <w:p w14:paraId="4BCF4F1B" w14:textId="77777777" w:rsidR="003057BF" w:rsidRPr="007D1918" w:rsidRDefault="003057BF" w:rsidP="003057BF">
            <w:pPr>
              <w:keepNext/>
              <w:spacing w:after="40" w:line="240" w:lineRule="auto"/>
              <w:rPr>
                <w:rFonts w:ascii="Arial Narrow" w:hAnsi="Arial Narrow"/>
                <w:sz w:val="20"/>
                <w:szCs w:val="20"/>
              </w:rPr>
            </w:pPr>
            <w:r w:rsidRPr="007D1918">
              <w:rPr>
                <w:rFonts w:ascii="Arial Narrow" w:hAnsi="Arial Narrow"/>
                <w:sz w:val="20"/>
                <w:szCs w:val="20"/>
              </w:rPr>
              <w:t>≥3-points</w:t>
            </w:r>
          </w:p>
        </w:tc>
        <w:tc>
          <w:tcPr>
            <w:tcW w:w="2835" w:type="dxa"/>
            <w:tcBorders>
              <w:top w:val="single" w:sz="4" w:space="0" w:color="auto"/>
              <w:left w:val="single" w:sz="4" w:space="0" w:color="auto"/>
              <w:bottom w:val="single" w:sz="4" w:space="0" w:color="auto"/>
              <w:right w:val="single" w:sz="4" w:space="0" w:color="auto"/>
            </w:tcBorders>
          </w:tcPr>
          <w:p w14:paraId="6B1A9F04" w14:textId="49E297B9" w:rsidR="003057BF" w:rsidRPr="007D1918" w:rsidRDefault="003057BF" w:rsidP="003057BF">
            <w:pPr>
              <w:keepNext/>
              <w:spacing w:after="40" w:line="240" w:lineRule="auto"/>
              <w:rPr>
                <w:rFonts w:ascii="Arial Narrow" w:hAnsi="Arial Narrow"/>
                <w:sz w:val="20"/>
                <w:szCs w:val="20"/>
              </w:rPr>
            </w:pPr>
            <w:r w:rsidRPr="007D1918">
              <w:rPr>
                <w:rFonts w:ascii="Arial Narrow" w:hAnsi="Arial Narrow"/>
                <w:sz w:val="20"/>
                <w:szCs w:val="20"/>
              </w:rPr>
              <w:t>MG-</w:t>
            </w:r>
            <w:r w:rsidR="001419D8" w:rsidRPr="007D1918">
              <w:rPr>
                <w:rFonts w:ascii="Arial Narrow" w:hAnsi="Arial Narrow"/>
                <w:sz w:val="20"/>
                <w:szCs w:val="20"/>
              </w:rPr>
              <w:t>QoL</w:t>
            </w:r>
            <w:r w:rsidRPr="007D1918">
              <w:rPr>
                <w:rFonts w:ascii="Arial Narrow" w:hAnsi="Arial Narrow"/>
                <w:sz w:val="20"/>
                <w:szCs w:val="20"/>
              </w:rPr>
              <w:t>-15: r=0.68</w:t>
            </w:r>
          </w:p>
          <w:p w14:paraId="77533EFB" w14:textId="77777777" w:rsidR="003057BF" w:rsidRPr="007D1918" w:rsidRDefault="003057BF" w:rsidP="003057BF">
            <w:pPr>
              <w:keepNext/>
              <w:spacing w:after="40" w:line="240" w:lineRule="auto"/>
              <w:rPr>
                <w:rFonts w:ascii="Arial Narrow" w:hAnsi="Arial Narrow"/>
                <w:sz w:val="20"/>
                <w:szCs w:val="20"/>
              </w:rPr>
            </w:pPr>
            <w:r w:rsidRPr="007D1918">
              <w:rPr>
                <w:rFonts w:ascii="Arial Narrow" w:hAnsi="Arial Narrow"/>
                <w:sz w:val="20"/>
                <w:szCs w:val="20"/>
              </w:rPr>
              <w:t>MG-ADL: r=0.80</w:t>
            </w:r>
          </w:p>
        </w:tc>
      </w:tr>
      <w:tr w:rsidR="003057BF" w:rsidRPr="007D1918" w14:paraId="405DEB9F"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661F6805"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MG-ADL</w:t>
            </w:r>
          </w:p>
        </w:tc>
        <w:tc>
          <w:tcPr>
            <w:tcW w:w="1276" w:type="dxa"/>
            <w:tcBorders>
              <w:top w:val="single" w:sz="4" w:space="0" w:color="auto"/>
              <w:left w:val="single" w:sz="4" w:space="0" w:color="auto"/>
              <w:bottom w:val="single" w:sz="4" w:space="0" w:color="auto"/>
              <w:right w:val="single" w:sz="4" w:space="0" w:color="auto"/>
            </w:tcBorders>
          </w:tcPr>
          <w:p w14:paraId="5DE68459"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8</w:t>
            </w:r>
          </w:p>
        </w:tc>
        <w:tc>
          <w:tcPr>
            <w:tcW w:w="1843" w:type="dxa"/>
            <w:tcBorders>
              <w:top w:val="single" w:sz="4" w:space="0" w:color="auto"/>
              <w:left w:val="single" w:sz="4" w:space="0" w:color="auto"/>
              <w:bottom w:val="single" w:sz="4" w:space="0" w:color="auto"/>
              <w:right w:val="single" w:sz="4" w:space="0" w:color="auto"/>
            </w:tcBorders>
          </w:tcPr>
          <w:p w14:paraId="6F701FD3"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0−3</w:t>
            </w:r>
          </w:p>
        </w:tc>
        <w:tc>
          <w:tcPr>
            <w:tcW w:w="1701" w:type="dxa"/>
            <w:tcBorders>
              <w:top w:val="single" w:sz="4" w:space="0" w:color="auto"/>
              <w:left w:val="single" w:sz="4" w:space="0" w:color="auto"/>
              <w:bottom w:val="single" w:sz="4" w:space="0" w:color="auto"/>
              <w:right w:val="single" w:sz="4" w:space="0" w:color="auto"/>
            </w:tcBorders>
          </w:tcPr>
          <w:p w14:paraId="3B81C528"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0−24</w:t>
            </w:r>
          </w:p>
        </w:tc>
        <w:tc>
          <w:tcPr>
            <w:tcW w:w="1417" w:type="dxa"/>
            <w:tcBorders>
              <w:top w:val="single" w:sz="4" w:space="0" w:color="auto"/>
              <w:left w:val="single" w:sz="4" w:space="0" w:color="auto"/>
              <w:bottom w:val="single" w:sz="4" w:space="0" w:color="auto"/>
              <w:right w:val="single" w:sz="4" w:space="0" w:color="auto"/>
            </w:tcBorders>
          </w:tcPr>
          <w:p w14:paraId="7C7571C2"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409A24B3"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24</w:t>
            </w:r>
          </w:p>
        </w:tc>
        <w:tc>
          <w:tcPr>
            <w:tcW w:w="2268" w:type="dxa"/>
            <w:tcBorders>
              <w:top w:val="single" w:sz="4" w:space="0" w:color="auto"/>
              <w:left w:val="single" w:sz="4" w:space="0" w:color="auto"/>
              <w:bottom w:val="single" w:sz="4" w:space="0" w:color="auto"/>
              <w:right w:val="single" w:sz="4" w:space="0" w:color="auto"/>
            </w:tcBorders>
          </w:tcPr>
          <w:p w14:paraId="3D8058E8"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≥2 points</w:t>
            </w:r>
          </w:p>
        </w:tc>
        <w:tc>
          <w:tcPr>
            <w:tcW w:w="2835" w:type="dxa"/>
            <w:tcBorders>
              <w:top w:val="single" w:sz="4" w:space="0" w:color="auto"/>
              <w:left w:val="single" w:sz="4" w:space="0" w:color="auto"/>
              <w:bottom w:val="single" w:sz="4" w:space="0" w:color="auto"/>
              <w:right w:val="single" w:sz="4" w:space="0" w:color="auto"/>
            </w:tcBorders>
          </w:tcPr>
          <w:p w14:paraId="7FDF9B83"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QMGS: r=0.583, p&lt;0.001</w:t>
            </w:r>
          </w:p>
        </w:tc>
      </w:tr>
      <w:tr w:rsidR="003057BF" w:rsidRPr="007D1918" w14:paraId="570F3BFF"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1386983B" w14:textId="0ACDC86D" w:rsidR="003057BF" w:rsidRPr="007D1918" w:rsidRDefault="005E20C2" w:rsidP="00E6429D">
            <w:pPr>
              <w:spacing w:after="40" w:line="240" w:lineRule="auto"/>
              <w:rPr>
                <w:rFonts w:ascii="Arial Narrow" w:hAnsi="Arial Narrow"/>
                <w:sz w:val="20"/>
                <w:szCs w:val="20"/>
              </w:rPr>
            </w:pPr>
            <w:r w:rsidRPr="007D1918">
              <w:rPr>
                <w:rFonts w:ascii="Arial Narrow" w:hAnsi="Arial Narrow"/>
                <w:sz w:val="20"/>
                <w:szCs w:val="20"/>
              </w:rPr>
              <w:t>MMS</w:t>
            </w:r>
          </w:p>
        </w:tc>
        <w:tc>
          <w:tcPr>
            <w:tcW w:w="1276" w:type="dxa"/>
            <w:tcBorders>
              <w:top w:val="single" w:sz="4" w:space="0" w:color="auto"/>
              <w:left w:val="single" w:sz="4" w:space="0" w:color="auto"/>
              <w:bottom w:val="single" w:sz="4" w:space="0" w:color="auto"/>
              <w:right w:val="single" w:sz="4" w:space="0" w:color="auto"/>
            </w:tcBorders>
          </w:tcPr>
          <w:p w14:paraId="2D8AB952"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9</w:t>
            </w:r>
          </w:p>
        </w:tc>
        <w:tc>
          <w:tcPr>
            <w:tcW w:w="1843" w:type="dxa"/>
            <w:tcBorders>
              <w:top w:val="single" w:sz="4" w:space="0" w:color="auto"/>
              <w:left w:val="single" w:sz="4" w:space="0" w:color="auto"/>
              <w:bottom w:val="single" w:sz="4" w:space="0" w:color="auto"/>
              <w:right w:val="single" w:sz="4" w:space="0" w:color="auto"/>
            </w:tcBorders>
          </w:tcPr>
          <w:p w14:paraId="3DF446DF"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7: 0, 5, or 10</w:t>
            </w:r>
          </w:p>
          <w:p w14:paraId="5F4FA8CF"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2: 0−15</w:t>
            </w:r>
          </w:p>
        </w:tc>
        <w:tc>
          <w:tcPr>
            <w:tcW w:w="1701" w:type="dxa"/>
            <w:tcBorders>
              <w:top w:val="single" w:sz="4" w:space="0" w:color="auto"/>
              <w:left w:val="single" w:sz="4" w:space="0" w:color="auto"/>
              <w:bottom w:val="single" w:sz="4" w:space="0" w:color="auto"/>
              <w:right w:val="single" w:sz="4" w:space="0" w:color="auto"/>
            </w:tcBorders>
          </w:tcPr>
          <w:p w14:paraId="0E0BF833"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0−100</w:t>
            </w:r>
          </w:p>
        </w:tc>
        <w:tc>
          <w:tcPr>
            <w:tcW w:w="1417" w:type="dxa"/>
            <w:tcBorders>
              <w:top w:val="single" w:sz="4" w:space="0" w:color="auto"/>
              <w:left w:val="single" w:sz="4" w:space="0" w:color="auto"/>
              <w:bottom w:val="single" w:sz="4" w:space="0" w:color="auto"/>
              <w:right w:val="single" w:sz="4" w:space="0" w:color="auto"/>
            </w:tcBorders>
          </w:tcPr>
          <w:p w14:paraId="7C3D7EB0"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100</w:t>
            </w:r>
          </w:p>
        </w:tc>
        <w:tc>
          <w:tcPr>
            <w:tcW w:w="1418" w:type="dxa"/>
            <w:tcBorders>
              <w:top w:val="single" w:sz="4" w:space="0" w:color="auto"/>
              <w:left w:val="single" w:sz="4" w:space="0" w:color="auto"/>
              <w:bottom w:val="single" w:sz="4" w:space="0" w:color="auto"/>
              <w:right w:val="single" w:sz="4" w:space="0" w:color="auto"/>
            </w:tcBorders>
          </w:tcPr>
          <w:p w14:paraId="5E320EB0"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2268" w:type="dxa"/>
            <w:tcBorders>
              <w:top w:val="single" w:sz="4" w:space="0" w:color="auto"/>
              <w:left w:val="single" w:sz="4" w:space="0" w:color="auto"/>
              <w:bottom w:val="single" w:sz="4" w:space="0" w:color="auto"/>
              <w:right w:val="single" w:sz="4" w:space="0" w:color="auto"/>
            </w:tcBorders>
          </w:tcPr>
          <w:p w14:paraId="26275B1B"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≥20-points</w:t>
            </w:r>
          </w:p>
        </w:tc>
        <w:tc>
          <w:tcPr>
            <w:tcW w:w="2835" w:type="dxa"/>
            <w:tcBorders>
              <w:top w:val="single" w:sz="4" w:space="0" w:color="auto"/>
              <w:left w:val="single" w:sz="4" w:space="0" w:color="auto"/>
              <w:bottom w:val="single" w:sz="4" w:space="0" w:color="auto"/>
              <w:right w:val="single" w:sz="4" w:space="0" w:color="auto"/>
            </w:tcBorders>
          </w:tcPr>
          <w:p w14:paraId="4EDEDE9E"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QMGS: r=0.869, p=0.0001</w:t>
            </w:r>
          </w:p>
        </w:tc>
      </w:tr>
      <w:tr w:rsidR="003057BF" w:rsidRPr="007D1918" w14:paraId="2BD8B344"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7E7D955A"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MMT</w:t>
            </w:r>
          </w:p>
        </w:tc>
        <w:tc>
          <w:tcPr>
            <w:tcW w:w="1276" w:type="dxa"/>
            <w:tcBorders>
              <w:top w:val="single" w:sz="4" w:space="0" w:color="auto"/>
              <w:left w:val="single" w:sz="4" w:space="0" w:color="auto"/>
              <w:bottom w:val="single" w:sz="4" w:space="0" w:color="auto"/>
              <w:right w:val="single" w:sz="4" w:space="0" w:color="auto"/>
            </w:tcBorders>
          </w:tcPr>
          <w:p w14:paraId="32D7973B"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30</w:t>
            </w:r>
          </w:p>
        </w:tc>
        <w:tc>
          <w:tcPr>
            <w:tcW w:w="1843" w:type="dxa"/>
            <w:tcBorders>
              <w:top w:val="single" w:sz="4" w:space="0" w:color="auto"/>
              <w:left w:val="single" w:sz="4" w:space="0" w:color="auto"/>
              <w:bottom w:val="single" w:sz="4" w:space="0" w:color="auto"/>
              <w:right w:val="single" w:sz="4" w:space="0" w:color="auto"/>
            </w:tcBorders>
          </w:tcPr>
          <w:p w14:paraId="13D17DE4"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0−4</w:t>
            </w:r>
          </w:p>
        </w:tc>
        <w:tc>
          <w:tcPr>
            <w:tcW w:w="1701" w:type="dxa"/>
            <w:tcBorders>
              <w:top w:val="single" w:sz="4" w:space="0" w:color="auto"/>
              <w:left w:val="single" w:sz="4" w:space="0" w:color="auto"/>
              <w:bottom w:val="single" w:sz="4" w:space="0" w:color="auto"/>
              <w:right w:val="single" w:sz="4" w:space="0" w:color="auto"/>
            </w:tcBorders>
          </w:tcPr>
          <w:p w14:paraId="66D743EE"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0−120</w:t>
            </w:r>
          </w:p>
        </w:tc>
        <w:tc>
          <w:tcPr>
            <w:tcW w:w="1417" w:type="dxa"/>
            <w:tcBorders>
              <w:top w:val="single" w:sz="4" w:space="0" w:color="auto"/>
              <w:left w:val="single" w:sz="4" w:space="0" w:color="auto"/>
              <w:bottom w:val="single" w:sz="4" w:space="0" w:color="auto"/>
              <w:right w:val="single" w:sz="4" w:space="0" w:color="auto"/>
            </w:tcBorders>
          </w:tcPr>
          <w:p w14:paraId="6B55F2D3"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5B518209"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120</w:t>
            </w:r>
          </w:p>
        </w:tc>
        <w:tc>
          <w:tcPr>
            <w:tcW w:w="2268" w:type="dxa"/>
            <w:tcBorders>
              <w:top w:val="single" w:sz="4" w:space="0" w:color="auto"/>
              <w:left w:val="single" w:sz="4" w:space="0" w:color="auto"/>
              <w:bottom w:val="single" w:sz="4" w:space="0" w:color="auto"/>
              <w:right w:val="single" w:sz="4" w:space="0" w:color="auto"/>
            </w:tcBorders>
          </w:tcPr>
          <w:p w14:paraId="6A400BC5"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2≥ points</w:t>
            </w:r>
          </w:p>
        </w:tc>
        <w:tc>
          <w:tcPr>
            <w:tcW w:w="2835" w:type="dxa"/>
            <w:tcBorders>
              <w:top w:val="single" w:sz="4" w:space="0" w:color="auto"/>
              <w:left w:val="single" w:sz="4" w:space="0" w:color="auto"/>
              <w:bottom w:val="single" w:sz="4" w:space="0" w:color="auto"/>
              <w:right w:val="single" w:sz="4" w:space="0" w:color="auto"/>
            </w:tcBorders>
          </w:tcPr>
          <w:p w14:paraId="36107D6D"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t>QMGS: r=0.69</w:t>
            </w:r>
          </w:p>
          <w:p w14:paraId="31A897EA" w14:textId="77777777" w:rsidR="003057BF" w:rsidRPr="007D1918" w:rsidRDefault="003057BF" w:rsidP="00E6429D">
            <w:pPr>
              <w:spacing w:after="40" w:line="240" w:lineRule="auto"/>
              <w:rPr>
                <w:rFonts w:ascii="Arial Narrow" w:hAnsi="Arial Narrow"/>
                <w:sz w:val="20"/>
                <w:szCs w:val="20"/>
              </w:rPr>
            </w:pPr>
          </w:p>
        </w:tc>
      </w:tr>
      <w:tr w:rsidR="003057BF" w:rsidRPr="007D1918" w14:paraId="705E3007"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33620794" w14:textId="77777777" w:rsidR="003057BF" w:rsidRPr="007D1918" w:rsidRDefault="003057BF" w:rsidP="00E6429D">
            <w:pPr>
              <w:spacing w:after="40" w:line="240" w:lineRule="auto"/>
              <w:rPr>
                <w:rFonts w:ascii="Arial Narrow" w:hAnsi="Arial Narrow"/>
                <w:sz w:val="20"/>
                <w:szCs w:val="20"/>
              </w:rPr>
            </w:pPr>
            <w:r w:rsidRPr="007D1918">
              <w:rPr>
                <w:rFonts w:ascii="Arial Narrow" w:hAnsi="Arial Narrow"/>
                <w:sz w:val="20"/>
                <w:szCs w:val="20"/>
              </w:rPr>
              <w:lastRenderedPageBreak/>
              <w:t>MSS</w:t>
            </w:r>
          </w:p>
        </w:tc>
        <w:tc>
          <w:tcPr>
            <w:tcW w:w="1276" w:type="dxa"/>
            <w:tcBorders>
              <w:top w:val="single" w:sz="4" w:space="0" w:color="auto"/>
              <w:left w:val="single" w:sz="4" w:space="0" w:color="auto"/>
              <w:bottom w:val="single" w:sz="4" w:space="0" w:color="auto"/>
              <w:right w:val="single" w:sz="4" w:space="0" w:color="auto"/>
            </w:tcBorders>
          </w:tcPr>
          <w:p w14:paraId="52C9845E"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5</w:t>
            </w:r>
          </w:p>
        </w:tc>
        <w:tc>
          <w:tcPr>
            <w:tcW w:w="1843" w:type="dxa"/>
            <w:tcBorders>
              <w:top w:val="single" w:sz="4" w:space="0" w:color="auto"/>
              <w:left w:val="single" w:sz="4" w:space="0" w:color="auto"/>
              <w:bottom w:val="single" w:sz="4" w:space="0" w:color="auto"/>
              <w:right w:val="single" w:sz="4" w:space="0" w:color="auto"/>
            </w:tcBorders>
          </w:tcPr>
          <w:p w14:paraId="17E7EE8E"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4: 0−3</w:t>
            </w:r>
          </w:p>
          <w:p w14:paraId="37B78059"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1: 0−4</w:t>
            </w:r>
          </w:p>
        </w:tc>
        <w:tc>
          <w:tcPr>
            <w:tcW w:w="1701" w:type="dxa"/>
            <w:tcBorders>
              <w:top w:val="single" w:sz="4" w:space="0" w:color="auto"/>
              <w:left w:val="single" w:sz="4" w:space="0" w:color="auto"/>
              <w:bottom w:val="single" w:sz="4" w:space="0" w:color="auto"/>
              <w:right w:val="single" w:sz="4" w:space="0" w:color="auto"/>
            </w:tcBorders>
          </w:tcPr>
          <w:p w14:paraId="15C3AA1B"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0−16</w:t>
            </w:r>
          </w:p>
        </w:tc>
        <w:tc>
          <w:tcPr>
            <w:tcW w:w="1417" w:type="dxa"/>
            <w:tcBorders>
              <w:top w:val="single" w:sz="4" w:space="0" w:color="auto"/>
              <w:left w:val="single" w:sz="4" w:space="0" w:color="auto"/>
              <w:bottom w:val="single" w:sz="4" w:space="0" w:color="auto"/>
              <w:right w:val="single" w:sz="4" w:space="0" w:color="auto"/>
            </w:tcBorders>
          </w:tcPr>
          <w:p w14:paraId="0E618423"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16</w:t>
            </w:r>
          </w:p>
        </w:tc>
        <w:tc>
          <w:tcPr>
            <w:tcW w:w="1418" w:type="dxa"/>
            <w:tcBorders>
              <w:top w:val="single" w:sz="4" w:space="0" w:color="auto"/>
              <w:left w:val="single" w:sz="4" w:space="0" w:color="auto"/>
              <w:bottom w:val="single" w:sz="4" w:space="0" w:color="auto"/>
              <w:right w:val="single" w:sz="4" w:space="0" w:color="auto"/>
            </w:tcBorders>
          </w:tcPr>
          <w:p w14:paraId="4E16DA47" w14:textId="77777777" w:rsidR="003057BF" w:rsidRPr="007D1918" w:rsidRDefault="003057BF" w:rsidP="00E6429D">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2268" w:type="dxa"/>
            <w:tcBorders>
              <w:top w:val="single" w:sz="4" w:space="0" w:color="auto"/>
              <w:left w:val="single" w:sz="4" w:space="0" w:color="auto"/>
              <w:bottom w:val="single" w:sz="4" w:space="0" w:color="auto"/>
              <w:right w:val="single" w:sz="4" w:space="0" w:color="auto"/>
            </w:tcBorders>
          </w:tcPr>
          <w:p w14:paraId="4394B1BB" w14:textId="3C19510B" w:rsidR="003057BF" w:rsidRPr="007D1918" w:rsidRDefault="00857A60" w:rsidP="00E6429D">
            <w:pPr>
              <w:spacing w:after="40" w:line="240" w:lineRule="auto"/>
              <w:rPr>
                <w:rFonts w:ascii="Arial Narrow" w:hAnsi="Arial Narrow"/>
                <w:sz w:val="20"/>
                <w:szCs w:val="20"/>
              </w:rPr>
            </w:pPr>
            <w:r w:rsidRPr="007D1918">
              <w:rPr>
                <w:rFonts w:ascii="Arial Narrow" w:hAnsi="Arial Narrow"/>
                <w:sz w:val="20"/>
                <w:szCs w:val="20"/>
              </w:rPr>
              <w:t>-</w:t>
            </w:r>
          </w:p>
        </w:tc>
        <w:tc>
          <w:tcPr>
            <w:tcW w:w="2835" w:type="dxa"/>
            <w:tcBorders>
              <w:top w:val="single" w:sz="4" w:space="0" w:color="auto"/>
              <w:left w:val="single" w:sz="4" w:space="0" w:color="auto"/>
              <w:bottom w:val="single" w:sz="4" w:space="0" w:color="auto"/>
              <w:right w:val="single" w:sz="4" w:space="0" w:color="auto"/>
            </w:tcBorders>
          </w:tcPr>
          <w:p w14:paraId="3A733251" w14:textId="3246EDF6" w:rsidR="003057BF" w:rsidRPr="007D1918" w:rsidRDefault="00857A60" w:rsidP="00E6429D">
            <w:pPr>
              <w:spacing w:after="40" w:line="240" w:lineRule="auto"/>
              <w:rPr>
                <w:rFonts w:ascii="Arial Narrow" w:hAnsi="Arial Narrow"/>
                <w:sz w:val="20"/>
                <w:szCs w:val="20"/>
              </w:rPr>
            </w:pPr>
            <w:r w:rsidRPr="007D1918">
              <w:rPr>
                <w:rFonts w:ascii="Arial Narrow" w:hAnsi="Arial Narrow"/>
                <w:sz w:val="20"/>
                <w:szCs w:val="20"/>
              </w:rPr>
              <w:t>-</w:t>
            </w:r>
          </w:p>
        </w:tc>
      </w:tr>
      <w:tr w:rsidR="000B0EF6" w:rsidRPr="007D1918" w14:paraId="7053403A"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nil"/>
            </w:tcBorders>
          </w:tcPr>
          <w:p w14:paraId="3ED88227" w14:textId="14E36B20" w:rsidR="000B0EF6" w:rsidRPr="007D1918" w:rsidRDefault="000B0EF6" w:rsidP="005B2B2B">
            <w:pPr>
              <w:spacing w:after="40" w:line="240" w:lineRule="auto"/>
              <w:rPr>
                <w:rFonts w:ascii="Arial Narrow" w:hAnsi="Arial Narrow"/>
                <w:b/>
                <w:sz w:val="20"/>
                <w:szCs w:val="20"/>
              </w:rPr>
            </w:pPr>
            <w:r w:rsidRPr="007D1918">
              <w:rPr>
                <w:rFonts w:ascii="Arial Narrow" w:hAnsi="Arial Narrow"/>
                <w:b/>
                <w:sz w:val="20"/>
                <w:szCs w:val="20"/>
              </w:rPr>
              <w:t>Q</w:t>
            </w:r>
            <w:r w:rsidR="001419D8" w:rsidRPr="007D1918">
              <w:rPr>
                <w:rFonts w:ascii="Arial Narrow" w:hAnsi="Arial Narrow"/>
                <w:b/>
                <w:sz w:val="20"/>
                <w:szCs w:val="20"/>
              </w:rPr>
              <w:t>o</w:t>
            </w:r>
            <w:r w:rsidRPr="007D1918">
              <w:rPr>
                <w:rFonts w:ascii="Arial Narrow" w:hAnsi="Arial Narrow"/>
                <w:b/>
                <w:sz w:val="20"/>
                <w:szCs w:val="20"/>
              </w:rPr>
              <w:t>L</w:t>
            </w:r>
          </w:p>
        </w:tc>
        <w:tc>
          <w:tcPr>
            <w:tcW w:w="1276" w:type="dxa"/>
            <w:tcBorders>
              <w:top w:val="single" w:sz="4" w:space="0" w:color="auto"/>
              <w:left w:val="nil"/>
              <w:bottom w:val="single" w:sz="4" w:space="0" w:color="auto"/>
              <w:right w:val="nil"/>
            </w:tcBorders>
          </w:tcPr>
          <w:p w14:paraId="1305E950" w14:textId="77777777" w:rsidR="000B0EF6" w:rsidRPr="007D1918" w:rsidRDefault="000B0EF6" w:rsidP="005B2B2B">
            <w:pPr>
              <w:spacing w:after="40" w:line="240" w:lineRule="auto"/>
              <w:jc w:val="center"/>
              <w:rPr>
                <w:rFonts w:ascii="Arial Narrow" w:hAnsi="Arial Narrow"/>
                <w:b/>
                <w:color w:val="FFFFFF" w:themeColor="background1"/>
                <w:sz w:val="20"/>
                <w:szCs w:val="20"/>
              </w:rPr>
            </w:pPr>
          </w:p>
        </w:tc>
        <w:tc>
          <w:tcPr>
            <w:tcW w:w="1843" w:type="dxa"/>
            <w:tcBorders>
              <w:top w:val="single" w:sz="4" w:space="0" w:color="auto"/>
              <w:left w:val="nil"/>
              <w:bottom w:val="single" w:sz="4" w:space="0" w:color="auto"/>
              <w:right w:val="nil"/>
            </w:tcBorders>
          </w:tcPr>
          <w:p w14:paraId="64D45F0D" w14:textId="77777777" w:rsidR="000B0EF6" w:rsidRPr="007D1918" w:rsidRDefault="000B0EF6" w:rsidP="005B2B2B">
            <w:pPr>
              <w:spacing w:after="40" w:line="240" w:lineRule="auto"/>
              <w:jc w:val="center"/>
              <w:rPr>
                <w:rFonts w:ascii="Arial Narrow" w:hAnsi="Arial Narrow"/>
                <w:b/>
                <w:color w:val="FFFFFF" w:themeColor="background1"/>
                <w:sz w:val="20"/>
                <w:szCs w:val="20"/>
              </w:rPr>
            </w:pPr>
          </w:p>
        </w:tc>
        <w:tc>
          <w:tcPr>
            <w:tcW w:w="1701" w:type="dxa"/>
            <w:tcBorders>
              <w:top w:val="single" w:sz="4" w:space="0" w:color="auto"/>
              <w:left w:val="nil"/>
              <w:bottom w:val="single" w:sz="4" w:space="0" w:color="auto"/>
              <w:right w:val="nil"/>
            </w:tcBorders>
          </w:tcPr>
          <w:p w14:paraId="424F7061" w14:textId="77777777" w:rsidR="000B0EF6" w:rsidRPr="007D1918" w:rsidRDefault="000B0EF6" w:rsidP="005B2B2B">
            <w:pPr>
              <w:spacing w:after="40" w:line="240" w:lineRule="auto"/>
              <w:jc w:val="center"/>
              <w:rPr>
                <w:rFonts w:ascii="Arial Narrow" w:hAnsi="Arial Narrow"/>
                <w:b/>
                <w:color w:val="FFFFFF" w:themeColor="background1"/>
                <w:sz w:val="20"/>
                <w:szCs w:val="20"/>
              </w:rPr>
            </w:pPr>
          </w:p>
        </w:tc>
        <w:tc>
          <w:tcPr>
            <w:tcW w:w="1417" w:type="dxa"/>
            <w:tcBorders>
              <w:top w:val="single" w:sz="4" w:space="0" w:color="auto"/>
              <w:left w:val="nil"/>
              <w:bottom w:val="single" w:sz="4" w:space="0" w:color="auto"/>
              <w:right w:val="nil"/>
            </w:tcBorders>
          </w:tcPr>
          <w:p w14:paraId="7C972056" w14:textId="77777777" w:rsidR="000B0EF6" w:rsidRPr="007D1918" w:rsidRDefault="000B0EF6" w:rsidP="005B2B2B">
            <w:pPr>
              <w:spacing w:after="40" w:line="240" w:lineRule="auto"/>
              <w:jc w:val="center"/>
              <w:rPr>
                <w:rFonts w:ascii="Arial Narrow" w:hAnsi="Arial Narrow"/>
                <w:b/>
                <w:color w:val="FFFFFF" w:themeColor="background1"/>
                <w:sz w:val="20"/>
                <w:szCs w:val="20"/>
              </w:rPr>
            </w:pPr>
          </w:p>
        </w:tc>
        <w:tc>
          <w:tcPr>
            <w:tcW w:w="1418" w:type="dxa"/>
            <w:tcBorders>
              <w:top w:val="single" w:sz="4" w:space="0" w:color="auto"/>
              <w:left w:val="nil"/>
              <w:bottom w:val="single" w:sz="4" w:space="0" w:color="auto"/>
              <w:right w:val="nil"/>
            </w:tcBorders>
          </w:tcPr>
          <w:p w14:paraId="4CC0810C" w14:textId="77777777" w:rsidR="000B0EF6" w:rsidRPr="007D1918" w:rsidRDefault="000B0EF6" w:rsidP="005B2B2B">
            <w:pPr>
              <w:spacing w:after="40" w:line="240" w:lineRule="auto"/>
              <w:jc w:val="center"/>
              <w:rPr>
                <w:rFonts w:ascii="Arial Narrow" w:hAnsi="Arial Narrow"/>
                <w:b/>
                <w:color w:val="FFFFFF" w:themeColor="background1"/>
                <w:sz w:val="20"/>
                <w:szCs w:val="20"/>
              </w:rPr>
            </w:pPr>
          </w:p>
        </w:tc>
        <w:tc>
          <w:tcPr>
            <w:tcW w:w="2268" w:type="dxa"/>
            <w:tcBorders>
              <w:top w:val="single" w:sz="4" w:space="0" w:color="auto"/>
              <w:left w:val="nil"/>
              <w:bottom w:val="single" w:sz="4" w:space="0" w:color="auto"/>
              <w:right w:val="nil"/>
            </w:tcBorders>
          </w:tcPr>
          <w:p w14:paraId="1023824D" w14:textId="77777777" w:rsidR="000B0EF6" w:rsidRPr="007D1918" w:rsidRDefault="000B0EF6" w:rsidP="005B2B2B">
            <w:pPr>
              <w:spacing w:after="40" w:line="240" w:lineRule="auto"/>
              <w:rPr>
                <w:rFonts w:ascii="Arial Narrow" w:hAnsi="Arial Narrow"/>
                <w:b/>
                <w:color w:val="FFFFFF" w:themeColor="background1"/>
                <w:sz w:val="20"/>
                <w:szCs w:val="20"/>
              </w:rPr>
            </w:pPr>
          </w:p>
        </w:tc>
        <w:tc>
          <w:tcPr>
            <w:tcW w:w="2835" w:type="dxa"/>
            <w:tcBorders>
              <w:top w:val="single" w:sz="4" w:space="0" w:color="auto"/>
              <w:left w:val="nil"/>
              <w:bottom w:val="single" w:sz="4" w:space="0" w:color="auto"/>
              <w:right w:val="single" w:sz="4" w:space="0" w:color="auto"/>
            </w:tcBorders>
          </w:tcPr>
          <w:p w14:paraId="3D4A8EC0" w14:textId="77777777" w:rsidR="000B0EF6" w:rsidRPr="007D1918" w:rsidRDefault="000B0EF6" w:rsidP="005B2B2B">
            <w:pPr>
              <w:spacing w:after="40" w:line="240" w:lineRule="auto"/>
              <w:rPr>
                <w:rFonts w:ascii="Arial Narrow" w:hAnsi="Arial Narrow"/>
                <w:b/>
                <w:color w:val="FFFFFF" w:themeColor="background1"/>
                <w:sz w:val="20"/>
                <w:szCs w:val="20"/>
              </w:rPr>
            </w:pPr>
          </w:p>
        </w:tc>
      </w:tr>
      <w:tr w:rsidR="005E20C2" w:rsidRPr="007D1918" w14:paraId="573242E4"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57D2794B" w14:textId="73917912" w:rsidR="000B0EF6" w:rsidRPr="007D1918" w:rsidRDefault="000B0EF6" w:rsidP="001419D8">
            <w:pPr>
              <w:spacing w:after="40" w:line="240" w:lineRule="auto"/>
              <w:rPr>
                <w:rFonts w:ascii="Arial Narrow" w:hAnsi="Arial Narrow"/>
                <w:sz w:val="20"/>
                <w:szCs w:val="20"/>
              </w:rPr>
            </w:pPr>
            <w:r w:rsidRPr="007D1918">
              <w:rPr>
                <w:rFonts w:ascii="Arial Narrow" w:hAnsi="Arial Narrow"/>
                <w:sz w:val="20"/>
                <w:szCs w:val="20"/>
              </w:rPr>
              <w:t>MG-</w:t>
            </w:r>
            <w:r w:rsidR="001419D8" w:rsidRPr="007D1918">
              <w:rPr>
                <w:rFonts w:ascii="Arial Narrow" w:hAnsi="Arial Narrow"/>
                <w:sz w:val="20"/>
                <w:szCs w:val="20"/>
              </w:rPr>
              <w:t>QoL</w:t>
            </w:r>
            <w:r w:rsidRPr="007D1918">
              <w:rPr>
                <w:rFonts w:ascii="Arial Narrow" w:hAnsi="Arial Narrow"/>
                <w:sz w:val="20"/>
                <w:szCs w:val="20"/>
              </w:rPr>
              <w:t>-15</w:t>
            </w:r>
          </w:p>
        </w:tc>
        <w:tc>
          <w:tcPr>
            <w:tcW w:w="1276" w:type="dxa"/>
            <w:tcBorders>
              <w:top w:val="single" w:sz="4" w:space="0" w:color="auto"/>
              <w:left w:val="single" w:sz="4" w:space="0" w:color="auto"/>
              <w:bottom w:val="single" w:sz="4" w:space="0" w:color="auto"/>
              <w:right w:val="single" w:sz="4" w:space="0" w:color="auto"/>
            </w:tcBorders>
          </w:tcPr>
          <w:p w14:paraId="408419DF"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15</w:t>
            </w:r>
          </w:p>
        </w:tc>
        <w:tc>
          <w:tcPr>
            <w:tcW w:w="1843" w:type="dxa"/>
            <w:tcBorders>
              <w:top w:val="single" w:sz="4" w:space="0" w:color="auto"/>
              <w:left w:val="single" w:sz="4" w:space="0" w:color="auto"/>
              <w:bottom w:val="single" w:sz="4" w:space="0" w:color="auto"/>
              <w:right w:val="single" w:sz="4" w:space="0" w:color="auto"/>
            </w:tcBorders>
          </w:tcPr>
          <w:p w14:paraId="26E161DF"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0−4</w:t>
            </w:r>
          </w:p>
        </w:tc>
        <w:tc>
          <w:tcPr>
            <w:tcW w:w="1701" w:type="dxa"/>
            <w:tcBorders>
              <w:top w:val="single" w:sz="4" w:space="0" w:color="auto"/>
              <w:left w:val="single" w:sz="4" w:space="0" w:color="auto"/>
              <w:bottom w:val="single" w:sz="4" w:space="0" w:color="auto"/>
              <w:right w:val="single" w:sz="4" w:space="0" w:color="auto"/>
            </w:tcBorders>
          </w:tcPr>
          <w:p w14:paraId="2F746408"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0−60</w:t>
            </w:r>
          </w:p>
        </w:tc>
        <w:tc>
          <w:tcPr>
            <w:tcW w:w="1417" w:type="dxa"/>
            <w:tcBorders>
              <w:top w:val="single" w:sz="4" w:space="0" w:color="auto"/>
              <w:left w:val="single" w:sz="4" w:space="0" w:color="auto"/>
              <w:bottom w:val="single" w:sz="4" w:space="0" w:color="auto"/>
              <w:right w:val="single" w:sz="4" w:space="0" w:color="auto"/>
            </w:tcBorders>
          </w:tcPr>
          <w:p w14:paraId="1F2E4D57"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4E59D28E"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60</w:t>
            </w:r>
          </w:p>
        </w:tc>
        <w:tc>
          <w:tcPr>
            <w:tcW w:w="2268" w:type="dxa"/>
            <w:tcBorders>
              <w:top w:val="single" w:sz="4" w:space="0" w:color="auto"/>
              <w:left w:val="single" w:sz="4" w:space="0" w:color="auto"/>
              <w:bottom w:val="single" w:sz="4" w:space="0" w:color="auto"/>
              <w:right w:val="single" w:sz="4" w:space="0" w:color="auto"/>
            </w:tcBorders>
          </w:tcPr>
          <w:p w14:paraId="66EF6428"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≥6 points</w:t>
            </w:r>
          </w:p>
        </w:tc>
        <w:tc>
          <w:tcPr>
            <w:tcW w:w="2835" w:type="dxa"/>
            <w:tcBorders>
              <w:top w:val="single" w:sz="4" w:space="0" w:color="auto"/>
              <w:left w:val="single" w:sz="4" w:space="0" w:color="auto"/>
              <w:bottom w:val="single" w:sz="4" w:space="0" w:color="auto"/>
              <w:right w:val="single" w:sz="4" w:space="0" w:color="auto"/>
            </w:tcBorders>
          </w:tcPr>
          <w:p w14:paraId="08E232D1"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QMGS: r=0.55, p&lt;0.001</w:t>
            </w:r>
          </w:p>
          <w:p w14:paraId="68C43F0F"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MG-ADL: r=0.70, p&lt;0.001</w:t>
            </w:r>
          </w:p>
          <w:p w14:paraId="4BB4190F"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MMT: r=0.44, p&lt;0.001</w:t>
            </w:r>
          </w:p>
        </w:tc>
      </w:tr>
      <w:tr w:rsidR="005E20C2" w:rsidRPr="007D1918" w14:paraId="6CC49691" w14:textId="77777777" w:rsidTr="008F580C">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1271" w:type="dxa"/>
            <w:tcBorders>
              <w:top w:val="single" w:sz="4" w:space="0" w:color="auto"/>
              <w:left w:val="single" w:sz="4" w:space="0" w:color="auto"/>
              <w:bottom w:val="single" w:sz="4" w:space="0" w:color="auto"/>
              <w:right w:val="single" w:sz="4" w:space="0" w:color="auto"/>
            </w:tcBorders>
          </w:tcPr>
          <w:p w14:paraId="3E3D1AFE" w14:textId="2EDEAE90" w:rsidR="000B0EF6" w:rsidRPr="007D1918" w:rsidRDefault="000B0EF6" w:rsidP="001419D8">
            <w:pPr>
              <w:spacing w:after="40" w:line="240" w:lineRule="auto"/>
              <w:rPr>
                <w:rFonts w:ascii="Arial Narrow" w:hAnsi="Arial Narrow"/>
                <w:sz w:val="20"/>
                <w:szCs w:val="20"/>
              </w:rPr>
            </w:pPr>
            <w:r w:rsidRPr="007D1918">
              <w:rPr>
                <w:rFonts w:ascii="Arial Narrow" w:hAnsi="Arial Narrow"/>
                <w:sz w:val="20"/>
                <w:szCs w:val="20"/>
              </w:rPr>
              <w:t>MG-</w:t>
            </w:r>
            <w:r w:rsidR="001419D8" w:rsidRPr="007D1918">
              <w:rPr>
                <w:rFonts w:ascii="Arial Narrow" w:hAnsi="Arial Narrow"/>
                <w:sz w:val="20"/>
                <w:szCs w:val="20"/>
              </w:rPr>
              <w:t>QoL</w:t>
            </w:r>
            <w:r w:rsidRPr="007D1918">
              <w:rPr>
                <w:rFonts w:ascii="Arial Narrow" w:hAnsi="Arial Narrow"/>
                <w:sz w:val="20"/>
                <w:szCs w:val="20"/>
              </w:rPr>
              <w:t>-60</w:t>
            </w:r>
          </w:p>
        </w:tc>
        <w:tc>
          <w:tcPr>
            <w:tcW w:w="1276" w:type="dxa"/>
            <w:tcBorders>
              <w:top w:val="single" w:sz="4" w:space="0" w:color="auto"/>
              <w:left w:val="single" w:sz="4" w:space="0" w:color="auto"/>
              <w:bottom w:val="single" w:sz="4" w:space="0" w:color="auto"/>
              <w:right w:val="single" w:sz="4" w:space="0" w:color="auto"/>
            </w:tcBorders>
          </w:tcPr>
          <w:p w14:paraId="494146E8"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60</w:t>
            </w:r>
          </w:p>
        </w:tc>
        <w:tc>
          <w:tcPr>
            <w:tcW w:w="1843" w:type="dxa"/>
            <w:tcBorders>
              <w:top w:val="single" w:sz="4" w:space="0" w:color="auto"/>
              <w:left w:val="single" w:sz="4" w:space="0" w:color="auto"/>
              <w:bottom w:val="single" w:sz="4" w:space="0" w:color="auto"/>
              <w:right w:val="single" w:sz="4" w:space="0" w:color="auto"/>
            </w:tcBorders>
          </w:tcPr>
          <w:p w14:paraId="684A1ACE"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0−4</w:t>
            </w:r>
          </w:p>
        </w:tc>
        <w:tc>
          <w:tcPr>
            <w:tcW w:w="1701" w:type="dxa"/>
            <w:tcBorders>
              <w:top w:val="single" w:sz="4" w:space="0" w:color="auto"/>
              <w:left w:val="single" w:sz="4" w:space="0" w:color="auto"/>
              <w:bottom w:val="single" w:sz="4" w:space="0" w:color="auto"/>
              <w:right w:val="single" w:sz="4" w:space="0" w:color="auto"/>
            </w:tcBorders>
          </w:tcPr>
          <w:p w14:paraId="7DF33995"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0−240</w:t>
            </w:r>
          </w:p>
        </w:tc>
        <w:tc>
          <w:tcPr>
            <w:tcW w:w="1417" w:type="dxa"/>
            <w:tcBorders>
              <w:top w:val="single" w:sz="4" w:space="0" w:color="auto"/>
              <w:left w:val="single" w:sz="4" w:space="0" w:color="auto"/>
              <w:bottom w:val="single" w:sz="4" w:space="0" w:color="auto"/>
              <w:right w:val="single" w:sz="4" w:space="0" w:color="auto"/>
            </w:tcBorders>
          </w:tcPr>
          <w:p w14:paraId="76F506C8"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left w:val="single" w:sz="4" w:space="0" w:color="auto"/>
              <w:bottom w:val="single" w:sz="4" w:space="0" w:color="auto"/>
              <w:right w:val="single" w:sz="4" w:space="0" w:color="auto"/>
            </w:tcBorders>
          </w:tcPr>
          <w:p w14:paraId="31121806" w14:textId="77777777" w:rsidR="000B0EF6" w:rsidRPr="007D1918" w:rsidRDefault="000B0EF6" w:rsidP="005B2B2B">
            <w:pPr>
              <w:spacing w:after="40" w:line="240" w:lineRule="auto"/>
              <w:jc w:val="center"/>
              <w:rPr>
                <w:rFonts w:ascii="Arial Narrow" w:hAnsi="Arial Narrow"/>
                <w:sz w:val="20"/>
                <w:szCs w:val="20"/>
              </w:rPr>
            </w:pPr>
            <w:r w:rsidRPr="007D1918">
              <w:rPr>
                <w:rFonts w:ascii="Arial Narrow" w:hAnsi="Arial Narrow"/>
                <w:sz w:val="20"/>
                <w:szCs w:val="20"/>
              </w:rPr>
              <w:t>240</w:t>
            </w:r>
          </w:p>
        </w:tc>
        <w:tc>
          <w:tcPr>
            <w:tcW w:w="2268" w:type="dxa"/>
            <w:tcBorders>
              <w:top w:val="single" w:sz="4" w:space="0" w:color="auto"/>
              <w:left w:val="single" w:sz="4" w:space="0" w:color="auto"/>
              <w:bottom w:val="single" w:sz="4" w:space="0" w:color="auto"/>
              <w:right w:val="single" w:sz="4" w:space="0" w:color="auto"/>
            </w:tcBorders>
          </w:tcPr>
          <w:p w14:paraId="1E307147"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&gt;15 points</w:t>
            </w:r>
          </w:p>
        </w:tc>
        <w:tc>
          <w:tcPr>
            <w:tcW w:w="2835" w:type="dxa"/>
            <w:tcBorders>
              <w:top w:val="single" w:sz="4" w:space="0" w:color="auto"/>
              <w:left w:val="single" w:sz="4" w:space="0" w:color="auto"/>
              <w:bottom w:val="single" w:sz="4" w:space="0" w:color="auto"/>
              <w:right w:val="single" w:sz="4" w:space="0" w:color="auto"/>
            </w:tcBorders>
          </w:tcPr>
          <w:p w14:paraId="43767521"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QMGS: r=0.53, p&lt;0.001</w:t>
            </w:r>
          </w:p>
          <w:p w14:paraId="32783FA4"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MG-ADL: r=0.72, p&lt;0.001</w:t>
            </w:r>
          </w:p>
          <w:p w14:paraId="4A2E4973" w14:textId="77777777" w:rsidR="000B0EF6" w:rsidRPr="007D1918" w:rsidRDefault="000B0EF6" w:rsidP="005B2B2B">
            <w:pPr>
              <w:spacing w:after="40" w:line="240" w:lineRule="auto"/>
              <w:rPr>
                <w:rFonts w:ascii="Arial Narrow" w:hAnsi="Arial Narrow"/>
                <w:sz w:val="20"/>
                <w:szCs w:val="20"/>
              </w:rPr>
            </w:pPr>
            <w:r w:rsidRPr="007D1918">
              <w:rPr>
                <w:rFonts w:ascii="Arial Narrow" w:hAnsi="Arial Narrow"/>
                <w:sz w:val="20"/>
                <w:szCs w:val="20"/>
              </w:rPr>
              <w:t>MMT: r=0.46, p&lt;0.001</w:t>
            </w:r>
          </w:p>
        </w:tc>
      </w:tr>
    </w:tbl>
    <w:p w14:paraId="68657E3E" w14:textId="77777777" w:rsidR="00E6429D" w:rsidRPr="007D1918" w:rsidRDefault="00E6429D" w:rsidP="00E6429D">
      <w:pPr>
        <w:pStyle w:val="Tablenotes0"/>
      </w:pPr>
      <w:r w:rsidRPr="007D1918">
        <w:t xml:space="preserve">MCID = minimal clinically important difference; </w:t>
      </w:r>
    </w:p>
    <w:p w14:paraId="18A8FA8D" w14:textId="437E6C4A" w:rsidR="00E6429D" w:rsidRPr="007D1918" w:rsidRDefault="00E6429D" w:rsidP="00E6429D">
      <w:pPr>
        <w:pStyle w:val="Tablenotes0"/>
      </w:pPr>
      <w:r w:rsidRPr="007D1918">
        <w:t>MG-ADL = MG activities of daily living is a validated scale scored 0–3 for 8 specific symptoms characteristic of myasthenic weakness, namely: talking, chewing, swallowing, breathing, ability to brush teeth or comb hair, ability to arise from a chair, diplopia and ptosis</w:t>
      </w:r>
      <w:r w:rsidR="00414B23" w:rsidRPr="007D1918">
        <w:t xml:space="preserve"> </w:t>
      </w:r>
      <w:r w:rsidR="0075212A" w:rsidRPr="007D1918">
        <w:fldChar w:fldCharType="begin"/>
      </w:r>
      <w:r w:rsidR="0075212A" w:rsidRPr="007D1918">
        <w:instrText xml:space="preserve"> ADDIN EN.CITE &lt;EndNote&gt;&lt;Cite&gt;&lt;Author&gt;Wolfe&lt;/Author&gt;&lt;Year&gt;1999&lt;/Year&gt;&lt;RecNum&gt;15&lt;/RecNum&gt;&lt;DisplayText&gt;(Wolfe et al. 1999)&lt;/DisplayText&gt;&lt;record&gt;&lt;rec-number&gt;15&lt;/rec-number&gt;&lt;foreign-keys&gt;&lt;key app="EN" db-id="2aevrx2slsts5ve9sdavatf125dsx0av2v9d" timestamp="1558070547"&gt;15&lt;/key&gt;&lt;/foreign-keys&gt;&lt;ref-type name="Journal Article"&gt;17&lt;/ref-type&gt;&lt;contributors&gt;&lt;authors&gt;&lt;author&gt;Wolfe, G.I.&lt;/author&gt;&lt;author&gt;Herbelin, L.&lt;/author&gt;&lt;author&gt;Nations, S.P.&lt;/author&gt;&lt;author&gt;Foster, B.&lt;/author&gt;&lt;author&gt;Bryan, W.W.&lt;/author&gt;&lt;author&gt;Barohn, R.J.&lt;/author&gt;&lt;/authors&gt;&lt;/contributors&gt;&lt;titles&gt;&lt;title&gt;Myasthenia gravis activities of daily living profile&lt;/title&gt;&lt;secondary-title&gt;Neurology&lt;/secondary-title&gt;&lt;/titles&gt;&lt;periodical&gt;&lt;full-title&gt;Neurology&lt;/full-title&gt;&lt;/periodical&gt;&lt;pages&gt;1487-1487&lt;/pages&gt;&lt;volume&gt;52&lt;/volume&gt;&lt;number&gt;7&lt;/number&gt;&lt;dates&gt;&lt;year&gt;1999&lt;/year&gt;&lt;/dates&gt;&lt;urls&gt;&lt;/urls&gt;&lt;electronic-resource-num&gt;10.1212/wnl.52.7.1487&lt;/electronic-resource-num&gt;&lt;/record&gt;&lt;/Cite&gt;&lt;/EndNote&gt;</w:instrText>
      </w:r>
      <w:r w:rsidR="0075212A" w:rsidRPr="007D1918">
        <w:fldChar w:fldCharType="separate"/>
      </w:r>
      <w:r w:rsidR="0075212A" w:rsidRPr="007D1918">
        <w:rPr>
          <w:noProof/>
        </w:rPr>
        <w:t>(</w:t>
      </w:r>
      <w:hyperlink w:anchor="_ENREF_106" w:tooltip="Wolfe, 1999 #15" w:history="1">
        <w:r w:rsidR="007D4948" w:rsidRPr="007D1918">
          <w:rPr>
            <w:noProof/>
          </w:rPr>
          <w:t>Wolfe et al. 1999</w:t>
        </w:r>
      </w:hyperlink>
      <w:r w:rsidR="0075212A" w:rsidRPr="007D1918">
        <w:rPr>
          <w:noProof/>
        </w:rPr>
        <w:t>)</w:t>
      </w:r>
      <w:r w:rsidR="0075212A" w:rsidRPr="007D1918">
        <w:fldChar w:fldCharType="end"/>
      </w:r>
      <w:r w:rsidRPr="007D1918">
        <w:t>;</w:t>
      </w:r>
    </w:p>
    <w:p w14:paraId="25A0A786" w14:textId="79331D98" w:rsidR="00E6429D" w:rsidRPr="007D1918" w:rsidRDefault="00E6429D" w:rsidP="00E6429D">
      <w:pPr>
        <w:pStyle w:val="Tablenotes0"/>
      </w:pPr>
      <w:r w:rsidRPr="007D1918">
        <w:t xml:space="preserve">MGC = MG composite, a (5 min) score using 10 </w:t>
      </w:r>
      <w:r w:rsidR="00414B23" w:rsidRPr="007D1918">
        <w:t xml:space="preserve">items from QMGS, MG-ADL, or MMT </w:t>
      </w:r>
      <w:r w:rsidR="0075212A" w:rsidRPr="007D1918">
        <w:fldChar w:fldCharType="begin"/>
      </w:r>
      <w:r w:rsidR="003736AC" w:rsidRPr="007D1918">
        <w:instrText xml:space="preserve"> ADDIN EN.CITE &lt;EndNote&gt;&lt;Cite&gt;&lt;Author&gt;Burns&lt;/Author&gt;&lt;Year&gt;2010&lt;/Year&gt;&lt;RecNum&gt;12&lt;/RecNum&gt;&lt;DisplayText&gt;(Burns, Conaway &amp;amp; Sanders 2010)&lt;/DisplayText&gt;&lt;record&gt;&lt;rec-number&gt;12&lt;/rec-number&gt;&lt;foreign-keys&gt;&lt;key app="EN" db-id="2aevrx2slsts5ve9sdavatf125dsx0av2v9d" timestamp="1558056727"&gt;12&lt;/key&gt;&lt;/foreign-keys&gt;&lt;ref-type name="Journal Article"&gt;17&lt;/ref-type&gt;&lt;contributors&gt;&lt;authors&gt;&lt;author&gt;Burns, Ted M.&lt;/author&gt;&lt;author&gt;Conaway, Mark&lt;/author&gt;&lt;author&gt;Sanders, Donald B.&lt;/author&gt;&lt;/authors&gt;&lt;/contributors&gt;&lt;titles&gt;&lt;title&gt;The MG Composite: A valid and reliable outcome measure for myasthenia gravis&lt;/title&gt;&lt;secondary-title&gt;Neurology&lt;/secondary-title&gt;&lt;/titles&gt;&lt;periodical&gt;&lt;full-title&gt;Neurology&lt;/full-title&gt;&lt;/periodical&gt;&lt;pages&gt;1434&lt;/pages&gt;&lt;volume&gt;74&lt;/volume&gt;&lt;number&gt;18&lt;/number&gt;&lt;dates&gt;&lt;year&gt;2010&lt;/year&gt;&lt;/dates&gt;&lt;urls&gt;&lt;related-urls&gt;&lt;url&gt;http://n.neurology.org/content/74/18/1434.abstract&lt;/url&gt;&lt;url&gt;https://www.ncbi.nlm.nih.gov/pmc/articles/PMC3462556/pdf/znl1434.pdf&lt;/url&gt;&lt;/related-urls&gt;&lt;/urls&gt;&lt;electronic-resource-num&gt;10.1212/WNL.0b013e3181dc1b1e&lt;/electronic-resource-num&gt;&lt;/record&gt;&lt;/Cite&gt;&lt;/EndNote&gt;</w:instrText>
      </w:r>
      <w:r w:rsidR="0075212A" w:rsidRPr="007D1918">
        <w:fldChar w:fldCharType="separate"/>
      </w:r>
      <w:r w:rsidR="0075212A" w:rsidRPr="007D1918">
        <w:rPr>
          <w:noProof/>
        </w:rPr>
        <w:t>(</w:t>
      </w:r>
      <w:hyperlink w:anchor="_ENREF_14" w:tooltip="Burns, 2010 #12" w:history="1">
        <w:r w:rsidR="007D4948" w:rsidRPr="007D1918">
          <w:rPr>
            <w:noProof/>
          </w:rPr>
          <w:t>Burns, Conaway &amp; Sanders 2010</w:t>
        </w:r>
      </w:hyperlink>
      <w:r w:rsidR="0075212A" w:rsidRPr="007D1918">
        <w:rPr>
          <w:noProof/>
        </w:rPr>
        <w:t>)</w:t>
      </w:r>
      <w:r w:rsidR="0075212A" w:rsidRPr="007D1918">
        <w:fldChar w:fldCharType="end"/>
      </w:r>
      <w:r w:rsidRPr="007D1918">
        <w:t>;</w:t>
      </w:r>
    </w:p>
    <w:p w14:paraId="1F479147" w14:textId="7C531C28" w:rsidR="00E6429D" w:rsidRPr="007D1918" w:rsidRDefault="00E6429D" w:rsidP="00E6429D">
      <w:pPr>
        <w:pStyle w:val="Tablenotes0"/>
      </w:pPr>
      <w:r w:rsidRPr="007D1918">
        <w:t>MG-QOL-15 = Myasthenia Gravis Quality-of-life (15 question) was designed to capture the “role-physical” and “social functioning” subscale of the Short Form Health Survey. Questions (scored 0-4) about frustration, trouble using eyes, trouble eating, limitations of social activities, enjoyment of hobbies and fun activities, meeting needs of family, planning around condition, effect on occupation, difficulty speaking, trouble driving, depression, trouble walking, trouble getting around in public, feeling ove</w:t>
      </w:r>
      <w:r w:rsidR="00414B23" w:rsidRPr="007D1918">
        <w:t xml:space="preserve">rwhelmed, and personal grooming </w:t>
      </w:r>
      <w:r w:rsidR="0075212A" w:rsidRPr="007D1918">
        <w:fldChar w:fldCharType="begin"/>
      </w:r>
      <w:r w:rsidR="0075212A" w:rsidRPr="007D1918">
        <w:instrText xml:space="preserve"> ADDIN EN.CITE &lt;EndNote&gt;&lt;Cite&gt;&lt;Author&gt;Burns&lt;/Author&gt;&lt;Year&gt;2008&lt;/Year&gt;&lt;RecNum&gt;17&lt;/RecNum&gt;&lt;DisplayText&gt;(Burns et al. 2008)&lt;/DisplayText&gt;&lt;record&gt;&lt;rec-number&gt;17&lt;/rec-number&gt;&lt;foreign-keys&gt;&lt;key app="EN" db-id="2aevrx2slsts5ve9sdavatf125dsx0av2v9d" timestamp="1558070606"&gt;17&lt;/key&gt;&lt;/foreign-keys&gt;&lt;ref-type name="Journal Article"&gt;17&lt;/ref-type&gt;&lt;contributors&gt;&lt;authors&gt;&lt;author&gt;Burns, Ted M.&lt;/author&gt;&lt;author&gt;Conaway, Mark R.&lt;/author&gt;&lt;author&gt;Cutter, Gary R.&lt;/author&gt;&lt;author&gt;Sanders, Donald B.&lt;/author&gt;&lt;author&gt;The Muscle Study Group&lt;/author&gt;&lt;/authors&gt;&lt;/contributors&gt;&lt;titles&gt;&lt;title&gt;Less is more, or almost as much: A 15-item quality-of-life instrument for myasthenia gravis&lt;/title&gt;&lt;secondary-title&gt;Muscle &amp;amp; Nerve&lt;/secondary-title&gt;&lt;/titles&gt;&lt;periodical&gt;&lt;full-title&gt;Muscle &amp;amp; Nerve&lt;/full-title&gt;&lt;/periodical&gt;&lt;pages&gt;957-963&lt;/pages&gt;&lt;volume&gt;38&lt;/volume&gt;&lt;number&gt;2&lt;/number&gt;&lt;dates&gt;&lt;year&gt;2008&lt;/year&gt;&lt;/dates&gt;&lt;isbn&gt;0148-639X&lt;/isbn&gt;&lt;urls&gt;&lt;related-urls&gt;&lt;url&gt;https://onlinelibrary.wiley.com/doi/abs/10.1002/mus.21053&lt;/url&gt;&lt;url&gt;https://onlinelibrary.wiley.com/doi/pdf/10.1002/mus.21053&lt;/url&gt;&lt;/related-urls&gt;&lt;/urls&gt;&lt;electronic-resource-num&gt;10.1002/mus.21053&lt;/electronic-resource-num&gt;&lt;/record&gt;&lt;/Cite&gt;&lt;/EndNote&gt;</w:instrText>
      </w:r>
      <w:r w:rsidR="0075212A" w:rsidRPr="007D1918">
        <w:fldChar w:fldCharType="separate"/>
      </w:r>
      <w:r w:rsidR="0075212A" w:rsidRPr="007D1918">
        <w:rPr>
          <w:noProof/>
        </w:rPr>
        <w:t>(</w:t>
      </w:r>
      <w:hyperlink w:anchor="_ENREF_15" w:tooltip="Burns, 2008 #17" w:history="1">
        <w:r w:rsidR="007D4948" w:rsidRPr="007D1918">
          <w:rPr>
            <w:noProof/>
          </w:rPr>
          <w:t>Burns et al. 2008</w:t>
        </w:r>
      </w:hyperlink>
      <w:r w:rsidR="0075212A" w:rsidRPr="007D1918">
        <w:rPr>
          <w:noProof/>
        </w:rPr>
        <w:t>)</w:t>
      </w:r>
      <w:r w:rsidR="0075212A" w:rsidRPr="007D1918">
        <w:fldChar w:fldCharType="end"/>
      </w:r>
      <w:r w:rsidR="000101D8" w:rsidRPr="007D1918">
        <w:t xml:space="preserve">; </w:t>
      </w:r>
    </w:p>
    <w:p w14:paraId="179D2338" w14:textId="73CEFFFC" w:rsidR="00E6429D" w:rsidRPr="007D1918" w:rsidRDefault="00E6429D" w:rsidP="00E6429D">
      <w:pPr>
        <w:pStyle w:val="Tablenotes0"/>
      </w:pPr>
      <w:r w:rsidRPr="007D1918">
        <w:t>MG-QOL-60 = Myasthenia Gravis Quality-of-life (60 question) was derived from interviews with neuromuscular experts and MG patient focus groups and consisted of domains for Mobility, Symptoms, Emotional Well-Being, General Contentment, Thinking and Fatigue, Family/Social Wel</w:t>
      </w:r>
      <w:r w:rsidR="000101D8" w:rsidRPr="007D1918">
        <w:t xml:space="preserve">l-Being and Additional Concerns </w:t>
      </w:r>
      <w:r w:rsidR="0075212A" w:rsidRPr="007D1918">
        <w:fldChar w:fldCharType="begin">
          <w:fldData xml:space="preserve">PEVuZE5vdGU+PENpdGU+PEF1dGhvcj5CYXJuZXR0PC9BdXRob3I+PFllYXI+MjAxMzwvWWVhcj48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</w:fldData>
        </w:fldChar>
      </w:r>
      <w:r w:rsidR="0075212A" w:rsidRPr="007D1918">
        <w:instrText xml:space="preserve"> ADDIN EN.CITE </w:instrText>
      </w:r>
      <w:r w:rsidR="0075212A" w:rsidRPr="007D1918">
        <w:fldChar w:fldCharType="begin">
          <w:fldData xml:space="preserve">PEVuZE5vdGU+PENpdGU+PEF1dGhvcj5CYXJuZXR0PC9BdXRob3I+PFllYXI+MjAxMzwvWWVhcj48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</w:fldData>
        </w:fldChar>
      </w:r>
      <w:r w:rsidR="0075212A" w:rsidRPr="007D1918">
        <w:instrText xml:space="preserve"> ADDIN EN.CITE.DATA </w:instrText>
      </w:r>
      <w:r w:rsidR="0075212A" w:rsidRPr="007D1918">
        <w:fldChar w:fldCharType="end"/>
      </w:r>
      <w:r w:rsidR="0075212A" w:rsidRPr="007D1918">
        <w:fldChar w:fldCharType="separate"/>
      </w:r>
      <w:r w:rsidR="0075212A" w:rsidRPr="007D1918">
        <w:rPr>
          <w:noProof/>
        </w:rPr>
        <w:t>(</w:t>
      </w:r>
      <w:hyperlink w:anchor="_ENREF_7" w:tooltip="Barnett, 2013 #18" w:history="1">
        <w:r w:rsidR="007D4948" w:rsidRPr="007D1918">
          <w:rPr>
            <w:noProof/>
          </w:rPr>
          <w:t>Barnett et al. 2013</w:t>
        </w:r>
      </w:hyperlink>
      <w:r w:rsidR="0075212A" w:rsidRPr="007D1918">
        <w:rPr>
          <w:noProof/>
        </w:rPr>
        <w:t xml:space="preserve">; </w:t>
      </w:r>
      <w:hyperlink w:anchor="_ENREF_67" w:tooltip="Mullins, 2008 #19" w:history="1">
        <w:r w:rsidR="007D4948" w:rsidRPr="007D1918">
          <w:rPr>
            <w:noProof/>
          </w:rPr>
          <w:t>Mullins et al. 2008</w:t>
        </w:r>
      </w:hyperlink>
      <w:r w:rsidR="0075212A" w:rsidRPr="007D1918">
        <w:rPr>
          <w:noProof/>
        </w:rPr>
        <w:t>)</w:t>
      </w:r>
      <w:r w:rsidR="0075212A" w:rsidRPr="007D1918">
        <w:fldChar w:fldCharType="end"/>
      </w:r>
      <w:r w:rsidR="000101D8" w:rsidRPr="007D1918">
        <w:t>;</w:t>
      </w:r>
    </w:p>
    <w:p w14:paraId="025CC755" w14:textId="488146F1" w:rsidR="00E6429D" w:rsidRPr="007D1918" w:rsidRDefault="00E6429D" w:rsidP="00E6429D">
      <w:pPr>
        <w:pStyle w:val="Tablenotes0"/>
      </w:pPr>
      <w:r w:rsidRPr="007D1918">
        <w:t xml:space="preserve">MMS = Myasthenia muscle score is the sum of nine independent observations, four items assessing the muscular strength of the trunk and limbs and five items assessing the cranial muscles </w:t>
      </w:r>
      <w:r w:rsidRPr="007D1918">
        <w:fldChar w:fldCharType="begin">
          <w:fldData xml:space="preserve">PEVuZE5vdGU+PENpdGU+PEF1dGhvcj5HYWpkb3M8L0F1dGhvcj48WWVhcj4xOTkzPC9ZZWFyPjxS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</w:fldData>
        </w:fldChar>
      </w:r>
      <w:r w:rsidR="0075212A" w:rsidRPr="007D1918">
        <w:instrText xml:space="preserve"> ADDIN EN.CITE </w:instrText>
      </w:r>
      <w:r w:rsidR="0075212A" w:rsidRPr="007D1918">
        <w:fldChar w:fldCharType="begin">
          <w:fldData xml:space="preserve">PEVuZE5vdGU+PENpdGU+PEF1dGhvcj5HYWpkb3M8L0F1dGhvcj48WWVhcj4xOTkzPC9ZZWFyPjxS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</w:fldData>
        </w:fldChar>
      </w:r>
      <w:r w:rsidR="0075212A" w:rsidRPr="007D1918">
        <w:instrText xml:space="preserve"> ADDIN EN.CITE.DATA </w:instrText>
      </w:r>
      <w:r w:rsidR="0075212A" w:rsidRPr="007D1918">
        <w:fldChar w:fldCharType="end"/>
      </w:r>
      <w:r w:rsidRPr="007D1918">
        <w:fldChar w:fldCharType="separate"/>
      </w:r>
      <w:r w:rsidRPr="007D1918">
        <w:rPr>
          <w:noProof/>
        </w:rPr>
        <w:t>(</w:t>
      </w:r>
      <w:hyperlink w:anchor="_ENREF_34" w:tooltip="Gajdos, 1993 #32" w:history="1">
        <w:r w:rsidR="007D4948" w:rsidRPr="007D1918">
          <w:rPr>
            <w:noProof/>
          </w:rPr>
          <w:t>Gajdos et al. 1993</w:t>
        </w:r>
      </w:hyperlink>
      <w:r w:rsidRPr="007D1918">
        <w:rPr>
          <w:noProof/>
        </w:rPr>
        <w:t xml:space="preserve">; </w:t>
      </w:r>
      <w:hyperlink w:anchor="_ENREF_90" w:tooltip="Sharshar, 2000 #11" w:history="1">
        <w:r w:rsidR="007D4948" w:rsidRPr="007D1918">
          <w:rPr>
            <w:noProof/>
          </w:rPr>
          <w:t>Sharshar et al. 2000</w:t>
        </w:r>
      </w:hyperlink>
      <w:r w:rsidRPr="007D1918">
        <w:rPr>
          <w:noProof/>
        </w:rPr>
        <w:t>)</w:t>
      </w:r>
      <w:r w:rsidRPr="007D1918">
        <w:fldChar w:fldCharType="end"/>
      </w:r>
      <w:r w:rsidRPr="007D1918">
        <w:t>;</w:t>
      </w:r>
    </w:p>
    <w:p w14:paraId="3C57ACE5" w14:textId="4B1C5CC6" w:rsidR="00E6429D" w:rsidRPr="007D1918" w:rsidRDefault="00E6429D" w:rsidP="00E6429D">
      <w:pPr>
        <w:pStyle w:val="Tablenotes0"/>
      </w:pPr>
      <w:r w:rsidRPr="007D1918">
        <w:t xml:space="preserve">MMT = Manual muscle test is the sum of strength or function values assigned by the examining physician to 30 muscle groups usually affected by MG </w:t>
      </w:r>
      <w:r w:rsidRPr="007D1918">
        <w:fldChar w:fldCharType="begin"/>
      </w:r>
      <w:r w:rsidRPr="007D1918">
        <w:instrText xml:space="preserve"> ADDIN EN.CITE &lt;EndNote&gt;&lt;Cite&gt;&lt;Author&gt;Sanders&lt;/Author&gt;&lt;Year&gt;2003&lt;/Year&gt;&lt;RecNum&gt;37&lt;/RecNum&gt;&lt;DisplayText&gt;(Sanders, Tucker-Lipscomb &amp;amp; Massey 2003)&lt;/DisplayText&gt;&lt;record&gt;&lt;rec-number&gt;37&lt;/rec-number&gt;&lt;foreign-keys&gt;&lt;key app="EN" db-id="55asxxzxd299xmesfx4v92s4aefvpexptxex" timestamp="1557966932"&gt;37&lt;/key&gt;&lt;/foreign-keys&gt;&lt;ref-type name="Journal Article"&gt;17&lt;/ref-type&gt;&lt;contributors&gt;&lt;authors&gt;&lt;author&gt;Sanders, D. B.&lt;/author&gt;&lt;author&gt;Tucker-Lipscomb, B.&lt;/author&gt;&lt;author&gt;Massey, J. M.&lt;/author&gt;&lt;/authors&gt;&lt;/contributors&gt;&lt;auth-address&gt;Duke University Medical Center, Durham, North Carolina 27710, USA. donald.sanders@duke.edu&lt;/auth-address&gt;&lt;titles&gt;&lt;title&gt;A simple manual muscle test for myasthenia gravis: validation and comparison with the QMG score&lt;/title&gt;&lt;secondary-title&gt;Ann N Y Acad Sci&lt;/secondary-title&gt;&lt;/titles&gt;&lt;periodical&gt;&lt;full-title&gt;Ann N Y Acad Sci&lt;/full-title&gt;&lt;/periodical&gt;&lt;pages&gt;440-4&lt;/pages&gt;&lt;volume&gt;998&lt;/volume&gt;&lt;edition&gt;2003/11/01&lt;/edition&gt;&lt;keywords&gt;&lt;keyword&gt;Humans&lt;/keyword&gt;&lt;keyword&gt;Linear Models&lt;/keyword&gt;&lt;keyword&gt;Muscles/ physiopathology&lt;/keyword&gt;&lt;keyword&gt;Myasthenia Gravis/ diagnosis/physiopathology&lt;/keyword&gt;&lt;keyword&gt;Neurologic Examination/statistics &amp;amp; numerical data&lt;/keyword&gt;&lt;keyword&gt;Reproducibility of Results&lt;/keyword&gt;&lt;keyword&gt;Severity of Illness Index&lt;/keyword&gt;&lt;keyword&gt;Weights and Measures&lt;/keyword&gt;&lt;/keywords&gt;&lt;dates&gt;&lt;year&gt;2003&lt;/year&gt;&lt;pub-dates&gt;&lt;date&gt;Sep&lt;/date&gt;&lt;/pub-dates&gt;&lt;/dates&gt;&lt;isbn&gt;0077-8923 (Print)&amp;#xD;0077-8923 (Linking)&lt;/isbn&gt;&lt;accession-num&gt;14592912&lt;/accession-num&gt;&lt;urls&gt;&lt;related-urls&gt;&lt;url&gt;https://nyaspubs.onlinelibrary.wiley.com/doi/pdf/10.1196/annals.1254.057&lt;/url&gt;&lt;/related-urls&gt;&lt;/urls&gt;&lt;remote-database-provider&gt;NLM&lt;/remote-database-provider&gt;&lt;language&gt;eng&lt;/language&gt;&lt;/record&gt;&lt;/Cite&gt;&lt;/EndNote&gt;</w:instrText>
      </w:r>
      <w:r w:rsidRPr="007D1918">
        <w:fldChar w:fldCharType="separate"/>
      </w:r>
      <w:r w:rsidRPr="007D1918">
        <w:t>(</w:t>
      </w:r>
      <w:hyperlink w:anchor="_ENREF_86" w:tooltip="Sanders, 2003 #37" w:history="1">
        <w:r w:rsidR="007D4948" w:rsidRPr="007D1918">
          <w:t>Sanders, Tucker-Lipscomb &amp; Massey 2003</w:t>
        </w:r>
      </w:hyperlink>
      <w:r w:rsidRPr="007D1918">
        <w:t>)</w:t>
      </w:r>
      <w:r w:rsidRPr="007D1918">
        <w:fldChar w:fldCharType="end"/>
      </w:r>
      <w:r w:rsidRPr="007D1918">
        <w:t xml:space="preserve">; </w:t>
      </w:r>
    </w:p>
    <w:p w14:paraId="398109F6" w14:textId="2667E415" w:rsidR="002D747E" w:rsidRPr="007D1918" w:rsidRDefault="002D747E" w:rsidP="00E6429D">
      <w:pPr>
        <w:pStyle w:val="Tablenotes0"/>
      </w:pPr>
      <w:r w:rsidRPr="007D1918">
        <w:t>mRS = modified Rankin severity scale</w:t>
      </w:r>
    </w:p>
    <w:p w14:paraId="0A909CB2" w14:textId="10B402E9" w:rsidR="00E6429D" w:rsidRPr="007D1918" w:rsidRDefault="00E6429D" w:rsidP="00E6429D">
      <w:pPr>
        <w:pStyle w:val="Tablenotes0"/>
      </w:pPr>
      <w:r w:rsidRPr="007D1918">
        <w:t xml:space="preserve">MSS = Myasthenia severity scale; dyspnoea: 1 (intubated) to 4 (none), cough: 1 (intubated) to 3 (normal), Ocular: 1 (weakness at rest) to 3 (none), Bulbar 1 (weakness at rest) to 3 (none), Extremities: 1 = worst affected muscle 3/5 or less, 2 = worst affected muscle 4/5 motor strength or weakness on fatigue, 3 = no detectable weakness </w:t>
      </w:r>
      <w:r w:rsidRPr="007D1918">
        <w:fldChar w:fldCharType="begin"/>
      </w:r>
      <w:r w:rsidR="00C437BA" w:rsidRPr="007D1918">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Pr="007D1918">
        <w:fldChar w:fldCharType="separate"/>
      </w:r>
      <w:r w:rsidRPr="007D1918">
        <w:rPr>
          <w:noProof/>
        </w:rPr>
        <w:t>(</w:t>
      </w:r>
      <w:hyperlink w:anchor="_ENREF_80" w:tooltip="Qureshi, 1999 #40" w:history="1">
        <w:r w:rsidR="007D4948" w:rsidRPr="007D1918">
          <w:rPr>
            <w:noProof/>
          </w:rPr>
          <w:t>Qureshi et al. 1999</w:t>
        </w:r>
      </w:hyperlink>
      <w:r w:rsidRPr="007D1918">
        <w:rPr>
          <w:noProof/>
        </w:rPr>
        <w:t>)</w:t>
      </w:r>
      <w:r w:rsidRPr="007D1918">
        <w:fldChar w:fldCharType="end"/>
      </w:r>
      <w:r w:rsidRPr="007D1918">
        <w:t xml:space="preserve">; </w:t>
      </w:r>
    </w:p>
    <w:p w14:paraId="68D8186D" w14:textId="50238F3F" w:rsidR="00E6429D" w:rsidRPr="007D1918" w:rsidRDefault="00E6429D" w:rsidP="00E6429D">
      <w:pPr>
        <w:pStyle w:val="Tablenotes0"/>
      </w:pPr>
      <w:r w:rsidRPr="007D1918">
        <w:t>QMGS = Quantitative MG score includes 13 items about the onset time of diplopia, blepharoptosis, the strength to close the lips, swallow and vocalize, duration of the outstretched times of both arms and legs, vital capacity, grip of both hands, time to raise head in horizontal position. Each item was graded on a scale of 0 (normal), light (</w:t>
      </w:r>
      <w:r w:rsidR="003057BF" w:rsidRPr="007D1918">
        <w:t>1), medium (2) and severe (3).</w:t>
      </w:r>
      <w:r w:rsidRPr="007D1918">
        <w:fldChar w:fldCharType="begin"/>
      </w:r>
      <w:r w:rsidR="0075212A" w:rsidRPr="007D1918">
        <w:instrText xml:space="preserve"> ADDIN EN.CITE &lt;EndNote&gt;&lt;Cite&gt;&lt;Author&gt;Jaretzki&lt;/Author&gt;&lt;Year&gt;2000&lt;/Year&gt;&lt;RecNum&gt;10&lt;/RecNum&gt;&lt;DisplayText&gt;(Jaretzki et al. 2000)&lt;/DisplayText&gt;&lt;record&gt;&lt;rec-number&gt;10&lt;/rec-number&gt;&lt;foreign-keys&gt;&lt;key app="EN" db-id="2aevrx2slsts5ve9sdavatf125dsx0av2v9d" timestamp="1558054083"&gt;10&lt;/key&gt;&lt;/foreign-keys&gt;&lt;ref-type name="Journal Article"&gt;17&lt;/ref-type&gt;&lt;contributors&gt;&lt;authors&gt;&lt;author&gt;Jaretzki, A.&lt;/author&gt;&lt;author&gt;Barohn, R.J.&lt;/author&gt;&lt;author&gt;Ernstoff, R.M.&lt;/author&gt;&lt;author&gt;Kaminski, H.J.&lt;/author&gt;&lt;author&gt;Keesey, J.C.&lt;/author&gt;&lt;author&gt;Penn, A.S.&lt;/author&gt;&lt;author&gt;Sanders, D.B.&lt;/author&gt;&lt;/authors&gt;&lt;/contributors&gt;&lt;titles&gt;&lt;title&gt;Myasthenia gravis: Recommendations for clinical research standards: Task Force of the Medical Scientific Advisory Board of the Myasthenia Gravis Foundation of America&lt;/title&gt;&lt;secondary-title&gt;Neurology&lt;/secondary-title&gt;&lt;/titles&gt;&lt;periodical&gt;&lt;full-title&gt;Neurology&lt;/full-title&gt;&lt;/periodical&gt;&lt;pages&gt;16-23&lt;/pages&gt;&lt;volume&gt;55&lt;/volume&gt;&lt;number&gt;1&lt;/number&gt;&lt;dates&gt;&lt;year&gt;2000&lt;/year&gt;&lt;/dates&gt;&lt;urls&gt;&lt;related-urls&gt;&lt;url&gt;https://n.neurology.org/content/neurology/55/1/16.full.pdf&lt;/url&gt;&lt;url&gt;https://n.neurology.org/content/55/1/16.long&lt;/url&gt;&lt;/related-urls&gt;&lt;/urls&gt;&lt;electronic-resource-num&gt;10.1212/wnl.55.1.16&lt;/electronic-resource-num&gt;&lt;/record&gt;&lt;/Cite&gt;&lt;/EndNote&gt;</w:instrText>
      </w:r>
      <w:r w:rsidRPr="007D1918">
        <w:fldChar w:fldCharType="separate"/>
      </w:r>
      <w:r w:rsidRPr="007D1918">
        <w:rPr>
          <w:noProof/>
        </w:rPr>
        <w:t>(</w:t>
      </w:r>
      <w:hyperlink w:anchor="_ENREF_55" w:tooltip="Jaretzki, 2000 #10" w:history="1">
        <w:r w:rsidR="007D4948" w:rsidRPr="007D1918">
          <w:rPr>
            <w:noProof/>
          </w:rPr>
          <w:t>Jaretzki et al. 2000</w:t>
        </w:r>
      </w:hyperlink>
      <w:r w:rsidRPr="007D1918">
        <w:rPr>
          <w:noProof/>
        </w:rPr>
        <w:t>)</w:t>
      </w:r>
      <w:r w:rsidRPr="007D1918">
        <w:fldChar w:fldCharType="end"/>
      </w:r>
    </w:p>
    <w:p w14:paraId="3E921DEC" w14:textId="77777777" w:rsidR="00E6429D" w:rsidRPr="007D1918" w:rsidRDefault="00E6429D" w:rsidP="0060025E"/>
    <w:p w14:paraId="700C119F" w14:textId="77777777" w:rsidR="00E6429D" w:rsidRPr="007D1918" w:rsidRDefault="00E6429D" w:rsidP="0060025E">
      <w:pPr>
        <w:sectPr w:rsidR="00E6429D" w:rsidRPr="007D1918" w:rsidSect="00945DB8">
          <w:headerReference w:type="even" r:id="rId41"/>
          <w:headerReference w:type="default" r:id="rId42"/>
          <w:headerReference w:type="first" r:id="rId43"/>
          <w:pgSz w:w="16838" w:h="11906" w:orient="landscape"/>
          <w:pgMar w:top="1440" w:right="1440" w:bottom="1440" w:left="1440" w:header="720" w:footer="720" w:gutter="0"/>
          <w:paperSrc w:first="2" w:other="2"/>
          <w:cols w:space="720"/>
          <w:docGrid w:linePitch="299"/>
        </w:sectPr>
      </w:pPr>
    </w:p>
    <w:p w14:paraId="1AB002B7" w14:textId="2FDB8A14" w:rsidR="00214F7B" w:rsidRPr="007D1918" w:rsidRDefault="00214F7B" w:rsidP="00CE3A8B">
      <w:pPr>
        <w:pStyle w:val="Heading2"/>
        <w:numPr>
          <w:ilvl w:val="1"/>
          <w:numId w:val="10"/>
        </w:numPr>
      </w:pPr>
      <w:bookmarkStart w:id="207" w:name="_Toc23766962"/>
      <w:bookmarkStart w:id="208" w:name="_Toc122538326"/>
      <w:bookmarkStart w:id="209" w:name="_Toc143663862"/>
      <w:bookmarkStart w:id="210" w:name="_Ref144697268"/>
      <w:bookmarkStart w:id="211" w:name="_Ref144697275"/>
      <w:r w:rsidRPr="007D1918">
        <w:lastRenderedPageBreak/>
        <w:t xml:space="preserve">Results of the Systematic Literature </w:t>
      </w:r>
      <w:r w:rsidR="00751241" w:rsidRPr="007D1918">
        <w:t>Review</w:t>
      </w:r>
      <w:bookmarkEnd w:id="207"/>
    </w:p>
    <w:p w14:paraId="6D64DF20" w14:textId="39901E03" w:rsidR="008F59A8" w:rsidRPr="007D1918" w:rsidRDefault="008F59A8" w:rsidP="00DF343F">
      <w:pPr>
        <w:pStyle w:val="Heading2"/>
        <w:jc w:val="both"/>
      </w:pPr>
      <w:bookmarkStart w:id="212" w:name="_Toc23766963"/>
      <w:bookmarkEnd w:id="175"/>
      <w:bookmarkEnd w:id="208"/>
      <w:bookmarkEnd w:id="209"/>
      <w:bookmarkEnd w:id="210"/>
      <w:bookmarkEnd w:id="211"/>
      <w:r w:rsidRPr="007D1918">
        <w:t>Is it safe?</w:t>
      </w:r>
      <w:bookmarkEnd w:id="176"/>
      <w:bookmarkEnd w:id="212"/>
      <w:r w:rsidRPr="007D1918">
        <w:t xml:space="preserve"> </w:t>
      </w:r>
      <w:bookmarkEnd w:id="177"/>
    </w:p>
    <w:p w14:paraId="51D0B4C0" w14:textId="255C4DEE" w:rsidR="00A6596E" w:rsidRPr="007D1918" w:rsidRDefault="00A6596E" w:rsidP="005C061E">
      <w:pPr>
        <w:pStyle w:val="Summaryboxheading"/>
        <w:pBdr>
          <w:top w:val="single" w:sz="4" w:space="1" w:color="auto"/>
          <w:left w:val="single" w:sz="4" w:space="4" w:color="auto"/>
          <w:bottom w:val="single" w:sz="4" w:space="1" w:color="auto"/>
          <w:right w:val="single" w:sz="4" w:space="4" w:color="auto"/>
        </w:pBdr>
        <w:jc w:val="both"/>
      </w:pPr>
      <w:r w:rsidRPr="007D1918">
        <w:t xml:space="preserve">Summary – </w:t>
      </w:r>
      <w:r w:rsidR="004C1D35" w:rsidRPr="007D1918">
        <w:t>What i</w:t>
      </w:r>
      <w:r w:rsidR="005D6081" w:rsidRPr="007D1918">
        <w:t xml:space="preserve">s </w:t>
      </w:r>
      <w:r w:rsidR="004C1D35" w:rsidRPr="007D1918">
        <w:t xml:space="preserve">the safety of </w:t>
      </w:r>
      <w:r w:rsidR="005D6081" w:rsidRPr="007D1918">
        <w:t xml:space="preserve">IVIg </w:t>
      </w:r>
      <w:r w:rsidR="004C1D35" w:rsidRPr="007D1918">
        <w:t>compared to</w:t>
      </w:r>
      <w:r w:rsidR="005D6081" w:rsidRPr="007D1918">
        <w:t xml:space="preserve"> PE for patients with MG?</w:t>
      </w:r>
    </w:p>
    <w:p w14:paraId="2B4B2CA1" w14:textId="77777777" w:rsidR="00DD6AE5" w:rsidRPr="007D1918" w:rsidRDefault="00DD6AE5" w:rsidP="00DD6AE5">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 xml:space="preserve">Although there were many studies contributing to the evidence base for safety, most of the studies were quite small. This is especially true for the higher level studies (RCTs) which were almost certainly too small to identify rare AEs, or to compare groups on rates of AEs. The larger cohort studies were of more appropriate size to identify AEs, and were consistent with the RCTs in finding fewer AEs in the patients undergoing IVIg. However, as patients were not randomised in the observational studies, there is likely to be confounding due to clinical condition of the participants. </w:t>
      </w:r>
    </w:p>
    <w:p w14:paraId="782274C6" w14:textId="1AA7DB69" w:rsidR="005D6081" w:rsidRPr="007D1918" w:rsidRDefault="005D6081" w:rsidP="005C061E">
      <w:pPr>
        <w:pStyle w:val="Summaryboxheading"/>
        <w:pBdr>
          <w:top w:val="single" w:sz="4" w:space="1" w:color="auto"/>
          <w:left w:val="single" w:sz="4" w:space="4" w:color="auto"/>
          <w:bottom w:val="single" w:sz="4" w:space="1" w:color="auto"/>
          <w:right w:val="single" w:sz="4" w:space="4" w:color="auto"/>
        </w:pBdr>
        <w:jc w:val="both"/>
      </w:pPr>
      <w:r w:rsidRPr="007D1918">
        <w:t xml:space="preserve">Indication 1: </w:t>
      </w:r>
      <w:r w:rsidR="004C1D35" w:rsidRPr="007D1918">
        <w:t>P</w:t>
      </w:r>
      <w:r w:rsidRPr="007D1918">
        <w:t>atients in or at risk of myasthenic crisis</w:t>
      </w:r>
    </w:p>
    <w:p w14:paraId="1C69E9EF" w14:textId="144CEAD9" w:rsidR="005D6081" w:rsidRPr="007D1918" w:rsidRDefault="00DD6AE5" w:rsidP="005C061E">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Overall, t</w:t>
      </w:r>
      <w:r w:rsidR="005D6081" w:rsidRPr="007D1918">
        <w:rPr>
          <w:b w:val="0"/>
        </w:rPr>
        <w:t xml:space="preserve">here </w:t>
      </w:r>
      <w:r w:rsidRPr="007D1918">
        <w:rPr>
          <w:b w:val="0"/>
        </w:rPr>
        <w:t>were</w:t>
      </w:r>
      <w:r w:rsidR="005D6081" w:rsidRPr="007D1918">
        <w:rPr>
          <w:b w:val="0"/>
        </w:rPr>
        <w:t xml:space="preserve"> fewer adverse events for patients given IVIg comp</w:t>
      </w:r>
      <w:r w:rsidR="009A22BD" w:rsidRPr="007D1918">
        <w:rPr>
          <w:b w:val="0"/>
        </w:rPr>
        <w:t>a</w:t>
      </w:r>
      <w:r w:rsidR="005D6081" w:rsidRPr="007D1918">
        <w:rPr>
          <w:b w:val="0"/>
        </w:rPr>
        <w:t>red to those given PE</w:t>
      </w:r>
      <w:r w:rsidR="009A22BD" w:rsidRPr="007D1918">
        <w:rPr>
          <w:b w:val="0"/>
        </w:rPr>
        <w:t xml:space="preserve">, but some events </w:t>
      </w:r>
      <w:r w:rsidR="003A2FA6" w:rsidRPr="007D1918">
        <w:rPr>
          <w:b w:val="0"/>
        </w:rPr>
        <w:t xml:space="preserve">were </w:t>
      </w:r>
      <w:r w:rsidR="009A22BD" w:rsidRPr="007D1918">
        <w:rPr>
          <w:b w:val="0"/>
        </w:rPr>
        <w:t>more common to particular treatments</w:t>
      </w:r>
      <w:r w:rsidR="005D6081" w:rsidRPr="007D1918">
        <w:rPr>
          <w:b w:val="0"/>
        </w:rPr>
        <w:t xml:space="preserve">. </w:t>
      </w:r>
      <w:r w:rsidR="00604EAC" w:rsidRPr="007D1918">
        <w:rPr>
          <w:b w:val="0"/>
        </w:rPr>
        <w:t>T</w:t>
      </w:r>
      <w:r w:rsidR="009A22BD" w:rsidRPr="007D1918">
        <w:rPr>
          <w:b w:val="0"/>
        </w:rPr>
        <w:t xml:space="preserve">his </w:t>
      </w:r>
      <w:r w:rsidR="00EB6BE1" w:rsidRPr="007D1918">
        <w:rPr>
          <w:b w:val="0"/>
        </w:rPr>
        <w:t>result</w:t>
      </w:r>
      <w:r w:rsidR="009A22BD" w:rsidRPr="007D1918">
        <w:rPr>
          <w:b w:val="0"/>
        </w:rPr>
        <w:t xml:space="preserve"> may by unreliable </w:t>
      </w:r>
      <w:r w:rsidR="00EB6BE1" w:rsidRPr="007D1918">
        <w:rPr>
          <w:b w:val="0"/>
        </w:rPr>
        <w:t xml:space="preserve">due to selection bias, </w:t>
      </w:r>
      <w:r w:rsidR="009A22BD" w:rsidRPr="007D1918">
        <w:rPr>
          <w:b w:val="0"/>
        </w:rPr>
        <w:t xml:space="preserve">as the literature indicates that PE is the favoured treatment for patients in crisis and in need of intubation, as it appears to </w:t>
      </w:r>
      <w:r w:rsidR="006D6421" w:rsidRPr="007D1918">
        <w:rPr>
          <w:b w:val="0"/>
        </w:rPr>
        <w:t>achieve a quicker response tha</w:t>
      </w:r>
      <w:r w:rsidRPr="007D1918">
        <w:rPr>
          <w:b w:val="0"/>
        </w:rPr>
        <w:t>n</w:t>
      </w:r>
      <w:r w:rsidR="009A22BD" w:rsidRPr="007D1918">
        <w:rPr>
          <w:b w:val="0"/>
        </w:rPr>
        <w:t xml:space="preserve"> IVIg.</w:t>
      </w:r>
    </w:p>
    <w:p w14:paraId="07A55354" w14:textId="25948887" w:rsidR="005D6081" w:rsidRPr="007D1918" w:rsidRDefault="005D6081" w:rsidP="005C061E">
      <w:pPr>
        <w:pStyle w:val="Summaryboxheading"/>
        <w:pBdr>
          <w:top w:val="single" w:sz="4" w:space="1" w:color="auto"/>
          <w:left w:val="single" w:sz="4" w:space="4" w:color="auto"/>
          <w:bottom w:val="single" w:sz="4" w:space="1" w:color="auto"/>
          <w:right w:val="single" w:sz="4" w:space="4" w:color="auto"/>
        </w:pBdr>
        <w:jc w:val="both"/>
      </w:pPr>
      <w:r w:rsidRPr="007D1918">
        <w:t>Indication 2: Patients with MG preparing for surgery</w:t>
      </w:r>
    </w:p>
    <w:p w14:paraId="5E2AA8A4" w14:textId="08E709B7" w:rsidR="005D6081" w:rsidRPr="007D1918" w:rsidRDefault="009A22BD" w:rsidP="005C061E">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There was evidence indicating that more patients require</w:t>
      </w:r>
      <w:r w:rsidR="00EB6BE1" w:rsidRPr="007D1918">
        <w:rPr>
          <w:b w:val="0"/>
        </w:rPr>
        <w:t>d</w:t>
      </w:r>
      <w:r w:rsidRPr="007D1918">
        <w:rPr>
          <w:b w:val="0"/>
        </w:rPr>
        <w:t xml:space="preserve"> intubation and experience</w:t>
      </w:r>
      <w:r w:rsidR="00EB6BE1" w:rsidRPr="007D1918">
        <w:rPr>
          <w:b w:val="0"/>
        </w:rPr>
        <w:t>d</w:t>
      </w:r>
      <w:r w:rsidRPr="007D1918">
        <w:rPr>
          <w:b w:val="0"/>
        </w:rPr>
        <w:t xml:space="preserve"> post-operative crisis on PE compared to IVIg, but the results may be confounded by the preference to use PE in myasthenic crisis. </w:t>
      </w:r>
    </w:p>
    <w:p w14:paraId="4E465A90" w14:textId="45239974" w:rsidR="005D6081" w:rsidRPr="007D1918" w:rsidRDefault="005D6081" w:rsidP="005C061E">
      <w:pPr>
        <w:pStyle w:val="Summaryboxheading"/>
        <w:pBdr>
          <w:top w:val="single" w:sz="4" w:space="1" w:color="auto"/>
          <w:left w:val="single" w:sz="4" w:space="4" w:color="auto"/>
          <w:bottom w:val="single" w:sz="4" w:space="1" w:color="auto"/>
          <w:right w:val="single" w:sz="4" w:space="4" w:color="auto"/>
        </w:pBdr>
        <w:jc w:val="both"/>
      </w:pPr>
      <w:r w:rsidRPr="007D1918">
        <w:t xml:space="preserve">Indication 3: </w:t>
      </w:r>
      <w:r w:rsidR="004C1D35" w:rsidRPr="007D1918">
        <w:t>P</w:t>
      </w:r>
      <w:r w:rsidRPr="007D1918">
        <w:t xml:space="preserve">atients </w:t>
      </w:r>
      <w:r w:rsidR="004C1D35" w:rsidRPr="007D1918">
        <w:t>needing to change</w:t>
      </w:r>
      <w:r w:rsidRPr="007D1918">
        <w:t xml:space="preserve"> </w:t>
      </w:r>
      <w:r w:rsidR="009A22BD" w:rsidRPr="007D1918">
        <w:t>m</w:t>
      </w:r>
      <w:r w:rsidRPr="007D1918">
        <w:t>aintenance therapy for MG</w:t>
      </w:r>
    </w:p>
    <w:p w14:paraId="7339810A" w14:textId="223CD52F" w:rsidR="00723249" w:rsidRPr="007D1918" w:rsidRDefault="00723249" w:rsidP="005C061E">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There was insufficient evidence to make conclusions about the safety of IVIg compared to standard therapies</w:t>
      </w:r>
      <w:r w:rsidR="007A60BB" w:rsidRPr="007D1918">
        <w:rPr>
          <w:b w:val="0"/>
        </w:rPr>
        <w:t xml:space="preserve"> other than PE</w:t>
      </w:r>
      <w:r w:rsidRPr="007D1918">
        <w:rPr>
          <w:b w:val="0"/>
        </w:rPr>
        <w:t>.</w:t>
      </w:r>
    </w:p>
    <w:p w14:paraId="7C0D3700" w14:textId="09D5C679" w:rsidR="005D6081" w:rsidRPr="007D1918" w:rsidRDefault="003354E8" w:rsidP="005C061E">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 xml:space="preserve">In </w:t>
      </w:r>
      <w:r w:rsidR="004C1D35" w:rsidRPr="007D1918">
        <w:rPr>
          <w:b w:val="0"/>
        </w:rPr>
        <w:t>adults</w:t>
      </w:r>
      <w:r w:rsidRPr="007D1918">
        <w:rPr>
          <w:b w:val="0"/>
        </w:rPr>
        <w:t>, t</w:t>
      </w:r>
      <w:r w:rsidR="009A22BD" w:rsidRPr="007D1918">
        <w:rPr>
          <w:b w:val="0"/>
        </w:rPr>
        <w:t xml:space="preserve">here </w:t>
      </w:r>
      <w:r w:rsidR="00DD6AE5" w:rsidRPr="007D1918">
        <w:rPr>
          <w:b w:val="0"/>
        </w:rPr>
        <w:t xml:space="preserve">were </w:t>
      </w:r>
      <w:r w:rsidR="009A22BD" w:rsidRPr="007D1918">
        <w:rPr>
          <w:b w:val="0"/>
        </w:rPr>
        <w:t xml:space="preserve">significantly more headaches and vomiting in the IVIg maintenance patients, and more venous access problems (citrate reaction, restricted venous access so as to delay treatment and vasospasm) in the PE patients, but overall there were no differences between groups for minor AEs. There were too few serious AEs to conclude either treatment was </w:t>
      </w:r>
      <w:r w:rsidR="00FA22BB" w:rsidRPr="007D1918">
        <w:rPr>
          <w:b w:val="0"/>
        </w:rPr>
        <w:t>safer</w:t>
      </w:r>
      <w:r w:rsidR="009A22BD" w:rsidRPr="007D1918">
        <w:rPr>
          <w:b w:val="0"/>
        </w:rPr>
        <w:t xml:space="preserve"> than the other.</w:t>
      </w:r>
    </w:p>
    <w:p w14:paraId="5FA2F9FE" w14:textId="237DCB66" w:rsidR="003354E8" w:rsidRPr="007D1918" w:rsidRDefault="001611F7" w:rsidP="005C061E">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In children there were no significant differen</w:t>
      </w:r>
      <w:r w:rsidR="002803CD" w:rsidRPr="007D1918">
        <w:rPr>
          <w:b w:val="0"/>
        </w:rPr>
        <w:t>c</w:t>
      </w:r>
      <w:r w:rsidRPr="007D1918">
        <w:rPr>
          <w:b w:val="0"/>
        </w:rPr>
        <w:t>es in the rate of AE</w:t>
      </w:r>
      <w:r w:rsidR="00DD6AE5" w:rsidRPr="007D1918">
        <w:rPr>
          <w:b w:val="0"/>
        </w:rPr>
        <w:t>s</w:t>
      </w:r>
      <w:r w:rsidRPr="007D1918">
        <w:rPr>
          <w:b w:val="0"/>
        </w:rPr>
        <w:t xml:space="preserve"> between those receiving IVIg and PE, but this result may be </w:t>
      </w:r>
      <w:r w:rsidR="002803CD" w:rsidRPr="007D1918">
        <w:rPr>
          <w:b w:val="0"/>
        </w:rPr>
        <w:t>u</w:t>
      </w:r>
      <w:r w:rsidRPr="007D1918">
        <w:rPr>
          <w:b w:val="0"/>
        </w:rPr>
        <w:t>nreliable due to the small study sizes.</w:t>
      </w:r>
    </w:p>
    <w:p w14:paraId="4EB319C4" w14:textId="1BF66068" w:rsidR="00A6596E" w:rsidRPr="007D1918" w:rsidRDefault="001611F7" w:rsidP="001611F7">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A large proportion of patients receiving SCIg experience</w:t>
      </w:r>
      <w:r w:rsidR="00EB6BE1" w:rsidRPr="007D1918">
        <w:rPr>
          <w:b w:val="0"/>
        </w:rPr>
        <w:t>d</w:t>
      </w:r>
      <w:r w:rsidRPr="007D1918">
        <w:rPr>
          <w:b w:val="0"/>
        </w:rPr>
        <w:t xml:space="preserve"> headaches, injection site reaction and nausea, but there </w:t>
      </w:r>
      <w:r w:rsidR="00EB6BE1" w:rsidRPr="007D1918">
        <w:rPr>
          <w:b w:val="0"/>
        </w:rPr>
        <w:t>were</w:t>
      </w:r>
      <w:r w:rsidRPr="007D1918">
        <w:rPr>
          <w:b w:val="0"/>
        </w:rPr>
        <w:t xml:space="preserve"> few serious AEs.</w:t>
      </w:r>
    </w:p>
    <w:p w14:paraId="26C17534" w14:textId="3D335BF1" w:rsidR="00FA22BB" w:rsidRPr="007D1918" w:rsidRDefault="00AB2926" w:rsidP="003C5650">
      <w:pPr>
        <w:jc w:val="both"/>
      </w:pPr>
      <w:r w:rsidRPr="007D1918">
        <w:lastRenderedPageBreak/>
        <w:t xml:space="preserve">A summary of the evidence included for safety of IVIg for </w:t>
      </w:r>
      <w:r w:rsidR="0088065E" w:rsidRPr="007D1918">
        <w:rPr>
          <w:i/>
        </w:rPr>
        <w:t>Criteria V3</w:t>
      </w:r>
      <w:r w:rsidR="0088065E" w:rsidRPr="007D1918">
        <w:t xml:space="preserve"> </w:t>
      </w:r>
      <w:r w:rsidRPr="007D1918">
        <w:t>Indications 1 and 2 and IVIg or SCIg for Indication 3 is provided in</w:t>
      </w:r>
      <w:r w:rsidR="00F70859" w:rsidRPr="007D1918">
        <w:t xml:space="preserve"> </w:t>
      </w:r>
      <w:r w:rsidR="001670DD" w:rsidRPr="007D1918">
        <w:fldChar w:fldCharType="begin"/>
      </w:r>
      <w:r w:rsidR="001670DD" w:rsidRPr="007D1918">
        <w:instrText xml:space="preserve"> REF _Ref399236533 \h  \* MERGEFORMAT </w:instrText>
      </w:r>
      <w:r w:rsidR="001670DD" w:rsidRPr="007D1918">
        <w:fldChar w:fldCharType="separate"/>
      </w:r>
      <w:r w:rsidR="00001635" w:rsidRPr="007D1918">
        <w:t xml:space="preserve">Table </w:t>
      </w:r>
      <w:r w:rsidR="00001635" w:rsidRPr="007D1918">
        <w:rPr>
          <w:noProof/>
        </w:rPr>
        <w:t>11</w:t>
      </w:r>
      <w:r w:rsidR="001670DD" w:rsidRPr="007D1918">
        <w:fldChar w:fldCharType="end"/>
      </w:r>
      <w:r w:rsidR="001670DD" w:rsidRPr="007D1918">
        <w:t xml:space="preserve"> (</w:t>
      </w:r>
      <w:r w:rsidR="00E64369" w:rsidRPr="007D1918">
        <w:t>SR</w:t>
      </w:r>
      <w:r w:rsidR="001670DD" w:rsidRPr="007D1918">
        <w:t xml:space="preserve">s) and </w:t>
      </w:r>
      <w:r w:rsidR="00FE2DC6" w:rsidRPr="007D1918">
        <w:fldChar w:fldCharType="begin"/>
      </w:r>
      <w:r w:rsidR="00FE2DC6" w:rsidRPr="007D1918">
        <w:instrText xml:space="preserve"> REF _Ref13486693 \h </w:instrText>
      </w:r>
      <w:r w:rsidR="00E07567" w:rsidRPr="007D1918">
        <w:instrText xml:space="preserve"> \* MERGEFORMAT </w:instrText>
      </w:r>
      <w:r w:rsidR="00FE2DC6" w:rsidRPr="007D1918">
        <w:fldChar w:fldCharType="separate"/>
      </w:r>
      <w:r w:rsidR="00001635" w:rsidRPr="007D1918">
        <w:t xml:space="preserve">Table </w:t>
      </w:r>
      <w:r w:rsidR="00001635" w:rsidRPr="007D1918">
        <w:rPr>
          <w:noProof/>
        </w:rPr>
        <w:t>12</w:t>
      </w:r>
      <w:r w:rsidR="00FE2DC6" w:rsidRPr="007D1918">
        <w:fldChar w:fldCharType="end"/>
      </w:r>
      <w:r w:rsidR="001670DD" w:rsidRPr="007D1918">
        <w:t xml:space="preserve"> (primary studies). Th</w:t>
      </w:r>
      <w:r w:rsidR="009C083B" w:rsidRPr="007D1918">
        <w:t xml:space="preserve">e full evidence profile table (with explanatory footnotes), incorporating all critical and important outcomes, can be found in </w:t>
      </w:r>
      <w:r w:rsidR="00F70859" w:rsidRPr="007D1918">
        <w:fldChar w:fldCharType="begin"/>
      </w:r>
      <w:r w:rsidR="00F70859" w:rsidRPr="007D1918">
        <w:instrText xml:space="preserve"> REF _Ref190841600 \h </w:instrText>
      </w:r>
      <w:r w:rsidR="00E82EBC" w:rsidRPr="007D1918">
        <w:instrText xml:space="preserve"> \* MERGEFORMAT </w:instrText>
      </w:r>
      <w:r w:rsidR="00F70859" w:rsidRPr="007D1918">
        <w:fldChar w:fldCharType="separate"/>
      </w:r>
      <w:r w:rsidR="00001635" w:rsidRPr="007D1918">
        <w:t xml:space="preserve">Appendix </w:t>
      </w:r>
      <w:r w:rsidR="00001635" w:rsidRPr="007D1918">
        <w:rPr>
          <w:noProof/>
        </w:rPr>
        <w:t>C</w:t>
      </w:r>
      <w:r w:rsidR="00001635" w:rsidRPr="007D1918">
        <w:tab/>
        <w:t>Studies included in the Systematic Review</w:t>
      </w:r>
      <w:r w:rsidR="00F70859" w:rsidRPr="007D1918">
        <w:fldChar w:fldCharType="end"/>
      </w:r>
      <w:r w:rsidR="00193835" w:rsidRPr="007D1918">
        <w:t>.</w:t>
      </w:r>
      <w:r w:rsidR="004C0A7C" w:rsidRPr="007D1918">
        <w:t xml:space="preserve"> </w:t>
      </w:r>
      <w:r w:rsidR="00E50E25" w:rsidRPr="007D1918">
        <w:t xml:space="preserve">A summary of the clinical benefits and harms of Ig for MG is provided in </w:t>
      </w:r>
      <w:bookmarkStart w:id="213" w:name="_Ref10102667"/>
      <w:r w:rsidR="00FA22BB" w:rsidRPr="007D1918">
        <w:fldChar w:fldCharType="begin"/>
      </w:r>
      <w:r w:rsidR="00FA22BB" w:rsidRPr="007D1918">
        <w:instrText xml:space="preserve"> REF _Ref12884166 \h </w:instrText>
      </w:r>
      <w:r w:rsidR="00E07567" w:rsidRPr="007D1918">
        <w:instrText xml:space="preserve"> \* MERGEFORMAT </w:instrText>
      </w:r>
      <w:r w:rsidR="00FA22BB" w:rsidRPr="007D1918">
        <w:fldChar w:fldCharType="separate"/>
      </w:r>
      <w:r w:rsidR="00D44E11" w:rsidRPr="007D1918">
        <w:t xml:space="preserve">Table </w:t>
      </w:r>
      <w:r w:rsidR="00D44E11" w:rsidRPr="007D1918">
        <w:rPr>
          <w:noProof/>
        </w:rPr>
        <w:t>48</w:t>
      </w:r>
      <w:r w:rsidR="00FA22BB" w:rsidRPr="007D1918">
        <w:fldChar w:fldCharType="end"/>
      </w:r>
      <w:r w:rsidR="00FA22BB" w:rsidRPr="007D1918">
        <w:t xml:space="preserve"> </w:t>
      </w:r>
      <w:r w:rsidR="00D44E11" w:rsidRPr="007D1918">
        <w:t xml:space="preserve">to </w:t>
      </w:r>
      <w:r w:rsidR="003A2FA6" w:rsidRPr="007D1918">
        <w:fldChar w:fldCharType="begin"/>
      </w:r>
      <w:r w:rsidR="003A2FA6" w:rsidRPr="007D1918">
        <w:instrText xml:space="preserve"> REF _Ref12884171 \h </w:instrText>
      </w:r>
      <w:r w:rsidR="00E07567" w:rsidRPr="007D1918">
        <w:instrText xml:space="preserve"> \* MERGEFORMAT </w:instrText>
      </w:r>
      <w:r w:rsidR="003A2FA6" w:rsidRPr="007D1918">
        <w:fldChar w:fldCharType="separate"/>
      </w:r>
      <w:r w:rsidR="00D44E11" w:rsidRPr="007D1918">
        <w:t xml:space="preserve">Table </w:t>
      </w:r>
      <w:r w:rsidR="00D44E11" w:rsidRPr="007D1918">
        <w:rPr>
          <w:noProof/>
        </w:rPr>
        <w:t>51</w:t>
      </w:r>
      <w:r w:rsidR="003A2FA6" w:rsidRPr="007D1918">
        <w:fldChar w:fldCharType="end"/>
      </w:r>
      <w:r w:rsidR="00FA22BB" w:rsidRPr="007D1918">
        <w:t>.</w:t>
      </w:r>
      <w:bookmarkStart w:id="214" w:name="_Toc395200779"/>
      <w:bookmarkEnd w:id="213"/>
    </w:p>
    <w:p w14:paraId="4FAA3FDC" w14:textId="1CA57323" w:rsidR="00083088" w:rsidRPr="007D1918" w:rsidRDefault="00CC0268" w:rsidP="003C5650">
      <w:pPr>
        <w:jc w:val="both"/>
      </w:pPr>
      <w:r w:rsidRPr="007D1918">
        <w:t>Three</w:t>
      </w:r>
      <w:r w:rsidR="00083088" w:rsidRPr="007D1918">
        <w:t xml:space="preserve"> </w:t>
      </w:r>
      <w:r w:rsidR="00E64369" w:rsidRPr="007D1918">
        <w:t>SR</w:t>
      </w:r>
      <w:r w:rsidR="009C083B" w:rsidRPr="007D1918">
        <w:t xml:space="preserve">s </w:t>
      </w:r>
      <w:r w:rsidR="00083088" w:rsidRPr="007D1918">
        <w:t xml:space="preserve">compared </w:t>
      </w:r>
      <w:r w:rsidR="00EB05E2" w:rsidRPr="007D1918">
        <w:t>AEs</w:t>
      </w:r>
      <w:r w:rsidR="00083088" w:rsidRPr="007D1918">
        <w:t xml:space="preserve"> between patients receiving either IVIg or PE</w:t>
      </w:r>
      <w:r w:rsidR="00C42C01" w:rsidRPr="007D1918">
        <w:t xml:space="preserve"> for the management of MG</w:t>
      </w:r>
      <w:r w:rsidR="00083088" w:rsidRPr="007D1918">
        <w:t xml:space="preserve">. </w:t>
      </w:r>
      <w:r w:rsidR="004D3FC6" w:rsidRPr="007D1918">
        <w:t>Two</w:t>
      </w:r>
      <w:r w:rsidR="00083088" w:rsidRPr="007D1918">
        <w:t xml:space="preserve"> of the SRs </w:t>
      </w:r>
      <w:r w:rsidR="0075212A" w:rsidRPr="007D1918">
        <w:fldChar w:fldCharType="begin">
          <w:fldData xml:space="preserve">PEVuZE5vdGU+PENpdGU+PEF1dGhvcj5HYWpkb3M8L0F1dGhvcj48WWVhcj4yMDEyPC9ZZWFyPjxS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</w:fldData>
        </w:fldChar>
      </w:r>
      <w:r w:rsidR="00C437BA" w:rsidRPr="007D1918">
        <w:instrText xml:space="preserve"> ADDIN EN.CITE </w:instrText>
      </w:r>
      <w:r w:rsidR="00C437BA" w:rsidRPr="007D1918">
        <w:fldChar w:fldCharType="begin">
          <w:fldData xml:space="preserve">PEVuZE5vdGU+PENpdGU+PEF1dGhvcj5HYWpkb3M8L0F1dGhvcj48WWVhcj4yMDEyPC9ZZWFyPjxS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 w:tooltip="Alabdali, 2014 #4" w:history="1">
        <w:r w:rsidR="007D4948" w:rsidRPr="007D1918">
          <w:rPr>
            <w:noProof/>
          </w:rPr>
          <w:t>Alabdali et al. 2014</w:t>
        </w:r>
      </w:hyperlink>
      <w:r w:rsidR="0075212A" w:rsidRPr="007D1918">
        <w:rPr>
          <w:noProof/>
        </w:rPr>
        <w:t xml:space="preserve">; </w:t>
      </w:r>
      <w:hyperlink w:anchor="_ENREF_33" w:tooltip="Gajdos, 2012 #3" w:history="1">
        <w:r w:rsidR="007D4948" w:rsidRPr="007D1918">
          <w:rPr>
            <w:noProof/>
          </w:rPr>
          <w:t>Gajdos, Chevret &amp; Toyka 2012</w:t>
        </w:r>
      </w:hyperlink>
      <w:r w:rsidR="0075212A" w:rsidRPr="007D1918">
        <w:rPr>
          <w:noProof/>
        </w:rPr>
        <w:t>)</w:t>
      </w:r>
      <w:r w:rsidR="0075212A" w:rsidRPr="007D1918">
        <w:fldChar w:fldCharType="end"/>
      </w:r>
      <w:r w:rsidR="004D3FC6" w:rsidRPr="007D1918">
        <w:t xml:space="preserve"> did not perform any meta-analysis due to the dissimilarity across studies, and therefore report</w:t>
      </w:r>
      <w:r w:rsidR="0075378B" w:rsidRPr="007D1918">
        <w:t>ed studies individually. Gajdos, Chevret and Toyka</w:t>
      </w:r>
      <w:r w:rsidR="004D3FC6" w:rsidRPr="007D1918">
        <w:t xml:space="preserve"> </w:t>
      </w:r>
      <w:r w:rsidR="0075378B" w:rsidRPr="007D1918">
        <w:t>(</w:t>
      </w:r>
      <w:r w:rsidR="004D3FC6" w:rsidRPr="007D1918">
        <w:t>2012</w:t>
      </w:r>
      <w:r w:rsidR="0075378B" w:rsidRPr="007D1918">
        <w:t>)</w:t>
      </w:r>
      <w:r w:rsidR="003C5650" w:rsidRPr="007D1918">
        <w:t xml:space="preserve"> included </w:t>
      </w:r>
      <w:r w:rsidR="004D3FC6" w:rsidRPr="007D1918">
        <w:t xml:space="preserve">only </w:t>
      </w:r>
      <w:r w:rsidR="003C5650" w:rsidRPr="007D1918">
        <w:t xml:space="preserve">RCTs comparing IVIg with any other medical therapy </w:t>
      </w:r>
      <w:r w:rsidR="00C42C01" w:rsidRPr="007D1918">
        <w:t>(or placebo)</w:t>
      </w:r>
      <w:r w:rsidR="00083088" w:rsidRPr="007D1918">
        <w:t xml:space="preserve">. </w:t>
      </w:r>
      <w:r w:rsidR="003C5650" w:rsidRPr="007D1918">
        <w:t>T</w:t>
      </w:r>
      <w:r w:rsidR="00083088" w:rsidRPr="007D1918">
        <w:t xml:space="preserve">he </w:t>
      </w:r>
      <w:r w:rsidR="004D3FC6" w:rsidRPr="007D1918">
        <w:t>two</w:t>
      </w:r>
      <w:r w:rsidR="00083088" w:rsidRPr="007D1918">
        <w:t xml:space="preserve"> more recent SR</w:t>
      </w:r>
      <w:r w:rsidR="004D3FC6" w:rsidRPr="007D1918">
        <w:t>s</w:t>
      </w:r>
      <w:r w:rsidR="003C5650" w:rsidRPr="007D1918">
        <w:t xml:space="preserve"> </w:t>
      </w:r>
      <w:r w:rsidR="003C5650" w:rsidRPr="007D1918">
        <w:fldChar w:fldCharType="begin">
          <w:fldData xml:space="preserve">PEVuZE5vdGU+PENpdGU+PEF1dGhvcj5PcnRpei1TYWxhczwvQXV0aG9yPjxZZWFyPjIwMTY8L1ll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</w:fldData>
        </w:fldChar>
      </w:r>
      <w:r w:rsidR="00C437BA" w:rsidRPr="007D1918">
        <w:instrText xml:space="preserve"> ADDIN EN.CITE </w:instrText>
      </w:r>
      <w:r w:rsidR="00C437BA" w:rsidRPr="007D1918">
        <w:fldChar w:fldCharType="begin">
          <w:fldData xml:space="preserve">PEVuZE5vdGU+PENpdGU+PEF1dGhvcj5PcnRpei1TYWxhczwvQXV0aG9yPjxZZWFyPjIwMTY8L1ll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</w:fldData>
        </w:fldChar>
      </w:r>
      <w:r w:rsidR="00C437BA" w:rsidRPr="007D1918">
        <w:instrText xml:space="preserve"> ADDIN EN.CITE.DATA </w:instrText>
      </w:r>
      <w:r w:rsidR="00C437BA" w:rsidRPr="007D1918">
        <w:fldChar w:fldCharType="end"/>
      </w:r>
      <w:r w:rsidR="003C5650" w:rsidRPr="007D1918">
        <w:fldChar w:fldCharType="separate"/>
      </w:r>
      <w:r w:rsidR="0075212A" w:rsidRPr="007D1918">
        <w:rPr>
          <w:noProof/>
        </w:rPr>
        <w:t>(</w:t>
      </w:r>
      <w:hyperlink w:anchor="_ENREF_2" w:tooltip="Alabdali, 2014 #4" w:history="1">
        <w:r w:rsidR="007D4948" w:rsidRPr="007D1918">
          <w:rPr>
            <w:noProof/>
          </w:rPr>
          <w:t>Alabdali et al. 2014</w:t>
        </w:r>
      </w:hyperlink>
      <w:r w:rsidR="0075212A" w:rsidRPr="007D1918">
        <w:rPr>
          <w:noProof/>
        </w:rPr>
        <w:t xml:space="preserve">; </w:t>
      </w:r>
      <w:hyperlink w:anchor="_ENREF_74" w:tooltip="Ortiz-Salas, 2016 #2" w:history="1">
        <w:r w:rsidR="007D4948" w:rsidRPr="007D1918">
          <w:rPr>
            <w:noProof/>
          </w:rPr>
          <w:t>Ortiz-Salas et al. 2016</w:t>
        </w:r>
      </w:hyperlink>
      <w:r w:rsidR="0075212A" w:rsidRPr="007D1918">
        <w:rPr>
          <w:noProof/>
        </w:rPr>
        <w:t>)</w:t>
      </w:r>
      <w:r w:rsidR="003C5650" w:rsidRPr="007D1918">
        <w:fldChar w:fldCharType="end"/>
      </w:r>
      <w:r w:rsidR="003C5650" w:rsidRPr="007D1918">
        <w:t xml:space="preserve"> included Level II and Level III studies. </w:t>
      </w:r>
      <w:r w:rsidR="004D3FC6" w:rsidRPr="007D1918">
        <w:t xml:space="preserve">Ortiz-Salas et al </w:t>
      </w:r>
      <w:r w:rsidR="00083088" w:rsidRPr="007D1918">
        <w:t>performed meta-analysis between similar outcomes and populations</w:t>
      </w:r>
      <w:r w:rsidR="003C5650" w:rsidRPr="007D1918">
        <w:t xml:space="preserve"> from the included RCTs</w:t>
      </w:r>
      <w:r w:rsidR="00083088" w:rsidRPr="007D1918">
        <w:t xml:space="preserve">. There were three RCTs common </w:t>
      </w:r>
      <w:r w:rsidRPr="007D1918">
        <w:t>to</w:t>
      </w:r>
      <w:r w:rsidR="00083088" w:rsidRPr="007D1918">
        <w:t xml:space="preserve"> the SRs</w:t>
      </w:r>
      <w:r w:rsidR="003C5650" w:rsidRPr="007D1918">
        <w:t xml:space="preserve"> </w:t>
      </w:r>
      <w:r w:rsidR="004D3FC6" w:rsidRPr="007D1918">
        <w:t xml:space="preserve">all of which compared IVIg with PE </w:t>
      </w:r>
      <w:r w:rsidR="003736AC" w:rsidRPr="007D1918">
        <w:fldChar w:fldCharType="begin">
          <w:fldData xml:space="preserve">PEVuZE5vdGU+PENpdGU+PEF1dGhvcj5CYXJ0aDwvQXV0aG9yPjxZZWFyPjIwMTE8L1llYXI+PFJl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</w:fldData>
        </w:fldChar>
      </w:r>
      <w:r w:rsidR="007F4CDE" w:rsidRPr="007D1918">
        <w:instrText xml:space="preserve"> ADDIN EN.CITE </w:instrText>
      </w:r>
      <w:r w:rsidR="007F4CDE" w:rsidRPr="007D1918">
        <w:fldChar w:fldCharType="begin">
          <w:fldData xml:space="preserve">PEVuZE5vdGU+PENpdGU+PEF1dGhvcj5CYXJ0aDwvQXV0aG9yPjxZZWFyPjIwMTE8L1llYXI+PFJl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</w:fldData>
        </w:fldChar>
      </w:r>
      <w:r w:rsidR="007F4CDE" w:rsidRPr="007D1918">
        <w:instrText xml:space="preserve"> ADDIN EN.CITE.DATA </w:instrText>
      </w:r>
      <w:r w:rsidR="007F4CDE" w:rsidRPr="007D1918">
        <w:fldChar w:fldCharType="end"/>
      </w:r>
      <w:r w:rsidR="003736AC"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28" w:tooltip="Gajdos, 1997 #45" w:history="1">
        <w:r w:rsidR="007D4948" w:rsidRPr="007D1918">
          <w:rPr>
            <w:noProof/>
          </w:rPr>
          <w:t>Gajdos et al. 1997</w:t>
        </w:r>
      </w:hyperlink>
      <w:r w:rsidR="001A0E53" w:rsidRPr="007D1918">
        <w:rPr>
          <w:noProof/>
        </w:rPr>
        <w:t xml:space="preserve">; </w:t>
      </w:r>
      <w:hyperlink w:anchor="_ENREF_83" w:tooltip="Rønager, 2001 #41" w:history="1">
        <w:r w:rsidR="007D4948" w:rsidRPr="007D1918">
          <w:rPr>
            <w:noProof/>
          </w:rPr>
          <w:t>Rønager et al. 2001</w:t>
        </w:r>
      </w:hyperlink>
      <w:r w:rsidR="001A0E53" w:rsidRPr="007D1918">
        <w:rPr>
          <w:noProof/>
        </w:rPr>
        <w:t>)</w:t>
      </w:r>
      <w:r w:rsidR="003736AC" w:rsidRPr="007D1918">
        <w:fldChar w:fldCharType="end"/>
      </w:r>
      <w:r w:rsidR="00083088" w:rsidRPr="007D1918">
        <w:t xml:space="preserve">. </w:t>
      </w:r>
      <w:r w:rsidR="00F4030B" w:rsidRPr="007D1918">
        <w:t xml:space="preserve">Outcomes of </w:t>
      </w:r>
      <w:r w:rsidR="00667904" w:rsidRPr="007D1918">
        <w:t xml:space="preserve">the </w:t>
      </w:r>
      <w:r w:rsidR="00F4030B" w:rsidRPr="007D1918">
        <w:t>meta-analysis</w:t>
      </w:r>
      <w:r w:rsidR="00667904" w:rsidRPr="007D1918">
        <w:t xml:space="preserve"> are presented first</w:t>
      </w:r>
      <w:r w:rsidR="00F4030B" w:rsidRPr="007D1918">
        <w:t xml:space="preserve">, followed by individual studies </w:t>
      </w:r>
      <w:r w:rsidR="00850B7F" w:rsidRPr="007D1918">
        <w:t xml:space="preserve">pearled from the </w:t>
      </w:r>
      <w:r w:rsidR="00E64369" w:rsidRPr="007D1918">
        <w:t>SR</w:t>
      </w:r>
      <w:r w:rsidR="00850B7F" w:rsidRPr="007D1918">
        <w:t>s, and those identified in the literature search</w:t>
      </w:r>
      <w:r w:rsidR="00F4030B" w:rsidRPr="007D1918">
        <w:t>.</w:t>
      </w:r>
    </w:p>
    <w:p w14:paraId="6868C083" w14:textId="225EE3BC" w:rsidR="00FD0E2B" w:rsidRPr="007D1918" w:rsidRDefault="00193835" w:rsidP="003C5650">
      <w:pPr>
        <w:jc w:val="both"/>
      </w:pPr>
      <w:r w:rsidRPr="007D1918">
        <w:t>AE results from one recent RCT (</w:t>
      </w:r>
      <w:hyperlink r:id="rId44" w:history="1">
        <w:r w:rsidRPr="007D1918">
          <w:rPr>
            <w:rStyle w:val="Hyperlink"/>
          </w:rPr>
          <w:t>NCT02473952</w:t>
        </w:r>
      </w:hyperlink>
      <w:r w:rsidRPr="007D1918">
        <w:t xml:space="preserve">) were identified on the clinicaltrial.gov website, and included in this assessment. </w:t>
      </w:r>
      <w:r w:rsidR="00850B7F" w:rsidRPr="007D1918">
        <w:t>This article did not strictly meet the PICO criteria as the comparator was placebo. It was included</w:t>
      </w:r>
      <w:r w:rsidRPr="007D1918">
        <w:t xml:space="preserve"> </w:t>
      </w:r>
      <w:r w:rsidR="003A2FA6" w:rsidRPr="007D1918">
        <w:t xml:space="preserve">as these </w:t>
      </w:r>
      <w:r w:rsidRPr="007D1918">
        <w:t xml:space="preserve">were the only results available which compared IVIg to placebo in a population on standard </w:t>
      </w:r>
      <w:r w:rsidR="00FD0E2B" w:rsidRPr="007D1918">
        <w:t>maintenance</w:t>
      </w:r>
      <w:r w:rsidRPr="007D1918">
        <w:t xml:space="preserve"> therapies </w:t>
      </w:r>
      <w:r w:rsidR="00850B7F" w:rsidRPr="007D1918">
        <w:t xml:space="preserve">listed as comparators for Indication 3 </w:t>
      </w:r>
      <w:r w:rsidRPr="007D1918">
        <w:t>(</w:t>
      </w:r>
      <w:r w:rsidR="0037626D" w:rsidRPr="007D1918">
        <w:t xml:space="preserve">for example </w:t>
      </w:r>
      <w:r w:rsidR="00850B7F" w:rsidRPr="007D1918">
        <w:t>IS, IM</w:t>
      </w:r>
      <w:r w:rsidRPr="007D1918">
        <w:t>), therefore had the potential to sho</w:t>
      </w:r>
      <w:r w:rsidR="00850B7F" w:rsidRPr="007D1918">
        <w:t>w</w:t>
      </w:r>
      <w:r w:rsidRPr="007D1918">
        <w:t xml:space="preserve"> incremental benefit of IVIg</w:t>
      </w:r>
      <w:r w:rsidR="00850B7F" w:rsidRPr="007D1918">
        <w:t xml:space="preserve"> over these therapies</w:t>
      </w:r>
      <w:r w:rsidR="00FD0E2B" w:rsidRPr="007D1918">
        <w:t>.</w:t>
      </w:r>
    </w:p>
    <w:p w14:paraId="39B14CE8" w14:textId="53DEDC83" w:rsidR="002E773C" w:rsidRPr="007D1918" w:rsidRDefault="002E773C" w:rsidP="00A436AC">
      <w:pPr>
        <w:spacing w:after="0"/>
        <w:jc w:val="both"/>
      </w:pPr>
      <w:r w:rsidRPr="007D1918">
        <w:t xml:space="preserve">AEs due to </w:t>
      </w:r>
      <w:r w:rsidR="00CC0268" w:rsidRPr="007D1918">
        <w:t xml:space="preserve">administration of the </w:t>
      </w:r>
      <w:r w:rsidRPr="007D1918">
        <w:t>treatment and side effects of the treatment itself were not often separated in the study data. They are discussed together in this report and given individual comment where appropriate.</w:t>
      </w:r>
    </w:p>
    <w:p w14:paraId="3A148D86" w14:textId="77777777" w:rsidR="00A436AC" w:rsidRPr="007D1918" w:rsidRDefault="00A436AC" w:rsidP="003C5650">
      <w:pPr>
        <w:jc w:val="both"/>
      </w:pPr>
    </w:p>
    <w:p w14:paraId="5160C2C6" w14:textId="07BD4CCF" w:rsidR="00063983" w:rsidRPr="007D1918" w:rsidRDefault="0097383C" w:rsidP="00C42C01">
      <w:pPr>
        <w:pStyle w:val="Heading3"/>
      </w:pPr>
      <w:bookmarkStart w:id="215" w:name="_Toc23766964"/>
      <w:r w:rsidRPr="007D1918">
        <w:t>I</w:t>
      </w:r>
      <w:r w:rsidR="00AF19DB" w:rsidRPr="007D1918">
        <w:t>ndications 1 and 3</w:t>
      </w:r>
      <w:r w:rsidR="004B4BFE" w:rsidRPr="007D1918">
        <w:t>:</w:t>
      </w:r>
      <w:r w:rsidR="002E2C51" w:rsidRPr="007D1918">
        <w:t xml:space="preserve"> </w:t>
      </w:r>
      <w:r w:rsidRPr="007D1918">
        <w:t xml:space="preserve">Adverse events </w:t>
      </w:r>
      <w:r w:rsidR="002E2C51" w:rsidRPr="007D1918">
        <w:t>meta-analysis</w:t>
      </w:r>
      <w:bookmarkEnd w:id="215"/>
    </w:p>
    <w:p w14:paraId="081CF655" w14:textId="4FEA83A8" w:rsidR="002E2C51" w:rsidRPr="007D1918" w:rsidRDefault="002E2C51" w:rsidP="006D57EF">
      <w:pPr>
        <w:jc w:val="both"/>
      </w:pPr>
      <w:r w:rsidRPr="007D1918">
        <w:t xml:space="preserve">The </w:t>
      </w:r>
      <w:r w:rsidR="00E64369" w:rsidRPr="007D1918">
        <w:t>SR</w:t>
      </w:r>
      <w:r w:rsidR="00F10254" w:rsidRPr="007D1918">
        <w:t xml:space="preserve"> </w:t>
      </w:r>
      <w:r w:rsidRPr="007D1918">
        <w:t xml:space="preserve">by Ortiz-Salas et al performed a meta-analysis on adverse event overall incident data from </w:t>
      </w:r>
      <w:r w:rsidR="00FA22BB" w:rsidRPr="007D1918">
        <w:t>four</w:t>
      </w:r>
      <w:r w:rsidRPr="007D1918">
        <w:t xml:space="preserve"> individual clinical trials </w:t>
      </w:r>
      <w:r w:rsidR="0075212A" w:rsidRPr="007D1918">
        <w:fldChar w:fldCharType="begin">
          <w:fldData xml:space="preserve">PEVuZE5vdGU+PENpdGU+PEF1dGhvcj5HYWpkb3M8L0F1dGhvcj48WWVhcj4xOTk3PC9ZZWFyPjxS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</w:fldData>
        </w:fldChar>
      </w:r>
      <w:r w:rsidR="007F4CDE" w:rsidRPr="007D1918">
        <w:instrText xml:space="preserve"> ADDIN EN.CITE </w:instrText>
      </w:r>
      <w:r w:rsidR="007F4CDE" w:rsidRPr="007D1918">
        <w:fldChar w:fldCharType="begin">
          <w:fldData xml:space="preserve">PEVuZE5vdGU+PENpdGU+PEF1dGhvcj5HYWpkb3M8L0F1dGhvcj48WWVhcj4xOTk3PC9ZZWFyPjxS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</w:fldData>
        </w:fldChar>
      </w:r>
      <w:r w:rsidR="007F4CDE" w:rsidRPr="007D1918">
        <w:instrText xml:space="preserve"> ADDIN EN.CITE.DATA </w:instrText>
      </w:r>
      <w:r w:rsidR="007F4CDE" w:rsidRPr="007D1918">
        <w:fldChar w:fldCharType="end"/>
      </w:r>
      <w:r w:rsidR="0075212A"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28" w:tooltip="Gajdos, 1997 #45" w:history="1">
        <w:r w:rsidR="007D4948" w:rsidRPr="007D1918">
          <w:rPr>
            <w:noProof/>
          </w:rPr>
          <w:t>Gajdos et al. 1997</w:t>
        </w:r>
      </w:hyperlink>
      <w:r w:rsidR="001A0E53" w:rsidRPr="007D1918">
        <w:rPr>
          <w:noProof/>
        </w:rPr>
        <w:t xml:space="preserve">; </w:t>
      </w:r>
      <w:hyperlink w:anchor="_ENREF_63" w:tooltip="Liu, 2010 #56" w:history="1">
        <w:r w:rsidR="007D4948" w:rsidRPr="007D1918">
          <w:rPr>
            <w:noProof/>
          </w:rPr>
          <w:t>Liu et al. 2010</w:t>
        </w:r>
      </w:hyperlink>
      <w:r w:rsidR="001A0E53" w:rsidRPr="007D1918">
        <w:rPr>
          <w:noProof/>
        </w:rPr>
        <w:t xml:space="preserve">; </w:t>
      </w:r>
      <w:hyperlink w:anchor="_ENREF_83" w:tooltip="Rønager, 2001 #41" w:history="1">
        <w:r w:rsidR="007D4948" w:rsidRPr="007D1918">
          <w:rPr>
            <w:noProof/>
          </w:rPr>
          <w:t>Rønager et al. 2001</w:t>
        </w:r>
      </w:hyperlink>
      <w:r w:rsidR="001A0E53" w:rsidRPr="007D1918">
        <w:rPr>
          <w:noProof/>
        </w:rPr>
        <w:t>)</w:t>
      </w:r>
      <w:r w:rsidR="0075212A" w:rsidRPr="007D1918">
        <w:fldChar w:fldCharType="end"/>
      </w:r>
      <w:r w:rsidR="00CC0268" w:rsidRPr="007D1918">
        <w:t xml:space="preserve"> (</w:t>
      </w:r>
      <w:r w:rsidR="00CC0268" w:rsidRPr="007D1918">
        <w:fldChar w:fldCharType="begin"/>
      </w:r>
      <w:r w:rsidR="00CC0268" w:rsidRPr="007D1918">
        <w:instrText xml:space="preserve"> REF _Ref10103989 \h </w:instrText>
      </w:r>
      <w:r w:rsidR="00E07567" w:rsidRPr="007D1918">
        <w:instrText xml:space="preserve"> \* MERGEFORMAT </w:instrText>
      </w:r>
      <w:r w:rsidR="00CC0268" w:rsidRPr="007D1918">
        <w:fldChar w:fldCharType="separate"/>
      </w:r>
      <w:r w:rsidR="00001635" w:rsidRPr="007D1918">
        <w:t xml:space="preserve">Figure </w:t>
      </w:r>
      <w:r w:rsidR="00001635" w:rsidRPr="007D1918">
        <w:rPr>
          <w:noProof/>
        </w:rPr>
        <w:t>5</w:t>
      </w:r>
      <w:r w:rsidR="00CC0268" w:rsidRPr="007D1918">
        <w:fldChar w:fldCharType="end"/>
      </w:r>
      <w:r w:rsidR="00CC0268" w:rsidRPr="007D1918">
        <w:t>)</w:t>
      </w:r>
      <w:r w:rsidRPr="007D1918">
        <w:t xml:space="preserve">. According to the </w:t>
      </w:r>
      <w:r w:rsidR="00EC09DA" w:rsidRPr="007D1918">
        <w:rPr>
          <w:i/>
        </w:rPr>
        <w:t>Criteria V3</w:t>
      </w:r>
      <w:r w:rsidRPr="007D1918">
        <w:t xml:space="preserve"> provided by the NBA, the population included by Gajdos et al, 1997 aligns with Indication 1 (crisis), whereas the other </w:t>
      </w:r>
      <w:r w:rsidR="00FA22BB" w:rsidRPr="007D1918">
        <w:t>three</w:t>
      </w:r>
      <w:r w:rsidRPr="007D1918">
        <w:t xml:space="preserve"> study population</w:t>
      </w:r>
      <w:r w:rsidR="00FA22BB" w:rsidRPr="007D1918">
        <w:t>s</w:t>
      </w:r>
      <w:r w:rsidRPr="007D1918">
        <w:t xml:space="preserve"> align more closely with Indication 3 (maintenance). As </w:t>
      </w:r>
      <w:r w:rsidR="004B4BFE" w:rsidRPr="007D1918">
        <w:t>MG patients</w:t>
      </w:r>
      <w:r w:rsidRPr="007D1918">
        <w:t xml:space="preserve"> with </w:t>
      </w:r>
      <w:r w:rsidR="00F10254" w:rsidRPr="007D1918">
        <w:t xml:space="preserve">Indication </w:t>
      </w:r>
      <w:r w:rsidRPr="007D1918">
        <w:t xml:space="preserve">1 and 3 are likely to </w:t>
      </w:r>
      <w:r w:rsidR="00CC0268" w:rsidRPr="007D1918">
        <w:t>experience</w:t>
      </w:r>
      <w:r w:rsidRPr="007D1918">
        <w:t xml:space="preserve"> different AEs</w:t>
      </w:r>
      <w:r w:rsidR="00FA22BB" w:rsidRPr="007D1918">
        <w:t>,</w:t>
      </w:r>
      <w:r w:rsidRPr="007D1918">
        <w:t xml:space="preserve"> or similar AEs of different </w:t>
      </w:r>
      <w:r w:rsidR="004B4BFE" w:rsidRPr="007D1918">
        <w:t>severity</w:t>
      </w:r>
      <w:r w:rsidRPr="007D1918">
        <w:t xml:space="preserve">, a meta-analysis of these studies may </w:t>
      </w:r>
      <w:r w:rsidR="004B4BFE" w:rsidRPr="007D1918">
        <w:t xml:space="preserve">not accurately reflect individual populations and therefore should be considered with caution. The authors reported that AE severity could </w:t>
      </w:r>
      <w:r w:rsidR="006D57EF" w:rsidRPr="007D1918">
        <w:t xml:space="preserve">not </w:t>
      </w:r>
      <w:r w:rsidR="004B4BFE" w:rsidRPr="007D1918">
        <w:t>be established because it was not categorised in the study articles.</w:t>
      </w:r>
      <w:r w:rsidRPr="007D1918">
        <w:t xml:space="preserve"> </w:t>
      </w:r>
    </w:p>
    <w:p w14:paraId="5A22CA88" w14:textId="7DD4671E" w:rsidR="00063983" w:rsidRPr="007D1918" w:rsidRDefault="004B4BFE" w:rsidP="00063983">
      <w:r w:rsidRPr="007D1918">
        <w:t xml:space="preserve">The meta-analysis found no </w:t>
      </w:r>
      <w:r w:rsidR="00CC0268" w:rsidRPr="007D1918">
        <w:t xml:space="preserve">statistically </w:t>
      </w:r>
      <w:r w:rsidRPr="007D1918">
        <w:t>significant difference between IVIg and PE</w:t>
      </w:r>
      <w:r w:rsidR="00BB14D0" w:rsidRPr="007D1918">
        <w:t xml:space="preserve"> for the likelihood of adverse events </w:t>
      </w:r>
      <w:r w:rsidRPr="007D1918">
        <w:t xml:space="preserve">(OR 0.65; </w:t>
      </w:r>
      <w:r w:rsidR="00404961" w:rsidRPr="007D1918">
        <w:t xml:space="preserve">95% </w:t>
      </w:r>
      <w:r w:rsidRPr="007D1918">
        <w:t>CI 0.16</w:t>
      </w:r>
      <w:r w:rsidR="00404961" w:rsidRPr="007D1918">
        <w:t>,</w:t>
      </w:r>
      <w:r w:rsidRPr="007D1918">
        <w:t xml:space="preserve"> 2.57).</w:t>
      </w:r>
    </w:p>
    <w:p w14:paraId="03C0B154" w14:textId="77777777" w:rsidR="004B4BFE" w:rsidRPr="007D1918" w:rsidRDefault="004B4BFE" w:rsidP="004B4BFE">
      <w:pPr>
        <w:pStyle w:val="Caption"/>
      </w:pPr>
      <w:r w:rsidRPr="007D1918">
        <w:rPr>
          <w:noProof/>
        </w:rPr>
        <w:lastRenderedPageBreak/>
        <w:drawing>
          <wp:inline distT="0" distB="0" distL="0" distR="0" wp14:anchorId="61C0C3C5" wp14:editId="0C80FD29">
            <wp:extent cx="5600700" cy="1828800"/>
            <wp:effectExtent l="0" t="0" r="0" b="0"/>
            <wp:docPr id="4" name="Picture 4" descr="Meta-analysis of the effectiveness of IVIg compared to PE in studies assessing MG patients with wither Inidcation 1 or Indication 3 MG." title="Figure 5 Comparison of adverse effects for IVIg versus PE in clinical trials (Ortiz-Salas et al.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00700" cy="1828800"/>
                    </a:xfrm>
                    <a:prstGeom prst="rect">
                      <a:avLst/>
                    </a:prstGeom>
                  </pic:spPr>
                </pic:pic>
              </a:graphicData>
            </a:graphic>
          </wp:inline>
        </w:drawing>
      </w:r>
    </w:p>
    <w:p w14:paraId="732DFB20" w14:textId="77777777" w:rsidR="00DE2C25" w:rsidRPr="007D1918" w:rsidRDefault="00DE2C25" w:rsidP="00DE2C25">
      <w:pPr>
        <w:spacing w:after="0"/>
      </w:pPr>
    </w:p>
    <w:p w14:paraId="125FA8E7" w14:textId="61FA718E" w:rsidR="004B4BFE" w:rsidRPr="007D1918" w:rsidRDefault="004B4BFE" w:rsidP="004B4BFE">
      <w:pPr>
        <w:pStyle w:val="Caption"/>
      </w:pPr>
      <w:bookmarkStart w:id="216" w:name="_Ref10103989"/>
      <w:bookmarkStart w:id="217" w:name="_Toc23769610"/>
      <w:r w:rsidRPr="007D1918">
        <w:t xml:space="preserve">Figure </w:t>
      </w:r>
      <w:r w:rsidR="00AF19DB" w:rsidRPr="007D1918">
        <w:rPr>
          <w:noProof/>
        </w:rPr>
        <w:fldChar w:fldCharType="begin"/>
      </w:r>
      <w:r w:rsidR="00AF19DB" w:rsidRPr="007D1918">
        <w:rPr>
          <w:noProof/>
        </w:rPr>
        <w:instrText xml:space="preserve"> SEQ Figure \* ARABIC </w:instrText>
      </w:r>
      <w:r w:rsidR="00AF19DB" w:rsidRPr="007D1918">
        <w:rPr>
          <w:noProof/>
        </w:rPr>
        <w:fldChar w:fldCharType="separate"/>
      </w:r>
      <w:r w:rsidR="00001635" w:rsidRPr="007D1918">
        <w:rPr>
          <w:noProof/>
        </w:rPr>
        <w:t>5</w:t>
      </w:r>
      <w:r w:rsidR="00AF19DB" w:rsidRPr="007D1918">
        <w:rPr>
          <w:noProof/>
        </w:rPr>
        <w:fldChar w:fldCharType="end"/>
      </w:r>
      <w:bookmarkEnd w:id="216"/>
      <w:r w:rsidRPr="007D1918">
        <w:tab/>
        <w:t>Comparison of adverse effects for IVIg versus PE in clinical trials</w:t>
      </w:r>
      <w:r w:rsidR="00CC0268" w:rsidRPr="007D1918">
        <w:t xml:space="preserve"> </w:t>
      </w:r>
      <w:r w:rsidR="0075212A" w:rsidRPr="007D1918">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75212A" w:rsidRPr="007D1918">
        <w:instrText xml:space="preserve"> ADDIN EN.CITE </w:instrText>
      </w:r>
      <w:r w:rsidR="0075212A" w:rsidRPr="007D1918">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75212A" w:rsidRPr="007D1918">
        <w:instrText xml:space="preserve"> ADDIN EN.CITE.DATA </w:instrText>
      </w:r>
      <w:r w:rsidR="0075212A" w:rsidRPr="007D1918">
        <w:fldChar w:fldCharType="end"/>
      </w:r>
      <w:r w:rsidR="0075212A" w:rsidRPr="007D1918">
        <w:fldChar w:fldCharType="separate"/>
      </w:r>
      <w:r w:rsidR="0075212A" w:rsidRPr="007D1918">
        <w:rPr>
          <w:noProof/>
        </w:rPr>
        <w:t>(</w:t>
      </w:r>
      <w:hyperlink w:anchor="_ENREF_74" w:tooltip="Ortiz-Salas, 2016 #2" w:history="1">
        <w:r w:rsidR="007D4948" w:rsidRPr="007D1918">
          <w:rPr>
            <w:noProof/>
          </w:rPr>
          <w:t>Ortiz-Salas et al. 2016</w:t>
        </w:r>
      </w:hyperlink>
      <w:r w:rsidR="0075212A" w:rsidRPr="007D1918">
        <w:rPr>
          <w:noProof/>
        </w:rPr>
        <w:t>)</w:t>
      </w:r>
      <w:bookmarkEnd w:id="217"/>
      <w:r w:rsidR="0075212A" w:rsidRPr="007D1918">
        <w:fldChar w:fldCharType="end"/>
      </w:r>
    </w:p>
    <w:p w14:paraId="1EE48D00" w14:textId="77777777" w:rsidR="00D37B08" w:rsidRPr="007D1918" w:rsidRDefault="00D37B08" w:rsidP="00A436AC">
      <w:pPr>
        <w:spacing w:before="240"/>
      </w:pPr>
    </w:p>
    <w:p w14:paraId="669A7C2C" w14:textId="77777777" w:rsidR="00083088" w:rsidRPr="007D1918" w:rsidRDefault="00C42C01" w:rsidP="00C42C01">
      <w:pPr>
        <w:pStyle w:val="Heading3"/>
      </w:pPr>
      <w:bookmarkStart w:id="218" w:name="_Toc23766965"/>
      <w:r w:rsidRPr="007D1918">
        <w:t>Indication 1:  Patients in or at risk of myasthenic crisis</w:t>
      </w:r>
      <w:bookmarkEnd w:id="218"/>
    </w:p>
    <w:bookmarkEnd w:id="214"/>
    <w:p w14:paraId="4F9A7F06" w14:textId="77777777" w:rsidR="000768BB" w:rsidRPr="007D1918" w:rsidRDefault="004D3FC6" w:rsidP="00BB14D0">
      <w:pPr>
        <w:pStyle w:val="Heading4"/>
      </w:pPr>
      <w:r w:rsidRPr="007D1918">
        <w:t>Adverse events</w:t>
      </w:r>
      <w:r w:rsidR="000E7A82" w:rsidRPr="007D1918">
        <w:t xml:space="preserve"> </w:t>
      </w:r>
      <w:r w:rsidR="00D01322" w:rsidRPr="007D1918">
        <w:t>for IVIg compared to PE</w:t>
      </w:r>
      <w:r w:rsidR="00BB14D0" w:rsidRPr="007D1918">
        <w:t xml:space="preserve"> </w:t>
      </w:r>
    </w:p>
    <w:p w14:paraId="217CE58F" w14:textId="66D8F229" w:rsidR="006B4EFC" w:rsidRPr="007D1918" w:rsidRDefault="00C75CA0" w:rsidP="00715068">
      <w:pPr>
        <w:jc w:val="both"/>
      </w:pPr>
      <w:bookmarkStart w:id="219" w:name="_Ref360617011"/>
      <w:r w:rsidRPr="007D1918">
        <w:t xml:space="preserve">Adverse events were reported in one </w:t>
      </w:r>
      <w:r w:rsidR="001E085B" w:rsidRPr="007D1918">
        <w:t>RCT</w:t>
      </w:r>
      <w:r w:rsidR="006B4EFC" w:rsidRPr="007D1918">
        <w:t xml:space="preserve"> (level II) </w:t>
      </w:r>
      <w:r w:rsidR="0075212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8" w:tooltip="Gajdos, 1997 #45" w:history="1">
        <w:r w:rsidR="007D4948" w:rsidRPr="007D1918">
          <w:rPr>
            <w:noProof/>
          </w:rPr>
          <w:t>Gajdos et al. 1997</w:t>
        </w:r>
      </w:hyperlink>
      <w:r w:rsidR="0075212A" w:rsidRPr="007D1918">
        <w:rPr>
          <w:noProof/>
        </w:rPr>
        <w:t>)</w:t>
      </w:r>
      <w:r w:rsidR="0075212A" w:rsidRPr="007D1918">
        <w:fldChar w:fldCharType="end"/>
      </w:r>
      <w:r w:rsidR="00A723E4" w:rsidRPr="007D1918">
        <w:t xml:space="preserve"> </w:t>
      </w:r>
      <w:r w:rsidR="006B4EFC" w:rsidRPr="007D1918">
        <w:t xml:space="preserve">and </w:t>
      </w:r>
      <w:r w:rsidR="00F64983" w:rsidRPr="007D1918">
        <w:t>five</w:t>
      </w:r>
      <w:r w:rsidR="006B4EFC" w:rsidRPr="007D1918">
        <w:t xml:space="preserve"> retrospective comparative cohort</w:t>
      </w:r>
      <w:r w:rsidRPr="007D1918">
        <w:t xml:space="preserve"> </w:t>
      </w:r>
      <w:r w:rsidR="00A723E4" w:rsidRPr="007D1918">
        <w:t xml:space="preserve">studies </w:t>
      </w:r>
      <w:r w:rsidR="006B4EFC" w:rsidRPr="007D1918">
        <w:t>(level III-2)</w:t>
      </w:r>
      <w:r w:rsidR="00A723E4" w:rsidRPr="007D1918">
        <w:t xml:space="preserve"> </w:t>
      </w:r>
      <w:r w:rsidR="0075212A" w:rsidRPr="007D1918">
        <w:fldChar w:fldCharType="begin">
          <w:fldData xml:space="preserve">PEVuZE5vdGU+PENpdGU+PEF1dGhvcj5NYW5kYXdhdDwvQXV0aG9yPjxZZWFyPjIwMTA8L1llYXI+
PFJlY051bT4zNzwvUmVjTnVtPjxEaXNwbGF5VGV4dD4oTWFuZGF3YXQgZXQgYWwuIDIwMTA7IE11
cnRoeSBldCBhbC4gMjAwNTsgUGFuZGEgZXQgYWwuIDIwMDQ7IFBpdHRheWFub24sIFRyZWVwcmFz
ZXJ0c3VrICZhbXA7IFBoYW50aHVtY2hpbmRhIDIwMDk7IFF1cmVzaGkgZXQgYWwuIDE5OTkpPC9E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aXRlPjxDaXRlPjxBdXRob3I+TXVydGh5PC9BdXRob3I+PFllYXI+MjAwNTwvWWVhcj48UmVjTnVt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PFJlY051bT4zNzwvUmVjTnVtPjxEaXNwbGF5VGV4dD4oTWFuZGF3YXQgZXQgYWwuIDIwMTA7IE11
cnRoeSBldCBhbC4gMjAwNTsgUGFuZGEgZXQgYWwuIDIwMDQ7IFBpdHRheWFub24sIFRyZWVwcmFz
ZXJ0c3VrICZhbXA7IFBoYW50aHVtY2hpbmRhIDIwMDk7IFF1cmVzaGkgZXQgYWwuIDE5OTkpPC9E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aXRlPjxDaXRlPjxBdXRob3I+TXVydGh5PC9BdXRob3I+PFllYXI+MjAwNTwvWWVhcj48UmVjTnVt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 xml:space="preserve">; </w:t>
      </w:r>
      <w:hyperlink w:anchor="_ENREF_68" w:tooltip="Murthy, 2005 #38" w:history="1">
        <w:r w:rsidR="007D4948" w:rsidRPr="007D1918">
          <w:rPr>
            <w:noProof/>
          </w:rPr>
          <w:t>Murthy et al. 2005</w:t>
        </w:r>
      </w:hyperlink>
      <w:r w:rsidR="0075212A" w:rsidRPr="007D1918">
        <w:rPr>
          <w:noProof/>
        </w:rPr>
        <w:t xml:space="preserve">; </w:t>
      </w:r>
      <w:hyperlink w:anchor="_ENREF_76" w:tooltip="Panda, 2004 #39" w:history="1">
        <w:r w:rsidR="007D4948" w:rsidRPr="007D1918">
          <w:rPr>
            <w:noProof/>
          </w:rPr>
          <w:t>Panda et al. 2004</w:t>
        </w:r>
      </w:hyperlink>
      <w:r w:rsidR="0075212A" w:rsidRPr="007D1918">
        <w:rPr>
          <w:noProof/>
        </w:rPr>
        <w:t xml:space="preserve">; </w:t>
      </w:r>
      <w:hyperlink w:anchor="_ENREF_79" w:tooltip="Pittayanon, 2009 #86" w:history="1">
        <w:r w:rsidR="007D4948" w:rsidRPr="007D1918">
          <w:rPr>
            <w:noProof/>
          </w:rPr>
          <w:t>Pittayanon, Treeprasertsuk &amp; Phanthumchinda 2009</w:t>
        </w:r>
      </w:hyperlink>
      <w:r w:rsidR="0075212A" w:rsidRPr="007D1918">
        <w:rPr>
          <w:noProof/>
        </w:rPr>
        <w:t xml:space="preserve">; </w:t>
      </w:r>
      <w:hyperlink w:anchor="_ENREF_80" w:tooltip="Qureshi, 1999 #40" w:history="1">
        <w:r w:rsidR="007D4948" w:rsidRPr="007D1918">
          <w:rPr>
            <w:noProof/>
          </w:rPr>
          <w:t>Qureshi et al. 1999</w:t>
        </w:r>
      </w:hyperlink>
      <w:r w:rsidR="0075212A" w:rsidRPr="007D1918">
        <w:rPr>
          <w:noProof/>
        </w:rPr>
        <w:t>)</w:t>
      </w:r>
      <w:r w:rsidR="0075212A" w:rsidRPr="007D1918">
        <w:fldChar w:fldCharType="end"/>
      </w:r>
      <w:r w:rsidR="006B4EFC" w:rsidRPr="007D1918">
        <w:t xml:space="preserve">. The RCT </w:t>
      </w:r>
      <w:r w:rsidR="0075212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8" w:tooltip="Gajdos, 1997 #45" w:history="1">
        <w:r w:rsidR="007D4948" w:rsidRPr="007D1918">
          <w:rPr>
            <w:noProof/>
          </w:rPr>
          <w:t>Gajdos et al. 1997</w:t>
        </w:r>
      </w:hyperlink>
      <w:r w:rsidR="0075212A" w:rsidRPr="007D1918">
        <w:rPr>
          <w:noProof/>
        </w:rPr>
        <w:t>)</w:t>
      </w:r>
      <w:r w:rsidR="0075212A" w:rsidRPr="007D1918">
        <w:fldChar w:fldCharType="end"/>
      </w:r>
      <w:r w:rsidRPr="007D1918">
        <w:t xml:space="preserve"> compared IVIg and PE in patients with MG exacerbation who</w:t>
      </w:r>
      <w:r w:rsidR="00D93698" w:rsidRPr="007D1918">
        <w:t xml:space="preserve"> largely </w:t>
      </w:r>
      <w:r w:rsidRPr="007D1918">
        <w:t xml:space="preserve">met the </w:t>
      </w:r>
      <w:r w:rsidR="0088065E" w:rsidRPr="007D1918">
        <w:rPr>
          <w:i/>
        </w:rPr>
        <w:t>Criteria V3</w:t>
      </w:r>
      <w:r w:rsidRPr="007D1918">
        <w:t xml:space="preserve"> for Indication 1. The inclusion criteria were: appearance within the previous month of at least one of difficulty swallowing, acute respiratory failure or major functional disability responsible for the discontinuation of physical activity. </w:t>
      </w:r>
      <w:r w:rsidR="00D93698" w:rsidRPr="007D1918">
        <w:t xml:space="preserve">Prior to IVIg or PE treatment, the majority of patients were </w:t>
      </w:r>
      <w:r w:rsidR="00E52976" w:rsidRPr="007D1918">
        <w:t>in</w:t>
      </w:r>
      <w:r w:rsidR="00D93698" w:rsidRPr="007D1918">
        <w:t xml:space="preserve"> disease stage 4 or 5 (61% in the PE group; 67% in the IVIg group). </w:t>
      </w:r>
      <w:r w:rsidR="00E52976" w:rsidRPr="007D1918">
        <w:t>T</w:t>
      </w:r>
      <w:r w:rsidR="006D57EF" w:rsidRPr="007D1918">
        <w:t>o fully describe the d</w:t>
      </w:r>
      <w:r w:rsidR="00D93698" w:rsidRPr="007D1918">
        <w:t>isease stage of all patients according to the study’s functional scale</w:t>
      </w:r>
      <w:r w:rsidR="006D57EF" w:rsidRPr="007D1918">
        <w:t>, baseline data are</w:t>
      </w:r>
      <w:r w:rsidR="00D93698" w:rsidRPr="007D1918">
        <w:t xml:space="preserve"> given in </w:t>
      </w:r>
      <w:r w:rsidR="00715068" w:rsidRPr="007D1918">
        <w:fldChar w:fldCharType="begin"/>
      </w:r>
      <w:r w:rsidR="00715068" w:rsidRPr="007D1918">
        <w:instrText xml:space="preserve"> REF _Ref7516713 \h  \* MERGEFORMAT </w:instrText>
      </w:r>
      <w:r w:rsidR="00715068" w:rsidRPr="007D1918">
        <w:fldChar w:fldCharType="separate"/>
      </w:r>
      <w:r w:rsidR="00001635" w:rsidRPr="007D1918">
        <w:t xml:space="preserve">Table </w:t>
      </w:r>
      <w:r w:rsidR="00001635" w:rsidRPr="007D1918">
        <w:rPr>
          <w:noProof/>
        </w:rPr>
        <w:t>16</w:t>
      </w:r>
      <w:r w:rsidR="00715068" w:rsidRPr="007D1918">
        <w:fldChar w:fldCharType="end"/>
      </w:r>
      <w:r w:rsidR="00715068" w:rsidRPr="007D1918">
        <w:t xml:space="preserve">. The </w:t>
      </w:r>
      <w:r w:rsidR="006D57EF" w:rsidRPr="007D1918">
        <w:t xml:space="preserve">data for </w:t>
      </w:r>
      <w:r w:rsidR="00715068" w:rsidRPr="007D1918">
        <w:t xml:space="preserve">patients </w:t>
      </w:r>
      <w:r w:rsidR="006D57EF" w:rsidRPr="007D1918">
        <w:t>at</w:t>
      </w:r>
      <w:r w:rsidR="00715068" w:rsidRPr="007D1918">
        <w:t xml:space="preserve"> stages 1 and 2, and stages 4 and 5 were not separated. </w:t>
      </w:r>
      <w:r w:rsidR="00714286" w:rsidRPr="007D1918">
        <w:t xml:space="preserve">There were 87 patients in total included in the RCT, </w:t>
      </w:r>
      <w:r w:rsidR="00E52976" w:rsidRPr="007D1918">
        <w:t>with</w:t>
      </w:r>
      <w:r w:rsidR="00714286" w:rsidRPr="007D1918">
        <w:t xml:space="preserve"> 46 randomised to IVIg, </w:t>
      </w:r>
      <w:r w:rsidR="00E52976" w:rsidRPr="007D1918">
        <w:t>t</w:t>
      </w:r>
      <w:r w:rsidR="006D57EF" w:rsidRPr="007D1918">
        <w:t xml:space="preserve">hese </w:t>
      </w:r>
      <w:r w:rsidR="00714286" w:rsidRPr="007D1918">
        <w:t xml:space="preserve">were further randomised to IVIg (0.4 g/kg) for </w:t>
      </w:r>
      <w:r w:rsidR="00110E5B" w:rsidRPr="007D1918">
        <w:t xml:space="preserve">either </w:t>
      </w:r>
      <w:r w:rsidR="00714286" w:rsidRPr="007D1918">
        <w:t>3 or 5 consecutive days for a dosage comparison. Adverse events were not separated for IVIg dose. The RCT was assessed as moderate for risk of bias.</w:t>
      </w:r>
    </w:p>
    <w:p w14:paraId="642C8C0A" w14:textId="0607391B" w:rsidR="00D93698" w:rsidRPr="007D1918" w:rsidRDefault="00D93698" w:rsidP="006D57EF">
      <w:pPr>
        <w:pStyle w:val="Caption"/>
        <w:keepNext/>
        <w:keepLines/>
      </w:pPr>
      <w:bookmarkStart w:id="220" w:name="_Ref7516713"/>
      <w:bookmarkStart w:id="221" w:name="_Toc23769503"/>
      <w:r w:rsidRPr="007D1918">
        <w:t xml:space="preserve">Table </w:t>
      </w:r>
      <w:r w:rsidR="0094721E" w:rsidRPr="007D1918">
        <w:rPr>
          <w:noProof/>
        </w:rPr>
        <w:fldChar w:fldCharType="begin"/>
      </w:r>
      <w:r w:rsidR="0094721E" w:rsidRPr="007D1918">
        <w:rPr>
          <w:noProof/>
        </w:rPr>
        <w:instrText xml:space="preserve"> SEQ Table \* ARABIC </w:instrText>
      </w:r>
      <w:r w:rsidR="0094721E" w:rsidRPr="007D1918">
        <w:rPr>
          <w:noProof/>
        </w:rPr>
        <w:fldChar w:fldCharType="separate"/>
      </w:r>
      <w:r w:rsidR="00942701" w:rsidRPr="007D1918">
        <w:rPr>
          <w:noProof/>
        </w:rPr>
        <w:t>16</w:t>
      </w:r>
      <w:r w:rsidR="0094721E" w:rsidRPr="007D1918">
        <w:rPr>
          <w:noProof/>
        </w:rPr>
        <w:fldChar w:fldCharType="end"/>
      </w:r>
      <w:bookmarkEnd w:id="220"/>
      <w:r w:rsidRPr="007D1918">
        <w:tab/>
        <w:t>Disease stage of patients prior to exacerbation, stratified by treatment</w:t>
      </w:r>
      <w:r w:rsidR="00F62894" w:rsidRPr="007D1918">
        <w:t xml:space="preserve"> </w:t>
      </w:r>
      <w:r w:rsidR="003736AC"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3736AC" w:rsidRPr="007D1918">
        <w:fldChar w:fldCharType="separate"/>
      </w:r>
      <w:r w:rsidR="003736AC" w:rsidRPr="007D1918">
        <w:rPr>
          <w:noProof/>
        </w:rPr>
        <w:t>(</w:t>
      </w:r>
      <w:hyperlink w:anchor="_ENREF_28" w:tooltip="Gajdos, 1997 #45" w:history="1">
        <w:r w:rsidR="007D4948" w:rsidRPr="007D1918">
          <w:rPr>
            <w:noProof/>
          </w:rPr>
          <w:t>Gajdos et al. 1997</w:t>
        </w:r>
      </w:hyperlink>
      <w:r w:rsidR="003736AC" w:rsidRPr="007D1918">
        <w:rPr>
          <w:noProof/>
        </w:rPr>
        <w:t>)</w:t>
      </w:r>
      <w:bookmarkEnd w:id="221"/>
      <w:r w:rsidR="003736AC" w:rsidRPr="007D1918">
        <w:fldChar w:fldCharType="end"/>
      </w:r>
    </w:p>
    <w:tbl>
      <w:tblPr>
        <w:tblStyle w:val="TableGrid"/>
        <w:tblW w:w="0" w:type="auto"/>
        <w:tblLook w:val="04A0" w:firstRow="1" w:lastRow="0" w:firstColumn="1" w:lastColumn="0" w:noHBand="0" w:noVBand="1"/>
        <w:tblCaption w:val="Table 14 Disease stage of patients prior to exacerbation in the Gajdos et al 1997 RCT, stratified by treatment"/>
        <w:tblDescription w:val="Description of the functional stages of patients in the RCT by Gajdos et al, 1997"/>
      </w:tblPr>
      <w:tblGrid>
        <w:gridCol w:w="4248"/>
        <w:gridCol w:w="2268"/>
        <w:gridCol w:w="2268"/>
      </w:tblGrid>
      <w:tr w:rsidR="00D93698" w:rsidRPr="007D1918" w14:paraId="7A8C42DA" w14:textId="77777777" w:rsidTr="00C245A4">
        <w:trPr>
          <w:cantSplit/>
          <w:tblHeader/>
        </w:trPr>
        <w:tc>
          <w:tcPr>
            <w:tcW w:w="4248" w:type="dxa"/>
            <w:tcBorders>
              <w:bottom w:val="single" w:sz="4" w:space="0" w:color="auto"/>
            </w:tcBorders>
          </w:tcPr>
          <w:p w14:paraId="1C0542BD" w14:textId="77777777" w:rsidR="00D93698" w:rsidRPr="007D1918" w:rsidRDefault="00D93698" w:rsidP="008B3469">
            <w:pPr>
              <w:pStyle w:val="TableHeading"/>
              <w:ind w:left="0"/>
            </w:pPr>
            <w:r w:rsidRPr="007D1918">
              <w:t>Functional stage and description</w:t>
            </w:r>
          </w:p>
        </w:tc>
        <w:tc>
          <w:tcPr>
            <w:tcW w:w="2268" w:type="dxa"/>
            <w:tcBorders>
              <w:bottom w:val="single" w:sz="4" w:space="0" w:color="auto"/>
            </w:tcBorders>
          </w:tcPr>
          <w:p w14:paraId="10DDFDBE" w14:textId="77777777" w:rsidR="00D93698" w:rsidRPr="007D1918" w:rsidRDefault="00D93698" w:rsidP="008B3469">
            <w:pPr>
              <w:pStyle w:val="TableHeading"/>
              <w:ind w:left="0"/>
            </w:pPr>
            <w:r w:rsidRPr="007D1918">
              <w:t>Number of patients - IVIg</w:t>
            </w:r>
          </w:p>
        </w:tc>
        <w:tc>
          <w:tcPr>
            <w:tcW w:w="2268" w:type="dxa"/>
            <w:tcBorders>
              <w:bottom w:val="single" w:sz="4" w:space="0" w:color="auto"/>
            </w:tcBorders>
          </w:tcPr>
          <w:p w14:paraId="2F5C1487" w14:textId="77777777" w:rsidR="00D93698" w:rsidRPr="007D1918" w:rsidRDefault="00D93698" w:rsidP="008B3469">
            <w:pPr>
              <w:pStyle w:val="TableHeading"/>
              <w:ind w:left="0"/>
            </w:pPr>
            <w:r w:rsidRPr="007D1918">
              <w:t>Number of patients - PE</w:t>
            </w:r>
          </w:p>
        </w:tc>
      </w:tr>
      <w:tr w:rsidR="00D93698" w:rsidRPr="007D1918" w14:paraId="45375697" w14:textId="77777777" w:rsidTr="00110E5B">
        <w:trPr>
          <w:cantSplit/>
        </w:trPr>
        <w:tc>
          <w:tcPr>
            <w:tcW w:w="4248" w:type="dxa"/>
            <w:tcBorders>
              <w:bottom w:val="nil"/>
            </w:tcBorders>
          </w:tcPr>
          <w:p w14:paraId="71ED8DCB" w14:textId="20DF005B" w:rsidR="00D93698" w:rsidRPr="007D1918" w:rsidRDefault="00D93698" w:rsidP="00110E5B">
            <w:pPr>
              <w:pStyle w:val="Tabletext1"/>
              <w:ind w:left="0"/>
            </w:pPr>
            <w:r w:rsidRPr="007D1918">
              <w:t>1 - complete remission</w:t>
            </w:r>
            <w:r w:rsidR="00705850" w:rsidRPr="007D1918">
              <w:t xml:space="preserve"> OR</w:t>
            </w:r>
          </w:p>
        </w:tc>
        <w:tc>
          <w:tcPr>
            <w:tcW w:w="2268" w:type="dxa"/>
            <w:tcBorders>
              <w:bottom w:val="nil"/>
            </w:tcBorders>
          </w:tcPr>
          <w:p w14:paraId="41659477" w14:textId="77777777" w:rsidR="00D93698" w:rsidRPr="007D1918" w:rsidRDefault="00715068" w:rsidP="006D57EF">
            <w:pPr>
              <w:pStyle w:val="Tabletext1"/>
              <w:keepNext/>
              <w:keepLines/>
              <w:ind w:left="0"/>
            </w:pPr>
            <w:r w:rsidRPr="007D1918">
              <w:t>5 (11%)</w:t>
            </w:r>
          </w:p>
        </w:tc>
        <w:tc>
          <w:tcPr>
            <w:tcW w:w="2268" w:type="dxa"/>
            <w:tcBorders>
              <w:bottom w:val="nil"/>
            </w:tcBorders>
          </w:tcPr>
          <w:p w14:paraId="70FD6C79" w14:textId="77777777" w:rsidR="00D93698" w:rsidRPr="007D1918" w:rsidRDefault="00715068" w:rsidP="006D57EF">
            <w:pPr>
              <w:pStyle w:val="Tabletext1"/>
              <w:keepNext/>
              <w:keepLines/>
              <w:ind w:left="0"/>
            </w:pPr>
            <w:r w:rsidRPr="007D1918">
              <w:t>6 (15%)</w:t>
            </w:r>
          </w:p>
        </w:tc>
      </w:tr>
      <w:tr w:rsidR="00D93698" w:rsidRPr="007D1918" w14:paraId="0434150E" w14:textId="77777777" w:rsidTr="00110E5B">
        <w:trPr>
          <w:cantSplit/>
        </w:trPr>
        <w:tc>
          <w:tcPr>
            <w:tcW w:w="4248" w:type="dxa"/>
            <w:tcBorders>
              <w:top w:val="nil"/>
            </w:tcBorders>
          </w:tcPr>
          <w:p w14:paraId="7701C9C6" w14:textId="4B18C1E6" w:rsidR="00D93698" w:rsidRPr="007D1918" w:rsidRDefault="00D93698" w:rsidP="00110E5B">
            <w:pPr>
              <w:pStyle w:val="Tabletext1"/>
              <w:ind w:left="0"/>
            </w:pPr>
            <w:r w:rsidRPr="007D1918">
              <w:t>2 - minor symptoms allowing normal non</w:t>
            </w:r>
            <w:r w:rsidR="00110E5B" w:rsidRPr="007D1918">
              <w:t>-</w:t>
            </w:r>
            <w:r w:rsidRPr="007D1918">
              <w:t>exertional activity</w:t>
            </w:r>
          </w:p>
        </w:tc>
        <w:tc>
          <w:tcPr>
            <w:tcW w:w="2268" w:type="dxa"/>
            <w:tcBorders>
              <w:top w:val="nil"/>
            </w:tcBorders>
          </w:tcPr>
          <w:p w14:paraId="1AA6B8DA" w14:textId="77777777" w:rsidR="00D93698" w:rsidRPr="007D1918" w:rsidRDefault="00D93698" w:rsidP="006D57EF">
            <w:pPr>
              <w:pStyle w:val="Tabletext1"/>
              <w:keepNext/>
              <w:keepLines/>
              <w:ind w:left="0"/>
            </w:pPr>
          </w:p>
        </w:tc>
        <w:tc>
          <w:tcPr>
            <w:tcW w:w="2268" w:type="dxa"/>
            <w:tcBorders>
              <w:top w:val="nil"/>
            </w:tcBorders>
          </w:tcPr>
          <w:p w14:paraId="090E49DB" w14:textId="77777777" w:rsidR="00D93698" w:rsidRPr="007D1918" w:rsidRDefault="00D93698" w:rsidP="006D57EF">
            <w:pPr>
              <w:pStyle w:val="Tabletext1"/>
              <w:keepNext/>
              <w:keepLines/>
              <w:ind w:left="0"/>
            </w:pPr>
          </w:p>
        </w:tc>
      </w:tr>
      <w:tr w:rsidR="00D93698" w:rsidRPr="007D1918" w14:paraId="6AD5CA49" w14:textId="77777777" w:rsidTr="00110E5B">
        <w:trPr>
          <w:cantSplit/>
        </w:trPr>
        <w:tc>
          <w:tcPr>
            <w:tcW w:w="4248" w:type="dxa"/>
            <w:tcBorders>
              <w:bottom w:val="single" w:sz="4" w:space="0" w:color="auto"/>
            </w:tcBorders>
          </w:tcPr>
          <w:p w14:paraId="5D1859EE" w14:textId="77777777" w:rsidR="00D93698" w:rsidRPr="007D1918" w:rsidRDefault="00D93698" w:rsidP="00110E5B">
            <w:pPr>
              <w:pStyle w:val="Tabletext1"/>
              <w:ind w:left="0"/>
            </w:pPr>
            <w:r w:rsidRPr="007D1918">
              <w:t>3 – moderate symptoms</w:t>
            </w:r>
            <w:r w:rsidR="00715068" w:rsidRPr="007D1918">
              <w:t xml:space="preserve"> allowing occupational or partial daily activity</w:t>
            </w:r>
          </w:p>
        </w:tc>
        <w:tc>
          <w:tcPr>
            <w:tcW w:w="2268" w:type="dxa"/>
            <w:tcBorders>
              <w:bottom w:val="single" w:sz="4" w:space="0" w:color="auto"/>
            </w:tcBorders>
          </w:tcPr>
          <w:p w14:paraId="0A3EE0DF" w14:textId="77777777" w:rsidR="00D93698" w:rsidRPr="007D1918" w:rsidRDefault="00715068" w:rsidP="006D57EF">
            <w:pPr>
              <w:pStyle w:val="Tabletext1"/>
              <w:keepNext/>
              <w:keepLines/>
              <w:ind w:left="0"/>
            </w:pPr>
            <w:r w:rsidRPr="007D1918">
              <w:t>10 (22%)</w:t>
            </w:r>
          </w:p>
        </w:tc>
        <w:tc>
          <w:tcPr>
            <w:tcW w:w="2268" w:type="dxa"/>
            <w:tcBorders>
              <w:bottom w:val="single" w:sz="4" w:space="0" w:color="auto"/>
            </w:tcBorders>
          </w:tcPr>
          <w:p w14:paraId="29458396" w14:textId="77777777" w:rsidR="00D93698" w:rsidRPr="007D1918" w:rsidRDefault="00715068" w:rsidP="006D57EF">
            <w:pPr>
              <w:pStyle w:val="Tabletext1"/>
              <w:keepNext/>
              <w:keepLines/>
              <w:ind w:left="0"/>
            </w:pPr>
            <w:r w:rsidRPr="007D1918">
              <w:t>10 (24%)</w:t>
            </w:r>
          </w:p>
        </w:tc>
      </w:tr>
      <w:tr w:rsidR="00D93698" w:rsidRPr="007D1918" w14:paraId="7AFC0A41" w14:textId="77777777" w:rsidTr="00110E5B">
        <w:trPr>
          <w:cantSplit/>
        </w:trPr>
        <w:tc>
          <w:tcPr>
            <w:tcW w:w="4248" w:type="dxa"/>
            <w:tcBorders>
              <w:bottom w:val="single" w:sz="4" w:space="0" w:color="auto"/>
            </w:tcBorders>
          </w:tcPr>
          <w:p w14:paraId="12B36C9B" w14:textId="77777777" w:rsidR="00D93698" w:rsidRPr="007D1918" w:rsidRDefault="00715068" w:rsidP="00D93698">
            <w:pPr>
              <w:pStyle w:val="Tabletext1"/>
              <w:ind w:left="0"/>
            </w:pPr>
            <w:r w:rsidRPr="007D1918">
              <w:t>4 – major disability requiring discontinuation of occupational activity</w:t>
            </w:r>
            <w:r w:rsidR="00705850" w:rsidRPr="007D1918">
              <w:t xml:space="preserve"> OR</w:t>
            </w:r>
          </w:p>
          <w:p w14:paraId="26BE4696" w14:textId="0CCE2DFD" w:rsidR="006D57EF" w:rsidRPr="007D1918" w:rsidRDefault="006D57EF" w:rsidP="00D93698">
            <w:pPr>
              <w:pStyle w:val="Tabletext1"/>
              <w:ind w:left="0"/>
            </w:pPr>
            <w:r w:rsidRPr="007D1918">
              <w:t>5 – major disability requiring continuous help by other or mechanical ventilation</w:t>
            </w:r>
          </w:p>
        </w:tc>
        <w:tc>
          <w:tcPr>
            <w:tcW w:w="2268" w:type="dxa"/>
            <w:tcBorders>
              <w:bottom w:val="single" w:sz="4" w:space="0" w:color="auto"/>
            </w:tcBorders>
          </w:tcPr>
          <w:p w14:paraId="6CA6A9E7" w14:textId="77777777" w:rsidR="00D93698" w:rsidRPr="007D1918" w:rsidRDefault="00715068" w:rsidP="00D93698">
            <w:pPr>
              <w:pStyle w:val="Tabletext1"/>
              <w:ind w:left="0"/>
            </w:pPr>
            <w:r w:rsidRPr="007D1918">
              <w:t>31 (67%)</w:t>
            </w:r>
          </w:p>
        </w:tc>
        <w:tc>
          <w:tcPr>
            <w:tcW w:w="2268" w:type="dxa"/>
            <w:tcBorders>
              <w:bottom w:val="single" w:sz="4" w:space="0" w:color="auto"/>
            </w:tcBorders>
          </w:tcPr>
          <w:p w14:paraId="50D0F2B6" w14:textId="77777777" w:rsidR="00D93698" w:rsidRPr="007D1918" w:rsidRDefault="00715068" w:rsidP="00D93698">
            <w:pPr>
              <w:pStyle w:val="Tabletext1"/>
              <w:ind w:left="0"/>
            </w:pPr>
            <w:r w:rsidRPr="007D1918">
              <w:t>25 (61%)</w:t>
            </w:r>
          </w:p>
        </w:tc>
      </w:tr>
    </w:tbl>
    <w:p w14:paraId="71B8C4DA" w14:textId="77777777" w:rsidR="00D93698" w:rsidRPr="007D1918" w:rsidRDefault="00715068" w:rsidP="002A289C">
      <w:pPr>
        <w:pStyle w:val="Tablenotes0"/>
        <w:spacing w:after="120"/>
        <w:contextualSpacing w:val="0"/>
      </w:pPr>
      <w:r w:rsidRPr="007D1918">
        <w:lastRenderedPageBreak/>
        <w:t>IVIg = intravenous immunoglobulin therapy; PE = plasma exchange therapy</w:t>
      </w:r>
    </w:p>
    <w:p w14:paraId="19E48493" w14:textId="77777777" w:rsidR="006D57EF" w:rsidRPr="007D1918" w:rsidRDefault="006D57EF" w:rsidP="00E6429D">
      <w:pPr>
        <w:pStyle w:val="Tablenotes0"/>
      </w:pPr>
    </w:p>
    <w:p w14:paraId="4EB0091A" w14:textId="277FBBCA" w:rsidR="00714286" w:rsidRPr="007D1918" w:rsidRDefault="00714286" w:rsidP="00AC7BF4">
      <w:pPr>
        <w:jc w:val="both"/>
      </w:pPr>
      <w:r w:rsidRPr="007D1918">
        <w:t xml:space="preserve">One of the cohort studies </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r w:rsidRPr="007D1918">
        <w:t xml:space="preserve"> was a large </w:t>
      </w:r>
      <w:r w:rsidR="00E52976" w:rsidRPr="007D1918">
        <w:t>retrospective</w:t>
      </w:r>
      <w:r w:rsidRPr="007D1918">
        <w:t xml:space="preserve"> analysis of 1,606 patients performed with data from an administrative database. Hospitalised patients diagnosed with MG or in MG crisis and who underwent either IVIg or PE treatments were included and analysed separately. Patients identified as having MG crisis were considered to meet the </w:t>
      </w:r>
      <w:r w:rsidR="0088065E" w:rsidRPr="007D1918">
        <w:rPr>
          <w:i/>
        </w:rPr>
        <w:t>Criteria V3</w:t>
      </w:r>
      <w:r w:rsidR="0088065E" w:rsidRPr="007D1918">
        <w:t xml:space="preserve"> for</w:t>
      </w:r>
      <w:r w:rsidRPr="007D1918">
        <w:t xml:space="preserve"> Indication 1</w:t>
      </w:r>
      <w:r w:rsidRPr="007D1918">
        <w:rPr>
          <w:rStyle w:val="FootnoteReference"/>
        </w:rPr>
        <w:footnoteReference w:id="6"/>
      </w:r>
      <w:r w:rsidRPr="007D1918">
        <w:t>.</w:t>
      </w:r>
    </w:p>
    <w:p w14:paraId="525A1584" w14:textId="14506F87" w:rsidR="00714286" w:rsidRPr="007D1918" w:rsidRDefault="00714286" w:rsidP="00AC7BF4">
      <w:pPr>
        <w:jc w:val="both"/>
      </w:pPr>
      <w:r w:rsidRPr="007D1918">
        <w:t xml:space="preserve">The four other retrospective cohort studies that compared AE data between small patient groups were assessed </w:t>
      </w:r>
      <w:r w:rsidR="003D432C" w:rsidRPr="007D1918">
        <w:t xml:space="preserve">between </w:t>
      </w:r>
      <w:r w:rsidRPr="007D1918">
        <w:t xml:space="preserve">moderate </w:t>
      </w:r>
      <w:r w:rsidR="003D432C" w:rsidRPr="007D1918">
        <w:t xml:space="preserve">and </w:t>
      </w:r>
      <w:r w:rsidRPr="007D1918">
        <w:t>high for risk of bias</w:t>
      </w:r>
      <w:r w:rsidR="00A723E4" w:rsidRPr="007D1918">
        <w:t xml:space="preserve"> </w:t>
      </w:r>
      <w:r w:rsidR="0075212A" w:rsidRPr="007D1918">
        <w:fldChar w:fldCharType="begin">
          <w:fldData xml:space="preserve">PEVuZE5vdGU+PENpdGU+PEF1dGhvcj5NdXJ0aHk8L0F1dGhvcj48WWVhcj4yMDA1PC9ZZWFyPjxS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</w:fldData>
        </w:fldChar>
      </w:r>
      <w:r w:rsidR="00C437BA" w:rsidRPr="007D1918">
        <w:instrText xml:space="preserve"> ADDIN EN.CITE </w:instrText>
      </w:r>
      <w:r w:rsidR="00C437BA" w:rsidRPr="007D1918">
        <w:fldChar w:fldCharType="begin">
          <w:fldData xml:space="preserve">PEVuZE5vdGU+PENpdGU+PEF1dGhvcj5NdXJ0aHk8L0F1dGhvcj48WWVhcj4yMDA1PC9ZZWFyPjxS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8" w:tooltip="Murthy, 2005 #38" w:history="1">
        <w:r w:rsidR="007D4948" w:rsidRPr="007D1918">
          <w:rPr>
            <w:noProof/>
          </w:rPr>
          <w:t>Murthy et al. 2005</w:t>
        </w:r>
      </w:hyperlink>
      <w:r w:rsidR="0075212A" w:rsidRPr="007D1918">
        <w:rPr>
          <w:noProof/>
        </w:rPr>
        <w:t xml:space="preserve">; </w:t>
      </w:r>
      <w:hyperlink w:anchor="_ENREF_76" w:tooltip="Panda, 2004 #39" w:history="1">
        <w:r w:rsidR="007D4948" w:rsidRPr="007D1918">
          <w:rPr>
            <w:noProof/>
          </w:rPr>
          <w:t>Panda et al. 2004</w:t>
        </w:r>
      </w:hyperlink>
      <w:r w:rsidR="0075212A" w:rsidRPr="007D1918">
        <w:rPr>
          <w:noProof/>
        </w:rPr>
        <w:t xml:space="preserve">; </w:t>
      </w:r>
      <w:hyperlink w:anchor="_ENREF_79" w:tooltip="Pittayanon, 2009 #86" w:history="1">
        <w:r w:rsidR="007D4948" w:rsidRPr="007D1918">
          <w:rPr>
            <w:noProof/>
          </w:rPr>
          <w:t>Pittayanon, Treeprasertsuk &amp; Phanthumchinda 2009</w:t>
        </w:r>
      </w:hyperlink>
      <w:r w:rsidR="0075212A" w:rsidRPr="007D1918">
        <w:rPr>
          <w:noProof/>
        </w:rPr>
        <w:t xml:space="preserve">; </w:t>
      </w:r>
      <w:hyperlink w:anchor="_ENREF_80" w:tooltip="Qureshi, 1999 #40" w:history="1">
        <w:r w:rsidR="007D4948" w:rsidRPr="007D1918">
          <w:rPr>
            <w:noProof/>
          </w:rPr>
          <w:t>Qureshi et al. 1999</w:t>
        </w:r>
      </w:hyperlink>
      <w:r w:rsidR="0075212A" w:rsidRPr="007D1918">
        <w:rPr>
          <w:noProof/>
        </w:rPr>
        <w:t>)</w:t>
      </w:r>
      <w:r w:rsidR="0075212A" w:rsidRPr="007D1918">
        <w:fldChar w:fldCharType="end"/>
      </w:r>
      <w:r w:rsidRPr="007D1918">
        <w:t xml:space="preserve">. </w:t>
      </w:r>
      <w:r w:rsidR="00A723E4" w:rsidRPr="007D1918">
        <w:t>All but one of these</w:t>
      </w:r>
      <w:r w:rsidRPr="007D1918">
        <w:t xml:space="preserve"> </w:t>
      </w:r>
      <w:r w:rsidR="0075212A" w:rsidRPr="007D1918">
        <w:fldChar w:fldCharType="begin"/>
      </w:r>
      <w:r w:rsidR="00C437BA" w:rsidRPr="007D1918">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0075212A" w:rsidRPr="007D1918">
        <w:fldChar w:fldCharType="separate"/>
      </w:r>
      <w:r w:rsidR="0075212A" w:rsidRPr="007D1918">
        <w:rPr>
          <w:noProof/>
        </w:rPr>
        <w:t>(</w:t>
      </w:r>
      <w:hyperlink w:anchor="_ENREF_80" w:tooltip="Qureshi, 1999 #40" w:history="1">
        <w:r w:rsidR="007D4948" w:rsidRPr="007D1918">
          <w:rPr>
            <w:noProof/>
          </w:rPr>
          <w:t>Qureshi et al. 1999</w:t>
        </w:r>
      </w:hyperlink>
      <w:r w:rsidR="0075212A" w:rsidRPr="007D1918">
        <w:rPr>
          <w:noProof/>
        </w:rPr>
        <w:t>)</w:t>
      </w:r>
      <w:r w:rsidR="0075212A" w:rsidRPr="007D1918">
        <w:fldChar w:fldCharType="end"/>
      </w:r>
      <w:r w:rsidR="00A723E4" w:rsidRPr="007D1918">
        <w:t xml:space="preserve"> </w:t>
      </w:r>
      <w:r w:rsidRPr="007D1918">
        <w:t>compared complications per crisis episode, as some patients experienced more than one crisis and hospital admission.</w:t>
      </w:r>
      <w:r w:rsidR="00110E5B" w:rsidRPr="007D1918">
        <w:t xml:space="preserve"> </w:t>
      </w:r>
    </w:p>
    <w:p w14:paraId="0D519BCA" w14:textId="118B8B64" w:rsidR="00110E5B" w:rsidRPr="007D1918" w:rsidRDefault="00110E5B" w:rsidP="00110E5B">
      <w:pPr>
        <w:jc w:val="both"/>
      </w:pPr>
      <w:r w:rsidRPr="007D1918">
        <w:t xml:space="preserve">Selection bias could not be ruled out in the cohort studies. In particular, the large study by Mandawat et al reported baseline data that reflected a significantly higher number of patients who underwent PE experienced </w:t>
      </w:r>
      <w:r w:rsidR="00103B60" w:rsidRPr="007D1918">
        <w:t xml:space="preserve">acute respiratory failure and were intubated compared to those given IVIg (P &lt; 0.0001). Considering that other literature nominates PE is the faster acting treatment of the two </w:t>
      </w:r>
      <w:r w:rsidR="003736AC" w:rsidRPr="007D1918">
        <w:fldChar w:fldCharType="begin">
          <w:fldData xml:space="preserve">PEVuZE5vdGU+PENpdGU+PEF1dGhvcj5CYXJ0aDwvQXV0aG9yPjxZZWFyPjIwMTE8L1llYXI+PFJl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eS5jb20vY2VudHJhbC9kb2kvMTAuMTAwMi9jZW50cmFsL0NOLTAwODAwMDg0L2Z1bGw8L3VybD48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</w:fldData>
        </w:fldChar>
      </w:r>
      <w:r w:rsidR="001A0E53" w:rsidRPr="007D1918">
        <w:instrText xml:space="preserve"> ADDIN EN.CITE </w:instrText>
      </w:r>
      <w:r w:rsidR="001A0E53" w:rsidRPr="007D1918">
        <w:fldChar w:fldCharType="begin">
          <w:fldData xml:space="preserve">PEVuZE5vdGU+PENpdGU+PEF1dGhvcj5CYXJ0aDwvQXV0aG9yPjxZZWFyPjIwMTE8L1llYXI+PFJl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eS5jb20vY2VudHJhbC9kb2kvMTAuMTAwMi9jZW50cmFsL0NOLTAwODAwMDg0L2Z1bGw8L3VybD48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</w:fldData>
        </w:fldChar>
      </w:r>
      <w:r w:rsidR="001A0E53" w:rsidRPr="007D1918">
        <w:instrText xml:space="preserve"> ADDIN EN.CITE.DATA </w:instrText>
      </w:r>
      <w:r w:rsidR="001A0E53" w:rsidRPr="007D1918">
        <w:fldChar w:fldCharType="end"/>
      </w:r>
      <w:r w:rsidR="003736AC"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80" w:tooltip="Qureshi, 1999 #40" w:history="1">
        <w:r w:rsidR="007D4948" w:rsidRPr="007D1918">
          <w:rPr>
            <w:noProof/>
          </w:rPr>
          <w:t>Qureshi et al. 1999</w:t>
        </w:r>
      </w:hyperlink>
      <w:r w:rsidR="001A0E53" w:rsidRPr="007D1918">
        <w:rPr>
          <w:noProof/>
        </w:rPr>
        <w:t>)</w:t>
      </w:r>
      <w:r w:rsidR="003736AC" w:rsidRPr="007D1918">
        <w:fldChar w:fldCharType="end"/>
      </w:r>
      <w:r w:rsidR="00103B60" w:rsidRPr="007D1918">
        <w:t>, it is probable that patients in respiratory crisis were given PE in preference to IVIg. It is possible that this preference extends to the other cohort studies.</w:t>
      </w:r>
    </w:p>
    <w:p w14:paraId="7F5C9F1A" w14:textId="5D5CB07B" w:rsidR="005F5E41" w:rsidRPr="007D1918" w:rsidRDefault="005F5E41" w:rsidP="00AC7BF4">
      <w:pPr>
        <w:jc w:val="both"/>
      </w:pPr>
      <w:r w:rsidRPr="007D1918">
        <w:t xml:space="preserve">All studies reported more AEs or a greater proportion of patients experiencing AEs when given PE compared to IVIg. The difference between treatments did not always reach statistical significance, and some particular events were more common to PE or IVIg. Hypotension was a common AE in the PE group, but was relatively easily treated. Headaches and elevated blood urea were more common in those treated with IVIg, but once again these were </w:t>
      </w:r>
      <w:r w:rsidR="00714286" w:rsidRPr="007D1918">
        <w:t>considered</w:t>
      </w:r>
      <w:r w:rsidRPr="007D1918">
        <w:t xml:space="preserve"> minor symptoms.</w:t>
      </w:r>
    </w:p>
    <w:p w14:paraId="0C8546BB" w14:textId="30603023" w:rsidR="00E52976" w:rsidRPr="007D1918" w:rsidRDefault="00E52976" w:rsidP="00AC7BF4">
      <w:pPr>
        <w:jc w:val="both"/>
      </w:pPr>
      <w:r w:rsidRPr="007D1918">
        <w:t xml:space="preserve">In the RCT </w:t>
      </w:r>
      <w:r w:rsidR="0075212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8" w:tooltip="Gajdos, 1997 #45" w:history="1">
        <w:r w:rsidR="007D4948" w:rsidRPr="007D1918">
          <w:rPr>
            <w:noProof/>
          </w:rPr>
          <w:t>Gajdos et al. 1997</w:t>
        </w:r>
      </w:hyperlink>
      <w:r w:rsidR="0075212A" w:rsidRPr="007D1918">
        <w:rPr>
          <w:noProof/>
        </w:rPr>
        <w:t>)</w:t>
      </w:r>
      <w:r w:rsidR="0075212A" w:rsidRPr="007D1918">
        <w:fldChar w:fldCharType="end"/>
      </w:r>
      <w:r w:rsidRPr="007D1918">
        <w:t xml:space="preserve"> there were more AEs observed in the patients who were randomised to PE treatment than in those who underwent IVIg (</w:t>
      </w:r>
      <w:r w:rsidRPr="007D1918">
        <w:fldChar w:fldCharType="begin"/>
      </w:r>
      <w:r w:rsidRPr="007D1918">
        <w:instrText xml:space="preserve"> REF _Ref7517280 \h  \* MERGEFORMAT </w:instrText>
      </w:r>
      <w:r w:rsidRPr="007D1918">
        <w:fldChar w:fldCharType="separate"/>
      </w:r>
      <w:r w:rsidR="00153384" w:rsidRPr="007D1918">
        <w:t xml:space="preserve">Table </w:t>
      </w:r>
      <w:r w:rsidR="00153384" w:rsidRPr="007D1918">
        <w:rPr>
          <w:noProof/>
        </w:rPr>
        <w:t>17</w:t>
      </w:r>
      <w:r w:rsidRPr="007D1918">
        <w:fldChar w:fldCharType="end"/>
      </w:r>
      <w:r w:rsidRPr="007D1918">
        <w:t xml:space="preserve">). The </w:t>
      </w:r>
      <w:r w:rsidR="005D7E1D" w:rsidRPr="007D1918">
        <w:t>proportion of patients experiencing an AE was</w:t>
      </w:r>
      <w:r w:rsidRPr="007D1918">
        <w:t xml:space="preserve"> 19.5% (95% CI 7.4%, 31.6%) in the PE group compared to 2.2% (95% CI 0, 6.4%) in the IVIg group, the difference showing statistical significance (p = 0.01, Fisher</w:t>
      </w:r>
      <w:r w:rsidR="00966A87" w:rsidRPr="007D1918">
        <w:t>’</w:t>
      </w:r>
      <w:r w:rsidRPr="007D1918">
        <w:t xml:space="preserve">s </w:t>
      </w:r>
      <w:r w:rsidR="00966A87" w:rsidRPr="007D1918">
        <w:t xml:space="preserve">exact </w:t>
      </w:r>
      <w:r w:rsidRPr="007D1918">
        <w:t xml:space="preserve">test). In the PE group, eight patients experienced events, with two serious enough to require discontinuation of treatment (one femoral thrombosis and one retroperitoneal haematoma). A further two patients did not complete PE treatment and were transferred to the IVIg group, due to difficulty obtaining vascular </w:t>
      </w:r>
      <w:r w:rsidRPr="007D1918">
        <w:lastRenderedPageBreak/>
        <w:t xml:space="preserve">access in one patient and angina pectoris in the second. The transfer was made prior to the start of treatment. </w:t>
      </w:r>
    </w:p>
    <w:p w14:paraId="2C3AD316" w14:textId="279F6441" w:rsidR="00715068" w:rsidRPr="007D1918" w:rsidRDefault="00AB40B0" w:rsidP="00AC7BF4">
      <w:pPr>
        <w:jc w:val="both"/>
      </w:pPr>
      <w:r w:rsidRPr="007D1918">
        <w:t>Data on A</w:t>
      </w:r>
      <w:r w:rsidR="006328B7" w:rsidRPr="007D1918">
        <w:t>E</w:t>
      </w:r>
      <w:r w:rsidRPr="007D1918">
        <w:t xml:space="preserve">s from the large retrospective cohort by Mandawat et al </w:t>
      </w:r>
      <w:r w:rsidR="003736AC"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D4948" w:rsidRPr="007D1918">
        <w:instrText xml:space="preserve"> ADDIN EN.CITE </w:instrText>
      </w:r>
      <w:r w:rsidR="007D4948"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64" w:tooltip="Mandawat, 2010 #37" w:history="1">
        <w:r w:rsidR="007D4948" w:rsidRPr="007D1918">
          <w:rPr>
            <w:noProof/>
          </w:rPr>
          <w:t>Mandawat et al. 2010</w:t>
        </w:r>
      </w:hyperlink>
      <w:r w:rsidR="007D4948" w:rsidRPr="007D1918">
        <w:rPr>
          <w:noProof/>
        </w:rPr>
        <w:t>)</w:t>
      </w:r>
      <w:r w:rsidR="003736AC" w:rsidRPr="007D1918">
        <w:fldChar w:fldCharType="end"/>
      </w:r>
      <w:r w:rsidR="00BC2187" w:rsidRPr="007D1918">
        <w:t xml:space="preserve"> supported the RCT results</w:t>
      </w:r>
      <w:r w:rsidRPr="007D1918">
        <w:t xml:space="preserve">. Mandawat et al found a significantly greater number of AEs in the PE group for complications overall, and for all other reported AEs, including cardiac complications (unadjusted complication rate 30.06% versus 14.79%; p </w:t>
      </w:r>
      <w:r w:rsidR="00282EEC" w:rsidRPr="007D1918">
        <w:t>=</w:t>
      </w:r>
      <w:r w:rsidRPr="007D1918">
        <w:t xml:space="preserve"> 0.0001)</w:t>
      </w:r>
      <w:r w:rsidR="00282EEC" w:rsidRPr="007D1918">
        <w:t xml:space="preserve"> and systemic infections (unadjusted systemic infection rate 9.45% versus 1.18%; p &lt; 0.0001)</w:t>
      </w:r>
      <w:r w:rsidRPr="007D1918">
        <w:t>.</w:t>
      </w:r>
      <w:r w:rsidR="006328B7" w:rsidRPr="007D1918">
        <w:t xml:space="preserve"> </w:t>
      </w:r>
      <w:r w:rsidRPr="007D1918">
        <w:t xml:space="preserve">In their analyses of </w:t>
      </w:r>
      <w:r w:rsidR="001B67DB" w:rsidRPr="007D1918">
        <w:t>possible baseline covariates</w:t>
      </w:r>
      <w:r w:rsidRPr="007D1918">
        <w:t xml:space="preserve">, the authors found that crisis patients receiving PE were more likely to have been discharged to a rehabilitation facility (p &lt; 0.001) and less likely to have been treated at a rural hospital (p &lt; 0.01) but hospital size, teaching status and hospital region were not </w:t>
      </w:r>
      <w:r w:rsidR="00714286" w:rsidRPr="007D1918">
        <w:t>different between groups.</w:t>
      </w:r>
    </w:p>
    <w:p w14:paraId="67C0B6E0" w14:textId="0DA33F29" w:rsidR="007F5901" w:rsidRPr="007D1918" w:rsidRDefault="0005272E" w:rsidP="005C061E">
      <w:pPr>
        <w:pStyle w:val="Caption"/>
        <w:keepNext/>
        <w:jc w:val="both"/>
        <w:rPr>
          <w:rFonts w:cs="Arial"/>
          <w:snapToGrid w:val="0"/>
          <w:szCs w:val="16"/>
          <w:lang w:eastAsia="en-US"/>
        </w:rPr>
      </w:pPr>
      <w:bookmarkStart w:id="222" w:name="_Ref7517280"/>
      <w:bookmarkStart w:id="223" w:name="_Toc381969870"/>
      <w:bookmarkStart w:id="224" w:name="_Toc23769504"/>
      <w:r w:rsidRPr="007D1918">
        <w:lastRenderedPageBreak/>
        <w:t xml:space="preserve">Table </w:t>
      </w:r>
      <w:r w:rsidR="0086593E" w:rsidRPr="007D1918">
        <w:fldChar w:fldCharType="begin"/>
      </w:r>
      <w:r w:rsidRPr="007D1918">
        <w:instrText xml:space="preserve"> SEQ Table \* ARABIC </w:instrText>
      </w:r>
      <w:r w:rsidR="0086593E" w:rsidRPr="007D1918">
        <w:fldChar w:fldCharType="separate"/>
      </w:r>
      <w:r w:rsidR="00942701" w:rsidRPr="007D1918">
        <w:rPr>
          <w:noProof/>
        </w:rPr>
        <w:t>17</w:t>
      </w:r>
      <w:r w:rsidR="0086593E" w:rsidRPr="007D1918">
        <w:fldChar w:fldCharType="end"/>
      </w:r>
      <w:bookmarkEnd w:id="219"/>
      <w:bookmarkEnd w:id="222"/>
      <w:r w:rsidR="009D57A2" w:rsidRPr="007D1918">
        <w:tab/>
      </w:r>
      <w:bookmarkEnd w:id="223"/>
      <w:r w:rsidR="00C75CA0" w:rsidRPr="007D1918">
        <w:rPr>
          <w:rFonts w:cs="Arial"/>
          <w:snapToGrid w:val="0"/>
          <w:szCs w:val="16"/>
          <w:lang w:eastAsia="en-US"/>
        </w:rPr>
        <w:t>Number of adverse events in patients undergoing IVIg compared with PE</w:t>
      </w:r>
      <w:bookmarkEnd w:id="224"/>
      <w:r w:rsidR="007F5901" w:rsidRPr="007D1918">
        <w:rPr>
          <w:rFonts w:cs="Arial"/>
          <w:snapToGrid w:val="0"/>
          <w:szCs w:val="16"/>
          <w:lang w:eastAsia="en-US"/>
        </w:rPr>
        <w:t xml:space="preserve"> </w:t>
      </w:r>
    </w:p>
    <w:tbl>
      <w:tblPr>
        <w:tblW w:w="509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5 Number of adverse events in patients undergoing IVIg compared with PE "/>
        <w:tblDescription w:val="Adverse events across trials of MG patients (Indication 1) compared betwen those who received IVIg and those who received PE."/>
      </w:tblPr>
      <w:tblGrid>
        <w:gridCol w:w="1666"/>
        <w:gridCol w:w="2835"/>
        <w:gridCol w:w="1278"/>
        <w:gridCol w:w="1276"/>
        <w:gridCol w:w="2127"/>
      </w:tblGrid>
      <w:tr w:rsidR="001722AD" w:rsidRPr="007D1918" w14:paraId="78DD7283" w14:textId="77777777" w:rsidTr="00966A87">
        <w:tc>
          <w:tcPr>
            <w:tcW w:w="907" w:type="pct"/>
            <w:tcBorders>
              <w:bottom w:val="single" w:sz="4" w:space="0" w:color="auto"/>
            </w:tcBorders>
          </w:tcPr>
          <w:p w14:paraId="5C2A2FD6" w14:textId="29AD62FB" w:rsidR="001722AD" w:rsidRPr="007D1918" w:rsidRDefault="001722AD" w:rsidP="003E7374">
            <w:pPr>
              <w:pStyle w:val="TableHeading"/>
              <w:ind w:left="16" w:right="117"/>
              <w:rPr>
                <w:snapToGrid w:val="0"/>
                <w:lang w:eastAsia="en-US"/>
              </w:rPr>
            </w:pPr>
            <w:r w:rsidRPr="007D1918">
              <w:rPr>
                <w:snapToGrid w:val="0"/>
                <w:lang w:eastAsia="en-US"/>
              </w:rPr>
              <w:t>Study</w:t>
            </w:r>
            <w:r w:rsidR="00A723E4" w:rsidRPr="007D1918">
              <w:rPr>
                <w:snapToGrid w:val="0"/>
                <w:lang w:eastAsia="en-US"/>
              </w:rPr>
              <w:t xml:space="preserve"> ID, </w:t>
            </w:r>
            <w:r w:rsidRPr="007D1918">
              <w:rPr>
                <w:snapToGrid w:val="0"/>
                <w:lang w:eastAsia="en-US"/>
              </w:rPr>
              <w:t xml:space="preserve">Country </w:t>
            </w:r>
          </w:p>
          <w:p w14:paraId="597A186E" w14:textId="7BBAF8F8" w:rsidR="001722AD" w:rsidRPr="007D1918" w:rsidRDefault="001722AD" w:rsidP="003E7374">
            <w:pPr>
              <w:pStyle w:val="TableHeading"/>
              <w:ind w:left="16" w:right="117"/>
              <w:rPr>
                <w:snapToGrid w:val="0"/>
                <w:lang w:eastAsia="en-US"/>
              </w:rPr>
            </w:pPr>
            <w:r w:rsidRPr="007D1918">
              <w:rPr>
                <w:snapToGrid w:val="0"/>
                <w:lang w:eastAsia="en-US"/>
              </w:rPr>
              <w:t>Level</w:t>
            </w:r>
            <w:r w:rsidR="00A723E4" w:rsidRPr="007D1918">
              <w:rPr>
                <w:snapToGrid w:val="0"/>
                <w:lang w:eastAsia="en-US"/>
              </w:rPr>
              <w:t xml:space="preserve"> of evidence</w:t>
            </w:r>
          </w:p>
          <w:p w14:paraId="7E1FB644" w14:textId="4EEE2E5D" w:rsidR="001722AD" w:rsidRPr="007D1918" w:rsidRDefault="001722AD" w:rsidP="00A723E4">
            <w:pPr>
              <w:pStyle w:val="TableHeading"/>
              <w:ind w:left="16" w:right="117"/>
              <w:rPr>
                <w:snapToGrid w:val="0"/>
                <w:lang w:eastAsia="en-US"/>
              </w:rPr>
            </w:pPr>
            <w:r w:rsidRPr="007D1918">
              <w:rPr>
                <w:snapToGrid w:val="0"/>
                <w:lang w:eastAsia="en-US"/>
              </w:rPr>
              <w:t>Risk of bias</w:t>
            </w:r>
          </w:p>
        </w:tc>
        <w:tc>
          <w:tcPr>
            <w:tcW w:w="1544" w:type="pct"/>
          </w:tcPr>
          <w:p w14:paraId="67349EF1" w14:textId="055A8EAA" w:rsidR="001722AD" w:rsidRPr="007D1918" w:rsidRDefault="001722AD" w:rsidP="003E7374">
            <w:pPr>
              <w:pStyle w:val="TableHeading"/>
              <w:ind w:left="16" w:right="117"/>
              <w:rPr>
                <w:snapToGrid w:val="0"/>
                <w:lang w:eastAsia="en-US"/>
              </w:rPr>
            </w:pPr>
            <w:r w:rsidRPr="007D1918">
              <w:rPr>
                <w:snapToGrid w:val="0"/>
                <w:lang w:eastAsia="en-US"/>
              </w:rPr>
              <w:t>Event</w:t>
            </w:r>
          </w:p>
        </w:tc>
        <w:tc>
          <w:tcPr>
            <w:tcW w:w="696" w:type="pct"/>
            <w:shd w:val="clear" w:color="auto" w:fill="auto"/>
          </w:tcPr>
          <w:p w14:paraId="68C26F25" w14:textId="77777777" w:rsidR="001722AD" w:rsidRPr="007D1918" w:rsidRDefault="001722AD" w:rsidP="00A723E4">
            <w:pPr>
              <w:pStyle w:val="TableHeading"/>
              <w:ind w:left="111" w:right="117"/>
              <w:rPr>
                <w:snapToGrid w:val="0"/>
                <w:lang w:eastAsia="en-US"/>
              </w:rPr>
            </w:pPr>
            <w:r w:rsidRPr="007D1918">
              <w:rPr>
                <w:snapToGrid w:val="0"/>
                <w:lang w:eastAsia="en-US"/>
              </w:rPr>
              <w:t>IVIg</w:t>
            </w:r>
          </w:p>
          <w:p w14:paraId="4E2EBC7A" w14:textId="0D29EBC6" w:rsidR="001722AD" w:rsidRPr="007D1918" w:rsidRDefault="001722AD" w:rsidP="00966A87">
            <w:pPr>
              <w:pStyle w:val="TableHeading"/>
              <w:ind w:left="111" w:right="117"/>
              <w:rPr>
                <w:snapToGrid w:val="0"/>
                <w:lang w:eastAsia="en-US"/>
              </w:rPr>
            </w:pPr>
            <w:r w:rsidRPr="007D1918">
              <w:rPr>
                <w:snapToGrid w:val="0"/>
                <w:lang w:eastAsia="en-US"/>
              </w:rPr>
              <w:t>n with event (%)</w:t>
            </w:r>
          </w:p>
        </w:tc>
        <w:tc>
          <w:tcPr>
            <w:tcW w:w="695" w:type="pct"/>
            <w:shd w:val="clear" w:color="auto" w:fill="auto"/>
          </w:tcPr>
          <w:p w14:paraId="72016E9B" w14:textId="77777777" w:rsidR="001722AD" w:rsidRPr="007D1918" w:rsidRDefault="001722AD" w:rsidP="00A723E4">
            <w:pPr>
              <w:pStyle w:val="TableHeading"/>
              <w:ind w:left="77" w:right="117"/>
              <w:rPr>
                <w:snapToGrid w:val="0"/>
                <w:lang w:eastAsia="en-US"/>
              </w:rPr>
            </w:pPr>
            <w:r w:rsidRPr="007D1918">
              <w:rPr>
                <w:snapToGrid w:val="0"/>
                <w:lang w:eastAsia="en-US"/>
              </w:rPr>
              <w:t>PE</w:t>
            </w:r>
          </w:p>
          <w:p w14:paraId="7A85CB68" w14:textId="643C6856" w:rsidR="001722AD" w:rsidRPr="007D1918" w:rsidRDefault="001722AD" w:rsidP="00966A87">
            <w:pPr>
              <w:pStyle w:val="TableHeading"/>
              <w:ind w:left="77" w:right="117"/>
              <w:rPr>
                <w:snapToGrid w:val="0"/>
                <w:lang w:eastAsia="en-US"/>
              </w:rPr>
            </w:pPr>
            <w:r w:rsidRPr="007D1918">
              <w:rPr>
                <w:snapToGrid w:val="0"/>
                <w:lang w:eastAsia="en-US"/>
              </w:rPr>
              <w:t>n with event (%)</w:t>
            </w:r>
          </w:p>
        </w:tc>
        <w:tc>
          <w:tcPr>
            <w:tcW w:w="1158" w:type="pct"/>
            <w:shd w:val="clear" w:color="auto" w:fill="auto"/>
          </w:tcPr>
          <w:p w14:paraId="1DD14ED5" w14:textId="43E722E5" w:rsidR="001722AD" w:rsidRPr="007D1918" w:rsidRDefault="00103B60" w:rsidP="00A723E4">
            <w:pPr>
              <w:pStyle w:val="TableHeading"/>
              <w:ind w:right="117"/>
              <w:rPr>
                <w:snapToGrid w:val="0"/>
                <w:lang w:eastAsia="en-US"/>
              </w:rPr>
            </w:pPr>
            <w:r w:rsidRPr="007D1918">
              <w:rPr>
                <w:snapToGrid w:val="0"/>
                <w:lang w:eastAsia="en-US"/>
              </w:rPr>
              <w:t>D</w:t>
            </w:r>
            <w:r w:rsidR="001722AD" w:rsidRPr="007D1918">
              <w:rPr>
                <w:snapToGrid w:val="0"/>
                <w:lang w:eastAsia="en-US"/>
              </w:rPr>
              <w:t>ifference</w:t>
            </w:r>
          </w:p>
          <w:p w14:paraId="3BE5C5AE" w14:textId="60C43C6A" w:rsidR="001722AD" w:rsidRPr="007D1918" w:rsidRDefault="001722AD" w:rsidP="00A723E4">
            <w:pPr>
              <w:pStyle w:val="TableHeading"/>
              <w:ind w:right="117"/>
              <w:rPr>
                <w:snapToGrid w:val="0"/>
                <w:lang w:eastAsia="en-US"/>
              </w:rPr>
            </w:pPr>
            <w:r w:rsidRPr="007D1918">
              <w:rPr>
                <w:snapToGrid w:val="0"/>
                <w:lang w:eastAsia="en-US"/>
              </w:rPr>
              <w:t>p-value (95% CI)</w:t>
            </w:r>
          </w:p>
        </w:tc>
      </w:tr>
      <w:tr w:rsidR="001722AD" w:rsidRPr="007D1918" w14:paraId="3A9785B2" w14:textId="77777777" w:rsidTr="00966A87">
        <w:tc>
          <w:tcPr>
            <w:tcW w:w="907" w:type="pct"/>
            <w:tcBorders>
              <w:bottom w:val="nil"/>
            </w:tcBorders>
          </w:tcPr>
          <w:p w14:paraId="4D5253F0" w14:textId="7BD30DCC" w:rsidR="001722AD" w:rsidRPr="007D1918" w:rsidRDefault="0075212A" w:rsidP="00AF19DB">
            <w:pPr>
              <w:pStyle w:val="TableText0"/>
              <w:rPr>
                <w:rFonts w:cs="Arial"/>
                <w:snapToGrid w:val="0"/>
                <w:szCs w:val="16"/>
              </w:rPr>
            </w:pPr>
            <w:r w:rsidRPr="007D1918">
              <w:rPr>
                <w:rFonts w:cs="Arial"/>
                <w:snapToGrid w:val="0"/>
                <w:szCs w:val="16"/>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cs="Arial"/>
                <w:snapToGrid w:val="0"/>
                <w:szCs w:val="16"/>
              </w:rPr>
              <w:instrText xml:space="preserve"> ADDIN EN.CITE </w:instrText>
            </w:r>
            <w:r w:rsidR="00C437BA" w:rsidRPr="007D1918">
              <w:rPr>
                <w:rFonts w:cs="Arial"/>
                <w:snapToGrid w:val="0"/>
                <w:szCs w:val="16"/>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cs="Arial"/>
                <w:snapToGrid w:val="0"/>
                <w:szCs w:val="16"/>
              </w:rPr>
              <w:instrText xml:space="preserve"> ADDIN EN.CITE.DATA </w:instrText>
            </w:r>
            <w:r w:rsidR="00C437BA" w:rsidRPr="007D1918">
              <w:rPr>
                <w:rFonts w:cs="Arial"/>
                <w:snapToGrid w:val="0"/>
                <w:szCs w:val="16"/>
              </w:rPr>
            </w:r>
            <w:r w:rsidR="00C437BA" w:rsidRPr="007D1918">
              <w:rPr>
                <w:rFonts w:cs="Arial"/>
                <w:snapToGrid w:val="0"/>
                <w:szCs w:val="16"/>
              </w:rPr>
              <w:fldChar w:fldCharType="end"/>
            </w:r>
            <w:r w:rsidRPr="007D1918">
              <w:rPr>
                <w:rFonts w:cs="Arial"/>
                <w:snapToGrid w:val="0"/>
                <w:szCs w:val="16"/>
              </w:rPr>
            </w:r>
            <w:r w:rsidRPr="007D1918">
              <w:rPr>
                <w:rFonts w:cs="Arial"/>
                <w:snapToGrid w:val="0"/>
                <w:szCs w:val="16"/>
              </w:rPr>
              <w:fldChar w:fldCharType="separate"/>
            </w:r>
            <w:r w:rsidRPr="007D1918">
              <w:rPr>
                <w:rFonts w:cs="Arial"/>
                <w:noProof/>
                <w:snapToGrid w:val="0"/>
                <w:szCs w:val="16"/>
              </w:rPr>
              <w:t>(</w:t>
            </w:r>
            <w:hyperlink w:anchor="_ENREF_28" w:tooltip="Gajdos, 1997 #45" w:history="1">
              <w:r w:rsidR="007D4948" w:rsidRPr="007D1918">
                <w:rPr>
                  <w:rFonts w:cs="Arial"/>
                  <w:noProof/>
                  <w:snapToGrid w:val="0"/>
                  <w:szCs w:val="16"/>
                </w:rPr>
                <w:t>Gajdos et al. 1997</w:t>
              </w:r>
            </w:hyperlink>
            <w:r w:rsidRPr="007D1918">
              <w:rPr>
                <w:rFonts w:cs="Arial"/>
                <w:noProof/>
                <w:snapToGrid w:val="0"/>
                <w:szCs w:val="16"/>
              </w:rPr>
              <w:t>)</w:t>
            </w:r>
            <w:r w:rsidRPr="007D1918">
              <w:rPr>
                <w:rFonts w:cs="Arial"/>
                <w:snapToGrid w:val="0"/>
                <w:szCs w:val="16"/>
              </w:rPr>
              <w:fldChar w:fldCharType="end"/>
            </w:r>
            <w:r w:rsidR="00A723E4" w:rsidRPr="007D1918">
              <w:rPr>
                <w:rFonts w:cs="Arial"/>
                <w:snapToGrid w:val="0"/>
                <w:szCs w:val="16"/>
              </w:rPr>
              <w:t xml:space="preserve">,  </w:t>
            </w:r>
            <w:r w:rsidR="001722AD" w:rsidRPr="007D1918">
              <w:rPr>
                <w:rFonts w:cs="Arial"/>
                <w:snapToGrid w:val="0"/>
                <w:szCs w:val="16"/>
              </w:rPr>
              <w:t>France</w:t>
            </w:r>
          </w:p>
          <w:p w14:paraId="0F14D6A8" w14:textId="77777777" w:rsidR="001722AD" w:rsidRPr="007D1918" w:rsidRDefault="001722AD" w:rsidP="00AF19DB">
            <w:pPr>
              <w:pStyle w:val="TableText0"/>
              <w:rPr>
                <w:rFonts w:cs="Arial"/>
                <w:snapToGrid w:val="0"/>
                <w:szCs w:val="16"/>
              </w:rPr>
            </w:pPr>
            <w:r w:rsidRPr="007D1918">
              <w:rPr>
                <w:rFonts w:cs="Arial"/>
                <w:snapToGrid w:val="0"/>
                <w:szCs w:val="16"/>
              </w:rPr>
              <w:t>Level II</w:t>
            </w:r>
          </w:p>
          <w:p w14:paraId="201693FA" w14:textId="2E7D48DD" w:rsidR="001722AD" w:rsidRPr="007D1918" w:rsidRDefault="001722AD" w:rsidP="00AF19DB">
            <w:pPr>
              <w:pStyle w:val="TableText0"/>
              <w:rPr>
                <w:snapToGrid w:val="0"/>
              </w:rPr>
            </w:pPr>
            <w:r w:rsidRPr="007D1918">
              <w:rPr>
                <w:rFonts w:cs="Arial"/>
                <w:snapToGrid w:val="0"/>
                <w:szCs w:val="16"/>
              </w:rPr>
              <w:t xml:space="preserve">Moderate </w:t>
            </w:r>
          </w:p>
        </w:tc>
        <w:tc>
          <w:tcPr>
            <w:tcW w:w="1544" w:type="pct"/>
          </w:tcPr>
          <w:p w14:paraId="40DE5889" w14:textId="286F4509" w:rsidR="001722AD" w:rsidRPr="007D1918" w:rsidRDefault="001722AD" w:rsidP="00AF19DB">
            <w:pPr>
              <w:pStyle w:val="TableText0"/>
              <w:rPr>
                <w:snapToGrid w:val="0"/>
              </w:rPr>
            </w:pPr>
            <w:r w:rsidRPr="007D1918">
              <w:rPr>
                <w:snapToGrid w:val="0"/>
              </w:rPr>
              <w:t>Patient number</w:t>
            </w:r>
          </w:p>
          <w:p w14:paraId="627EF550" w14:textId="21A05CD8" w:rsidR="001722AD" w:rsidRPr="007D1918" w:rsidRDefault="001722AD" w:rsidP="00AF19DB">
            <w:pPr>
              <w:pStyle w:val="TableText0"/>
              <w:rPr>
                <w:snapToGrid w:val="0"/>
              </w:rPr>
            </w:pPr>
            <w:r w:rsidRPr="007D1918">
              <w:rPr>
                <w:snapToGrid w:val="0"/>
              </w:rPr>
              <w:t>Haemolysis</w:t>
            </w:r>
          </w:p>
          <w:p w14:paraId="3B95E34B" w14:textId="77777777" w:rsidR="001722AD" w:rsidRPr="007D1918" w:rsidRDefault="001722AD" w:rsidP="00AF19DB">
            <w:pPr>
              <w:pStyle w:val="TableText0"/>
              <w:rPr>
                <w:snapToGrid w:val="0"/>
              </w:rPr>
            </w:pPr>
            <w:r w:rsidRPr="007D1918">
              <w:rPr>
                <w:snapToGrid w:val="0"/>
              </w:rPr>
              <w:t>Bleeding disorder</w:t>
            </w:r>
          </w:p>
          <w:p w14:paraId="003D76F0" w14:textId="77777777" w:rsidR="001722AD" w:rsidRPr="007D1918" w:rsidRDefault="001722AD" w:rsidP="00AF19DB">
            <w:pPr>
              <w:pStyle w:val="TableText0"/>
              <w:rPr>
                <w:snapToGrid w:val="0"/>
              </w:rPr>
            </w:pPr>
            <w:r w:rsidRPr="007D1918">
              <w:rPr>
                <w:snapToGrid w:val="0"/>
              </w:rPr>
              <w:t>Catheter related venous thrombosis</w:t>
            </w:r>
          </w:p>
          <w:p w14:paraId="51087BA0" w14:textId="77777777" w:rsidR="001722AD" w:rsidRPr="007D1918" w:rsidRDefault="001722AD" w:rsidP="00AF19DB">
            <w:pPr>
              <w:pStyle w:val="TableText0"/>
              <w:rPr>
                <w:snapToGrid w:val="0"/>
              </w:rPr>
            </w:pPr>
            <w:r w:rsidRPr="007D1918">
              <w:rPr>
                <w:snapToGrid w:val="0"/>
              </w:rPr>
              <w:t>Fever (≥38</w:t>
            </w:r>
            <w:r w:rsidRPr="007D1918">
              <w:rPr>
                <w:snapToGrid w:val="0"/>
                <w:vertAlign w:val="superscript"/>
              </w:rPr>
              <w:t>0</w:t>
            </w:r>
            <w:r w:rsidRPr="007D1918">
              <w:rPr>
                <w:snapToGrid w:val="0"/>
              </w:rPr>
              <w:t>C)</w:t>
            </w:r>
          </w:p>
          <w:p w14:paraId="4D7B89EF" w14:textId="77777777" w:rsidR="001722AD" w:rsidRPr="007D1918" w:rsidRDefault="001722AD" w:rsidP="00AF19DB">
            <w:pPr>
              <w:pStyle w:val="TableText0"/>
              <w:rPr>
                <w:snapToGrid w:val="0"/>
              </w:rPr>
            </w:pPr>
            <w:r w:rsidRPr="007D1918">
              <w:rPr>
                <w:snapToGrid w:val="0"/>
              </w:rPr>
              <w:t>Chills</w:t>
            </w:r>
          </w:p>
          <w:p w14:paraId="176771C4" w14:textId="77777777" w:rsidR="001722AD" w:rsidRPr="007D1918" w:rsidRDefault="001722AD" w:rsidP="00AF19DB">
            <w:pPr>
              <w:pStyle w:val="TableText0"/>
              <w:rPr>
                <w:snapToGrid w:val="0"/>
              </w:rPr>
            </w:pPr>
            <w:r w:rsidRPr="007D1918">
              <w:rPr>
                <w:snapToGrid w:val="0"/>
              </w:rPr>
              <w:t>Headaches</w:t>
            </w:r>
          </w:p>
          <w:p w14:paraId="76841ACE" w14:textId="77777777" w:rsidR="001722AD" w:rsidRPr="007D1918" w:rsidRDefault="001722AD" w:rsidP="00AF19DB">
            <w:pPr>
              <w:pStyle w:val="TableText0"/>
              <w:rPr>
                <w:snapToGrid w:val="0"/>
              </w:rPr>
            </w:pPr>
            <w:r w:rsidRPr="007D1918">
              <w:rPr>
                <w:snapToGrid w:val="0"/>
              </w:rPr>
              <w:t>Nausea, vomiting</w:t>
            </w:r>
          </w:p>
          <w:p w14:paraId="4505504A" w14:textId="77777777" w:rsidR="001722AD" w:rsidRPr="007D1918" w:rsidRDefault="001722AD" w:rsidP="00AF19DB">
            <w:pPr>
              <w:pStyle w:val="TableText0"/>
              <w:rPr>
                <w:snapToGrid w:val="0"/>
              </w:rPr>
            </w:pPr>
            <w:r w:rsidRPr="007D1918">
              <w:rPr>
                <w:snapToGrid w:val="0"/>
              </w:rPr>
              <w:t>Systolic blood pressure &lt;80 mm Hg</w:t>
            </w:r>
          </w:p>
          <w:p w14:paraId="77E5FFAB" w14:textId="77777777" w:rsidR="001722AD" w:rsidRPr="007D1918" w:rsidRDefault="001722AD" w:rsidP="00AF19DB">
            <w:pPr>
              <w:pStyle w:val="TableText0"/>
              <w:rPr>
                <w:snapToGrid w:val="0"/>
              </w:rPr>
            </w:pPr>
            <w:r w:rsidRPr="007D1918">
              <w:rPr>
                <w:snapToGrid w:val="0"/>
              </w:rPr>
              <w:t>Tachycardia</w:t>
            </w:r>
          </w:p>
          <w:p w14:paraId="4D8E4CB0" w14:textId="77777777" w:rsidR="001722AD" w:rsidRPr="007D1918" w:rsidRDefault="001722AD" w:rsidP="00C75CA0">
            <w:pPr>
              <w:pStyle w:val="TableText0"/>
              <w:rPr>
                <w:snapToGrid w:val="0"/>
              </w:rPr>
            </w:pPr>
            <w:r w:rsidRPr="007D1918">
              <w:rPr>
                <w:snapToGrid w:val="0"/>
              </w:rPr>
              <w:t>Other</w:t>
            </w:r>
          </w:p>
          <w:p w14:paraId="6720E8A8" w14:textId="77777777" w:rsidR="001722AD" w:rsidRPr="007D1918" w:rsidRDefault="001722AD" w:rsidP="00C75CA0">
            <w:pPr>
              <w:pStyle w:val="TableText0"/>
              <w:rPr>
                <w:snapToGrid w:val="0"/>
              </w:rPr>
            </w:pPr>
            <w:r w:rsidRPr="007D1918">
              <w:rPr>
                <w:snapToGrid w:val="0"/>
              </w:rPr>
              <w:t>Total events</w:t>
            </w:r>
          </w:p>
        </w:tc>
        <w:tc>
          <w:tcPr>
            <w:tcW w:w="696" w:type="pct"/>
            <w:shd w:val="clear" w:color="auto" w:fill="auto"/>
          </w:tcPr>
          <w:p w14:paraId="672C876B" w14:textId="3253EF49" w:rsidR="001722AD" w:rsidRPr="007D1918" w:rsidRDefault="001722AD" w:rsidP="00A723E4">
            <w:pPr>
              <w:pStyle w:val="TableText0"/>
              <w:rPr>
                <w:snapToGrid w:val="0"/>
              </w:rPr>
            </w:pPr>
            <w:r w:rsidRPr="007D1918">
              <w:rPr>
                <w:snapToGrid w:val="0"/>
              </w:rPr>
              <w:t>46</w:t>
            </w:r>
          </w:p>
          <w:p w14:paraId="748A645F" w14:textId="77777777" w:rsidR="001722AD" w:rsidRPr="007D1918" w:rsidRDefault="001722AD" w:rsidP="00A723E4">
            <w:pPr>
              <w:pStyle w:val="TableText0"/>
              <w:rPr>
                <w:snapToGrid w:val="0"/>
              </w:rPr>
            </w:pPr>
            <w:r w:rsidRPr="007D1918">
              <w:rPr>
                <w:snapToGrid w:val="0"/>
              </w:rPr>
              <w:t>0</w:t>
            </w:r>
          </w:p>
          <w:p w14:paraId="7C398D90" w14:textId="77777777" w:rsidR="001722AD" w:rsidRPr="007D1918" w:rsidRDefault="001722AD" w:rsidP="00A723E4">
            <w:pPr>
              <w:pStyle w:val="TableText0"/>
              <w:rPr>
                <w:snapToGrid w:val="0"/>
              </w:rPr>
            </w:pPr>
            <w:r w:rsidRPr="007D1918">
              <w:rPr>
                <w:snapToGrid w:val="0"/>
              </w:rPr>
              <w:t>0</w:t>
            </w:r>
          </w:p>
          <w:p w14:paraId="46F8D3A9" w14:textId="77777777" w:rsidR="001722AD" w:rsidRPr="007D1918" w:rsidRDefault="001722AD" w:rsidP="00A723E4">
            <w:pPr>
              <w:pStyle w:val="TableText0"/>
              <w:rPr>
                <w:snapToGrid w:val="0"/>
              </w:rPr>
            </w:pPr>
            <w:r w:rsidRPr="007D1918">
              <w:rPr>
                <w:snapToGrid w:val="0"/>
              </w:rPr>
              <w:t>0</w:t>
            </w:r>
          </w:p>
          <w:p w14:paraId="7AF5286B" w14:textId="77777777" w:rsidR="001722AD" w:rsidRPr="007D1918" w:rsidRDefault="001722AD" w:rsidP="00A723E4">
            <w:pPr>
              <w:pStyle w:val="TableText0"/>
              <w:rPr>
                <w:snapToGrid w:val="0"/>
              </w:rPr>
            </w:pPr>
            <w:r w:rsidRPr="007D1918">
              <w:rPr>
                <w:snapToGrid w:val="0"/>
              </w:rPr>
              <w:t>0</w:t>
            </w:r>
          </w:p>
          <w:p w14:paraId="2A1C79B3" w14:textId="77777777" w:rsidR="001722AD" w:rsidRPr="007D1918" w:rsidRDefault="001722AD" w:rsidP="00A723E4">
            <w:pPr>
              <w:pStyle w:val="TableText0"/>
              <w:rPr>
                <w:snapToGrid w:val="0"/>
              </w:rPr>
            </w:pPr>
            <w:r w:rsidRPr="007D1918">
              <w:rPr>
                <w:snapToGrid w:val="0"/>
              </w:rPr>
              <w:t>0</w:t>
            </w:r>
          </w:p>
          <w:p w14:paraId="21758000" w14:textId="77777777" w:rsidR="001722AD" w:rsidRPr="007D1918" w:rsidRDefault="001722AD" w:rsidP="00A723E4">
            <w:pPr>
              <w:pStyle w:val="TableText0"/>
              <w:rPr>
                <w:snapToGrid w:val="0"/>
              </w:rPr>
            </w:pPr>
            <w:r w:rsidRPr="007D1918">
              <w:rPr>
                <w:snapToGrid w:val="0"/>
              </w:rPr>
              <w:t>0</w:t>
            </w:r>
          </w:p>
          <w:p w14:paraId="33BC4DC7" w14:textId="3DF87343" w:rsidR="001722AD" w:rsidRPr="007D1918" w:rsidRDefault="001722AD" w:rsidP="00A723E4">
            <w:pPr>
              <w:pStyle w:val="TableText0"/>
              <w:rPr>
                <w:snapToGrid w:val="0"/>
              </w:rPr>
            </w:pPr>
            <w:r w:rsidRPr="007D1918">
              <w:rPr>
                <w:snapToGrid w:val="0"/>
              </w:rPr>
              <w:t>1</w:t>
            </w:r>
            <w:r w:rsidR="00966A87" w:rsidRPr="007D1918">
              <w:rPr>
                <w:snapToGrid w:val="0"/>
              </w:rPr>
              <w:t xml:space="preserve"> </w:t>
            </w:r>
          </w:p>
          <w:p w14:paraId="5A009399" w14:textId="77777777" w:rsidR="001722AD" w:rsidRPr="007D1918" w:rsidRDefault="001722AD" w:rsidP="00A723E4">
            <w:pPr>
              <w:pStyle w:val="TableText0"/>
              <w:rPr>
                <w:snapToGrid w:val="0"/>
              </w:rPr>
            </w:pPr>
            <w:r w:rsidRPr="007D1918">
              <w:rPr>
                <w:snapToGrid w:val="0"/>
              </w:rPr>
              <w:t>0</w:t>
            </w:r>
          </w:p>
          <w:p w14:paraId="0C418428" w14:textId="77777777" w:rsidR="001722AD" w:rsidRPr="007D1918" w:rsidRDefault="001722AD" w:rsidP="00A723E4">
            <w:pPr>
              <w:pStyle w:val="TableText0"/>
              <w:rPr>
                <w:snapToGrid w:val="0"/>
              </w:rPr>
            </w:pPr>
            <w:r w:rsidRPr="007D1918">
              <w:rPr>
                <w:snapToGrid w:val="0"/>
              </w:rPr>
              <w:t>0</w:t>
            </w:r>
          </w:p>
          <w:p w14:paraId="4877B5D1" w14:textId="77777777" w:rsidR="001722AD" w:rsidRPr="007D1918" w:rsidRDefault="001722AD" w:rsidP="00A723E4">
            <w:pPr>
              <w:pStyle w:val="TableText0"/>
              <w:rPr>
                <w:snapToGrid w:val="0"/>
              </w:rPr>
            </w:pPr>
            <w:r w:rsidRPr="007D1918">
              <w:rPr>
                <w:snapToGrid w:val="0"/>
              </w:rPr>
              <w:t>0</w:t>
            </w:r>
          </w:p>
          <w:p w14:paraId="3386F11D" w14:textId="3BB6B8A0" w:rsidR="001722AD" w:rsidRPr="007D1918" w:rsidRDefault="001722AD" w:rsidP="00A723E4">
            <w:pPr>
              <w:pStyle w:val="TableText0"/>
              <w:rPr>
                <w:snapToGrid w:val="0"/>
              </w:rPr>
            </w:pPr>
            <w:r w:rsidRPr="007D1918">
              <w:rPr>
                <w:snapToGrid w:val="0"/>
              </w:rPr>
              <w:t>1 (2.2%)</w:t>
            </w:r>
          </w:p>
        </w:tc>
        <w:tc>
          <w:tcPr>
            <w:tcW w:w="695" w:type="pct"/>
            <w:shd w:val="clear" w:color="auto" w:fill="auto"/>
          </w:tcPr>
          <w:p w14:paraId="590F8E12" w14:textId="44CA3E7A" w:rsidR="001722AD" w:rsidRPr="007D1918" w:rsidRDefault="001722AD" w:rsidP="00A723E4">
            <w:pPr>
              <w:pStyle w:val="TableText0"/>
              <w:rPr>
                <w:snapToGrid w:val="0"/>
              </w:rPr>
            </w:pPr>
            <w:r w:rsidRPr="007D1918">
              <w:rPr>
                <w:snapToGrid w:val="0"/>
              </w:rPr>
              <w:t>41</w:t>
            </w:r>
          </w:p>
          <w:p w14:paraId="5ADCA55F" w14:textId="77777777" w:rsidR="001722AD" w:rsidRPr="007D1918" w:rsidRDefault="001722AD" w:rsidP="00A723E4">
            <w:pPr>
              <w:pStyle w:val="TableText0"/>
              <w:rPr>
                <w:snapToGrid w:val="0"/>
              </w:rPr>
            </w:pPr>
            <w:r w:rsidRPr="007D1918">
              <w:rPr>
                <w:snapToGrid w:val="0"/>
              </w:rPr>
              <w:t>1</w:t>
            </w:r>
          </w:p>
          <w:p w14:paraId="5DC1246C" w14:textId="77777777" w:rsidR="001722AD" w:rsidRPr="007D1918" w:rsidRDefault="001722AD" w:rsidP="00A723E4">
            <w:pPr>
              <w:pStyle w:val="TableText0"/>
              <w:rPr>
                <w:snapToGrid w:val="0"/>
              </w:rPr>
            </w:pPr>
            <w:r w:rsidRPr="007D1918">
              <w:rPr>
                <w:snapToGrid w:val="0"/>
              </w:rPr>
              <w:t>2</w:t>
            </w:r>
          </w:p>
          <w:p w14:paraId="559F2730" w14:textId="77777777" w:rsidR="001722AD" w:rsidRPr="007D1918" w:rsidRDefault="001722AD" w:rsidP="00A723E4">
            <w:pPr>
              <w:pStyle w:val="TableText0"/>
              <w:rPr>
                <w:snapToGrid w:val="0"/>
              </w:rPr>
            </w:pPr>
            <w:r w:rsidRPr="007D1918">
              <w:rPr>
                <w:snapToGrid w:val="0"/>
              </w:rPr>
              <w:t>1</w:t>
            </w:r>
          </w:p>
          <w:p w14:paraId="3F883F08" w14:textId="77777777" w:rsidR="001722AD" w:rsidRPr="007D1918" w:rsidRDefault="001722AD" w:rsidP="00A723E4">
            <w:pPr>
              <w:pStyle w:val="TableText0"/>
              <w:rPr>
                <w:snapToGrid w:val="0"/>
              </w:rPr>
            </w:pPr>
            <w:r w:rsidRPr="007D1918">
              <w:rPr>
                <w:snapToGrid w:val="0"/>
              </w:rPr>
              <w:t>2</w:t>
            </w:r>
          </w:p>
          <w:p w14:paraId="68E6F058" w14:textId="77777777" w:rsidR="001722AD" w:rsidRPr="007D1918" w:rsidRDefault="001722AD" w:rsidP="00A723E4">
            <w:pPr>
              <w:pStyle w:val="TableText0"/>
              <w:rPr>
                <w:snapToGrid w:val="0"/>
              </w:rPr>
            </w:pPr>
            <w:r w:rsidRPr="007D1918">
              <w:rPr>
                <w:snapToGrid w:val="0"/>
              </w:rPr>
              <w:t>2</w:t>
            </w:r>
          </w:p>
          <w:p w14:paraId="7E9F4305" w14:textId="77777777" w:rsidR="001722AD" w:rsidRPr="007D1918" w:rsidRDefault="001722AD" w:rsidP="00A723E4">
            <w:pPr>
              <w:pStyle w:val="TableText0"/>
              <w:rPr>
                <w:snapToGrid w:val="0"/>
              </w:rPr>
            </w:pPr>
            <w:r w:rsidRPr="007D1918">
              <w:rPr>
                <w:snapToGrid w:val="0"/>
              </w:rPr>
              <w:t>0</w:t>
            </w:r>
          </w:p>
          <w:p w14:paraId="3EDB1BF7" w14:textId="77777777" w:rsidR="001722AD" w:rsidRPr="007D1918" w:rsidRDefault="001722AD" w:rsidP="00A723E4">
            <w:pPr>
              <w:pStyle w:val="TableText0"/>
              <w:rPr>
                <w:snapToGrid w:val="0"/>
              </w:rPr>
            </w:pPr>
            <w:r w:rsidRPr="007D1918">
              <w:rPr>
                <w:snapToGrid w:val="0"/>
              </w:rPr>
              <w:t>1</w:t>
            </w:r>
          </w:p>
          <w:p w14:paraId="76CCA406" w14:textId="77777777" w:rsidR="001722AD" w:rsidRPr="007D1918" w:rsidRDefault="001722AD" w:rsidP="00A723E4">
            <w:pPr>
              <w:pStyle w:val="TableText0"/>
              <w:rPr>
                <w:snapToGrid w:val="0"/>
              </w:rPr>
            </w:pPr>
            <w:r w:rsidRPr="007D1918">
              <w:rPr>
                <w:snapToGrid w:val="0"/>
              </w:rPr>
              <w:t>2</w:t>
            </w:r>
          </w:p>
          <w:p w14:paraId="3782ADF9" w14:textId="77777777" w:rsidR="001722AD" w:rsidRPr="007D1918" w:rsidRDefault="001722AD" w:rsidP="00A723E4">
            <w:pPr>
              <w:pStyle w:val="TableText0"/>
              <w:rPr>
                <w:snapToGrid w:val="0"/>
              </w:rPr>
            </w:pPr>
            <w:r w:rsidRPr="007D1918">
              <w:rPr>
                <w:snapToGrid w:val="0"/>
              </w:rPr>
              <w:t>1</w:t>
            </w:r>
          </w:p>
          <w:p w14:paraId="2B58F357" w14:textId="77777777" w:rsidR="001722AD" w:rsidRPr="007D1918" w:rsidRDefault="001722AD" w:rsidP="00A723E4">
            <w:pPr>
              <w:pStyle w:val="TableText0"/>
              <w:rPr>
                <w:snapToGrid w:val="0"/>
              </w:rPr>
            </w:pPr>
            <w:r w:rsidRPr="007D1918">
              <w:rPr>
                <w:snapToGrid w:val="0"/>
              </w:rPr>
              <w:t>2</w:t>
            </w:r>
          </w:p>
          <w:p w14:paraId="0E7C07D5" w14:textId="6BD59CAD" w:rsidR="001722AD" w:rsidRPr="007D1918" w:rsidRDefault="001722AD" w:rsidP="00A723E4">
            <w:pPr>
              <w:pStyle w:val="TableText0"/>
              <w:rPr>
                <w:snapToGrid w:val="0"/>
              </w:rPr>
            </w:pPr>
            <w:r w:rsidRPr="007D1918">
              <w:rPr>
                <w:snapToGrid w:val="0"/>
              </w:rPr>
              <w:t>14 (34%)</w:t>
            </w:r>
          </w:p>
        </w:tc>
        <w:tc>
          <w:tcPr>
            <w:tcW w:w="1158" w:type="pct"/>
            <w:shd w:val="clear" w:color="auto" w:fill="auto"/>
          </w:tcPr>
          <w:p w14:paraId="73FDDE32" w14:textId="2FCA2AEA" w:rsidR="001722AD" w:rsidRPr="007D1918" w:rsidRDefault="001722AD" w:rsidP="00A723E4">
            <w:pPr>
              <w:pStyle w:val="TableText0"/>
              <w:rPr>
                <w:snapToGrid w:val="0"/>
              </w:rPr>
            </w:pPr>
            <w:r w:rsidRPr="007D1918">
              <w:rPr>
                <w:snapToGrid w:val="0"/>
              </w:rPr>
              <w:t>-</w:t>
            </w:r>
          </w:p>
          <w:p w14:paraId="5C7B5584" w14:textId="77777777" w:rsidR="002909D8" w:rsidRPr="002909D8" w:rsidRDefault="002909D8" w:rsidP="00A723E4">
            <w:pPr>
              <w:pStyle w:val="TableText0"/>
              <w:rPr>
                <w:snapToGrid w:val="0"/>
                <w:sz w:val="230"/>
                <w:szCs w:val="230"/>
              </w:rPr>
            </w:pPr>
          </w:p>
          <w:p w14:paraId="5BDCA44A" w14:textId="49765A84" w:rsidR="001722AD" w:rsidRPr="007D1918" w:rsidRDefault="001722AD" w:rsidP="00A723E4">
            <w:pPr>
              <w:pStyle w:val="TableText0"/>
              <w:rPr>
                <w:snapToGrid w:val="0"/>
              </w:rPr>
            </w:pPr>
            <w:r w:rsidRPr="007D1918">
              <w:rPr>
                <w:snapToGrid w:val="0"/>
              </w:rPr>
              <w:t>p = 0.0001</w:t>
            </w:r>
            <w:r w:rsidR="00AD54FD" w:rsidRPr="007D1918">
              <w:rPr>
                <w:snapToGrid w:val="0"/>
              </w:rPr>
              <w:t xml:space="preserve"> (16.2%, 47.2%)</w:t>
            </w:r>
            <w:r w:rsidRPr="007D1918">
              <w:rPr>
                <w:snapToGrid w:val="0"/>
                <w:vertAlign w:val="superscript"/>
              </w:rPr>
              <w:t>a</w:t>
            </w:r>
          </w:p>
        </w:tc>
      </w:tr>
      <w:tr w:rsidR="001722AD" w:rsidRPr="007D1918" w14:paraId="0EE67A37" w14:textId="77777777" w:rsidTr="00966A87">
        <w:tc>
          <w:tcPr>
            <w:tcW w:w="907" w:type="pct"/>
            <w:tcBorders>
              <w:top w:val="nil"/>
            </w:tcBorders>
          </w:tcPr>
          <w:p w14:paraId="78E4B5BC" w14:textId="77777777" w:rsidR="001722AD" w:rsidRPr="007D1918" w:rsidRDefault="001722AD" w:rsidP="006B2A0F">
            <w:pPr>
              <w:pStyle w:val="TableText0"/>
              <w:rPr>
                <w:snapToGrid w:val="0"/>
              </w:rPr>
            </w:pPr>
          </w:p>
        </w:tc>
        <w:tc>
          <w:tcPr>
            <w:tcW w:w="1544" w:type="pct"/>
          </w:tcPr>
          <w:p w14:paraId="61F0DD32" w14:textId="1D379891" w:rsidR="001722AD" w:rsidRPr="007D1918" w:rsidRDefault="001722AD" w:rsidP="006B2A0F">
            <w:pPr>
              <w:pStyle w:val="TableText0"/>
              <w:rPr>
                <w:snapToGrid w:val="0"/>
              </w:rPr>
            </w:pPr>
            <w:r w:rsidRPr="007D1918">
              <w:rPr>
                <w:snapToGrid w:val="0"/>
              </w:rPr>
              <w:t>Patients with ≥ 1 event</w:t>
            </w:r>
          </w:p>
        </w:tc>
        <w:tc>
          <w:tcPr>
            <w:tcW w:w="696" w:type="pct"/>
            <w:shd w:val="clear" w:color="auto" w:fill="auto"/>
          </w:tcPr>
          <w:p w14:paraId="7062B7B4" w14:textId="77777777" w:rsidR="001722AD" w:rsidRPr="007D1918" w:rsidRDefault="001722AD" w:rsidP="00A723E4">
            <w:pPr>
              <w:pStyle w:val="TableText0"/>
              <w:rPr>
                <w:snapToGrid w:val="0"/>
              </w:rPr>
            </w:pPr>
            <w:r w:rsidRPr="007D1918">
              <w:rPr>
                <w:snapToGrid w:val="0"/>
              </w:rPr>
              <w:t>1 (2.2%)</w:t>
            </w:r>
          </w:p>
        </w:tc>
        <w:tc>
          <w:tcPr>
            <w:tcW w:w="695" w:type="pct"/>
            <w:shd w:val="clear" w:color="auto" w:fill="auto"/>
          </w:tcPr>
          <w:p w14:paraId="162E6DDA" w14:textId="77777777" w:rsidR="001722AD" w:rsidRPr="007D1918" w:rsidRDefault="001722AD" w:rsidP="00A723E4">
            <w:pPr>
              <w:pStyle w:val="TableText0"/>
              <w:rPr>
                <w:snapToGrid w:val="0"/>
              </w:rPr>
            </w:pPr>
            <w:r w:rsidRPr="007D1918">
              <w:rPr>
                <w:snapToGrid w:val="0"/>
              </w:rPr>
              <w:t>8 (19.5%)</w:t>
            </w:r>
          </w:p>
        </w:tc>
        <w:tc>
          <w:tcPr>
            <w:tcW w:w="1158" w:type="pct"/>
            <w:tcBorders>
              <w:bottom w:val="single" w:sz="4" w:space="0" w:color="auto"/>
            </w:tcBorders>
            <w:shd w:val="clear" w:color="auto" w:fill="auto"/>
          </w:tcPr>
          <w:p w14:paraId="3D0BF5EE" w14:textId="61B2E7A6" w:rsidR="001722AD" w:rsidRPr="007D1918" w:rsidRDefault="001722AD" w:rsidP="00A723E4">
            <w:pPr>
              <w:pStyle w:val="TableText0"/>
              <w:rPr>
                <w:snapToGrid w:val="0"/>
              </w:rPr>
            </w:pPr>
            <w:r w:rsidRPr="007D1918">
              <w:rPr>
                <w:snapToGrid w:val="0"/>
              </w:rPr>
              <w:t>P = 0.01</w:t>
            </w:r>
            <w:r w:rsidR="000B189E" w:rsidRPr="007D1918">
              <w:rPr>
                <w:snapToGrid w:val="0"/>
                <w:vertAlign w:val="superscript"/>
              </w:rPr>
              <w:t>b</w:t>
            </w:r>
          </w:p>
        </w:tc>
      </w:tr>
      <w:tr w:rsidR="001722AD" w:rsidRPr="007D1918" w14:paraId="2C6A5C79" w14:textId="77777777" w:rsidTr="00966A87">
        <w:tc>
          <w:tcPr>
            <w:tcW w:w="907" w:type="pct"/>
          </w:tcPr>
          <w:p w14:paraId="4A8B597D" w14:textId="5334663E" w:rsidR="001722AD" w:rsidRPr="007D1918" w:rsidRDefault="0075212A" w:rsidP="006B2A0F">
            <w:pPr>
              <w:pStyle w:val="TableText0"/>
              <w:rPr>
                <w:snapToGrid w:val="0"/>
              </w:rPr>
            </w:pPr>
            <w:r w:rsidRPr="007D1918">
              <w:rPr>
                <w:snapToGrid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rPr>
              <w:instrText xml:space="preserve"> ADDIN EN.CITE </w:instrText>
            </w:r>
            <w:r w:rsidR="007F4CDE" w:rsidRPr="007D1918">
              <w:rPr>
                <w:snapToGrid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rPr>
              <w:instrText xml:space="preserve"> ADDIN EN.CITE.DATA </w:instrText>
            </w:r>
            <w:r w:rsidR="007F4CDE" w:rsidRPr="007D1918">
              <w:rPr>
                <w:snapToGrid w:val="0"/>
              </w:rPr>
            </w:r>
            <w:r w:rsidR="007F4CDE"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64" w:tooltip="Mandawat, 2010 #37" w:history="1">
              <w:r w:rsidR="007D4948" w:rsidRPr="007D1918">
                <w:rPr>
                  <w:noProof/>
                  <w:snapToGrid w:val="0"/>
                </w:rPr>
                <w:t>Mandawat et al. 2010</w:t>
              </w:r>
            </w:hyperlink>
            <w:r w:rsidRPr="007D1918">
              <w:rPr>
                <w:noProof/>
                <w:snapToGrid w:val="0"/>
              </w:rPr>
              <w:t>)</w:t>
            </w:r>
            <w:r w:rsidRPr="007D1918">
              <w:rPr>
                <w:snapToGrid w:val="0"/>
              </w:rPr>
              <w:fldChar w:fldCharType="end"/>
            </w:r>
            <w:r w:rsidR="00A723E4" w:rsidRPr="007D1918">
              <w:rPr>
                <w:snapToGrid w:val="0"/>
              </w:rPr>
              <w:t xml:space="preserve">, </w:t>
            </w:r>
            <w:r w:rsidR="001722AD" w:rsidRPr="007D1918">
              <w:rPr>
                <w:snapToGrid w:val="0"/>
              </w:rPr>
              <w:t>USA</w:t>
            </w:r>
          </w:p>
          <w:p w14:paraId="4955C1B9" w14:textId="77777777" w:rsidR="001722AD" w:rsidRPr="007D1918" w:rsidRDefault="001722AD" w:rsidP="006B2A0F">
            <w:pPr>
              <w:pStyle w:val="TableText0"/>
              <w:rPr>
                <w:snapToGrid w:val="0"/>
              </w:rPr>
            </w:pPr>
            <w:r w:rsidRPr="007D1918">
              <w:rPr>
                <w:snapToGrid w:val="0"/>
              </w:rPr>
              <w:t>Level III-2</w:t>
            </w:r>
          </w:p>
          <w:p w14:paraId="7DA74E6D" w14:textId="4E748A13" w:rsidR="001722AD" w:rsidRPr="007D1918" w:rsidRDefault="001722AD" w:rsidP="006B2A0F">
            <w:pPr>
              <w:pStyle w:val="TableText0"/>
              <w:rPr>
                <w:snapToGrid w:val="0"/>
              </w:rPr>
            </w:pPr>
            <w:r w:rsidRPr="007D1918">
              <w:rPr>
                <w:snapToGrid w:val="0"/>
              </w:rPr>
              <w:t xml:space="preserve">Moderate </w:t>
            </w:r>
          </w:p>
          <w:p w14:paraId="03F2966A" w14:textId="2C1E3C52" w:rsidR="001722AD" w:rsidRPr="007D1918" w:rsidRDefault="001722AD" w:rsidP="0062548E">
            <w:pPr>
              <w:pStyle w:val="TableText0"/>
              <w:rPr>
                <w:snapToGrid w:val="0"/>
              </w:rPr>
            </w:pPr>
          </w:p>
        </w:tc>
        <w:tc>
          <w:tcPr>
            <w:tcW w:w="1544" w:type="pct"/>
          </w:tcPr>
          <w:p w14:paraId="6B44E8FE" w14:textId="4DAB54BB" w:rsidR="001722AD" w:rsidRPr="007D1918" w:rsidRDefault="001722AD" w:rsidP="006B2A0F">
            <w:pPr>
              <w:pStyle w:val="TableText0"/>
              <w:rPr>
                <w:snapToGrid w:val="0"/>
              </w:rPr>
            </w:pPr>
            <w:r w:rsidRPr="007D1918">
              <w:rPr>
                <w:snapToGrid w:val="0"/>
              </w:rPr>
              <w:t>Patient number</w:t>
            </w:r>
          </w:p>
          <w:p w14:paraId="644B3457" w14:textId="77777777" w:rsidR="001722AD" w:rsidRPr="007D1918" w:rsidRDefault="001722AD" w:rsidP="00705850">
            <w:pPr>
              <w:pStyle w:val="TableText0"/>
              <w:rPr>
                <w:snapToGrid w:val="0"/>
              </w:rPr>
            </w:pPr>
            <w:r w:rsidRPr="007D1918">
              <w:rPr>
                <w:snapToGrid w:val="0"/>
              </w:rPr>
              <w:t xml:space="preserve">Any complication </w:t>
            </w:r>
          </w:p>
          <w:p w14:paraId="60EB556E" w14:textId="12B390D5" w:rsidR="001722AD" w:rsidRPr="007D1918" w:rsidRDefault="001722AD" w:rsidP="00705850">
            <w:pPr>
              <w:pStyle w:val="TableText0"/>
              <w:rPr>
                <w:snapToGrid w:val="0"/>
              </w:rPr>
            </w:pPr>
            <w:r w:rsidRPr="007D1918">
              <w:rPr>
                <w:snapToGrid w:val="0"/>
              </w:rPr>
              <w:t>Cardiac</w:t>
            </w:r>
          </w:p>
          <w:p w14:paraId="0DC7E4AB" w14:textId="77777777" w:rsidR="001722AD" w:rsidRPr="007D1918" w:rsidRDefault="001722AD" w:rsidP="00705850">
            <w:pPr>
              <w:pStyle w:val="TableText0"/>
              <w:rPr>
                <w:snapToGrid w:val="0"/>
              </w:rPr>
            </w:pPr>
            <w:r w:rsidRPr="007D1918">
              <w:rPr>
                <w:snapToGrid w:val="0"/>
              </w:rPr>
              <w:t>Acute renal failure</w:t>
            </w:r>
          </w:p>
          <w:p w14:paraId="70635E79" w14:textId="77777777" w:rsidR="001722AD" w:rsidRPr="007D1918" w:rsidRDefault="001722AD" w:rsidP="00705850">
            <w:pPr>
              <w:pStyle w:val="TableText0"/>
              <w:rPr>
                <w:snapToGrid w:val="0"/>
              </w:rPr>
            </w:pPr>
            <w:r w:rsidRPr="007D1918">
              <w:rPr>
                <w:snapToGrid w:val="0"/>
              </w:rPr>
              <w:t>Systemic infection</w:t>
            </w:r>
          </w:p>
          <w:p w14:paraId="0C811569" w14:textId="5A6B2B07" w:rsidR="001722AD" w:rsidRPr="007D1918" w:rsidRDefault="001722AD" w:rsidP="00705850">
            <w:pPr>
              <w:pStyle w:val="TableText0"/>
              <w:rPr>
                <w:snapToGrid w:val="0"/>
              </w:rPr>
            </w:pPr>
            <w:r w:rsidRPr="007D1918">
              <w:rPr>
                <w:snapToGrid w:val="0"/>
              </w:rPr>
              <w:t>Thrombotic complications</w:t>
            </w:r>
          </w:p>
        </w:tc>
        <w:tc>
          <w:tcPr>
            <w:tcW w:w="696" w:type="pct"/>
            <w:shd w:val="clear" w:color="auto" w:fill="auto"/>
          </w:tcPr>
          <w:p w14:paraId="4FB82B88" w14:textId="676AE243" w:rsidR="001722AD" w:rsidRPr="007D1918" w:rsidRDefault="001722AD" w:rsidP="00A723E4">
            <w:pPr>
              <w:pStyle w:val="TableText0"/>
              <w:rPr>
                <w:snapToGrid w:val="0"/>
              </w:rPr>
            </w:pPr>
            <w:r w:rsidRPr="007D1918">
              <w:rPr>
                <w:snapToGrid w:val="0"/>
              </w:rPr>
              <w:t>169</w:t>
            </w:r>
          </w:p>
          <w:p w14:paraId="15141160" w14:textId="6C649F6C" w:rsidR="001722AD" w:rsidRPr="007D1918" w:rsidRDefault="001722AD" w:rsidP="00A723E4">
            <w:pPr>
              <w:pStyle w:val="TableText0"/>
              <w:rPr>
                <w:snapToGrid w:val="0"/>
              </w:rPr>
            </w:pPr>
            <w:r w:rsidRPr="007D1918">
              <w:rPr>
                <w:snapToGrid w:val="0"/>
              </w:rPr>
              <w:t>25 (14.79%)</w:t>
            </w:r>
          </w:p>
          <w:p w14:paraId="05FEE184" w14:textId="7438D184" w:rsidR="001722AD" w:rsidRPr="007D1918" w:rsidRDefault="001722AD" w:rsidP="00A723E4">
            <w:pPr>
              <w:pStyle w:val="TableText0"/>
              <w:rPr>
                <w:snapToGrid w:val="0"/>
              </w:rPr>
            </w:pPr>
            <w:r w:rsidRPr="007D1918">
              <w:rPr>
                <w:snapToGrid w:val="0"/>
              </w:rPr>
              <w:t>20 (11.83%)</w:t>
            </w:r>
          </w:p>
          <w:p w14:paraId="08E61FF2" w14:textId="38CC368F" w:rsidR="001722AD" w:rsidRPr="007D1918" w:rsidRDefault="001722AD" w:rsidP="00A723E4">
            <w:pPr>
              <w:pStyle w:val="TableText0"/>
              <w:tabs>
                <w:tab w:val="center" w:pos="480"/>
              </w:tabs>
              <w:rPr>
                <w:snapToGrid w:val="0"/>
              </w:rPr>
            </w:pPr>
            <w:r w:rsidRPr="007D1918">
              <w:rPr>
                <w:snapToGrid w:val="0"/>
              </w:rPr>
              <w:t>2 (1.18%)</w:t>
            </w:r>
          </w:p>
          <w:p w14:paraId="44A20EAC" w14:textId="468224DF" w:rsidR="001722AD" w:rsidRPr="007D1918" w:rsidRDefault="001722AD" w:rsidP="00A723E4">
            <w:pPr>
              <w:pStyle w:val="TableText0"/>
              <w:rPr>
                <w:snapToGrid w:val="0"/>
              </w:rPr>
            </w:pPr>
            <w:r w:rsidRPr="007D1918">
              <w:rPr>
                <w:snapToGrid w:val="0"/>
              </w:rPr>
              <w:t>2 (1.18%)</w:t>
            </w:r>
          </w:p>
          <w:p w14:paraId="4F1F19C3" w14:textId="09CD51F6" w:rsidR="001722AD" w:rsidRPr="007D1918" w:rsidRDefault="001722AD" w:rsidP="00A723E4">
            <w:pPr>
              <w:pStyle w:val="TableText0"/>
              <w:rPr>
                <w:snapToGrid w:val="0"/>
              </w:rPr>
            </w:pPr>
            <w:r w:rsidRPr="007D1918">
              <w:rPr>
                <w:snapToGrid w:val="0"/>
              </w:rPr>
              <w:t>1 (0.59%)</w:t>
            </w:r>
          </w:p>
        </w:tc>
        <w:tc>
          <w:tcPr>
            <w:tcW w:w="695" w:type="pct"/>
            <w:shd w:val="clear" w:color="auto" w:fill="auto"/>
          </w:tcPr>
          <w:p w14:paraId="0A7706B9" w14:textId="1349ADA5" w:rsidR="001722AD" w:rsidRPr="007D1918" w:rsidRDefault="001722AD" w:rsidP="00A723E4">
            <w:pPr>
              <w:pStyle w:val="TableText0"/>
              <w:rPr>
                <w:snapToGrid w:val="0"/>
              </w:rPr>
            </w:pPr>
            <w:r w:rsidRPr="007D1918">
              <w:rPr>
                <w:snapToGrid w:val="0"/>
              </w:rPr>
              <w:t>529</w:t>
            </w:r>
          </w:p>
          <w:p w14:paraId="7EDE90B4" w14:textId="0E00341A" w:rsidR="001722AD" w:rsidRPr="007D1918" w:rsidRDefault="001722AD" w:rsidP="00A723E4">
            <w:pPr>
              <w:pStyle w:val="TableText0"/>
              <w:rPr>
                <w:snapToGrid w:val="0"/>
              </w:rPr>
            </w:pPr>
            <w:r w:rsidRPr="007D1918">
              <w:rPr>
                <w:snapToGrid w:val="0"/>
              </w:rPr>
              <w:t>159 (30.06%)</w:t>
            </w:r>
          </w:p>
          <w:p w14:paraId="46BC2660" w14:textId="38DB7534" w:rsidR="001722AD" w:rsidRPr="007D1918" w:rsidRDefault="001722AD" w:rsidP="00A723E4">
            <w:pPr>
              <w:pStyle w:val="TableText0"/>
              <w:rPr>
                <w:snapToGrid w:val="0"/>
              </w:rPr>
            </w:pPr>
            <w:r w:rsidRPr="007D1918">
              <w:rPr>
                <w:snapToGrid w:val="0"/>
              </w:rPr>
              <w:t>120 (22.68%)</w:t>
            </w:r>
          </w:p>
          <w:p w14:paraId="48F99475" w14:textId="562C28BA" w:rsidR="001722AD" w:rsidRPr="007D1918" w:rsidRDefault="001722AD" w:rsidP="00A723E4">
            <w:pPr>
              <w:pStyle w:val="TableText0"/>
              <w:rPr>
                <w:snapToGrid w:val="0"/>
              </w:rPr>
            </w:pPr>
            <w:r w:rsidRPr="007D1918">
              <w:rPr>
                <w:snapToGrid w:val="0"/>
              </w:rPr>
              <w:t>25 (4.73%)</w:t>
            </w:r>
          </w:p>
          <w:p w14:paraId="71113956" w14:textId="7723436E" w:rsidR="001722AD" w:rsidRPr="007D1918" w:rsidRDefault="001722AD" w:rsidP="00A723E4">
            <w:pPr>
              <w:pStyle w:val="TableText0"/>
              <w:rPr>
                <w:snapToGrid w:val="0"/>
              </w:rPr>
            </w:pPr>
            <w:r w:rsidRPr="007D1918">
              <w:rPr>
                <w:snapToGrid w:val="0"/>
              </w:rPr>
              <w:t>50 (9.45%)</w:t>
            </w:r>
          </w:p>
          <w:p w14:paraId="772C25A7" w14:textId="1EDEC754" w:rsidR="001722AD" w:rsidRPr="007D1918" w:rsidRDefault="001722AD" w:rsidP="00A723E4">
            <w:pPr>
              <w:pStyle w:val="TableText0"/>
              <w:rPr>
                <w:snapToGrid w:val="0"/>
              </w:rPr>
            </w:pPr>
            <w:r w:rsidRPr="007D1918">
              <w:rPr>
                <w:snapToGrid w:val="0"/>
              </w:rPr>
              <w:t>18 (3.40%)</w:t>
            </w:r>
          </w:p>
        </w:tc>
        <w:tc>
          <w:tcPr>
            <w:tcW w:w="1158" w:type="pct"/>
            <w:shd w:val="clear" w:color="auto" w:fill="auto"/>
          </w:tcPr>
          <w:p w14:paraId="0C973C88" w14:textId="20F9D99E" w:rsidR="001722AD" w:rsidRPr="007D1918" w:rsidRDefault="001722AD" w:rsidP="00A723E4">
            <w:pPr>
              <w:pStyle w:val="TableText0"/>
              <w:rPr>
                <w:snapToGrid w:val="0"/>
              </w:rPr>
            </w:pPr>
            <w:r w:rsidRPr="007D1918">
              <w:rPr>
                <w:snapToGrid w:val="0"/>
              </w:rPr>
              <w:t>-</w:t>
            </w:r>
          </w:p>
          <w:p w14:paraId="7B0EEEF6" w14:textId="7CE88EC8" w:rsidR="001722AD" w:rsidRPr="007D1918" w:rsidRDefault="001722AD" w:rsidP="00A723E4">
            <w:pPr>
              <w:pStyle w:val="TableText0"/>
              <w:rPr>
                <w:snapToGrid w:val="0"/>
                <w:vertAlign w:val="superscript"/>
              </w:rPr>
            </w:pPr>
            <w:r w:rsidRPr="007D1918">
              <w:rPr>
                <w:snapToGrid w:val="0"/>
              </w:rPr>
              <w:t>P &lt; 0.0001</w:t>
            </w:r>
            <w:r w:rsidR="00AD54FD" w:rsidRPr="007D1918">
              <w:rPr>
                <w:snapToGrid w:val="0"/>
                <w:vertAlign w:val="superscript"/>
              </w:rPr>
              <w:t>b</w:t>
            </w:r>
          </w:p>
          <w:p w14:paraId="1A5A2FC1" w14:textId="06BFA0F0" w:rsidR="001722AD" w:rsidRPr="007D1918" w:rsidRDefault="001722AD" w:rsidP="00A723E4">
            <w:pPr>
              <w:pStyle w:val="TableText0"/>
              <w:rPr>
                <w:snapToGrid w:val="0"/>
              </w:rPr>
            </w:pPr>
            <w:r w:rsidRPr="007D1918">
              <w:rPr>
                <w:snapToGrid w:val="0"/>
              </w:rPr>
              <w:t>P = 0.001</w:t>
            </w:r>
          </w:p>
          <w:p w14:paraId="057BA8DD" w14:textId="6D6A888D" w:rsidR="001722AD" w:rsidRPr="007D1918" w:rsidRDefault="001722AD" w:rsidP="00A723E4">
            <w:pPr>
              <w:pStyle w:val="TableText0"/>
              <w:rPr>
                <w:snapToGrid w:val="0"/>
              </w:rPr>
            </w:pPr>
            <w:r w:rsidRPr="007D1918">
              <w:rPr>
                <w:snapToGrid w:val="0"/>
              </w:rPr>
              <w:t>P = 0.038</w:t>
            </w:r>
          </w:p>
          <w:p w14:paraId="4BCE24CE" w14:textId="77777777" w:rsidR="001722AD" w:rsidRPr="007D1918" w:rsidRDefault="001722AD" w:rsidP="00A723E4">
            <w:pPr>
              <w:pStyle w:val="TableText0"/>
              <w:rPr>
                <w:snapToGrid w:val="0"/>
              </w:rPr>
            </w:pPr>
            <w:r w:rsidRPr="007D1918">
              <w:rPr>
                <w:snapToGrid w:val="0"/>
              </w:rPr>
              <w:t>P &lt; 0.0001</w:t>
            </w:r>
          </w:p>
          <w:p w14:paraId="602FFF84" w14:textId="4E48BCEA" w:rsidR="001722AD" w:rsidRPr="007D1918" w:rsidRDefault="001722AD" w:rsidP="00A723E4">
            <w:pPr>
              <w:pStyle w:val="TableText0"/>
              <w:rPr>
                <w:snapToGrid w:val="0"/>
              </w:rPr>
            </w:pPr>
            <w:r w:rsidRPr="007D1918">
              <w:rPr>
                <w:snapToGrid w:val="0"/>
              </w:rPr>
              <w:t>P = 0.05</w:t>
            </w:r>
          </w:p>
        </w:tc>
      </w:tr>
      <w:tr w:rsidR="001722AD" w:rsidRPr="007D1918" w14:paraId="0C176AF0" w14:textId="77777777" w:rsidTr="00966A87">
        <w:tc>
          <w:tcPr>
            <w:tcW w:w="907" w:type="pct"/>
          </w:tcPr>
          <w:p w14:paraId="66EF0B6D" w14:textId="3B6511CA" w:rsidR="001722AD" w:rsidRPr="007D1918" w:rsidRDefault="0075212A" w:rsidP="006B2A0F">
            <w:pPr>
              <w:pStyle w:val="TableText0"/>
              <w:rPr>
                <w:snapToGrid w:val="0"/>
              </w:rPr>
            </w:pPr>
            <w:r w:rsidRPr="007D1918">
              <w:rPr>
                <w:snapToGrid w:val="0"/>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68" w:tooltip="Murthy, 2005 #38" w:history="1">
              <w:r w:rsidR="007D4948" w:rsidRPr="007D1918">
                <w:rPr>
                  <w:noProof/>
                  <w:snapToGrid w:val="0"/>
                </w:rPr>
                <w:t>Murthy et al. 2005</w:t>
              </w:r>
            </w:hyperlink>
            <w:r w:rsidRPr="007D1918">
              <w:rPr>
                <w:noProof/>
                <w:snapToGrid w:val="0"/>
              </w:rPr>
              <w:t>)</w:t>
            </w:r>
            <w:r w:rsidRPr="007D1918">
              <w:rPr>
                <w:snapToGrid w:val="0"/>
              </w:rPr>
              <w:fldChar w:fldCharType="end"/>
            </w:r>
            <w:r w:rsidR="00A723E4" w:rsidRPr="007D1918">
              <w:rPr>
                <w:snapToGrid w:val="0"/>
              </w:rPr>
              <w:t xml:space="preserve">, </w:t>
            </w:r>
            <w:r w:rsidR="001722AD" w:rsidRPr="007D1918">
              <w:rPr>
                <w:snapToGrid w:val="0"/>
              </w:rPr>
              <w:t>India</w:t>
            </w:r>
          </w:p>
          <w:p w14:paraId="74ACF79F" w14:textId="77777777" w:rsidR="001722AD" w:rsidRPr="007D1918" w:rsidRDefault="001722AD" w:rsidP="006B2A0F">
            <w:pPr>
              <w:pStyle w:val="TableText0"/>
              <w:rPr>
                <w:snapToGrid w:val="0"/>
              </w:rPr>
            </w:pPr>
            <w:r w:rsidRPr="007D1918">
              <w:rPr>
                <w:snapToGrid w:val="0"/>
              </w:rPr>
              <w:t>Level III-2</w:t>
            </w:r>
          </w:p>
          <w:p w14:paraId="36B5C531" w14:textId="44408156" w:rsidR="001722AD" w:rsidRPr="007D1918" w:rsidRDefault="001722AD" w:rsidP="006B2A0F">
            <w:pPr>
              <w:pStyle w:val="TableText0"/>
              <w:rPr>
                <w:snapToGrid w:val="0"/>
              </w:rPr>
            </w:pPr>
            <w:r w:rsidRPr="007D1918">
              <w:rPr>
                <w:snapToGrid w:val="0"/>
              </w:rPr>
              <w:t>High</w:t>
            </w:r>
          </w:p>
        </w:tc>
        <w:tc>
          <w:tcPr>
            <w:tcW w:w="1544" w:type="pct"/>
          </w:tcPr>
          <w:p w14:paraId="5981E156" w14:textId="2CAA0B95" w:rsidR="001722AD" w:rsidRPr="007D1918" w:rsidRDefault="001722AD" w:rsidP="008D32D6">
            <w:pPr>
              <w:pStyle w:val="TableText0"/>
              <w:rPr>
                <w:snapToGrid w:val="0"/>
              </w:rPr>
            </w:pPr>
            <w:r w:rsidRPr="007D1918">
              <w:rPr>
                <w:snapToGrid w:val="0"/>
              </w:rPr>
              <w:t>Crisis episodes</w:t>
            </w:r>
            <w:r w:rsidR="00E33063" w:rsidRPr="007D1918">
              <w:rPr>
                <w:snapToGrid w:val="0"/>
                <w:vertAlign w:val="superscript"/>
              </w:rPr>
              <w:t>c</w:t>
            </w:r>
            <w:r w:rsidRPr="007D1918">
              <w:rPr>
                <w:snapToGrid w:val="0"/>
                <w:vertAlign w:val="superscript"/>
              </w:rPr>
              <w:t xml:space="preserve"> </w:t>
            </w:r>
            <w:r w:rsidRPr="007D1918">
              <w:rPr>
                <w:rFonts w:cs="Arial"/>
                <w:snapToGrid w:val="0"/>
                <w:szCs w:val="20"/>
              </w:rPr>
              <w:t>(there were 23 crises in 21 patients)</w:t>
            </w:r>
          </w:p>
          <w:p w14:paraId="765AA6B0" w14:textId="707A7B1D" w:rsidR="001722AD" w:rsidRPr="007D1918" w:rsidRDefault="001722AD" w:rsidP="006F1538">
            <w:pPr>
              <w:pStyle w:val="TableText0"/>
              <w:rPr>
                <w:snapToGrid w:val="0"/>
              </w:rPr>
            </w:pPr>
            <w:r w:rsidRPr="007D1918">
              <w:rPr>
                <w:snapToGrid w:val="0"/>
              </w:rPr>
              <w:t>Hypotension</w:t>
            </w:r>
            <w:r w:rsidR="00A723E4" w:rsidRPr="007D1918">
              <w:rPr>
                <w:snapToGrid w:val="0"/>
              </w:rPr>
              <w:br/>
            </w:r>
            <w:r w:rsidRPr="007D1918">
              <w:rPr>
                <w:snapToGrid w:val="0"/>
              </w:rPr>
              <w:t>Elevated blood urea and serum creatinine</w:t>
            </w:r>
          </w:p>
        </w:tc>
        <w:tc>
          <w:tcPr>
            <w:tcW w:w="696" w:type="pct"/>
            <w:shd w:val="clear" w:color="auto" w:fill="auto"/>
          </w:tcPr>
          <w:p w14:paraId="69C5FBAA" w14:textId="1FA06E64" w:rsidR="001722AD" w:rsidRPr="007D1918" w:rsidRDefault="001722AD" w:rsidP="00A723E4">
            <w:pPr>
              <w:pStyle w:val="TableText0"/>
              <w:rPr>
                <w:snapToGrid w:val="0"/>
              </w:rPr>
            </w:pPr>
            <w:r w:rsidRPr="007D1918">
              <w:rPr>
                <w:snapToGrid w:val="0"/>
              </w:rPr>
              <w:t>8</w:t>
            </w:r>
            <w:r w:rsidRPr="007D1918">
              <w:rPr>
                <w:snapToGrid w:val="0"/>
              </w:rPr>
              <w:br/>
            </w:r>
          </w:p>
          <w:p w14:paraId="0EB9AF7E" w14:textId="25D1F0D0" w:rsidR="001722AD" w:rsidRPr="007D1918" w:rsidRDefault="001722AD" w:rsidP="006F1538">
            <w:pPr>
              <w:pStyle w:val="TableText0"/>
              <w:rPr>
                <w:snapToGrid w:val="0"/>
              </w:rPr>
            </w:pPr>
            <w:r w:rsidRPr="007D1918">
              <w:rPr>
                <w:snapToGrid w:val="0"/>
              </w:rPr>
              <w:t>0</w:t>
            </w:r>
            <w:r w:rsidR="00A723E4" w:rsidRPr="007D1918">
              <w:rPr>
                <w:snapToGrid w:val="0"/>
              </w:rPr>
              <w:br/>
            </w:r>
            <w:r w:rsidRPr="007D1918">
              <w:rPr>
                <w:snapToGrid w:val="0"/>
              </w:rPr>
              <w:t>1 (12.5%)</w:t>
            </w:r>
          </w:p>
        </w:tc>
        <w:tc>
          <w:tcPr>
            <w:tcW w:w="695" w:type="pct"/>
            <w:shd w:val="clear" w:color="auto" w:fill="auto"/>
          </w:tcPr>
          <w:p w14:paraId="2FBD279A" w14:textId="68B7AFFE" w:rsidR="001722AD" w:rsidRPr="007D1918" w:rsidRDefault="001722AD" w:rsidP="00A723E4">
            <w:pPr>
              <w:pStyle w:val="TableText0"/>
              <w:rPr>
                <w:snapToGrid w:val="0"/>
              </w:rPr>
            </w:pPr>
            <w:r w:rsidRPr="007D1918">
              <w:rPr>
                <w:snapToGrid w:val="0"/>
              </w:rPr>
              <w:t>15</w:t>
            </w:r>
            <w:r w:rsidRPr="007D1918">
              <w:rPr>
                <w:snapToGrid w:val="0"/>
              </w:rPr>
              <w:br/>
            </w:r>
          </w:p>
          <w:p w14:paraId="048E2A80" w14:textId="021016FC" w:rsidR="001722AD" w:rsidRPr="007D1918" w:rsidRDefault="001722AD" w:rsidP="006F1538">
            <w:pPr>
              <w:pStyle w:val="TableText0"/>
              <w:rPr>
                <w:snapToGrid w:val="0"/>
              </w:rPr>
            </w:pPr>
            <w:r w:rsidRPr="007D1918">
              <w:rPr>
                <w:snapToGrid w:val="0"/>
              </w:rPr>
              <w:t>2 (13.3%)</w:t>
            </w:r>
            <w:r w:rsidR="00A723E4" w:rsidRPr="007D1918">
              <w:rPr>
                <w:snapToGrid w:val="0"/>
              </w:rPr>
              <w:br/>
            </w:r>
            <w:r w:rsidRPr="007D1918">
              <w:rPr>
                <w:snapToGrid w:val="0"/>
              </w:rPr>
              <w:t>0</w:t>
            </w:r>
          </w:p>
        </w:tc>
        <w:tc>
          <w:tcPr>
            <w:tcW w:w="1158" w:type="pct"/>
            <w:shd w:val="clear" w:color="auto" w:fill="auto"/>
          </w:tcPr>
          <w:p w14:paraId="78B9518E" w14:textId="0A5DFF0C" w:rsidR="00AD54FD" w:rsidRPr="007D1918" w:rsidRDefault="00AD54FD" w:rsidP="00A723E4">
            <w:pPr>
              <w:pStyle w:val="TableText0"/>
              <w:rPr>
                <w:snapToGrid w:val="0"/>
              </w:rPr>
            </w:pPr>
            <w:r w:rsidRPr="007D1918">
              <w:rPr>
                <w:snapToGrid w:val="0"/>
              </w:rPr>
              <w:t>-</w:t>
            </w:r>
            <w:r w:rsidR="00A723E4" w:rsidRPr="007D1918">
              <w:rPr>
                <w:snapToGrid w:val="0"/>
              </w:rPr>
              <w:br/>
            </w:r>
          </w:p>
          <w:p w14:paraId="6EB1E9DD" w14:textId="50A4FC6D" w:rsidR="00AD54FD" w:rsidRPr="007D1918" w:rsidRDefault="00AD54FD" w:rsidP="00A723E4">
            <w:pPr>
              <w:pStyle w:val="TableText0"/>
              <w:rPr>
                <w:snapToGrid w:val="0"/>
                <w:vertAlign w:val="superscript"/>
              </w:rPr>
            </w:pPr>
            <w:r w:rsidRPr="007D1918">
              <w:rPr>
                <w:snapToGrid w:val="0"/>
              </w:rPr>
              <w:t>p = 0.29 (-20.5%, 37.8%)</w:t>
            </w:r>
            <w:r w:rsidRPr="007D1918">
              <w:rPr>
                <w:snapToGrid w:val="0"/>
                <w:vertAlign w:val="superscript"/>
              </w:rPr>
              <w:t>a</w:t>
            </w:r>
          </w:p>
          <w:p w14:paraId="1129CFD9" w14:textId="6474CF24" w:rsidR="00AD54FD" w:rsidRPr="007D1918" w:rsidRDefault="00AD54FD" w:rsidP="00A723E4">
            <w:pPr>
              <w:pStyle w:val="TableText0"/>
              <w:rPr>
                <w:snapToGrid w:val="0"/>
                <w:vertAlign w:val="superscript"/>
              </w:rPr>
            </w:pPr>
            <w:r w:rsidRPr="007D1918">
              <w:rPr>
                <w:snapToGrid w:val="0"/>
              </w:rPr>
              <w:t>p = 0.70 (-19.4%, 33.8%)</w:t>
            </w:r>
            <w:r w:rsidRPr="007D1918">
              <w:rPr>
                <w:snapToGrid w:val="0"/>
                <w:vertAlign w:val="superscript"/>
              </w:rPr>
              <w:t>a</w:t>
            </w:r>
          </w:p>
        </w:tc>
      </w:tr>
      <w:tr w:rsidR="001722AD" w:rsidRPr="007D1918" w14:paraId="01678423" w14:textId="77777777" w:rsidTr="00966A87">
        <w:tc>
          <w:tcPr>
            <w:tcW w:w="907" w:type="pct"/>
          </w:tcPr>
          <w:p w14:paraId="1ED7B1FD" w14:textId="450DAE3A" w:rsidR="001722AD" w:rsidRPr="007D1918" w:rsidRDefault="0075212A" w:rsidP="006B2A0F">
            <w:pPr>
              <w:pStyle w:val="TableText0"/>
              <w:rPr>
                <w:snapToGrid w:val="0"/>
              </w:rPr>
            </w:pPr>
            <w:r w:rsidRPr="007D1918">
              <w:rPr>
                <w:snapToGrid w:val="0"/>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snapToGrid w:val="0"/>
              </w:rPr>
              <w:instrText xml:space="preserve"> ADDIN EN.CITE </w:instrText>
            </w:r>
            <w:r w:rsidRPr="007D1918">
              <w:rPr>
                <w:snapToGrid w:val="0"/>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snapToGrid w:val="0"/>
              </w:rPr>
              <w:instrText xml:space="preserve"> ADDIN EN.CITE.DATA </w:instrText>
            </w:r>
            <w:r w:rsidRPr="007D1918">
              <w:rPr>
                <w:snapToGrid w:val="0"/>
              </w:rPr>
            </w:r>
            <w:r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79" w:tooltip="Pittayanon, 2009 #86" w:history="1">
              <w:r w:rsidR="007D4948" w:rsidRPr="007D1918">
                <w:rPr>
                  <w:noProof/>
                  <w:snapToGrid w:val="0"/>
                </w:rPr>
                <w:t>Pittayanon, Treeprasertsuk &amp; Phanthumchinda 2009</w:t>
              </w:r>
            </w:hyperlink>
            <w:r w:rsidRPr="007D1918">
              <w:rPr>
                <w:noProof/>
                <w:snapToGrid w:val="0"/>
              </w:rPr>
              <w:t>)</w:t>
            </w:r>
            <w:r w:rsidRPr="007D1918">
              <w:rPr>
                <w:snapToGrid w:val="0"/>
              </w:rPr>
              <w:fldChar w:fldCharType="end"/>
            </w:r>
            <w:r w:rsidR="00A723E4" w:rsidRPr="007D1918">
              <w:rPr>
                <w:snapToGrid w:val="0"/>
              </w:rPr>
              <w:t xml:space="preserve">, </w:t>
            </w:r>
            <w:r w:rsidR="001722AD" w:rsidRPr="007D1918">
              <w:rPr>
                <w:snapToGrid w:val="0"/>
              </w:rPr>
              <w:t>Thailand</w:t>
            </w:r>
          </w:p>
          <w:p w14:paraId="041E6647" w14:textId="77777777" w:rsidR="001722AD" w:rsidRPr="007D1918" w:rsidRDefault="001722AD" w:rsidP="006B2A0F">
            <w:pPr>
              <w:pStyle w:val="TableText0"/>
              <w:rPr>
                <w:snapToGrid w:val="0"/>
              </w:rPr>
            </w:pPr>
            <w:r w:rsidRPr="007D1918">
              <w:rPr>
                <w:snapToGrid w:val="0"/>
              </w:rPr>
              <w:t>Level III-2</w:t>
            </w:r>
          </w:p>
          <w:p w14:paraId="45B7CF0D" w14:textId="3C5CF3F7" w:rsidR="001722AD" w:rsidRPr="007D1918" w:rsidRDefault="001722AD" w:rsidP="006B2A0F">
            <w:pPr>
              <w:pStyle w:val="TableText0"/>
              <w:rPr>
                <w:snapToGrid w:val="0"/>
              </w:rPr>
            </w:pPr>
            <w:r w:rsidRPr="007D1918">
              <w:rPr>
                <w:snapToGrid w:val="0"/>
              </w:rPr>
              <w:t>Moderate - high</w:t>
            </w:r>
          </w:p>
        </w:tc>
        <w:tc>
          <w:tcPr>
            <w:tcW w:w="1544" w:type="pct"/>
          </w:tcPr>
          <w:p w14:paraId="507BCEE4" w14:textId="7C0788C7" w:rsidR="001722AD" w:rsidRPr="007D1918" w:rsidRDefault="001722AD" w:rsidP="006B2A0F">
            <w:pPr>
              <w:pStyle w:val="TableText0"/>
              <w:rPr>
                <w:snapToGrid w:val="0"/>
              </w:rPr>
            </w:pPr>
            <w:r w:rsidRPr="007D1918">
              <w:rPr>
                <w:snapToGrid w:val="0"/>
              </w:rPr>
              <w:t>Crisis episodes</w:t>
            </w:r>
            <w:r w:rsidR="00E33063" w:rsidRPr="007D1918">
              <w:rPr>
                <w:snapToGrid w:val="0"/>
                <w:vertAlign w:val="superscript"/>
              </w:rPr>
              <w:t>c</w:t>
            </w:r>
            <w:r w:rsidRPr="007D1918">
              <w:rPr>
                <w:snapToGrid w:val="0"/>
                <w:vertAlign w:val="superscript"/>
              </w:rPr>
              <w:t xml:space="preserve"> </w:t>
            </w:r>
            <w:r w:rsidRPr="007D1918">
              <w:rPr>
                <w:snapToGrid w:val="0"/>
              </w:rPr>
              <w:t>(there were 33 episodes in 26 patients)</w:t>
            </w:r>
          </w:p>
          <w:p w14:paraId="5589B970" w14:textId="77777777" w:rsidR="001722AD" w:rsidRPr="007D1918" w:rsidRDefault="001722AD" w:rsidP="006B2A0F">
            <w:pPr>
              <w:pStyle w:val="TableText0"/>
              <w:rPr>
                <w:snapToGrid w:val="0"/>
              </w:rPr>
            </w:pPr>
            <w:r w:rsidRPr="007D1918">
              <w:rPr>
                <w:snapToGrid w:val="0"/>
              </w:rPr>
              <w:t>Ventilator or hospital acquired pneumonia</w:t>
            </w:r>
          </w:p>
          <w:p w14:paraId="217FFA1A" w14:textId="72F27CD6" w:rsidR="001722AD" w:rsidRPr="007D1918" w:rsidRDefault="001722AD" w:rsidP="006B2A0F">
            <w:pPr>
              <w:pStyle w:val="TableText0"/>
              <w:rPr>
                <w:snapToGrid w:val="0"/>
              </w:rPr>
            </w:pPr>
            <w:r w:rsidRPr="007D1918">
              <w:rPr>
                <w:snapToGrid w:val="0"/>
              </w:rPr>
              <w:t>Others</w:t>
            </w:r>
            <w:r w:rsidR="00E33063" w:rsidRPr="007D1918">
              <w:rPr>
                <w:snapToGrid w:val="0"/>
                <w:vertAlign w:val="superscript"/>
              </w:rPr>
              <w:t>d</w:t>
            </w:r>
          </w:p>
          <w:p w14:paraId="378F0C86" w14:textId="45AA89B7" w:rsidR="001722AD" w:rsidRPr="007D1918" w:rsidRDefault="001722AD" w:rsidP="006B2A0F">
            <w:pPr>
              <w:pStyle w:val="TableText0"/>
              <w:rPr>
                <w:snapToGrid w:val="0"/>
              </w:rPr>
            </w:pPr>
            <w:r w:rsidRPr="007D1918">
              <w:rPr>
                <w:snapToGrid w:val="0"/>
              </w:rPr>
              <w:t>None</w:t>
            </w:r>
          </w:p>
        </w:tc>
        <w:tc>
          <w:tcPr>
            <w:tcW w:w="696" w:type="pct"/>
            <w:shd w:val="clear" w:color="auto" w:fill="auto"/>
          </w:tcPr>
          <w:p w14:paraId="4023DFEA" w14:textId="77777777" w:rsidR="001722AD" w:rsidRPr="007D1918" w:rsidRDefault="001722AD" w:rsidP="00A723E4">
            <w:pPr>
              <w:pStyle w:val="TableText0"/>
              <w:rPr>
                <w:snapToGrid w:val="0"/>
              </w:rPr>
            </w:pPr>
            <w:r w:rsidRPr="007D1918">
              <w:rPr>
                <w:snapToGrid w:val="0"/>
              </w:rPr>
              <w:t>9</w:t>
            </w:r>
            <w:r w:rsidRPr="007D1918">
              <w:rPr>
                <w:snapToGrid w:val="0"/>
              </w:rPr>
              <w:br/>
            </w:r>
          </w:p>
          <w:p w14:paraId="3A721C41" w14:textId="65A011C0" w:rsidR="001722AD" w:rsidRPr="007D1918" w:rsidRDefault="001722AD" w:rsidP="00A723E4">
            <w:pPr>
              <w:pStyle w:val="TableText0"/>
              <w:rPr>
                <w:snapToGrid w:val="0"/>
              </w:rPr>
            </w:pPr>
            <w:r w:rsidRPr="007D1918">
              <w:rPr>
                <w:snapToGrid w:val="0"/>
              </w:rPr>
              <w:t>1 (11.1%)</w:t>
            </w:r>
            <w:r w:rsidRPr="007D1918">
              <w:rPr>
                <w:snapToGrid w:val="0"/>
              </w:rPr>
              <w:br/>
            </w:r>
          </w:p>
          <w:p w14:paraId="64BA2CA3" w14:textId="5FAF0085" w:rsidR="001722AD" w:rsidRPr="007D1918" w:rsidRDefault="001722AD" w:rsidP="00A723E4">
            <w:pPr>
              <w:pStyle w:val="TableText0"/>
              <w:rPr>
                <w:snapToGrid w:val="0"/>
              </w:rPr>
            </w:pPr>
            <w:r w:rsidRPr="007D1918">
              <w:rPr>
                <w:snapToGrid w:val="0"/>
              </w:rPr>
              <w:t>1 (11.1%)</w:t>
            </w:r>
          </w:p>
          <w:p w14:paraId="05E0529D" w14:textId="57B3D6C4" w:rsidR="001722AD" w:rsidRPr="007D1918" w:rsidRDefault="001722AD" w:rsidP="00A723E4">
            <w:pPr>
              <w:pStyle w:val="TableText0"/>
              <w:rPr>
                <w:snapToGrid w:val="0"/>
              </w:rPr>
            </w:pPr>
            <w:r w:rsidRPr="007D1918">
              <w:rPr>
                <w:snapToGrid w:val="0"/>
              </w:rPr>
              <w:t>7 (77.8%)</w:t>
            </w:r>
          </w:p>
        </w:tc>
        <w:tc>
          <w:tcPr>
            <w:tcW w:w="695" w:type="pct"/>
            <w:shd w:val="clear" w:color="auto" w:fill="auto"/>
          </w:tcPr>
          <w:p w14:paraId="625EA94E" w14:textId="77777777" w:rsidR="001722AD" w:rsidRPr="007D1918" w:rsidRDefault="001722AD" w:rsidP="00A723E4">
            <w:pPr>
              <w:pStyle w:val="TableText0"/>
              <w:rPr>
                <w:snapToGrid w:val="0"/>
              </w:rPr>
            </w:pPr>
            <w:r w:rsidRPr="007D1918">
              <w:rPr>
                <w:snapToGrid w:val="0"/>
              </w:rPr>
              <w:t>21</w:t>
            </w:r>
            <w:r w:rsidRPr="007D1918">
              <w:rPr>
                <w:snapToGrid w:val="0"/>
              </w:rPr>
              <w:br/>
            </w:r>
          </w:p>
          <w:p w14:paraId="6E41AAED" w14:textId="6C146629" w:rsidR="001722AD" w:rsidRPr="007D1918" w:rsidRDefault="001722AD" w:rsidP="00A723E4">
            <w:pPr>
              <w:pStyle w:val="TableText0"/>
              <w:rPr>
                <w:snapToGrid w:val="0"/>
              </w:rPr>
            </w:pPr>
            <w:r w:rsidRPr="007D1918">
              <w:rPr>
                <w:snapToGrid w:val="0"/>
              </w:rPr>
              <w:t>4 (18.2%)</w:t>
            </w:r>
            <w:r w:rsidRPr="007D1918">
              <w:rPr>
                <w:snapToGrid w:val="0"/>
              </w:rPr>
              <w:br/>
            </w:r>
          </w:p>
          <w:p w14:paraId="48D5F174" w14:textId="77777777" w:rsidR="001722AD" w:rsidRPr="007D1918" w:rsidRDefault="001722AD" w:rsidP="00A723E4">
            <w:pPr>
              <w:pStyle w:val="TableText0"/>
              <w:rPr>
                <w:snapToGrid w:val="0"/>
              </w:rPr>
            </w:pPr>
            <w:r w:rsidRPr="007D1918">
              <w:rPr>
                <w:snapToGrid w:val="0"/>
              </w:rPr>
              <w:t>9 (40.9%)</w:t>
            </w:r>
          </w:p>
          <w:p w14:paraId="09CE1406" w14:textId="2942FEFC" w:rsidR="001722AD" w:rsidRPr="007D1918" w:rsidRDefault="001722AD" w:rsidP="00A723E4">
            <w:pPr>
              <w:pStyle w:val="TableText0"/>
              <w:rPr>
                <w:snapToGrid w:val="0"/>
              </w:rPr>
            </w:pPr>
            <w:r w:rsidRPr="007D1918">
              <w:rPr>
                <w:snapToGrid w:val="0"/>
              </w:rPr>
              <w:t>9 (40.9%)</w:t>
            </w:r>
          </w:p>
        </w:tc>
        <w:tc>
          <w:tcPr>
            <w:tcW w:w="1158" w:type="pct"/>
            <w:shd w:val="clear" w:color="auto" w:fill="auto"/>
          </w:tcPr>
          <w:p w14:paraId="799B2AFA" w14:textId="77777777" w:rsidR="00A723E4" w:rsidRPr="007D1918" w:rsidRDefault="001722AD" w:rsidP="00A723E4">
            <w:pPr>
              <w:pStyle w:val="TableText0"/>
              <w:rPr>
                <w:snapToGrid w:val="0"/>
              </w:rPr>
            </w:pPr>
            <w:r w:rsidRPr="007D1918">
              <w:rPr>
                <w:snapToGrid w:val="0"/>
              </w:rPr>
              <w:t xml:space="preserve">Overall </w:t>
            </w:r>
            <w:r w:rsidR="00AD54FD" w:rsidRPr="007D1918">
              <w:rPr>
                <w:snapToGrid w:val="0"/>
              </w:rPr>
              <w:t>difference between groups</w:t>
            </w:r>
          </w:p>
          <w:p w14:paraId="2EFF3B87" w14:textId="751EF999" w:rsidR="00AD54FD" w:rsidRPr="007D1918" w:rsidRDefault="001722AD" w:rsidP="00A723E4">
            <w:pPr>
              <w:pStyle w:val="TableText0"/>
              <w:rPr>
                <w:snapToGrid w:val="0"/>
              </w:rPr>
            </w:pPr>
            <w:r w:rsidRPr="007D1918">
              <w:rPr>
                <w:snapToGrid w:val="0"/>
              </w:rPr>
              <w:t>p = 0.073</w:t>
            </w:r>
            <w:r w:rsidR="00AD54FD" w:rsidRPr="007D1918">
              <w:rPr>
                <w:snapToGrid w:val="0"/>
                <w:vertAlign w:val="superscript"/>
              </w:rPr>
              <w:t>b</w:t>
            </w:r>
            <w:r w:rsidR="00A723E4" w:rsidRPr="007D1918">
              <w:rPr>
                <w:snapToGrid w:val="0"/>
                <w:vertAlign w:val="superscript"/>
              </w:rPr>
              <w:br/>
            </w:r>
          </w:p>
          <w:p w14:paraId="39976E19" w14:textId="0849D5AF" w:rsidR="00AD54FD" w:rsidRPr="007D1918" w:rsidRDefault="00AD54FD" w:rsidP="00A723E4">
            <w:pPr>
              <w:pStyle w:val="TableText0"/>
              <w:rPr>
                <w:snapToGrid w:val="0"/>
              </w:rPr>
            </w:pPr>
          </w:p>
        </w:tc>
      </w:tr>
      <w:tr w:rsidR="001722AD" w:rsidRPr="007D1918" w14:paraId="24470473" w14:textId="77777777" w:rsidTr="00966A87">
        <w:tc>
          <w:tcPr>
            <w:tcW w:w="907" w:type="pct"/>
          </w:tcPr>
          <w:p w14:paraId="0D8F285B" w14:textId="239B3194" w:rsidR="001722AD" w:rsidRPr="007D1918" w:rsidRDefault="0075212A" w:rsidP="006B2A0F">
            <w:pPr>
              <w:pStyle w:val="TableText0"/>
              <w:rPr>
                <w:snapToGrid w:val="0"/>
              </w:rPr>
            </w:pPr>
            <w:r w:rsidRPr="007D1918">
              <w:rPr>
                <w:snapToGrid w:val="0"/>
              </w:rPr>
              <w:fldChar w:fldCharType="begin">
                <w:fldData xml:space="preserve">PEVuZE5vdGU+PENpdGU+PEF1dGhvcj5QYW5kYTwvQXV0aG9yPjxZZWFyPjIwMDQ8L1llYXI+PFJl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PEVuZE5vdGU+PENpdGU+PEF1dGhvcj5QYW5kYTwvQXV0aG9yPjxZZWFyPjIwMDQ8L1llYXI+PFJl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76" w:tooltip="Panda, 2004 #39" w:history="1">
              <w:r w:rsidR="007D4948" w:rsidRPr="007D1918">
                <w:rPr>
                  <w:noProof/>
                  <w:snapToGrid w:val="0"/>
                </w:rPr>
                <w:t>Panda et al. 2004</w:t>
              </w:r>
            </w:hyperlink>
            <w:r w:rsidRPr="007D1918">
              <w:rPr>
                <w:noProof/>
                <w:snapToGrid w:val="0"/>
              </w:rPr>
              <w:t>)</w:t>
            </w:r>
            <w:r w:rsidRPr="007D1918">
              <w:rPr>
                <w:snapToGrid w:val="0"/>
              </w:rPr>
              <w:fldChar w:fldCharType="end"/>
            </w:r>
            <w:r w:rsidR="00A723E4" w:rsidRPr="007D1918">
              <w:rPr>
                <w:snapToGrid w:val="0"/>
              </w:rPr>
              <w:t xml:space="preserve">, </w:t>
            </w:r>
            <w:r w:rsidR="001722AD" w:rsidRPr="007D1918">
              <w:rPr>
                <w:snapToGrid w:val="0"/>
              </w:rPr>
              <w:t>India</w:t>
            </w:r>
          </w:p>
          <w:p w14:paraId="0A25D94B" w14:textId="77777777" w:rsidR="001722AD" w:rsidRPr="007D1918" w:rsidRDefault="001722AD" w:rsidP="006B2A0F">
            <w:pPr>
              <w:pStyle w:val="TableText0"/>
              <w:rPr>
                <w:snapToGrid w:val="0"/>
              </w:rPr>
            </w:pPr>
            <w:r w:rsidRPr="007D1918">
              <w:rPr>
                <w:snapToGrid w:val="0"/>
              </w:rPr>
              <w:t>Level III-2</w:t>
            </w:r>
          </w:p>
          <w:p w14:paraId="791ADC08" w14:textId="65F0E00E" w:rsidR="001722AD" w:rsidRPr="007D1918" w:rsidRDefault="001722AD" w:rsidP="006B2A0F">
            <w:pPr>
              <w:pStyle w:val="TableText0"/>
              <w:rPr>
                <w:snapToGrid w:val="0"/>
              </w:rPr>
            </w:pPr>
            <w:r w:rsidRPr="007D1918">
              <w:rPr>
                <w:snapToGrid w:val="0"/>
              </w:rPr>
              <w:t>High</w:t>
            </w:r>
          </w:p>
        </w:tc>
        <w:tc>
          <w:tcPr>
            <w:tcW w:w="1544" w:type="pct"/>
          </w:tcPr>
          <w:p w14:paraId="76288C10" w14:textId="3C741FBF" w:rsidR="001722AD" w:rsidRPr="007D1918" w:rsidRDefault="001722AD" w:rsidP="003544EC">
            <w:pPr>
              <w:pStyle w:val="TableText0"/>
              <w:rPr>
                <w:snapToGrid w:val="0"/>
              </w:rPr>
            </w:pPr>
            <w:r w:rsidRPr="007D1918">
              <w:rPr>
                <w:snapToGrid w:val="0"/>
              </w:rPr>
              <w:t>Crisis episodes</w:t>
            </w:r>
            <w:r w:rsidR="00E33063" w:rsidRPr="007D1918">
              <w:rPr>
                <w:snapToGrid w:val="0"/>
                <w:vertAlign w:val="superscript"/>
              </w:rPr>
              <w:t xml:space="preserve">c </w:t>
            </w:r>
            <w:r w:rsidRPr="007D1918">
              <w:rPr>
                <w:snapToGrid w:val="0"/>
              </w:rPr>
              <w:t>(there were 12 episodes in 11 patients)</w:t>
            </w:r>
          </w:p>
          <w:p w14:paraId="16780676" w14:textId="0C9245C4" w:rsidR="001722AD" w:rsidRPr="007D1918" w:rsidRDefault="001722AD" w:rsidP="003544EC">
            <w:pPr>
              <w:pStyle w:val="TableText0"/>
              <w:rPr>
                <w:snapToGrid w:val="0"/>
              </w:rPr>
            </w:pPr>
            <w:r w:rsidRPr="007D1918">
              <w:rPr>
                <w:snapToGrid w:val="0"/>
              </w:rPr>
              <w:t>Hypotension</w:t>
            </w:r>
          </w:p>
        </w:tc>
        <w:tc>
          <w:tcPr>
            <w:tcW w:w="696" w:type="pct"/>
            <w:shd w:val="clear" w:color="auto" w:fill="auto"/>
          </w:tcPr>
          <w:p w14:paraId="0E26E46C" w14:textId="37D9960A" w:rsidR="001722AD" w:rsidRPr="007D1918" w:rsidRDefault="001722AD" w:rsidP="00A723E4">
            <w:pPr>
              <w:pStyle w:val="TableText0"/>
              <w:rPr>
                <w:snapToGrid w:val="0"/>
              </w:rPr>
            </w:pPr>
            <w:r w:rsidRPr="007D1918">
              <w:rPr>
                <w:snapToGrid w:val="0"/>
              </w:rPr>
              <w:t xml:space="preserve">4 </w:t>
            </w:r>
            <w:r w:rsidRPr="007D1918">
              <w:rPr>
                <w:snapToGrid w:val="0"/>
              </w:rPr>
              <w:br/>
            </w:r>
          </w:p>
          <w:p w14:paraId="159C918B" w14:textId="771D6157" w:rsidR="001722AD" w:rsidRPr="007D1918" w:rsidRDefault="001722AD" w:rsidP="00A723E4">
            <w:pPr>
              <w:pStyle w:val="TableText0"/>
              <w:rPr>
                <w:snapToGrid w:val="0"/>
              </w:rPr>
            </w:pPr>
            <w:r w:rsidRPr="007D1918">
              <w:rPr>
                <w:snapToGrid w:val="0"/>
              </w:rPr>
              <w:t>0</w:t>
            </w:r>
          </w:p>
        </w:tc>
        <w:tc>
          <w:tcPr>
            <w:tcW w:w="695" w:type="pct"/>
            <w:shd w:val="clear" w:color="auto" w:fill="auto"/>
          </w:tcPr>
          <w:p w14:paraId="7F31C632" w14:textId="315DD3BA" w:rsidR="001722AD" w:rsidRPr="007D1918" w:rsidRDefault="001722AD" w:rsidP="00A723E4">
            <w:pPr>
              <w:pStyle w:val="TableText0"/>
              <w:rPr>
                <w:snapToGrid w:val="0"/>
              </w:rPr>
            </w:pPr>
            <w:r w:rsidRPr="007D1918">
              <w:rPr>
                <w:snapToGrid w:val="0"/>
              </w:rPr>
              <w:t xml:space="preserve">8 </w:t>
            </w:r>
            <w:r w:rsidRPr="007D1918">
              <w:rPr>
                <w:snapToGrid w:val="0"/>
              </w:rPr>
              <w:br/>
            </w:r>
          </w:p>
          <w:p w14:paraId="32884F93" w14:textId="67DBB6FA" w:rsidR="001722AD" w:rsidRPr="007D1918" w:rsidRDefault="001722AD" w:rsidP="00A723E4">
            <w:pPr>
              <w:pStyle w:val="TableText0"/>
              <w:rPr>
                <w:snapToGrid w:val="0"/>
              </w:rPr>
            </w:pPr>
            <w:r w:rsidRPr="007D1918">
              <w:rPr>
                <w:snapToGrid w:val="0"/>
              </w:rPr>
              <w:t>1 (12.5%)</w:t>
            </w:r>
          </w:p>
        </w:tc>
        <w:tc>
          <w:tcPr>
            <w:tcW w:w="1158" w:type="pct"/>
            <w:shd w:val="clear" w:color="auto" w:fill="auto"/>
          </w:tcPr>
          <w:p w14:paraId="604DD090" w14:textId="452F81AA" w:rsidR="001722AD" w:rsidRPr="007D1918" w:rsidRDefault="00B23C6C" w:rsidP="00A723E4">
            <w:pPr>
              <w:pStyle w:val="TableText0"/>
              <w:rPr>
                <w:snapToGrid w:val="0"/>
              </w:rPr>
            </w:pPr>
            <w:r w:rsidRPr="007D1918">
              <w:rPr>
                <w:snapToGrid w:val="0"/>
              </w:rPr>
              <w:t>NR</w:t>
            </w:r>
          </w:p>
        </w:tc>
      </w:tr>
      <w:tr w:rsidR="001722AD" w:rsidRPr="007D1918" w14:paraId="21AA7D12" w14:textId="77777777" w:rsidTr="00966A87">
        <w:tc>
          <w:tcPr>
            <w:tcW w:w="907" w:type="pct"/>
          </w:tcPr>
          <w:p w14:paraId="08DFC7AE" w14:textId="66DE2E72" w:rsidR="001722AD" w:rsidRPr="007D1918" w:rsidRDefault="0075212A" w:rsidP="006B2A0F">
            <w:pPr>
              <w:pStyle w:val="TableText0"/>
              <w:rPr>
                <w:snapToGrid w:val="0"/>
              </w:rPr>
            </w:pPr>
            <w:r w:rsidRPr="007D1918">
              <w:rPr>
                <w:snapToGrid w:val="0"/>
              </w:rPr>
              <w:fldChar w:fldCharType="begin"/>
            </w:r>
            <w:r w:rsidR="00C437BA" w:rsidRPr="007D1918">
              <w:rPr>
                <w:snapToGrid w:val="0"/>
              </w:rPr>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Pr="007D1918">
              <w:rPr>
                <w:snapToGrid w:val="0"/>
              </w:rPr>
              <w:fldChar w:fldCharType="separate"/>
            </w:r>
            <w:r w:rsidRPr="007D1918">
              <w:rPr>
                <w:noProof/>
                <w:snapToGrid w:val="0"/>
              </w:rPr>
              <w:t>(</w:t>
            </w:r>
            <w:hyperlink w:anchor="_ENREF_80" w:tooltip="Qureshi, 1999 #40" w:history="1">
              <w:r w:rsidR="007D4948" w:rsidRPr="007D1918">
                <w:rPr>
                  <w:noProof/>
                  <w:snapToGrid w:val="0"/>
                </w:rPr>
                <w:t>Qureshi et al. 1999</w:t>
              </w:r>
            </w:hyperlink>
            <w:r w:rsidRPr="007D1918">
              <w:rPr>
                <w:noProof/>
                <w:snapToGrid w:val="0"/>
              </w:rPr>
              <w:t>)</w:t>
            </w:r>
            <w:r w:rsidRPr="007D1918">
              <w:rPr>
                <w:snapToGrid w:val="0"/>
              </w:rPr>
              <w:fldChar w:fldCharType="end"/>
            </w:r>
            <w:r w:rsidR="00A723E4" w:rsidRPr="007D1918">
              <w:rPr>
                <w:snapToGrid w:val="0"/>
              </w:rPr>
              <w:t xml:space="preserve">, </w:t>
            </w:r>
            <w:r w:rsidR="001722AD" w:rsidRPr="007D1918">
              <w:rPr>
                <w:snapToGrid w:val="0"/>
              </w:rPr>
              <w:t>USA</w:t>
            </w:r>
          </w:p>
          <w:p w14:paraId="0232570C" w14:textId="77777777" w:rsidR="001722AD" w:rsidRPr="007D1918" w:rsidRDefault="001722AD" w:rsidP="006B2A0F">
            <w:pPr>
              <w:pStyle w:val="TableText0"/>
              <w:rPr>
                <w:snapToGrid w:val="0"/>
              </w:rPr>
            </w:pPr>
            <w:r w:rsidRPr="007D1918">
              <w:rPr>
                <w:snapToGrid w:val="0"/>
              </w:rPr>
              <w:t>Level III-2</w:t>
            </w:r>
          </w:p>
          <w:p w14:paraId="2FDB8CF7" w14:textId="6598D80F" w:rsidR="001722AD" w:rsidRPr="007D1918" w:rsidRDefault="001722AD" w:rsidP="006B2A0F">
            <w:pPr>
              <w:pStyle w:val="TableText0"/>
              <w:rPr>
                <w:snapToGrid w:val="0"/>
              </w:rPr>
            </w:pPr>
            <w:r w:rsidRPr="007D1918">
              <w:rPr>
                <w:snapToGrid w:val="0"/>
              </w:rPr>
              <w:t>Moderate</w:t>
            </w:r>
          </w:p>
        </w:tc>
        <w:tc>
          <w:tcPr>
            <w:tcW w:w="1544" w:type="pct"/>
          </w:tcPr>
          <w:p w14:paraId="48EB6793" w14:textId="77777777" w:rsidR="001722AD" w:rsidRPr="007D1918" w:rsidRDefault="001722AD" w:rsidP="003544EC">
            <w:pPr>
              <w:pStyle w:val="TableText0"/>
              <w:rPr>
                <w:snapToGrid w:val="0"/>
              </w:rPr>
            </w:pPr>
            <w:r w:rsidRPr="007D1918">
              <w:rPr>
                <w:snapToGrid w:val="0"/>
              </w:rPr>
              <w:t>Patient number</w:t>
            </w:r>
          </w:p>
          <w:p w14:paraId="7FAD7500" w14:textId="0C8B7CBC" w:rsidR="001722AD" w:rsidRPr="007D1918" w:rsidRDefault="001722AD" w:rsidP="003544EC">
            <w:pPr>
              <w:pStyle w:val="TableText0"/>
              <w:rPr>
                <w:snapToGrid w:val="0"/>
              </w:rPr>
            </w:pPr>
            <w:r w:rsidRPr="007D1918">
              <w:rPr>
                <w:snapToGrid w:val="0"/>
              </w:rPr>
              <w:t>All complications</w:t>
            </w:r>
          </w:p>
          <w:p w14:paraId="14BB9DA0" w14:textId="7D466ADF" w:rsidR="001722AD" w:rsidRPr="007D1918" w:rsidRDefault="001722AD" w:rsidP="003544EC">
            <w:pPr>
              <w:pStyle w:val="TableText0"/>
              <w:rPr>
                <w:snapToGrid w:val="0"/>
              </w:rPr>
            </w:pPr>
            <w:r w:rsidRPr="007D1918">
              <w:rPr>
                <w:snapToGrid w:val="0"/>
              </w:rPr>
              <w:t xml:space="preserve">Elevated blood-urea nitrogen </w:t>
            </w:r>
          </w:p>
        </w:tc>
        <w:tc>
          <w:tcPr>
            <w:tcW w:w="696" w:type="pct"/>
            <w:shd w:val="clear" w:color="auto" w:fill="auto"/>
          </w:tcPr>
          <w:p w14:paraId="51DF6207" w14:textId="77777777" w:rsidR="001722AD" w:rsidRPr="007D1918" w:rsidRDefault="001722AD" w:rsidP="00A723E4">
            <w:pPr>
              <w:pStyle w:val="TableText0"/>
              <w:rPr>
                <w:snapToGrid w:val="0"/>
              </w:rPr>
            </w:pPr>
            <w:r w:rsidRPr="007D1918">
              <w:rPr>
                <w:snapToGrid w:val="0"/>
              </w:rPr>
              <w:t>26</w:t>
            </w:r>
          </w:p>
          <w:p w14:paraId="5E3CFDC1" w14:textId="6786A56D" w:rsidR="001722AD" w:rsidRPr="007D1918" w:rsidRDefault="001722AD" w:rsidP="00A723E4">
            <w:pPr>
              <w:pStyle w:val="TableText0"/>
              <w:rPr>
                <w:snapToGrid w:val="0"/>
              </w:rPr>
            </w:pPr>
            <w:r w:rsidRPr="007D1918">
              <w:rPr>
                <w:snapToGrid w:val="0"/>
              </w:rPr>
              <w:t>5 (19.2%)</w:t>
            </w:r>
          </w:p>
          <w:p w14:paraId="7C9AB7F2" w14:textId="3654B26B" w:rsidR="001722AD" w:rsidRPr="007D1918" w:rsidRDefault="001722AD" w:rsidP="00A723E4">
            <w:pPr>
              <w:pStyle w:val="TableText0"/>
              <w:rPr>
                <w:snapToGrid w:val="0"/>
              </w:rPr>
            </w:pPr>
            <w:r w:rsidRPr="007D1918">
              <w:rPr>
                <w:snapToGrid w:val="0"/>
              </w:rPr>
              <w:t>2 (7.7%)</w:t>
            </w:r>
          </w:p>
        </w:tc>
        <w:tc>
          <w:tcPr>
            <w:tcW w:w="695" w:type="pct"/>
            <w:shd w:val="clear" w:color="auto" w:fill="auto"/>
          </w:tcPr>
          <w:p w14:paraId="53C761B8" w14:textId="77777777" w:rsidR="001722AD" w:rsidRPr="007D1918" w:rsidRDefault="001722AD" w:rsidP="00A723E4">
            <w:pPr>
              <w:pStyle w:val="TableText0"/>
              <w:rPr>
                <w:snapToGrid w:val="0"/>
              </w:rPr>
            </w:pPr>
            <w:r w:rsidRPr="007D1918">
              <w:rPr>
                <w:snapToGrid w:val="0"/>
              </w:rPr>
              <w:t>28</w:t>
            </w:r>
          </w:p>
          <w:p w14:paraId="76781F17" w14:textId="18595669" w:rsidR="001722AD" w:rsidRPr="007D1918" w:rsidRDefault="001722AD" w:rsidP="00A723E4">
            <w:pPr>
              <w:pStyle w:val="TableText0"/>
              <w:rPr>
                <w:snapToGrid w:val="0"/>
              </w:rPr>
            </w:pPr>
            <w:r w:rsidRPr="007D1918">
              <w:rPr>
                <w:snapToGrid w:val="0"/>
              </w:rPr>
              <w:t>13 (46.4%)</w:t>
            </w:r>
          </w:p>
          <w:p w14:paraId="568FC14A" w14:textId="794DB721" w:rsidR="001722AD" w:rsidRPr="007D1918" w:rsidRDefault="001722AD" w:rsidP="00A723E4">
            <w:pPr>
              <w:pStyle w:val="TableText0"/>
              <w:rPr>
                <w:snapToGrid w:val="0"/>
              </w:rPr>
            </w:pPr>
            <w:r w:rsidRPr="007D1918">
              <w:rPr>
                <w:snapToGrid w:val="0"/>
              </w:rPr>
              <w:t>0</w:t>
            </w:r>
          </w:p>
        </w:tc>
        <w:tc>
          <w:tcPr>
            <w:tcW w:w="1158" w:type="pct"/>
            <w:shd w:val="clear" w:color="auto" w:fill="auto"/>
          </w:tcPr>
          <w:p w14:paraId="50BED5FE" w14:textId="77777777" w:rsidR="001722AD" w:rsidRPr="007D1918" w:rsidRDefault="001722AD" w:rsidP="00A723E4">
            <w:pPr>
              <w:pStyle w:val="TableText0"/>
              <w:rPr>
                <w:snapToGrid w:val="0"/>
              </w:rPr>
            </w:pPr>
          </w:p>
          <w:p w14:paraId="35775DE8" w14:textId="4A8E2B34" w:rsidR="001722AD" w:rsidRPr="007D1918" w:rsidRDefault="001722AD" w:rsidP="00A723E4">
            <w:pPr>
              <w:pStyle w:val="TableText0"/>
              <w:rPr>
                <w:snapToGrid w:val="0"/>
                <w:vertAlign w:val="superscript"/>
              </w:rPr>
            </w:pPr>
            <w:r w:rsidRPr="007D1918">
              <w:rPr>
                <w:snapToGrid w:val="0"/>
              </w:rPr>
              <w:t>P = 0.07</w:t>
            </w:r>
            <w:r w:rsidR="00B23C6C" w:rsidRPr="007D1918">
              <w:rPr>
                <w:snapToGrid w:val="0"/>
                <w:vertAlign w:val="superscript"/>
              </w:rPr>
              <w:t>e</w:t>
            </w:r>
          </w:p>
          <w:p w14:paraId="1826C043" w14:textId="6A4D7628" w:rsidR="001722AD" w:rsidRPr="007D1918" w:rsidRDefault="001722AD" w:rsidP="00A723E4">
            <w:pPr>
              <w:pStyle w:val="TableText0"/>
              <w:rPr>
                <w:snapToGrid w:val="0"/>
              </w:rPr>
            </w:pPr>
            <w:r w:rsidRPr="007D1918">
              <w:rPr>
                <w:snapToGrid w:val="0"/>
              </w:rPr>
              <w:t>-</w:t>
            </w:r>
          </w:p>
        </w:tc>
      </w:tr>
    </w:tbl>
    <w:p w14:paraId="58E15C8C" w14:textId="563D2CC5" w:rsidR="007D3D35" w:rsidRPr="007D1918" w:rsidRDefault="007D3D35" w:rsidP="008D7BA8">
      <w:pPr>
        <w:pStyle w:val="Tablenotes0"/>
        <w:spacing w:after="80"/>
        <w:contextualSpacing w:val="0"/>
      </w:pPr>
      <w:r w:rsidRPr="007D1918">
        <w:t xml:space="preserve">IVIg = intravenous immunoglobulin therapy; </w:t>
      </w:r>
      <w:r w:rsidR="00B8520F" w:rsidRPr="007D1918">
        <w:t xml:space="preserve">NR = not reported; </w:t>
      </w:r>
      <w:r w:rsidRPr="007D1918">
        <w:t>PE = plasma exchange therapy</w:t>
      </w:r>
    </w:p>
    <w:p w14:paraId="464CD6AA" w14:textId="1D8519AD" w:rsidR="001722AD" w:rsidRPr="007D1918" w:rsidRDefault="001722AD" w:rsidP="007F5901">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a</w:t>
      </w:r>
      <w:r w:rsidRPr="007D1918">
        <w:rPr>
          <w:rFonts w:ascii="Arial Narrow" w:hAnsi="Arial Narrow" w:cs="Arial"/>
          <w:snapToGrid w:val="0"/>
          <w:sz w:val="18"/>
          <w:szCs w:val="20"/>
          <w:lang w:eastAsia="en-US"/>
        </w:rPr>
        <w:t xml:space="preserve"> Chi squared test, </w:t>
      </w:r>
      <w:r w:rsidR="004D3879" w:rsidRPr="007D1918">
        <w:rPr>
          <w:rFonts w:ascii="Arial Narrow" w:hAnsi="Arial Narrow" w:cs="Arial"/>
          <w:snapToGrid w:val="0"/>
          <w:sz w:val="18"/>
          <w:szCs w:val="20"/>
          <w:lang w:eastAsia="en-US"/>
        </w:rPr>
        <w:t>MedCalc</w:t>
      </w:r>
      <w:r w:rsidRPr="007D1918">
        <w:rPr>
          <w:rFonts w:ascii="Arial Narrow" w:hAnsi="Arial Narrow" w:cs="Arial"/>
          <w:snapToGrid w:val="0"/>
          <w:sz w:val="18"/>
          <w:szCs w:val="20"/>
          <w:lang w:eastAsia="en-US"/>
        </w:rPr>
        <w:t xml:space="preserve"> online </w:t>
      </w:r>
      <w:r w:rsidR="000B189E" w:rsidRPr="007D1918">
        <w:rPr>
          <w:rFonts w:ascii="Arial Narrow" w:hAnsi="Arial Narrow" w:cs="Arial"/>
          <w:snapToGrid w:val="0"/>
          <w:sz w:val="18"/>
          <w:szCs w:val="20"/>
          <w:lang w:eastAsia="en-US"/>
        </w:rPr>
        <w:t>calculator</w:t>
      </w:r>
    </w:p>
    <w:p w14:paraId="2C61B07F" w14:textId="689DF8FE" w:rsidR="000B189E" w:rsidRPr="007D1918" w:rsidRDefault="000B189E" w:rsidP="007F5901">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 xml:space="preserve">b </w:t>
      </w:r>
      <w:r w:rsidRPr="007D1918">
        <w:rPr>
          <w:rFonts w:ascii="Arial Narrow" w:hAnsi="Arial Narrow" w:cs="Arial"/>
          <w:snapToGrid w:val="0"/>
          <w:sz w:val="18"/>
          <w:szCs w:val="20"/>
          <w:lang w:eastAsia="en-US"/>
        </w:rPr>
        <w:t>Fisher</w:t>
      </w:r>
      <w:r w:rsidR="00966A87" w:rsidRPr="007D1918">
        <w:rPr>
          <w:rFonts w:ascii="Arial Narrow" w:hAnsi="Arial Narrow" w:cs="Arial"/>
          <w:snapToGrid w:val="0"/>
          <w:sz w:val="18"/>
          <w:szCs w:val="20"/>
          <w:lang w:eastAsia="en-US"/>
        </w:rPr>
        <w:t>’s</w:t>
      </w:r>
      <w:r w:rsidRPr="007D1918">
        <w:rPr>
          <w:rFonts w:ascii="Arial Narrow" w:hAnsi="Arial Narrow" w:cs="Arial"/>
          <w:snapToGrid w:val="0"/>
          <w:sz w:val="18"/>
          <w:szCs w:val="20"/>
          <w:lang w:eastAsia="en-US"/>
        </w:rPr>
        <w:t xml:space="preserve"> exact test </w:t>
      </w:r>
      <w:r w:rsidR="0075212A" w:rsidRPr="007D1918">
        <w:rPr>
          <w:rFonts w:ascii="Arial Narrow" w:hAnsi="Arial Narrow" w:cs="Arial"/>
          <w:snapToGrid w:val="0"/>
          <w:sz w:val="18"/>
          <w:szCs w:val="20"/>
          <w:lang w:eastAsia="en-US"/>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ascii="Arial Narrow" w:hAnsi="Arial Narrow" w:cs="Arial"/>
          <w:snapToGrid w:val="0"/>
          <w:sz w:val="18"/>
          <w:szCs w:val="20"/>
          <w:lang w:eastAsia="en-US"/>
        </w:rPr>
        <w:instrText xml:space="preserve"> ADDIN EN.CITE </w:instrText>
      </w:r>
      <w:r w:rsidR="00C437BA" w:rsidRPr="007D1918">
        <w:rPr>
          <w:rFonts w:ascii="Arial Narrow" w:hAnsi="Arial Narrow" w:cs="Arial"/>
          <w:snapToGrid w:val="0"/>
          <w:sz w:val="18"/>
          <w:szCs w:val="20"/>
          <w:lang w:eastAsia="en-US"/>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ascii="Arial Narrow" w:hAnsi="Arial Narrow" w:cs="Arial"/>
          <w:snapToGrid w:val="0"/>
          <w:sz w:val="18"/>
          <w:szCs w:val="20"/>
          <w:lang w:eastAsia="en-US"/>
        </w:rPr>
        <w:instrText xml:space="preserve"> ADDIN EN.CITE.DATA </w:instrText>
      </w:r>
      <w:r w:rsidR="00C437BA" w:rsidRPr="007D1918">
        <w:rPr>
          <w:rFonts w:ascii="Arial Narrow" w:hAnsi="Arial Narrow" w:cs="Arial"/>
          <w:snapToGrid w:val="0"/>
          <w:sz w:val="18"/>
          <w:szCs w:val="20"/>
          <w:lang w:eastAsia="en-US"/>
        </w:rPr>
      </w:r>
      <w:r w:rsidR="00C437BA" w:rsidRPr="007D1918">
        <w:rPr>
          <w:rFonts w:ascii="Arial Narrow" w:hAnsi="Arial Narrow" w:cs="Arial"/>
          <w:snapToGrid w:val="0"/>
          <w:sz w:val="18"/>
          <w:szCs w:val="20"/>
          <w:lang w:eastAsia="en-US"/>
        </w:rPr>
        <w:fldChar w:fldCharType="end"/>
      </w:r>
      <w:r w:rsidR="0075212A" w:rsidRPr="007D1918">
        <w:rPr>
          <w:rFonts w:ascii="Arial Narrow" w:hAnsi="Arial Narrow" w:cs="Arial"/>
          <w:snapToGrid w:val="0"/>
          <w:sz w:val="18"/>
          <w:szCs w:val="20"/>
          <w:lang w:eastAsia="en-US"/>
        </w:rPr>
      </w:r>
      <w:r w:rsidR="0075212A" w:rsidRPr="007D1918">
        <w:rPr>
          <w:rFonts w:ascii="Arial Narrow" w:hAnsi="Arial Narrow" w:cs="Arial"/>
          <w:snapToGrid w:val="0"/>
          <w:sz w:val="18"/>
          <w:szCs w:val="20"/>
          <w:lang w:eastAsia="en-US"/>
        </w:rPr>
        <w:fldChar w:fldCharType="separate"/>
      </w:r>
      <w:r w:rsidR="0075212A" w:rsidRPr="007D1918">
        <w:rPr>
          <w:rFonts w:ascii="Arial Narrow" w:hAnsi="Arial Narrow" w:cs="Arial"/>
          <w:noProof/>
          <w:snapToGrid w:val="0"/>
          <w:sz w:val="18"/>
          <w:szCs w:val="20"/>
          <w:lang w:eastAsia="en-US"/>
        </w:rPr>
        <w:t>(</w:t>
      </w:r>
      <w:hyperlink w:anchor="_ENREF_28" w:tooltip="Gajdos, 1997 #45" w:history="1">
        <w:r w:rsidR="007D4948" w:rsidRPr="007D1918">
          <w:rPr>
            <w:rFonts w:ascii="Arial Narrow" w:hAnsi="Arial Narrow" w:cs="Arial"/>
            <w:noProof/>
            <w:snapToGrid w:val="0"/>
            <w:sz w:val="18"/>
            <w:szCs w:val="20"/>
            <w:lang w:eastAsia="en-US"/>
          </w:rPr>
          <w:t>Gajdos et al. 1997</w:t>
        </w:r>
      </w:hyperlink>
      <w:r w:rsidR="0075212A" w:rsidRPr="007D1918">
        <w:rPr>
          <w:rFonts w:ascii="Arial Narrow" w:hAnsi="Arial Narrow" w:cs="Arial"/>
          <w:noProof/>
          <w:snapToGrid w:val="0"/>
          <w:sz w:val="18"/>
          <w:szCs w:val="20"/>
          <w:lang w:eastAsia="en-US"/>
        </w:rPr>
        <w:t>)</w:t>
      </w:r>
      <w:r w:rsidR="0075212A" w:rsidRPr="007D1918">
        <w:rPr>
          <w:rFonts w:ascii="Arial Narrow" w:hAnsi="Arial Narrow" w:cs="Arial"/>
          <w:snapToGrid w:val="0"/>
          <w:sz w:val="18"/>
          <w:szCs w:val="20"/>
          <w:lang w:eastAsia="en-US"/>
        </w:rPr>
        <w:fldChar w:fldCharType="end"/>
      </w:r>
      <w:r w:rsidR="00AD54FD" w:rsidRPr="007D1918">
        <w:rPr>
          <w:rFonts w:ascii="Arial Narrow" w:hAnsi="Arial Narrow" w:cs="Arial"/>
          <w:snapToGrid w:val="0"/>
          <w:sz w:val="18"/>
          <w:szCs w:val="20"/>
          <w:lang w:eastAsia="en-US"/>
        </w:rPr>
        <w:t xml:space="preserve">, </w:t>
      </w:r>
      <w:r w:rsidR="0075212A" w:rsidRPr="007D1918">
        <w:rPr>
          <w:rFonts w:ascii="Arial Narrow" w:hAnsi="Arial Narrow" w:cs="Arial"/>
          <w:snapToGrid w:val="0"/>
          <w:sz w:val="18"/>
          <w:szCs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cs="Arial"/>
          <w:snapToGrid w:val="0"/>
          <w:sz w:val="18"/>
          <w:szCs w:val="20"/>
          <w:lang w:eastAsia="en-US"/>
        </w:rPr>
        <w:instrText xml:space="preserve"> ADDIN EN.CITE </w:instrText>
      </w:r>
      <w:r w:rsidR="007F4CDE" w:rsidRPr="007D1918">
        <w:rPr>
          <w:rFonts w:ascii="Arial Narrow" w:hAnsi="Arial Narrow" w:cs="Arial"/>
          <w:snapToGrid w:val="0"/>
          <w:sz w:val="18"/>
          <w:szCs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cs="Arial"/>
          <w:snapToGrid w:val="0"/>
          <w:sz w:val="18"/>
          <w:szCs w:val="20"/>
          <w:lang w:eastAsia="en-US"/>
        </w:rPr>
        <w:instrText xml:space="preserve"> ADDIN EN.CITE.DATA </w:instrText>
      </w:r>
      <w:r w:rsidR="007F4CDE" w:rsidRPr="007D1918">
        <w:rPr>
          <w:rFonts w:ascii="Arial Narrow" w:hAnsi="Arial Narrow" w:cs="Arial"/>
          <w:snapToGrid w:val="0"/>
          <w:sz w:val="18"/>
          <w:szCs w:val="20"/>
          <w:lang w:eastAsia="en-US"/>
        </w:rPr>
      </w:r>
      <w:r w:rsidR="007F4CDE" w:rsidRPr="007D1918">
        <w:rPr>
          <w:rFonts w:ascii="Arial Narrow" w:hAnsi="Arial Narrow" w:cs="Arial"/>
          <w:snapToGrid w:val="0"/>
          <w:sz w:val="18"/>
          <w:szCs w:val="20"/>
          <w:lang w:eastAsia="en-US"/>
        </w:rPr>
        <w:fldChar w:fldCharType="end"/>
      </w:r>
      <w:r w:rsidR="0075212A" w:rsidRPr="007D1918">
        <w:rPr>
          <w:rFonts w:ascii="Arial Narrow" w:hAnsi="Arial Narrow" w:cs="Arial"/>
          <w:snapToGrid w:val="0"/>
          <w:sz w:val="18"/>
          <w:szCs w:val="20"/>
          <w:lang w:eastAsia="en-US"/>
        </w:rPr>
      </w:r>
      <w:r w:rsidR="0075212A" w:rsidRPr="007D1918">
        <w:rPr>
          <w:rFonts w:ascii="Arial Narrow" w:hAnsi="Arial Narrow" w:cs="Arial"/>
          <w:snapToGrid w:val="0"/>
          <w:sz w:val="18"/>
          <w:szCs w:val="20"/>
          <w:lang w:eastAsia="en-US"/>
        </w:rPr>
        <w:fldChar w:fldCharType="separate"/>
      </w:r>
      <w:r w:rsidR="0075212A" w:rsidRPr="007D1918">
        <w:rPr>
          <w:rFonts w:ascii="Arial Narrow" w:hAnsi="Arial Narrow" w:cs="Arial"/>
          <w:noProof/>
          <w:snapToGrid w:val="0"/>
          <w:sz w:val="18"/>
          <w:szCs w:val="20"/>
          <w:lang w:eastAsia="en-US"/>
        </w:rPr>
        <w:t>(</w:t>
      </w:r>
      <w:hyperlink w:anchor="_ENREF_64" w:tooltip="Mandawat, 2010 #37" w:history="1">
        <w:r w:rsidR="007D4948" w:rsidRPr="007D1918">
          <w:rPr>
            <w:rFonts w:ascii="Arial Narrow" w:hAnsi="Arial Narrow" w:cs="Arial"/>
            <w:noProof/>
            <w:snapToGrid w:val="0"/>
            <w:sz w:val="18"/>
            <w:szCs w:val="20"/>
            <w:lang w:eastAsia="en-US"/>
          </w:rPr>
          <w:t>Mandawat et al. 2010</w:t>
        </w:r>
      </w:hyperlink>
      <w:r w:rsidR="0075212A" w:rsidRPr="007D1918">
        <w:rPr>
          <w:rFonts w:ascii="Arial Narrow" w:hAnsi="Arial Narrow" w:cs="Arial"/>
          <w:noProof/>
          <w:snapToGrid w:val="0"/>
          <w:sz w:val="18"/>
          <w:szCs w:val="20"/>
          <w:lang w:eastAsia="en-US"/>
        </w:rPr>
        <w:t>)</w:t>
      </w:r>
      <w:r w:rsidR="0075212A" w:rsidRPr="007D1918">
        <w:rPr>
          <w:rFonts w:ascii="Arial Narrow" w:hAnsi="Arial Narrow" w:cs="Arial"/>
          <w:snapToGrid w:val="0"/>
          <w:sz w:val="18"/>
          <w:szCs w:val="20"/>
          <w:lang w:eastAsia="en-US"/>
        </w:rPr>
        <w:fldChar w:fldCharType="end"/>
      </w:r>
    </w:p>
    <w:p w14:paraId="44F0F0A9" w14:textId="4E427816" w:rsidR="007D3D35" w:rsidRPr="007D1918" w:rsidRDefault="00AD54FD" w:rsidP="007F5901">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c</w:t>
      </w:r>
      <w:r w:rsidR="008D32D6" w:rsidRPr="007D1918">
        <w:rPr>
          <w:rFonts w:ascii="Arial Narrow" w:hAnsi="Arial Narrow" w:cs="Arial"/>
          <w:snapToGrid w:val="0"/>
          <w:sz w:val="18"/>
          <w:szCs w:val="20"/>
          <w:lang w:eastAsia="en-US"/>
        </w:rPr>
        <w:t xml:space="preserve"> The article reported treatment type per crisis episode</w:t>
      </w:r>
    </w:p>
    <w:p w14:paraId="7926934A" w14:textId="0D62D739" w:rsidR="00775042" w:rsidRPr="007D1918" w:rsidRDefault="00AD54FD" w:rsidP="007F5901">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d</w:t>
      </w:r>
      <w:r w:rsidR="00775042" w:rsidRPr="007D1918">
        <w:rPr>
          <w:rFonts w:ascii="Arial Narrow" w:hAnsi="Arial Narrow" w:cs="Arial"/>
          <w:snapToGrid w:val="0"/>
          <w:sz w:val="18"/>
          <w:szCs w:val="20"/>
          <w:lang w:eastAsia="en-US"/>
        </w:rPr>
        <w:t xml:space="preserve"> Other complications were aspiration pneumonia, catheter elated infection</w:t>
      </w:r>
      <w:r w:rsidR="00ED3896" w:rsidRPr="007D1918">
        <w:rPr>
          <w:rFonts w:ascii="Arial Narrow" w:hAnsi="Arial Narrow" w:cs="Arial"/>
          <w:snapToGrid w:val="0"/>
          <w:sz w:val="18"/>
          <w:szCs w:val="20"/>
          <w:lang w:eastAsia="en-US"/>
        </w:rPr>
        <w:t>, urinary tract infection, haemo</w:t>
      </w:r>
      <w:r w:rsidR="00775042" w:rsidRPr="007D1918">
        <w:rPr>
          <w:rFonts w:ascii="Arial Narrow" w:hAnsi="Arial Narrow" w:cs="Arial"/>
          <w:snapToGrid w:val="0"/>
          <w:sz w:val="18"/>
          <w:szCs w:val="20"/>
          <w:lang w:eastAsia="en-US"/>
        </w:rPr>
        <w:t>thorax, pneumothorax, ch</w:t>
      </w:r>
      <w:r w:rsidR="00E33063" w:rsidRPr="007D1918">
        <w:rPr>
          <w:rFonts w:ascii="Arial Narrow" w:hAnsi="Arial Narrow" w:cs="Arial"/>
          <w:snapToGrid w:val="0"/>
          <w:sz w:val="18"/>
          <w:szCs w:val="20"/>
          <w:lang w:eastAsia="en-US"/>
        </w:rPr>
        <w:t>y</w:t>
      </w:r>
      <w:r w:rsidR="00775042" w:rsidRPr="007D1918">
        <w:rPr>
          <w:rFonts w:ascii="Arial Narrow" w:hAnsi="Arial Narrow" w:cs="Arial"/>
          <w:snapToGrid w:val="0"/>
          <w:sz w:val="18"/>
          <w:szCs w:val="20"/>
          <w:lang w:eastAsia="en-US"/>
        </w:rPr>
        <w:t>lotho</w:t>
      </w:r>
      <w:r w:rsidR="00E33063" w:rsidRPr="007D1918">
        <w:rPr>
          <w:rFonts w:ascii="Arial Narrow" w:hAnsi="Arial Narrow" w:cs="Arial"/>
          <w:snapToGrid w:val="0"/>
          <w:sz w:val="18"/>
          <w:szCs w:val="20"/>
          <w:lang w:eastAsia="en-US"/>
        </w:rPr>
        <w:t>r</w:t>
      </w:r>
      <w:r w:rsidR="00775042" w:rsidRPr="007D1918">
        <w:rPr>
          <w:rFonts w:ascii="Arial Narrow" w:hAnsi="Arial Narrow" w:cs="Arial"/>
          <w:snapToGrid w:val="0"/>
          <w:sz w:val="18"/>
          <w:szCs w:val="20"/>
          <w:lang w:eastAsia="en-US"/>
        </w:rPr>
        <w:t>ax, acute renal failure and sepsis</w:t>
      </w:r>
      <w:r w:rsidR="003544EC" w:rsidRPr="007D1918">
        <w:rPr>
          <w:rFonts w:ascii="Arial Narrow" w:hAnsi="Arial Narrow" w:cs="Arial"/>
          <w:snapToGrid w:val="0"/>
          <w:sz w:val="18"/>
          <w:szCs w:val="20"/>
          <w:lang w:eastAsia="en-US"/>
        </w:rPr>
        <w:t>. There was one incidence of sepsis amongst the IVIg treated episodes.</w:t>
      </w:r>
    </w:p>
    <w:p w14:paraId="14B2E1E1" w14:textId="68B31BE4" w:rsidR="00B23C6C" w:rsidRPr="007D1918" w:rsidRDefault="00B23C6C" w:rsidP="007F5901">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e</w:t>
      </w:r>
      <w:r w:rsidRPr="007D1918">
        <w:rPr>
          <w:rFonts w:ascii="Arial Narrow" w:hAnsi="Arial Narrow" w:cs="Arial"/>
          <w:snapToGrid w:val="0"/>
          <w:sz w:val="18"/>
          <w:szCs w:val="20"/>
          <w:lang w:eastAsia="en-US"/>
        </w:rPr>
        <w:t xml:space="preserve"> Epilnfo 6.6 </w:t>
      </w:r>
      <w:r w:rsidR="0075212A" w:rsidRPr="007D1918">
        <w:rPr>
          <w:rFonts w:ascii="Arial Narrow" w:hAnsi="Arial Narrow" w:cs="Arial"/>
          <w:snapToGrid w:val="0"/>
          <w:sz w:val="18"/>
          <w:szCs w:val="20"/>
          <w:lang w:eastAsia="en-US"/>
        </w:rPr>
        <w:fldChar w:fldCharType="begin"/>
      </w:r>
      <w:r w:rsidR="00C437BA" w:rsidRPr="007D1918">
        <w:rPr>
          <w:rFonts w:ascii="Arial Narrow" w:hAnsi="Arial Narrow" w:cs="Arial"/>
          <w:snapToGrid w:val="0"/>
          <w:sz w:val="18"/>
          <w:szCs w:val="20"/>
          <w:lang w:eastAsia="en-US"/>
        </w:rPr>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0075212A" w:rsidRPr="007D1918">
        <w:rPr>
          <w:rFonts w:ascii="Arial Narrow" w:hAnsi="Arial Narrow" w:cs="Arial"/>
          <w:snapToGrid w:val="0"/>
          <w:sz w:val="18"/>
          <w:szCs w:val="20"/>
          <w:lang w:eastAsia="en-US"/>
        </w:rPr>
        <w:fldChar w:fldCharType="separate"/>
      </w:r>
      <w:r w:rsidR="0075212A" w:rsidRPr="007D1918">
        <w:rPr>
          <w:rFonts w:ascii="Arial Narrow" w:hAnsi="Arial Narrow" w:cs="Arial"/>
          <w:noProof/>
          <w:snapToGrid w:val="0"/>
          <w:sz w:val="18"/>
          <w:szCs w:val="20"/>
          <w:lang w:eastAsia="en-US"/>
        </w:rPr>
        <w:t>(</w:t>
      </w:r>
      <w:hyperlink w:anchor="_ENREF_80" w:tooltip="Qureshi, 1999 #40" w:history="1">
        <w:r w:rsidR="007D4948" w:rsidRPr="007D1918">
          <w:rPr>
            <w:rFonts w:ascii="Arial Narrow" w:hAnsi="Arial Narrow" w:cs="Arial"/>
            <w:noProof/>
            <w:snapToGrid w:val="0"/>
            <w:sz w:val="18"/>
            <w:szCs w:val="20"/>
            <w:lang w:eastAsia="en-US"/>
          </w:rPr>
          <w:t>Qureshi et al. 1999</w:t>
        </w:r>
      </w:hyperlink>
      <w:r w:rsidR="0075212A" w:rsidRPr="007D1918">
        <w:rPr>
          <w:rFonts w:ascii="Arial Narrow" w:hAnsi="Arial Narrow" w:cs="Arial"/>
          <w:noProof/>
          <w:snapToGrid w:val="0"/>
          <w:sz w:val="18"/>
          <w:szCs w:val="20"/>
          <w:lang w:eastAsia="en-US"/>
        </w:rPr>
        <w:t>)</w:t>
      </w:r>
      <w:r w:rsidR="0075212A" w:rsidRPr="007D1918">
        <w:rPr>
          <w:rFonts w:ascii="Arial Narrow" w:hAnsi="Arial Narrow" w:cs="Arial"/>
          <w:snapToGrid w:val="0"/>
          <w:sz w:val="18"/>
          <w:szCs w:val="20"/>
          <w:lang w:eastAsia="en-US"/>
        </w:rPr>
        <w:fldChar w:fldCharType="end"/>
      </w:r>
    </w:p>
    <w:p w14:paraId="3D4C9AF3" w14:textId="77777777" w:rsidR="007F5901" w:rsidRPr="007D1918" w:rsidRDefault="007F5901" w:rsidP="00D37B08">
      <w:pPr>
        <w:pStyle w:val="Tabletext1"/>
      </w:pPr>
    </w:p>
    <w:p w14:paraId="3EE13B23" w14:textId="77777777" w:rsidR="00F00D42" w:rsidRPr="007D1918" w:rsidRDefault="002F7F2A" w:rsidP="00BB14D0">
      <w:pPr>
        <w:pStyle w:val="Heading4"/>
      </w:pPr>
      <w:r w:rsidRPr="007D1918">
        <w:lastRenderedPageBreak/>
        <w:t xml:space="preserve">Adverse events for IVIg </w:t>
      </w:r>
      <w:r w:rsidR="00BB14D0" w:rsidRPr="007D1918">
        <w:t xml:space="preserve">1 g/kg </w:t>
      </w:r>
      <w:r w:rsidRPr="007D1918">
        <w:t xml:space="preserve">compared to </w:t>
      </w:r>
      <w:r w:rsidR="00BB14D0" w:rsidRPr="007D1918">
        <w:t>2 g/kg (IVIg dose comparison)</w:t>
      </w:r>
    </w:p>
    <w:p w14:paraId="61A685E7" w14:textId="785B1A61" w:rsidR="00BB14D0" w:rsidRPr="007D1918" w:rsidRDefault="00DC2AE1" w:rsidP="003F3B26">
      <w:pPr>
        <w:jc w:val="both"/>
      </w:pPr>
      <w:r w:rsidRPr="007D1918">
        <w:t>One RCT compared two IVIg doses in patients with MG exacerbation and reported the AEs for each group</w:t>
      </w:r>
      <w:r w:rsidR="00A27E81" w:rsidRPr="007D1918">
        <w:t xml:space="preserve"> </w:t>
      </w:r>
      <w:r w:rsidR="0075212A"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instrText xml:space="preserve"> ADDIN EN.CITE </w:instrText>
      </w:r>
      <w:r w:rsidR="00C437BA"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35" w:tooltip="Gajdos, 2005 #14" w:history="1">
        <w:r w:rsidR="007D4948" w:rsidRPr="007D1918">
          <w:rPr>
            <w:noProof/>
          </w:rPr>
          <w:t>Gajdos et al. 2005</w:t>
        </w:r>
      </w:hyperlink>
      <w:r w:rsidR="0075212A" w:rsidRPr="007D1918">
        <w:rPr>
          <w:noProof/>
        </w:rPr>
        <w:t>)</w:t>
      </w:r>
      <w:r w:rsidR="0075212A" w:rsidRPr="007D1918">
        <w:fldChar w:fldCharType="end"/>
      </w:r>
      <w:r w:rsidRPr="007D1918">
        <w:t xml:space="preserve">. MG exacerbation was described </w:t>
      </w:r>
      <w:r w:rsidR="00A27E81" w:rsidRPr="007D1918">
        <w:t xml:space="preserve">in the same way as in the previous study </w:t>
      </w:r>
      <w:r w:rsidR="00B23C6C" w:rsidRPr="007D1918">
        <w:t>assess</w:t>
      </w:r>
      <w:r w:rsidR="00A27E81" w:rsidRPr="007D1918">
        <w:t xml:space="preserve">ed </w:t>
      </w:r>
      <w:r w:rsidR="00B82EBE" w:rsidRPr="007D1918">
        <w:t xml:space="preserve">and therefore is closely aligned with </w:t>
      </w:r>
      <w:r w:rsidR="0088065E" w:rsidRPr="007D1918">
        <w:rPr>
          <w:i/>
        </w:rPr>
        <w:t>Criteria V3</w:t>
      </w:r>
      <w:r w:rsidR="0088065E" w:rsidRPr="007D1918">
        <w:t xml:space="preserve"> </w:t>
      </w:r>
      <w:r w:rsidR="00B82EBE" w:rsidRPr="007D1918">
        <w:t>Indication 1</w:t>
      </w:r>
      <w:r w:rsidR="006F1538" w:rsidRPr="007D1918">
        <w:t xml:space="preserve"> </w:t>
      </w:r>
      <w:r w:rsidR="0075212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8" w:tooltip="Gajdos, 1997 #45" w:history="1">
        <w:r w:rsidR="007D4948" w:rsidRPr="007D1918">
          <w:rPr>
            <w:noProof/>
          </w:rPr>
          <w:t>Gajdos et al. 1997</w:t>
        </w:r>
      </w:hyperlink>
      <w:r w:rsidR="0075212A" w:rsidRPr="007D1918">
        <w:rPr>
          <w:noProof/>
        </w:rPr>
        <w:t>)</w:t>
      </w:r>
      <w:r w:rsidR="0075212A" w:rsidRPr="007D1918">
        <w:fldChar w:fldCharType="end"/>
      </w:r>
      <w:r w:rsidR="00A27E81" w:rsidRPr="007D1918">
        <w:t xml:space="preserve">. In the dose comparison RCT group one was given 1 g/kg IVIg on day </w:t>
      </w:r>
      <w:r w:rsidR="00F32053" w:rsidRPr="007D1918">
        <w:t xml:space="preserve">1 </w:t>
      </w:r>
      <w:r w:rsidR="00A27E81" w:rsidRPr="007D1918">
        <w:t xml:space="preserve">and placebo on day 2, whereas group two was given 1 g/kg IVIg on days 1 and 2 (1g/kg versus 2 g/kg IVIg). </w:t>
      </w:r>
      <w:r w:rsidR="009D5ADB" w:rsidRPr="007D1918">
        <w:t>The double-blind study was assessed as low risk of bias and randomised 168 patients from multiple centres.</w:t>
      </w:r>
    </w:p>
    <w:p w14:paraId="5EC82683" w14:textId="41956BDC" w:rsidR="00E058B5" w:rsidRPr="007D1918" w:rsidRDefault="00E058B5" w:rsidP="003F3B26">
      <w:pPr>
        <w:jc w:val="both"/>
      </w:pPr>
      <w:r w:rsidRPr="007D1918">
        <w:t>AEs were reported for the first 15 days after randomisation and treatment. There was no significant difference found for cumulative AE incidence</w:t>
      </w:r>
      <w:r w:rsidR="00E52976" w:rsidRPr="007D1918">
        <w:t xml:space="preserve"> between the two doses (mean </w:t>
      </w:r>
      <w:r w:rsidR="00E52976" w:rsidRPr="007D1918">
        <w:rPr>
          <w:rFonts w:cs="Calibri"/>
        </w:rPr>
        <w:t>±</w:t>
      </w:r>
      <w:r w:rsidR="00E52976" w:rsidRPr="007D1918">
        <w:t xml:space="preserve"> SD - group 1: </w:t>
      </w:r>
      <w:r w:rsidRPr="007D1918">
        <w:t xml:space="preserve">40.48 </w:t>
      </w:r>
      <w:r w:rsidRPr="007D1918">
        <w:rPr>
          <w:rFonts w:cs="Calibri"/>
        </w:rPr>
        <w:t>±</w:t>
      </w:r>
      <w:r w:rsidRPr="007D1918">
        <w:t xml:space="preserve"> 5.36</w:t>
      </w:r>
      <w:r w:rsidR="006B2A0F" w:rsidRPr="007D1918">
        <w:t xml:space="preserve">; </w:t>
      </w:r>
      <w:r w:rsidRPr="007D1918">
        <w:t>group 2</w:t>
      </w:r>
      <w:r w:rsidR="00E52976" w:rsidRPr="007D1918">
        <w:t>:</w:t>
      </w:r>
      <w:r w:rsidRPr="007D1918">
        <w:t xml:space="preserve"> 46.59 </w:t>
      </w:r>
      <w:r w:rsidRPr="007D1918">
        <w:rPr>
          <w:rFonts w:cs="Calibri"/>
        </w:rPr>
        <w:t>±</w:t>
      </w:r>
      <w:r w:rsidRPr="007D1918">
        <w:t xml:space="preserve"> 5.32; p = 0.39). A</w:t>
      </w:r>
      <w:r w:rsidR="006B2A0F" w:rsidRPr="007D1918">
        <w:t>E</w:t>
      </w:r>
      <w:r w:rsidRPr="007D1918">
        <w:t xml:space="preserve"> frequencies for both groups are given in </w:t>
      </w:r>
      <w:r w:rsidR="005A27D1" w:rsidRPr="007D1918">
        <w:fldChar w:fldCharType="begin"/>
      </w:r>
      <w:r w:rsidR="005A27D1" w:rsidRPr="007D1918">
        <w:instrText xml:space="preserve"> REF _Ref7529432 \h  \* MERGEFORMAT </w:instrText>
      </w:r>
      <w:r w:rsidR="005A27D1" w:rsidRPr="007D1918">
        <w:fldChar w:fldCharType="separate"/>
      </w:r>
      <w:r w:rsidR="00153384" w:rsidRPr="007D1918">
        <w:t xml:space="preserve">Table </w:t>
      </w:r>
      <w:r w:rsidR="00153384" w:rsidRPr="007D1918">
        <w:rPr>
          <w:noProof/>
        </w:rPr>
        <w:t>18</w:t>
      </w:r>
      <w:r w:rsidR="005A27D1" w:rsidRPr="007D1918">
        <w:fldChar w:fldCharType="end"/>
      </w:r>
      <w:r w:rsidR="005A27D1" w:rsidRPr="007D1918">
        <w:t xml:space="preserve">. For individual AEs, there </w:t>
      </w:r>
      <w:r w:rsidR="00594566" w:rsidRPr="007D1918">
        <w:t>was a similar incidence</w:t>
      </w:r>
      <w:r w:rsidR="005A27D1" w:rsidRPr="007D1918">
        <w:t xml:space="preserve"> in </w:t>
      </w:r>
      <w:r w:rsidR="00594566" w:rsidRPr="007D1918">
        <w:t>both</w:t>
      </w:r>
      <w:r w:rsidR="005A27D1" w:rsidRPr="007D1918">
        <w:t xml:space="preserve"> group</w:t>
      </w:r>
      <w:r w:rsidR="00594566" w:rsidRPr="007D1918">
        <w:t>s</w:t>
      </w:r>
      <w:r w:rsidR="005A27D1" w:rsidRPr="007D1918">
        <w:t xml:space="preserve"> </w:t>
      </w:r>
      <w:r w:rsidR="00594566" w:rsidRPr="007D1918">
        <w:t>except for headaches, where</w:t>
      </w:r>
      <w:r w:rsidR="005A27D1" w:rsidRPr="007D1918">
        <w:t xml:space="preserve"> a statistical</w:t>
      </w:r>
      <w:r w:rsidR="00594566" w:rsidRPr="007D1918">
        <w:t>ly higher</w:t>
      </w:r>
      <w:r w:rsidR="005A27D1" w:rsidRPr="007D1918">
        <w:t xml:space="preserve"> frequen</w:t>
      </w:r>
      <w:r w:rsidR="00594566" w:rsidRPr="007D1918">
        <w:t>cy</w:t>
      </w:r>
      <w:r w:rsidR="005A27D1" w:rsidRPr="007D1918">
        <w:t xml:space="preserve"> </w:t>
      </w:r>
      <w:r w:rsidR="00594566" w:rsidRPr="007D1918">
        <w:t>was seen in</w:t>
      </w:r>
      <w:r w:rsidR="005A27D1" w:rsidRPr="007D1918">
        <w:t xml:space="preserve"> the </w:t>
      </w:r>
      <w:r w:rsidR="001469B0" w:rsidRPr="007D1918">
        <w:t xml:space="preserve">lower dosed </w:t>
      </w:r>
      <w:r w:rsidR="005A27D1" w:rsidRPr="007D1918">
        <w:t xml:space="preserve">1 g/kg </w:t>
      </w:r>
      <w:r w:rsidR="001469B0" w:rsidRPr="007D1918">
        <w:t xml:space="preserve">total </w:t>
      </w:r>
      <w:r w:rsidR="005A27D1" w:rsidRPr="007D1918">
        <w:t>group (p = 0.05).</w:t>
      </w:r>
      <w:r w:rsidR="00714286" w:rsidRPr="007D1918">
        <w:t xml:space="preserve"> </w:t>
      </w:r>
    </w:p>
    <w:p w14:paraId="4C6BE71A" w14:textId="580213DF" w:rsidR="00BB14D0" w:rsidRPr="007D1918" w:rsidRDefault="00BB14D0" w:rsidP="006025EC">
      <w:pPr>
        <w:pStyle w:val="Caption"/>
        <w:keepNext/>
        <w:ind w:left="1134" w:hanging="1134"/>
        <w:jc w:val="both"/>
        <w:rPr>
          <w:rFonts w:cs="Arial"/>
          <w:snapToGrid w:val="0"/>
          <w:szCs w:val="16"/>
          <w:lang w:eastAsia="en-US"/>
        </w:rPr>
      </w:pPr>
      <w:bookmarkStart w:id="225" w:name="_Ref7529432"/>
      <w:bookmarkStart w:id="226" w:name="_Toc23769505"/>
      <w:r w:rsidRPr="007D1918">
        <w:t xml:space="preserve">Table </w:t>
      </w:r>
      <w:r w:rsidR="0094721E" w:rsidRPr="007D1918">
        <w:rPr>
          <w:noProof/>
        </w:rPr>
        <w:fldChar w:fldCharType="begin"/>
      </w:r>
      <w:r w:rsidR="0094721E" w:rsidRPr="007D1918">
        <w:rPr>
          <w:noProof/>
        </w:rPr>
        <w:instrText xml:space="preserve"> SEQ Table \* ARABIC </w:instrText>
      </w:r>
      <w:r w:rsidR="0094721E" w:rsidRPr="007D1918">
        <w:rPr>
          <w:noProof/>
        </w:rPr>
        <w:fldChar w:fldCharType="separate"/>
      </w:r>
      <w:r w:rsidR="00942701" w:rsidRPr="007D1918">
        <w:rPr>
          <w:noProof/>
        </w:rPr>
        <w:t>18</w:t>
      </w:r>
      <w:r w:rsidR="0094721E" w:rsidRPr="007D1918">
        <w:rPr>
          <w:noProof/>
        </w:rPr>
        <w:fldChar w:fldCharType="end"/>
      </w:r>
      <w:bookmarkEnd w:id="225"/>
      <w:r w:rsidRPr="007D1918">
        <w:tab/>
      </w:r>
      <w:r w:rsidR="005A27D1" w:rsidRPr="007D1918">
        <w:t>Comparison</w:t>
      </w:r>
      <w:r w:rsidR="00637D7A" w:rsidRPr="007D1918">
        <w:t xml:space="preserve"> of m</w:t>
      </w:r>
      <w:r w:rsidR="00637D7A" w:rsidRPr="007D1918">
        <w:rPr>
          <w:rFonts w:cs="Arial"/>
          <w:snapToGrid w:val="0"/>
          <w:szCs w:val="16"/>
          <w:lang w:eastAsia="en-US"/>
        </w:rPr>
        <w:t>ain adverse events between groups 1 and 2 within 15 days of randomisation</w:t>
      </w:r>
      <w:r w:rsidRPr="007D1918">
        <w:rPr>
          <w:rFonts w:cs="Arial"/>
          <w:snapToGrid w:val="0"/>
          <w:szCs w:val="16"/>
          <w:lang w:eastAsia="en-US"/>
        </w:rPr>
        <w:t xml:space="preserve"> </w:t>
      </w:r>
      <w:r w:rsidR="0075212A" w:rsidRPr="007D1918">
        <w:rPr>
          <w:rFonts w:cs="Arial"/>
          <w:snapToGrid w:val="0"/>
          <w:szCs w:val="16"/>
          <w:lang w:eastAsia="en-US"/>
        </w:rPr>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rPr>
          <w:rFonts w:cs="Arial"/>
          <w:snapToGrid w:val="0"/>
          <w:szCs w:val="16"/>
          <w:lang w:eastAsia="en-US"/>
        </w:rPr>
        <w:instrText xml:space="preserve"> ADDIN EN.CITE </w:instrText>
      </w:r>
      <w:r w:rsidR="00C437BA" w:rsidRPr="007D1918">
        <w:rPr>
          <w:rFonts w:cs="Arial"/>
          <w:snapToGrid w:val="0"/>
          <w:szCs w:val="16"/>
          <w:lang w:eastAsia="en-US"/>
        </w:rPr>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rPr>
          <w:rFonts w:cs="Arial"/>
          <w:snapToGrid w:val="0"/>
          <w:szCs w:val="16"/>
          <w:lang w:eastAsia="en-US"/>
        </w:rPr>
        <w:instrText xml:space="preserve"> ADDIN EN.CITE.DATA </w:instrText>
      </w:r>
      <w:r w:rsidR="00C437BA" w:rsidRPr="007D1918">
        <w:rPr>
          <w:rFonts w:cs="Arial"/>
          <w:snapToGrid w:val="0"/>
          <w:szCs w:val="16"/>
          <w:lang w:eastAsia="en-US"/>
        </w:rPr>
      </w:r>
      <w:r w:rsidR="00C437BA" w:rsidRPr="007D1918">
        <w:rPr>
          <w:rFonts w:cs="Arial"/>
          <w:snapToGrid w:val="0"/>
          <w:szCs w:val="16"/>
          <w:lang w:eastAsia="en-US"/>
        </w:rPr>
        <w:fldChar w:fldCharType="end"/>
      </w:r>
      <w:r w:rsidR="0075212A" w:rsidRPr="007D1918">
        <w:rPr>
          <w:rFonts w:cs="Arial"/>
          <w:snapToGrid w:val="0"/>
          <w:szCs w:val="16"/>
          <w:lang w:eastAsia="en-US"/>
        </w:rPr>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35" w:tooltip="Gajdos, 2005 #14" w:history="1">
        <w:r w:rsidR="007D4948" w:rsidRPr="007D1918">
          <w:rPr>
            <w:rFonts w:cs="Arial"/>
            <w:noProof/>
            <w:snapToGrid w:val="0"/>
            <w:szCs w:val="16"/>
            <w:lang w:eastAsia="en-US"/>
          </w:rPr>
          <w:t>Gajdos et al. 2005</w:t>
        </w:r>
      </w:hyperlink>
      <w:r w:rsidR="0075212A" w:rsidRPr="007D1918">
        <w:rPr>
          <w:rFonts w:cs="Arial"/>
          <w:noProof/>
          <w:snapToGrid w:val="0"/>
          <w:szCs w:val="16"/>
          <w:lang w:eastAsia="en-US"/>
        </w:rPr>
        <w:t>)</w:t>
      </w:r>
      <w:bookmarkEnd w:id="226"/>
      <w:r w:rsidR="0075212A" w:rsidRPr="007D1918">
        <w:rPr>
          <w:rFonts w:cs="Arial"/>
          <w:snapToGrid w:val="0"/>
          <w:szCs w:val="16"/>
          <w:lang w:eastAsia="en-US"/>
        </w:rPr>
        <w:fldChar w:fldCharType="end"/>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6 Comparison of main adverse events between groups 1 and 2 within 15 days of randomisation (Gajdos et al. 2005)"/>
        <w:tblDescription w:val="Adverse events in MG patients (Indication 1) compared between those who received 1 g/kg and 2 g/kg IVIg"/>
      </w:tblPr>
      <w:tblGrid>
        <w:gridCol w:w="1810"/>
        <w:gridCol w:w="2835"/>
        <w:gridCol w:w="2694"/>
        <w:gridCol w:w="1677"/>
      </w:tblGrid>
      <w:tr w:rsidR="006B2A0F" w:rsidRPr="007D1918" w14:paraId="7254AF1F" w14:textId="77777777" w:rsidTr="008551B6">
        <w:trPr>
          <w:trHeight w:val="896"/>
        </w:trPr>
        <w:tc>
          <w:tcPr>
            <w:tcW w:w="1004" w:type="pct"/>
          </w:tcPr>
          <w:p w14:paraId="71CFECE9" w14:textId="3C7CC050" w:rsidR="006B2A0F" w:rsidRPr="007D1918" w:rsidRDefault="00E93DAF" w:rsidP="00E93DAF">
            <w:pPr>
              <w:pStyle w:val="TableHeading"/>
              <w:ind w:left="16" w:right="117"/>
              <w:rPr>
                <w:snapToGrid w:val="0"/>
                <w:lang w:eastAsia="en-US"/>
              </w:rPr>
            </w:pPr>
            <w:r w:rsidRPr="007D1918">
              <w:rPr>
                <w:snapToGrid w:val="0"/>
                <w:lang w:eastAsia="en-US"/>
              </w:rPr>
              <w:t>Adverse e</w:t>
            </w:r>
            <w:r w:rsidR="006B2A0F" w:rsidRPr="007D1918">
              <w:rPr>
                <w:snapToGrid w:val="0"/>
                <w:lang w:eastAsia="en-US"/>
              </w:rPr>
              <w:t>vent</w:t>
            </w:r>
          </w:p>
        </w:tc>
        <w:tc>
          <w:tcPr>
            <w:tcW w:w="1572" w:type="pct"/>
            <w:shd w:val="clear" w:color="auto" w:fill="auto"/>
          </w:tcPr>
          <w:p w14:paraId="78AA58B5" w14:textId="59565795" w:rsidR="006B2A0F" w:rsidRPr="007D1918" w:rsidRDefault="006B2A0F" w:rsidP="00AF19DB">
            <w:pPr>
              <w:pStyle w:val="TableHeading"/>
              <w:ind w:left="111" w:right="117"/>
              <w:rPr>
                <w:snapToGrid w:val="0"/>
                <w:lang w:eastAsia="en-US"/>
              </w:rPr>
            </w:pPr>
            <w:r w:rsidRPr="007D1918">
              <w:rPr>
                <w:snapToGrid w:val="0"/>
                <w:lang w:eastAsia="en-US"/>
              </w:rPr>
              <w:t>Group 1 (</w:t>
            </w:r>
            <w:r w:rsidR="00B8520F" w:rsidRPr="007D1918">
              <w:rPr>
                <w:snapToGrid w:val="0"/>
                <w:lang w:eastAsia="en-US"/>
              </w:rPr>
              <w:t>n</w:t>
            </w:r>
            <w:r w:rsidRPr="007D1918">
              <w:rPr>
                <w:snapToGrid w:val="0"/>
                <w:lang w:eastAsia="en-US"/>
              </w:rPr>
              <w:t xml:space="preserve"> = 84)</w:t>
            </w:r>
          </w:p>
          <w:p w14:paraId="18E648E6" w14:textId="77777777" w:rsidR="006B2A0F" w:rsidRPr="007D1918" w:rsidRDefault="006B2A0F" w:rsidP="00AF19DB">
            <w:pPr>
              <w:pStyle w:val="TableHeading"/>
              <w:ind w:left="111" w:right="117"/>
              <w:rPr>
                <w:snapToGrid w:val="0"/>
                <w:lang w:eastAsia="en-US"/>
              </w:rPr>
            </w:pPr>
            <w:r w:rsidRPr="007D1918">
              <w:rPr>
                <w:snapToGrid w:val="0"/>
                <w:lang w:eastAsia="en-US"/>
              </w:rPr>
              <w:t xml:space="preserve">IVIg 1 g/kg total </w:t>
            </w:r>
          </w:p>
          <w:p w14:paraId="043A0197" w14:textId="432E5D3D" w:rsidR="006B2A0F" w:rsidRPr="007D1918" w:rsidRDefault="00B8520F" w:rsidP="006B2A0F">
            <w:pPr>
              <w:pStyle w:val="TableHeading"/>
              <w:ind w:left="111" w:right="117"/>
              <w:rPr>
                <w:snapToGrid w:val="0"/>
                <w:lang w:eastAsia="en-US"/>
              </w:rPr>
            </w:pPr>
            <w:r w:rsidRPr="007D1918">
              <w:rPr>
                <w:snapToGrid w:val="0"/>
                <w:lang w:eastAsia="en-US"/>
              </w:rPr>
              <w:t>n</w:t>
            </w:r>
            <w:r w:rsidR="006B2A0F" w:rsidRPr="007D1918">
              <w:rPr>
                <w:snapToGrid w:val="0"/>
                <w:lang w:eastAsia="en-US"/>
              </w:rPr>
              <w:t xml:space="preserve"> </w:t>
            </w:r>
            <w:r w:rsidR="008551B6" w:rsidRPr="007D1918">
              <w:rPr>
                <w:snapToGrid w:val="0"/>
                <w:lang w:eastAsia="en-US"/>
              </w:rPr>
              <w:t xml:space="preserve">(%) </w:t>
            </w:r>
            <w:r w:rsidR="006B2A0F" w:rsidRPr="007D1918">
              <w:rPr>
                <w:snapToGrid w:val="0"/>
                <w:lang w:eastAsia="en-US"/>
              </w:rPr>
              <w:t>patients with ≥ 1 episode</w:t>
            </w:r>
          </w:p>
        </w:tc>
        <w:tc>
          <w:tcPr>
            <w:tcW w:w="1494" w:type="pct"/>
            <w:shd w:val="clear" w:color="auto" w:fill="auto"/>
          </w:tcPr>
          <w:p w14:paraId="1660A064" w14:textId="7E980223" w:rsidR="006B2A0F" w:rsidRPr="007D1918" w:rsidRDefault="006B2A0F" w:rsidP="00AF19DB">
            <w:pPr>
              <w:pStyle w:val="TableHeading"/>
              <w:ind w:left="77" w:right="117"/>
              <w:rPr>
                <w:snapToGrid w:val="0"/>
                <w:lang w:eastAsia="en-US"/>
              </w:rPr>
            </w:pPr>
            <w:r w:rsidRPr="007D1918">
              <w:rPr>
                <w:snapToGrid w:val="0"/>
                <w:lang w:eastAsia="en-US"/>
              </w:rPr>
              <w:t>Group 2 (</w:t>
            </w:r>
            <w:r w:rsidR="00B8520F" w:rsidRPr="007D1918">
              <w:rPr>
                <w:snapToGrid w:val="0"/>
                <w:lang w:eastAsia="en-US"/>
              </w:rPr>
              <w:t>n</w:t>
            </w:r>
            <w:r w:rsidRPr="007D1918">
              <w:rPr>
                <w:snapToGrid w:val="0"/>
                <w:lang w:eastAsia="en-US"/>
              </w:rPr>
              <w:t xml:space="preserve"> = 88)</w:t>
            </w:r>
          </w:p>
          <w:p w14:paraId="15F82F94" w14:textId="77777777" w:rsidR="006B2A0F" w:rsidRPr="007D1918" w:rsidRDefault="006B2A0F" w:rsidP="00AF19DB">
            <w:pPr>
              <w:pStyle w:val="TableHeading"/>
              <w:ind w:left="77" w:right="117"/>
              <w:rPr>
                <w:snapToGrid w:val="0"/>
                <w:lang w:eastAsia="en-US"/>
              </w:rPr>
            </w:pPr>
            <w:r w:rsidRPr="007D1918">
              <w:rPr>
                <w:snapToGrid w:val="0"/>
                <w:lang w:eastAsia="en-US"/>
              </w:rPr>
              <w:t>IVIg 2 g/kg total</w:t>
            </w:r>
          </w:p>
          <w:p w14:paraId="4A4219EC" w14:textId="1280802B" w:rsidR="006B2A0F" w:rsidRPr="007D1918" w:rsidRDefault="00B8520F" w:rsidP="00AF19DB">
            <w:pPr>
              <w:pStyle w:val="TableHeading"/>
              <w:ind w:left="77" w:right="117"/>
              <w:rPr>
                <w:snapToGrid w:val="0"/>
                <w:lang w:eastAsia="en-US"/>
              </w:rPr>
            </w:pPr>
            <w:r w:rsidRPr="007D1918">
              <w:rPr>
                <w:snapToGrid w:val="0"/>
                <w:lang w:eastAsia="en-US"/>
              </w:rPr>
              <w:t>n</w:t>
            </w:r>
            <w:r w:rsidR="006B2A0F" w:rsidRPr="007D1918">
              <w:rPr>
                <w:snapToGrid w:val="0"/>
                <w:lang w:eastAsia="en-US"/>
              </w:rPr>
              <w:t xml:space="preserve"> </w:t>
            </w:r>
            <w:r w:rsidR="008551B6" w:rsidRPr="007D1918">
              <w:rPr>
                <w:snapToGrid w:val="0"/>
                <w:lang w:eastAsia="en-US"/>
              </w:rPr>
              <w:t xml:space="preserve">(%) </w:t>
            </w:r>
            <w:r w:rsidR="006B2A0F" w:rsidRPr="007D1918">
              <w:rPr>
                <w:snapToGrid w:val="0"/>
                <w:lang w:eastAsia="en-US"/>
              </w:rPr>
              <w:t>patients with ≥ 1 episode</w:t>
            </w:r>
          </w:p>
        </w:tc>
        <w:tc>
          <w:tcPr>
            <w:tcW w:w="930" w:type="pct"/>
            <w:shd w:val="clear" w:color="auto" w:fill="auto"/>
          </w:tcPr>
          <w:p w14:paraId="47DC5DCF" w14:textId="2141B2C0" w:rsidR="006B2A0F" w:rsidRPr="007D1918" w:rsidRDefault="00103B60" w:rsidP="00AF19DB">
            <w:pPr>
              <w:pStyle w:val="TableHeading"/>
              <w:ind w:right="117"/>
              <w:rPr>
                <w:snapToGrid w:val="0"/>
                <w:lang w:eastAsia="en-US"/>
              </w:rPr>
            </w:pPr>
            <w:r w:rsidRPr="007D1918">
              <w:rPr>
                <w:snapToGrid w:val="0"/>
                <w:lang w:eastAsia="en-US"/>
              </w:rPr>
              <w:t>D</w:t>
            </w:r>
            <w:r w:rsidR="006B2A0F" w:rsidRPr="007D1918">
              <w:rPr>
                <w:snapToGrid w:val="0"/>
                <w:lang w:eastAsia="en-US"/>
              </w:rPr>
              <w:t>ifference</w:t>
            </w:r>
          </w:p>
          <w:p w14:paraId="2BE4AB3F" w14:textId="61CA8D24" w:rsidR="00B23C6C" w:rsidRPr="007D1918" w:rsidRDefault="006B2A0F" w:rsidP="00B23C6C">
            <w:pPr>
              <w:pStyle w:val="TableHeading"/>
              <w:ind w:right="117"/>
              <w:rPr>
                <w:snapToGrid w:val="0"/>
                <w:vertAlign w:val="superscript"/>
                <w:lang w:eastAsia="en-US"/>
              </w:rPr>
            </w:pPr>
            <w:r w:rsidRPr="007D1918">
              <w:rPr>
                <w:snapToGrid w:val="0"/>
                <w:lang w:eastAsia="en-US"/>
              </w:rPr>
              <w:t xml:space="preserve">p-value </w:t>
            </w:r>
            <w:r w:rsidR="00B23C6C" w:rsidRPr="007D1918">
              <w:rPr>
                <w:snapToGrid w:val="0"/>
                <w:vertAlign w:val="superscript"/>
                <w:lang w:eastAsia="en-US"/>
              </w:rPr>
              <w:t>a</w:t>
            </w:r>
          </w:p>
          <w:p w14:paraId="7B4DCA3E" w14:textId="46CAD236" w:rsidR="006B2A0F" w:rsidRPr="007D1918" w:rsidRDefault="006B2A0F" w:rsidP="00AF19DB">
            <w:pPr>
              <w:pStyle w:val="TableHeading"/>
              <w:ind w:right="117"/>
              <w:rPr>
                <w:snapToGrid w:val="0"/>
                <w:lang w:eastAsia="en-US"/>
              </w:rPr>
            </w:pPr>
          </w:p>
        </w:tc>
      </w:tr>
      <w:tr w:rsidR="006B2A0F" w:rsidRPr="007D1918" w14:paraId="195C26AE" w14:textId="77777777" w:rsidTr="008551B6">
        <w:tc>
          <w:tcPr>
            <w:tcW w:w="1004" w:type="pct"/>
          </w:tcPr>
          <w:p w14:paraId="39D07FE3" w14:textId="227CF22D" w:rsidR="006B2A0F" w:rsidRPr="007D1918" w:rsidRDefault="006B2A0F" w:rsidP="00E058B5">
            <w:pPr>
              <w:pStyle w:val="TableText0"/>
              <w:ind w:left="16" w:right="117"/>
              <w:rPr>
                <w:snapToGrid w:val="0"/>
              </w:rPr>
            </w:pPr>
            <w:r w:rsidRPr="007D1918">
              <w:rPr>
                <w:snapToGrid w:val="0"/>
              </w:rPr>
              <w:t>Fever</w:t>
            </w:r>
          </w:p>
          <w:p w14:paraId="0EC6FB3D" w14:textId="77777777" w:rsidR="006B2A0F" w:rsidRPr="007D1918" w:rsidRDefault="006B2A0F" w:rsidP="00E058B5">
            <w:pPr>
              <w:pStyle w:val="TableText0"/>
              <w:ind w:left="16" w:right="117"/>
              <w:rPr>
                <w:snapToGrid w:val="0"/>
              </w:rPr>
            </w:pPr>
            <w:r w:rsidRPr="007D1918">
              <w:rPr>
                <w:snapToGrid w:val="0"/>
              </w:rPr>
              <w:t>Chills</w:t>
            </w:r>
          </w:p>
          <w:p w14:paraId="76F5A7F8" w14:textId="77777777" w:rsidR="006B2A0F" w:rsidRPr="007D1918" w:rsidRDefault="006B2A0F" w:rsidP="00E058B5">
            <w:pPr>
              <w:pStyle w:val="TableText0"/>
              <w:ind w:left="16" w:right="117"/>
              <w:rPr>
                <w:snapToGrid w:val="0"/>
              </w:rPr>
            </w:pPr>
            <w:r w:rsidRPr="007D1918">
              <w:rPr>
                <w:snapToGrid w:val="0"/>
              </w:rPr>
              <w:t>Myalgia</w:t>
            </w:r>
          </w:p>
          <w:p w14:paraId="4A2EB37E" w14:textId="77777777" w:rsidR="006B2A0F" w:rsidRPr="007D1918" w:rsidRDefault="006B2A0F" w:rsidP="00E058B5">
            <w:pPr>
              <w:pStyle w:val="TableText0"/>
              <w:ind w:left="16" w:right="117"/>
              <w:rPr>
                <w:snapToGrid w:val="0"/>
              </w:rPr>
            </w:pPr>
            <w:r w:rsidRPr="007D1918">
              <w:rPr>
                <w:snapToGrid w:val="0"/>
              </w:rPr>
              <w:t>Headaches</w:t>
            </w:r>
          </w:p>
          <w:p w14:paraId="70B7B8C8" w14:textId="7FC7CCFE" w:rsidR="006B2A0F" w:rsidRPr="007D1918" w:rsidRDefault="006B2A0F" w:rsidP="00E058B5">
            <w:pPr>
              <w:pStyle w:val="TableText0"/>
              <w:ind w:left="16" w:right="117"/>
              <w:rPr>
                <w:snapToGrid w:val="0"/>
              </w:rPr>
            </w:pPr>
            <w:r w:rsidRPr="007D1918">
              <w:rPr>
                <w:snapToGrid w:val="0"/>
              </w:rPr>
              <w:t>Nausea or vomiting</w:t>
            </w:r>
          </w:p>
          <w:p w14:paraId="1F1C79E4" w14:textId="385B7612" w:rsidR="006B2A0F" w:rsidRPr="007D1918" w:rsidRDefault="006B2A0F" w:rsidP="00E058B5">
            <w:pPr>
              <w:pStyle w:val="TableText0"/>
              <w:ind w:left="16" w:right="117"/>
              <w:rPr>
                <w:snapToGrid w:val="0"/>
              </w:rPr>
            </w:pPr>
            <w:r w:rsidRPr="007D1918">
              <w:rPr>
                <w:snapToGrid w:val="0"/>
              </w:rPr>
              <w:t>Skin reactions</w:t>
            </w:r>
          </w:p>
          <w:p w14:paraId="08693D6F" w14:textId="67B089AB" w:rsidR="006B2A0F" w:rsidRPr="007D1918" w:rsidRDefault="006B2A0F" w:rsidP="00E058B5">
            <w:pPr>
              <w:pStyle w:val="TableText0"/>
              <w:ind w:left="16" w:right="117"/>
              <w:rPr>
                <w:snapToGrid w:val="0"/>
              </w:rPr>
            </w:pPr>
            <w:r w:rsidRPr="007D1918">
              <w:rPr>
                <w:snapToGrid w:val="0"/>
              </w:rPr>
              <w:t xml:space="preserve">Other </w:t>
            </w:r>
          </w:p>
        </w:tc>
        <w:tc>
          <w:tcPr>
            <w:tcW w:w="1572" w:type="pct"/>
            <w:shd w:val="clear" w:color="auto" w:fill="auto"/>
          </w:tcPr>
          <w:p w14:paraId="3B1211FE" w14:textId="406E6B40" w:rsidR="006B2A0F" w:rsidRPr="007D1918" w:rsidRDefault="006B2A0F" w:rsidP="00E058B5">
            <w:pPr>
              <w:pStyle w:val="TableText0"/>
              <w:ind w:left="111" w:right="117"/>
              <w:jc w:val="center"/>
              <w:rPr>
                <w:snapToGrid w:val="0"/>
              </w:rPr>
            </w:pPr>
            <w:r w:rsidRPr="007D1918">
              <w:rPr>
                <w:snapToGrid w:val="0"/>
              </w:rPr>
              <w:t>10 (11.9%)</w:t>
            </w:r>
          </w:p>
          <w:p w14:paraId="34EB33D8" w14:textId="77777777" w:rsidR="006B2A0F" w:rsidRPr="007D1918" w:rsidRDefault="006B2A0F" w:rsidP="00E058B5">
            <w:pPr>
              <w:pStyle w:val="TableText0"/>
              <w:ind w:left="111" w:right="117"/>
              <w:jc w:val="center"/>
              <w:rPr>
                <w:snapToGrid w:val="0"/>
              </w:rPr>
            </w:pPr>
            <w:r w:rsidRPr="007D1918">
              <w:rPr>
                <w:snapToGrid w:val="0"/>
              </w:rPr>
              <w:t>3 (3.6%)</w:t>
            </w:r>
          </w:p>
          <w:p w14:paraId="3E30A8D4" w14:textId="77777777" w:rsidR="006B2A0F" w:rsidRPr="007D1918" w:rsidRDefault="006B2A0F" w:rsidP="00E058B5">
            <w:pPr>
              <w:pStyle w:val="TableText0"/>
              <w:ind w:left="111" w:right="117"/>
              <w:jc w:val="center"/>
              <w:rPr>
                <w:snapToGrid w:val="0"/>
              </w:rPr>
            </w:pPr>
            <w:r w:rsidRPr="007D1918">
              <w:rPr>
                <w:snapToGrid w:val="0"/>
              </w:rPr>
              <w:t>1 (1.2%)</w:t>
            </w:r>
          </w:p>
          <w:p w14:paraId="7B1E31C4" w14:textId="77777777" w:rsidR="006B2A0F" w:rsidRPr="007D1918" w:rsidRDefault="006B2A0F" w:rsidP="00E058B5">
            <w:pPr>
              <w:pStyle w:val="TableText0"/>
              <w:ind w:left="111" w:right="117"/>
              <w:jc w:val="center"/>
              <w:rPr>
                <w:snapToGrid w:val="0"/>
              </w:rPr>
            </w:pPr>
            <w:r w:rsidRPr="007D1918">
              <w:rPr>
                <w:snapToGrid w:val="0"/>
              </w:rPr>
              <w:t>11 (13.1%)</w:t>
            </w:r>
          </w:p>
          <w:p w14:paraId="50683219" w14:textId="2D8D92EF" w:rsidR="006B2A0F" w:rsidRPr="007D1918" w:rsidRDefault="006B2A0F" w:rsidP="00E058B5">
            <w:pPr>
              <w:pStyle w:val="TableText0"/>
              <w:ind w:left="111" w:right="117"/>
              <w:jc w:val="center"/>
              <w:rPr>
                <w:snapToGrid w:val="0"/>
              </w:rPr>
            </w:pPr>
            <w:r w:rsidRPr="007D1918">
              <w:rPr>
                <w:snapToGrid w:val="0"/>
              </w:rPr>
              <w:t>5 (6.0%)</w:t>
            </w:r>
          </w:p>
          <w:p w14:paraId="58E690C3" w14:textId="1405217E" w:rsidR="006B2A0F" w:rsidRPr="007D1918" w:rsidRDefault="006B2A0F" w:rsidP="00637D7A">
            <w:pPr>
              <w:pStyle w:val="TableText0"/>
              <w:ind w:left="111" w:right="117"/>
              <w:jc w:val="center"/>
              <w:rPr>
                <w:snapToGrid w:val="0"/>
              </w:rPr>
            </w:pPr>
            <w:r w:rsidRPr="007D1918">
              <w:rPr>
                <w:snapToGrid w:val="0"/>
              </w:rPr>
              <w:t>1 (1.2%)</w:t>
            </w:r>
          </w:p>
          <w:p w14:paraId="48668398" w14:textId="30F076AA" w:rsidR="006B2A0F" w:rsidRPr="007D1918" w:rsidRDefault="006B2A0F" w:rsidP="00637D7A">
            <w:pPr>
              <w:pStyle w:val="TableText0"/>
              <w:ind w:left="111" w:right="117"/>
              <w:jc w:val="center"/>
              <w:rPr>
                <w:snapToGrid w:val="0"/>
              </w:rPr>
            </w:pPr>
            <w:r w:rsidRPr="007D1918">
              <w:rPr>
                <w:snapToGrid w:val="0"/>
              </w:rPr>
              <w:t>16 (19%)</w:t>
            </w:r>
          </w:p>
        </w:tc>
        <w:tc>
          <w:tcPr>
            <w:tcW w:w="1494" w:type="pct"/>
            <w:shd w:val="clear" w:color="auto" w:fill="auto"/>
          </w:tcPr>
          <w:p w14:paraId="23E28810" w14:textId="77777777" w:rsidR="006B2A0F" w:rsidRPr="007D1918" w:rsidRDefault="006B2A0F" w:rsidP="00E058B5">
            <w:pPr>
              <w:pStyle w:val="TableText0"/>
              <w:ind w:left="77" w:right="117"/>
              <w:jc w:val="center"/>
              <w:rPr>
                <w:snapToGrid w:val="0"/>
              </w:rPr>
            </w:pPr>
            <w:r w:rsidRPr="007D1918">
              <w:rPr>
                <w:snapToGrid w:val="0"/>
              </w:rPr>
              <w:t>13 (14.8%)</w:t>
            </w:r>
          </w:p>
          <w:p w14:paraId="110A5FFF" w14:textId="77777777" w:rsidR="006B2A0F" w:rsidRPr="007D1918" w:rsidRDefault="006B2A0F" w:rsidP="00E058B5">
            <w:pPr>
              <w:pStyle w:val="TableText0"/>
              <w:ind w:left="77" w:right="117"/>
              <w:jc w:val="center"/>
              <w:rPr>
                <w:snapToGrid w:val="0"/>
              </w:rPr>
            </w:pPr>
            <w:r w:rsidRPr="007D1918">
              <w:rPr>
                <w:snapToGrid w:val="0"/>
              </w:rPr>
              <w:t>5 (5.7%)</w:t>
            </w:r>
          </w:p>
          <w:p w14:paraId="77B30AC3" w14:textId="3659CEDB" w:rsidR="006B2A0F" w:rsidRPr="007D1918" w:rsidRDefault="006B2A0F" w:rsidP="00637D7A">
            <w:pPr>
              <w:pStyle w:val="TableText0"/>
              <w:ind w:left="77" w:right="117"/>
              <w:jc w:val="center"/>
              <w:rPr>
                <w:snapToGrid w:val="0"/>
              </w:rPr>
            </w:pPr>
            <w:r w:rsidRPr="007D1918">
              <w:rPr>
                <w:snapToGrid w:val="0"/>
              </w:rPr>
              <w:t>1 (1.1%)</w:t>
            </w:r>
          </w:p>
          <w:p w14:paraId="2E617DF4" w14:textId="77777777" w:rsidR="006B2A0F" w:rsidRPr="007D1918" w:rsidRDefault="006B2A0F" w:rsidP="00637D7A">
            <w:pPr>
              <w:pStyle w:val="TableText0"/>
              <w:ind w:left="77" w:right="117"/>
              <w:jc w:val="center"/>
              <w:rPr>
                <w:snapToGrid w:val="0"/>
              </w:rPr>
            </w:pPr>
            <w:r w:rsidRPr="007D1918">
              <w:rPr>
                <w:snapToGrid w:val="0"/>
              </w:rPr>
              <w:t>2 (22.7%)</w:t>
            </w:r>
          </w:p>
          <w:p w14:paraId="755E6CFD" w14:textId="77777777" w:rsidR="006B2A0F" w:rsidRPr="007D1918" w:rsidRDefault="006B2A0F" w:rsidP="00637D7A">
            <w:pPr>
              <w:pStyle w:val="TableText0"/>
              <w:ind w:left="77" w:right="117"/>
              <w:jc w:val="center"/>
              <w:rPr>
                <w:snapToGrid w:val="0"/>
              </w:rPr>
            </w:pPr>
            <w:r w:rsidRPr="007D1918">
              <w:rPr>
                <w:snapToGrid w:val="0"/>
              </w:rPr>
              <w:t>6 (6.8%)</w:t>
            </w:r>
          </w:p>
          <w:p w14:paraId="77DB29F1" w14:textId="5500199F" w:rsidR="006B2A0F" w:rsidRPr="007D1918" w:rsidRDefault="006B2A0F" w:rsidP="00637D7A">
            <w:pPr>
              <w:pStyle w:val="TableText0"/>
              <w:ind w:left="77" w:right="117"/>
              <w:jc w:val="center"/>
              <w:rPr>
                <w:snapToGrid w:val="0"/>
              </w:rPr>
            </w:pPr>
            <w:r w:rsidRPr="007D1918">
              <w:rPr>
                <w:snapToGrid w:val="0"/>
              </w:rPr>
              <w:t>1 (1.1%)</w:t>
            </w:r>
          </w:p>
          <w:p w14:paraId="1FD347DF" w14:textId="2BDBD770" w:rsidR="006B2A0F" w:rsidRPr="007D1918" w:rsidRDefault="006B2A0F" w:rsidP="00637D7A">
            <w:pPr>
              <w:pStyle w:val="TableText0"/>
              <w:ind w:left="77" w:right="117"/>
              <w:jc w:val="center"/>
              <w:rPr>
                <w:snapToGrid w:val="0"/>
              </w:rPr>
            </w:pPr>
            <w:r w:rsidRPr="007D1918">
              <w:rPr>
                <w:snapToGrid w:val="0"/>
              </w:rPr>
              <w:t>16 (18.2%)</w:t>
            </w:r>
          </w:p>
        </w:tc>
        <w:tc>
          <w:tcPr>
            <w:tcW w:w="930" w:type="pct"/>
            <w:shd w:val="clear" w:color="auto" w:fill="auto"/>
          </w:tcPr>
          <w:p w14:paraId="00DF33B5" w14:textId="77777777" w:rsidR="006B2A0F" w:rsidRPr="007D1918" w:rsidRDefault="006B2A0F" w:rsidP="00E058B5">
            <w:pPr>
              <w:pStyle w:val="TableText0"/>
              <w:ind w:right="117"/>
              <w:jc w:val="center"/>
              <w:rPr>
                <w:snapToGrid w:val="0"/>
              </w:rPr>
            </w:pPr>
            <w:r w:rsidRPr="007D1918">
              <w:rPr>
                <w:snapToGrid w:val="0"/>
              </w:rPr>
              <w:t>0.66</w:t>
            </w:r>
          </w:p>
          <w:p w14:paraId="6860689C" w14:textId="77777777" w:rsidR="006B2A0F" w:rsidRPr="007D1918" w:rsidRDefault="006B2A0F" w:rsidP="00E058B5">
            <w:pPr>
              <w:pStyle w:val="TableText0"/>
              <w:ind w:right="117"/>
              <w:jc w:val="center"/>
              <w:rPr>
                <w:snapToGrid w:val="0"/>
              </w:rPr>
            </w:pPr>
            <w:r w:rsidRPr="007D1918">
              <w:rPr>
                <w:snapToGrid w:val="0"/>
              </w:rPr>
              <w:t>0.72</w:t>
            </w:r>
          </w:p>
          <w:p w14:paraId="29F24924" w14:textId="77777777" w:rsidR="006B2A0F" w:rsidRPr="007D1918" w:rsidRDefault="006B2A0F" w:rsidP="00E058B5">
            <w:pPr>
              <w:pStyle w:val="TableText0"/>
              <w:ind w:right="117"/>
              <w:jc w:val="center"/>
              <w:rPr>
                <w:snapToGrid w:val="0"/>
              </w:rPr>
            </w:pPr>
            <w:r w:rsidRPr="007D1918">
              <w:rPr>
                <w:snapToGrid w:val="0"/>
              </w:rPr>
              <w:t>&gt;0.99</w:t>
            </w:r>
          </w:p>
          <w:p w14:paraId="4EECAA97" w14:textId="77777777" w:rsidR="006B2A0F" w:rsidRPr="007D1918" w:rsidRDefault="006B2A0F" w:rsidP="00E058B5">
            <w:pPr>
              <w:pStyle w:val="TableText0"/>
              <w:ind w:right="117"/>
              <w:jc w:val="center"/>
              <w:rPr>
                <w:snapToGrid w:val="0"/>
              </w:rPr>
            </w:pPr>
            <w:r w:rsidRPr="007D1918">
              <w:rPr>
                <w:snapToGrid w:val="0"/>
              </w:rPr>
              <w:t>0.05</w:t>
            </w:r>
          </w:p>
          <w:p w14:paraId="44BC1057" w14:textId="4BD545DC" w:rsidR="006B2A0F" w:rsidRPr="007D1918" w:rsidRDefault="006B2A0F" w:rsidP="00E058B5">
            <w:pPr>
              <w:pStyle w:val="TableText0"/>
              <w:ind w:right="117"/>
              <w:jc w:val="center"/>
              <w:rPr>
                <w:snapToGrid w:val="0"/>
              </w:rPr>
            </w:pPr>
            <w:r w:rsidRPr="007D1918">
              <w:rPr>
                <w:snapToGrid w:val="0"/>
              </w:rPr>
              <w:t>&gt;0.99</w:t>
            </w:r>
          </w:p>
          <w:p w14:paraId="4FE5DE90" w14:textId="77777777" w:rsidR="006B2A0F" w:rsidRPr="007D1918" w:rsidRDefault="006B2A0F" w:rsidP="00E058B5">
            <w:pPr>
              <w:pStyle w:val="TableText0"/>
              <w:ind w:right="117"/>
              <w:jc w:val="center"/>
              <w:rPr>
                <w:snapToGrid w:val="0"/>
              </w:rPr>
            </w:pPr>
            <w:r w:rsidRPr="007D1918">
              <w:rPr>
                <w:snapToGrid w:val="0"/>
              </w:rPr>
              <w:t>&gt;0.99</w:t>
            </w:r>
          </w:p>
          <w:p w14:paraId="4548EA95" w14:textId="40982BC1" w:rsidR="006B2A0F" w:rsidRPr="007D1918" w:rsidRDefault="006B2A0F" w:rsidP="00E058B5">
            <w:pPr>
              <w:pStyle w:val="TableText0"/>
              <w:ind w:right="117"/>
              <w:jc w:val="center"/>
              <w:rPr>
                <w:snapToGrid w:val="0"/>
              </w:rPr>
            </w:pPr>
            <w:r w:rsidRPr="007D1918">
              <w:rPr>
                <w:snapToGrid w:val="0"/>
              </w:rPr>
              <w:t>0.69</w:t>
            </w:r>
          </w:p>
        </w:tc>
      </w:tr>
      <w:tr w:rsidR="006B2A0F" w:rsidRPr="007D1918" w14:paraId="4059999A" w14:textId="77777777" w:rsidTr="008551B6">
        <w:tc>
          <w:tcPr>
            <w:tcW w:w="1004" w:type="pct"/>
          </w:tcPr>
          <w:p w14:paraId="068D0427" w14:textId="7DCBC2A7" w:rsidR="006B2A0F" w:rsidRPr="007D1918" w:rsidRDefault="006B2A0F" w:rsidP="00E058B5">
            <w:pPr>
              <w:pStyle w:val="TableText0"/>
              <w:ind w:left="16" w:right="117"/>
              <w:rPr>
                <w:snapToGrid w:val="0"/>
              </w:rPr>
            </w:pPr>
            <w:r w:rsidRPr="007D1918">
              <w:rPr>
                <w:snapToGrid w:val="0"/>
              </w:rPr>
              <w:t>Cumulative incidence</w:t>
            </w:r>
          </w:p>
        </w:tc>
        <w:tc>
          <w:tcPr>
            <w:tcW w:w="1572" w:type="pct"/>
            <w:shd w:val="clear" w:color="auto" w:fill="auto"/>
            <w:vAlign w:val="center"/>
          </w:tcPr>
          <w:p w14:paraId="6AE51260" w14:textId="67EFC83B" w:rsidR="006B2A0F" w:rsidRPr="007D1918" w:rsidRDefault="006B2A0F" w:rsidP="00AF19DB">
            <w:pPr>
              <w:pStyle w:val="TableText0"/>
              <w:ind w:left="111" w:right="117"/>
              <w:jc w:val="center"/>
              <w:rPr>
                <w:snapToGrid w:val="0"/>
              </w:rPr>
            </w:pPr>
            <w:r w:rsidRPr="007D1918">
              <w:rPr>
                <w:snapToGrid w:val="0"/>
              </w:rPr>
              <w:t>40.48 ± 5.36</w:t>
            </w:r>
          </w:p>
        </w:tc>
        <w:tc>
          <w:tcPr>
            <w:tcW w:w="1494" w:type="pct"/>
            <w:shd w:val="clear" w:color="auto" w:fill="auto"/>
            <w:vAlign w:val="center"/>
          </w:tcPr>
          <w:p w14:paraId="70FECE47" w14:textId="09D820C9" w:rsidR="006B2A0F" w:rsidRPr="007D1918" w:rsidRDefault="006B2A0F" w:rsidP="00AF19DB">
            <w:pPr>
              <w:pStyle w:val="TableText0"/>
              <w:ind w:left="77" w:right="117"/>
              <w:jc w:val="center"/>
              <w:rPr>
                <w:snapToGrid w:val="0"/>
              </w:rPr>
            </w:pPr>
            <w:r w:rsidRPr="007D1918">
              <w:rPr>
                <w:snapToGrid w:val="0"/>
              </w:rPr>
              <w:t>46.59 ± 5.32</w:t>
            </w:r>
          </w:p>
        </w:tc>
        <w:tc>
          <w:tcPr>
            <w:tcW w:w="930" w:type="pct"/>
            <w:shd w:val="clear" w:color="auto" w:fill="auto"/>
            <w:vAlign w:val="center"/>
          </w:tcPr>
          <w:p w14:paraId="7DE47496" w14:textId="51053DAD" w:rsidR="006B2A0F" w:rsidRPr="007D1918" w:rsidRDefault="006B2A0F" w:rsidP="005A27D1">
            <w:pPr>
              <w:pStyle w:val="TableText0"/>
              <w:ind w:right="117"/>
              <w:jc w:val="center"/>
              <w:rPr>
                <w:snapToGrid w:val="0"/>
              </w:rPr>
            </w:pPr>
            <w:r w:rsidRPr="007D1918">
              <w:rPr>
                <w:snapToGrid w:val="0"/>
              </w:rPr>
              <w:t>0.39</w:t>
            </w:r>
          </w:p>
        </w:tc>
      </w:tr>
    </w:tbl>
    <w:p w14:paraId="58A83C0D" w14:textId="38A5FC89" w:rsidR="007D3D35" w:rsidRPr="007D1918" w:rsidRDefault="007D3D35" w:rsidP="008D7BA8">
      <w:pPr>
        <w:pStyle w:val="Tablenotes0"/>
        <w:spacing w:after="80"/>
        <w:contextualSpacing w:val="0"/>
      </w:pPr>
      <w:r w:rsidRPr="007D1918">
        <w:t>IVIg = intr</w:t>
      </w:r>
      <w:r w:rsidR="005212DF" w:rsidRPr="007D1918">
        <w:t>avenous immunoglobulin therapy</w:t>
      </w:r>
    </w:p>
    <w:p w14:paraId="32958EB2" w14:textId="38D360E8" w:rsidR="00B23C6C" w:rsidRPr="007D1918" w:rsidRDefault="00B23C6C" w:rsidP="00A723E4">
      <w:pPr>
        <w:pStyle w:val="Tablenotes0"/>
        <w:spacing w:after="80"/>
        <w:contextualSpacing w:val="0"/>
      </w:pPr>
      <w:r w:rsidRPr="007D1918">
        <w:rPr>
          <w:vertAlign w:val="superscript"/>
        </w:rPr>
        <w:t>a</w:t>
      </w:r>
      <w:r w:rsidRPr="007D1918">
        <w:t xml:space="preserve"> Fishers exact test </w:t>
      </w:r>
      <w:r w:rsidR="0075212A"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instrText xml:space="preserve"> ADDIN EN.CITE </w:instrText>
      </w:r>
      <w:r w:rsidR="00C437BA"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35" w:tooltip="Gajdos, 2005 #14" w:history="1">
        <w:r w:rsidR="007D4948" w:rsidRPr="007D1918">
          <w:rPr>
            <w:noProof/>
          </w:rPr>
          <w:t>Gajdos et al. 2005</w:t>
        </w:r>
      </w:hyperlink>
      <w:r w:rsidR="0075212A" w:rsidRPr="007D1918">
        <w:rPr>
          <w:noProof/>
        </w:rPr>
        <w:t>)</w:t>
      </w:r>
      <w:r w:rsidR="0075212A" w:rsidRPr="007D1918">
        <w:fldChar w:fldCharType="end"/>
      </w:r>
    </w:p>
    <w:p w14:paraId="430B67D5" w14:textId="77777777" w:rsidR="006025EC" w:rsidRPr="007D1918" w:rsidRDefault="006025EC" w:rsidP="00A436AC">
      <w:pPr>
        <w:spacing w:before="240"/>
      </w:pPr>
    </w:p>
    <w:p w14:paraId="1C784FF1" w14:textId="15685C34" w:rsidR="00F00D42" w:rsidRPr="007D1918" w:rsidRDefault="00BB14D0" w:rsidP="00096AAE">
      <w:pPr>
        <w:pStyle w:val="Heading3"/>
        <w:jc w:val="both"/>
      </w:pPr>
      <w:bookmarkStart w:id="227" w:name="_Toc23766966"/>
      <w:r w:rsidRPr="007D1918">
        <w:t xml:space="preserve">Indication 2: </w:t>
      </w:r>
      <w:r w:rsidR="00467FA2" w:rsidRPr="007D1918">
        <w:t>P</w:t>
      </w:r>
      <w:r w:rsidRPr="007D1918">
        <w:t>atients preparing for surgery</w:t>
      </w:r>
      <w:bookmarkEnd w:id="227"/>
      <w:r w:rsidR="004C5A84" w:rsidRPr="007D1918">
        <w:t xml:space="preserve"> </w:t>
      </w:r>
    </w:p>
    <w:p w14:paraId="4E9F812E" w14:textId="77777777" w:rsidR="00BB14D0" w:rsidRPr="007D1918" w:rsidRDefault="00872D78" w:rsidP="004E5C98">
      <w:pPr>
        <w:pStyle w:val="Heading4"/>
      </w:pPr>
      <w:r w:rsidRPr="007D1918">
        <w:t xml:space="preserve">Adverse events </w:t>
      </w:r>
      <w:r w:rsidR="0053456F" w:rsidRPr="007D1918">
        <w:t xml:space="preserve">(including myasthenic crisis) </w:t>
      </w:r>
      <w:r w:rsidRPr="007D1918">
        <w:t xml:space="preserve">for IVIg compared with PE </w:t>
      </w:r>
    </w:p>
    <w:p w14:paraId="6038BCC7" w14:textId="19279B6E" w:rsidR="00B206F4" w:rsidRPr="007D1918" w:rsidRDefault="00AD67D1" w:rsidP="00B206F4">
      <w:pPr>
        <w:jc w:val="both"/>
      </w:pPr>
      <w:r w:rsidRPr="007D1918">
        <w:t xml:space="preserve">One RCT </w:t>
      </w:r>
      <w:r w:rsidR="0075212A" w:rsidRPr="007D1918">
        <w:fldChar w:fldCharType="begin"/>
      </w:r>
      <w:r w:rsidR="00C437BA"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75212A" w:rsidRPr="007D1918">
        <w:fldChar w:fldCharType="separate"/>
      </w:r>
      <w:r w:rsidR="0075212A" w:rsidRPr="007D1918">
        <w:rPr>
          <w:noProof/>
        </w:rPr>
        <w:t>(</w:t>
      </w:r>
      <w:hyperlink w:anchor="_ENREF_4" w:tooltip="Alipour-Faz, 2017 #64" w:history="1">
        <w:r w:rsidR="007D4948" w:rsidRPr="007D1918">
          <w:rPr>
            <w:noProof/>
          </w:rPr>
          <w:t>Alipour-Faz et al. 2017</w:t>
        </w:r>
      </w:hyperlink>
      <w:r w:rsidR="0075212A" w:rsidRPr="007D1918">
        <w:rPr>
          <w:noProof/>
        </w:rPr>
        <w:t>)</w:t>
      </w:r>
      <w:r w:rsidR="0075212A" w:rsidRPr="007D1918">
        <w:fldChar w:fldCharType="end"/>
      </w:r>
      <w:r w:rsidRPr="007D1918">
        <w:t xml:space="preserve"> and one retrospective matched cohort study </w:t>
      </w:r>
      <w:r w:rsidR="0075212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 </w:instrText>
      </w:r>
      <w:r w:rsidR="00C437B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56" w:tooltip="Jensen, 2008 #13" w:history="1">
        <w:r w:rsidR="007D4948" w:rsidRPr="007D1918">
          <w:rPr>
            <w:noProof/>
          </w:rPr>
          <w:t>Jensen &amp; Bril 2008</w:t>
        </w:r>
      </w:hyperlink>
      <w:r w:rsidR="0075212A" w:rsidRPr="007D1918">
        <w:rPr>
          <w:noProof/>
        </w:rPr>
        <w:t>)</w:t>
      </w:r>
      <w:r w:rsidR="0075212A" w:rsidRPr="007D1918">
        <w:fldChar w:fldCharType="end"/>
      </w:r>
      <w:r w:rsidRPr="007D1918">
        <w:t xml:space="preserve"> compared AEs between patients given IVIg or PE in preparation for thymectomy. </w:t>
      </w:r>
      <w:r w:rsidR="005212DF" w:rsidRPr="007D1918">
        <w:t xml:space="preserve">The patient numbers were very small and </w:t>
      </w:r>
      <w:r w:rsidR="006F1538" w:rsidRPr="007D1918">
        <w:t xml:space="preserve">the studies were </w:t>
      </w:r>
      <w:r w:rsidR="005212DF" w:rsidRPr="007D1918">
        <w:t xml:space="preserve">not well powered to reach conclusions. </w:t>
      </w:r>
      <w:r w:rsidRPr="007D1918">
        <w:t xml:space="preserve">The single centre RCT included 24 adult patients with generalised MG and thymoma and abnormal AChRAb levels. </w:t>
      </w:r>
      <w:r w:rsidR="005212DF" w:rsidRPr="007D1918">
        <w:t>In the retrospective study, patients who were given IVIg prior to thymectomy were identified on database records</w:t>
      </w:r>
      <w:r w:rsidRPr="007D1918">
        <w:t xml:space="preserve">. These patients were then matched with similar cases from a total cohort of 105 surgical patients who received PE prior to thymectomy. There were </w:t>
      </w:r>
      <w:r w:rsidR="00B206F4" w:rsidRPr="007D1918">
        <w:t>nine</w:t>
      </w:r>
      <w:r w:rsidRPr="007D1918">
        <w:t xml:space="preserve"> patients in each group. </w:t>
      </w:r>
    </w:p>
    <w:p w14:paraId="582B9721" w14:textId="1CD03A0B" w:rsidR="00BB14D0" w:rsidRPr="007D1918" w:rsidRDefault="00B206F4" w:rsidP="00B206F4">
      <w:pPr>
        <w:jc w:val="both"/>
      </w:pPr>
      <w:r w:rsidRPr="007D1918">
        <w:lastRenderedPageBreak/>
        <w:t xml:space="preserve">The retrospective comparison reported data </w:t>
      </w:r>
      <w:r w:rsidR="005E334B" w:rsidRPr="007D1918">
        <w:t xml:space="preserve">on </w:t>
      </w:r>
      <w:r w:rsidRPr="007D1918">
        <w:t xml:space="preserve">treatment side effects for the IVIg group only, although the authors commented that in the PE group there was difficulty with line insertion, transient hypotension, and asymptomatic coagulation abnormalities. The RCT reported on the frequency of post-operative intubation and myasthenic crisis. Alipour-Faz et al found that </w:t>
      </w:r>
      <w:r w:rsidR="00BA4A83" w:rsidRPr="007D1918">
        <w:t xml:space="preserve">intubation was required </w:t>
      </w:r>
      <w:r w:rsidRPr="007D1918">
        <w:t xml:space="preserve">significantly more </w:t>
      </w:r>
      <w:r w:rsidR="00BA4A83" w:rsidRPr="007D1918">
        <w:t>frequently in the PE group (2/12 versus 7/12; p = 0.01). Frequency of crisis also favoured the IVIg group</w:t>
      </w:r>
      <w:r w:rsidR="005E334B" w:rsidRPr="007D1918">
        <w:t>, with</w:t>
      </w:r>
      <w:r w:rsidR="00BA4A83" w:rsidRPr="007D1918">
        <w:t xml:space="preserve"> </w:t>
      </w:r>
      <w:r w:rsidR="00B82EBE" w:rsidRPr="007D1918">
        <w:t xml:space="preserve">the </w:t>
      </w:r>
      <w:r w:rsidR="00B113A9" w:rsidRPr="007D1918">
        <w:t>two</w:t>
      </w:r>
      <w:r w:rsidR="00BA4A83" w:rsidRPr="007D1918">
        <w:t xml:space="preserve"> patients </w:t>
      </w:r>
      <w:r w:rsidR="00690B0B" w:rsidRPr="007D1918">
        <w:t>who went into crisis</w:t>
      </w:r>
      <w:r w:rsidR="00BA4A83" w:rsidRPr="007D1918">
        <w:t xml:space="preserve"> </w:t>
      </w:r>
      <w:r w:rsidR="005E334B" w:rsidRPr="007D1918">
        <w:t>receiving</w:t>
      </w:r>
      <w:r w:rsidR="00BA4A83" w:rsidRPr="007D1918">
        <w:t xml:space="preserve"> PE (</w:t>
      </w:r>
      <w:r w:rsidR="00BA4A83" w:rsidRPr="007D1918">
        <w:fldChar w:fldCharType="begin"/>
      </w:r>
      <w:r w:rsidR="00BA4A83" w:rsidRPr="007D1918">
        <w:instrText xml:space="preserve"> REF _Ref7533532 \h </w:instrText>
      </w:r>
      <w:r w:rsidR="00E07567" w:rsidRPr="007D1918">
        <w:instrText xml:space="preserve"> \* MERGEFORMAT </w:instrText>
      </w:r>
      <w:r w:rsidR="00BA4A83" w:rsidRPr="007D1918">
        <w:fldChar w:fldCharType="separate"/>
      </w:r>
      <w:r w:rsidR="00153384" w:rsidRPr="007D1918">
        <w:t xml:space="preserve">Table </w:t>
      </w:r>
      <w:r w:rsidR="00153384" w:rsidRPr="007D1918">
        <w:rPr>
          <w:noProof/>
        </w:rPr>
        <w:t>19</w:t>
      </w:r>
      <w:r w:rsidR="00BA4A83" w:rsidRPr="007D1918">
        <w:fldChar w:fldCharType="end"/>
      </w:r>
      <w:r w:rsidR="00BA4A83" w:rsidRPr="007D1918">
        <w:t>).</w:t>
      </w:r>
    </w:p>
    <w:p w14:paraId="1B51A987" w14:textId="44267354" w:rsidR="00BB14D0" w:rsidRPr="007D1918" w:rsidRDefault="00BB14D0" w:rsidP="00D13985">
      <w:pPr>
        <w:pStyle w:val="Caption"/>
        <w:keepNext/>
        <w:ind w:left="1134" w:hanging="1134"/>
        <w:jc w:val="both"/>
        <w:rPr>
          <w:rFonts w:cs="Arial"/>
          <w:snapToGrid w:val="0"/>
          <w:szCs w:val="16"/>
          <w:lang w:eastAsia="en-US"/>
        </w:rPr>
      </w:pPr>
      <w:bookmarkStart w:id="228" w:name="_Ref7533532"/>
      <w:bookmarkStart w:id="229" w:name="_Toc23769506"/>
      <w:r w:rsidRPr="007D1918">
        <w:t xml:space="preserve">Table </w:t>
      </w:r>
      <w:r w:rsidR="0094721E" w:rsidRPr="007D1918">
        <w:rPr>
          <w:noProof/>
        </w:rPr>
        <w:fldChar w:fldCharType="begin"/>
      </w:r>
      <w:r w:rsidR="0094721E" w:rsidRPr="007D1918">
        <w:rPr>
          <w:noProof/>
        </w:rPr>
        <w:instrText xml:space="preserve"> SEQ Table \* ARABIC </w:instrText>
      </w:r>
      <w:r w:rsidR="0094721E" w:rsidRPr="007D1918">
        <w:rPr>
          <w:noProof/>
        </w:rPr>
        <w:fldChar w:fldCharType="separate"/>
      </w:r>
      <w:r w:rsidR="00942701" w:rsidRPr="007D1918">
        <w:rPr>
          <w:noProof/>
        </w:rPr>
        <w:t>19</w:t>
      </w:r>
      <w:r w:rsidR="0094721E" w:rsidRPr="007D1918">
        <w:rPr>
          <w:noProof/>
        </w:rPr>
        <w:fldChar w:fldCharType="end"/>
      </w:r>
      <w:bookmarkEnd w:id="228"/>
      <w:r w:rsidRPr="007D1918">
        <w:tab/>
      </w:r>
      <w:r w:rsidR="00D13985" w:rsidRPr="007D1918">
        <w:t xml:space="preserve">Frequency of </w:t>
      </w:r>
      <w:r w:rsidR="00B206F4" w:rsidRPr="007D1918">
        <w:t>adverse events in</w:t>
      </w:r>
      <w:r w:rsidR="00D13985" w:rsidRPr="007D1918">
        <w:rPr>
          <w:rFonts w:cs="Arial"/>
          <w:snapToGrid w:val="0"/>
          <w:szCs w:val="16"/>
          <w:lang w:eastAsia="en-US"/>
        </w:rPr>
        <w:t xml:space="preserve"> patients receiving IVIg compared to PE</w:t>
      </w:r>
      <w:bookmarkEnd w:id="229"/>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7 Frequency of adverse events in patients receiving IVIg compared to PE"/>
        <w:tblDescription w:val="Adverse events in MG patients (Indication 2) compared between those who received IVIg and those who received PE."/>
      </w:tblPr>
      <w:tblGrid>
        <w:gridCol w:w="1667"/>
        <w:gridCol w:w="1560"/>
        <w:gridCol w:w="1843"/>
        <w:gridCol w:w="1843"/>
        <w:gridCol w:w="2103"/>
      </w:tblGrid>
      <w:tr w:rsidR="003F3B26" w:rsidRPr="007D1918" w14:paraId="3DF28908" w14:textId="77777777" w:rsidTr="006025EC">
        <w:tc>
          <w:tcPr>
            <w:tcW w:w="925" w:type="pct"/>
            <w:shd w:val="clear" w:color="auto" w:fill="auto"/>
          </w:tcPr>
          <w:p w14:paraId="2229795A" w14:textId="2522B75C" w:rsidR="006025EC" w:rsidRPr="007D1918" w:rsidRDefault="003F3B26" w:rsidP="00AF19DB">
            <w:pPr>
              <w:pStyle w:val="TableHeading"/>
              <w:rPr>
                <w:snapToGrid w:val="0"/>
                <w:lang w:eastAsia="en-US"/>
              </w:rPr>
            </w:pPr>
            <w:r w:rsidRPr="007D1918">
              <w:rPr>
                <w:snapToGrid w:val="0"/>
                <w:lang w:eastAsia="en-US"/>
              </w:rPr>
              <w:t>Study ID</w:t>
            </w:r>
            <w:r w:rsidR="00755009" w:rsidRPr="007D1918">
              <w:rPr>
                <w:snapToGrid w:val="0"/>
                <w:lang w:eastAsia="en-US"/>
              </w:rPr>
              <w:t xml:space="preserve">, </w:t>
            </w:r>
            <w:r w:rsidR="006025EC" w:rsidRPr="007D1918">
              <w:rPr>
                <w:snapToGrid w:val="0"/>
                <w:lang w:eastAsia="en-US"/>
              </w:rPr>
              <w:t>Country</w:t>
            </w:r>
          </w:p>
          <w:p w14:paraId="789AF3D3" w14:textId="47D798C0" w:rsidR="003F3B26" w:rsidRPr="007D1918" w:rsidRDefault="003F3B26" w:rsidP="00AF19DB">
            <w:pPr>
              <w:pStyle w:val="TableHeading"/>
              <w:rPr>
                <w:snapToGrid w:val="0"/>
                <w:lang w:eastAsia="en-US"/>
              </w:rPr>
            </w:pPr>
            <w:r w:rsidRPr="007D1918">
              <w:rPr>
                <w:snapToGrid w:val="0"/>
                <w:lang w:eastAsia="en-US"/>
              </w:rPr>
              <w:t xml:space="preserve">Level </w:t>
            </w:r>
            <w:r w:rsidR="00755009" w:rsidRPr="007D1918">
              <w:rPr>
                <w:snapToGrid w:val="0"/>
                <w:lang w:eastAsia="en-US"/>
              </w:rPr>
              <w:t>of evidence</w:t>
            </w:r>
          </w:p>
          <w:p w14:paraId="26E16009" w14:textId="6B88EFD1" w:rsidR="003F3B26" w:rsidRPr="007D1918" w:rsidRDefault="003F3B26" w:rsidP="00AF19DB">
            <w:pPr>
              <w:pStyle w:val="TableHeading"/>
              <w:rPr>
                <w:snapToGrid w:val="0"/>
                <w:lang w:eastAsia="en-US"/>
              </w:rPr>
            </w:pPr>
            <w:r w:rsidRPr="007D1918">
              <w:rPr>
                <w:snapToGrid w:val="0"/>
                <w:lang w:eastAsia="en-US"/>
              </w:rPr>
              <w:t>Quality</w:t>
            </w:r>
          </w:p>
        </w:tc>
        <w:tc>
          <w:tcPr>
            <w:tcW w:w="865" w:type="pct"/>
          </w:tcPr>
          <w:p w14:paraId="2F2DF164" w14:textId="3A620678" w:rsidR="003F3B26" w:rsidRPr="007D1918" w:rsidRDefault="003F3B26" w:rsidP="00AF19DB">
            <w:pPr>
              <w:pStyle w:val="TableHeading"/>
              <w:ind w:left="16" w:right="117"/>
              <w:rPr>
                <w:snapToGrid w:val="0"/>
                <w:lang w:eastAsia="en-US"/>
              </w:rPr>
            </w:pPr>
            <w:r w:rsidRPr="007D1918">
              <w:rPr>
                <w:snapToGrid w:val="0"/>
                <w:lang w:eastAsia="en-US"/>
              </w:rPr>
              <w:t>Event</w:t>
            </w:r>
          </w:p>
        </w:tc>
        <w:tc>
          <w:tcPr>
            <w:tcW w:w="1022" w:type="pct"/>
            <w:shd w:val="clear" w:color="auto" w:fill="auto"/>
          </w:tcPr>
          <w:p w14:paraId="1092650B" w14:textId="61F4046C" w:rsidR="003F3B26" w:rsidRPr="007D1918" w:rsidRDefault="003F3B26" w:rsidP="00AF19DB">
            <w:pPr>
              <w:pStyle w:val="TableHeading"/>
              <w:ind w:left="111" w:right="117"/>
              <w:rPr>
                <w:snapToGrid w:val="0"/>
                <w:lang w:eastAsia="en-US"/>
              </w:rPr>
            </w:pPr>
            <w:r w:rsidRPr="007D1918">
              <w:rPr>
                <w:snapToGrid w:val="0"/>
                <w:lang w:eastAsia="en-US"/>
              </w:rPr>
              <w:t xml:space="preserve">IVIg </w:t>
            </w:r>
          </w:p>
          <w:p w14:paraId="04F07FE8" w14:textId="3EAA395E" w:rsidR="003F3B26" w:rsidRPr="007D1918" w:rsidRDefault="003F3B26" w:rsidP="00D13985">
            <w:pPr>
              <w:pStyle w:val="TableHeading"/>
              <w:ind w:left="111" w:right="117"/>
              <w:rPr>
                <w:snapToGrid w:val="0"/>
                <w:lang w:eastAsia="en-US"/>
              </w:rPr>
            </w:pPr>
            <w:r w:rsidRPr="007D1918">
              <w:rPr>
                <w:snapToGrid w:val="0"/>
                <w:lang w:eastAsia="en-US"/>
              </w:rPr>
              <w:t>n with event/N (%)</w:t>
            </w:r>
          </w:p>
        </w:tc>
        <w:tc>
          <w:tcPr>
            <w:tcW w:w="1022" w:type="pct"/>
            <w:shd w:val="clear" w:color="auto" w:fill="auto"/>
          </w:tcPr>
          <w:p w14:paraId="19679883" w14:textId="2E09AD90" w:rsidR="003F3B26" w:rsidRPr="007D1918" w:rsidRDefault="003F3B26" w:rsidP="00AF19DB">
            <w:pPr>
              <w:pStyle w:val="TableHeading"/>
              <w:ind w:left="77" w:right="117"/>
              <w:rPr>
                <w:snapToGrid w:val="0"/>
                <w:lang w:eastAsia="en-US"/>
              </w:rPr>
            </w:pPr>
            <w:r w:rsidRPr="007D1918">
              <w:rPr>
                <w:snapToGrid w:val="0"/>
                <w:lang w:eastAsia="en-US"/>
              </w:rPr>
              <w:t>PE</w:t>
            </w:r>
          </w:p>
          <w:p w14:paraId="19EBE07A" w14:textId="23F8FE7C" w:rsidR="003F3B26" w:rsidRPr="007D1918" w:rsidRDefault="003F3B26" w:rsidP="00D13985">
            <w:pPr>
              <w:pStyle w:val="TableHeading"/>
              <w:ind w:left="77" w:right="117"/>
              <w:rPr>
                <w:snapToGrid w:val="0"/>
                <w:lang w:eastAsia="en-US"/>
              </w:rPr>
            </w:pPr>
            <w:r w:rsidRPr="007D1918">
              <w:rPr>
                <w:snapToGrid w:val="0"/>
                <w:lang w:eastAsia="en-US"/>
              </w:rPr>
              <w:t>n with event/N (%)</w:t>
            </w:r>
          </w:p>
        </w:tc>
        <w:tc>
          <w:tcPr>
            <w:tcW w:w="1166" w:type="pct"/>
            <w:shd w:val="clear" w:color="auto" w:fill="auto"/>
          </w:tcPr>
          <w:p w14:paraId="670A408E" w14:textId="1A0F7FB7" w:rsidR="003F3B26" w:rsidRPr="007D1918" w:rsidRDefault="005E334B" w:rsidP="00AF19DB">
            <w:pPr>
              <w:pStyle w:val="TableHeading"/>
              <w:ind w:right="117"/>
              <w:rPr>
                <w:snapToGrid w:val="0"/>
                <w:lang w:eastAsia="en-US"/>
              </w:rPr>
            </w:pPr>
            <w:r w:rsidRPr="007D1918">
              <w:rPr>
                <w:snapToGrid w:val="0"/>
                <w:lang w:eastAsia="en-US"/>
              </w:rPr>
              <w:t>D</w:t>
            </w:r>
            <w:r w:rsidR="003F3B26" w:rsidRPr="007D1918">
              <w:rPr>
                <w:snapToGrid w:val="0"/>
                <w:lang w:eastAsia="en-US"/>
              </w:rPr>
              <w:t>ifference</w:t>
            </w:r>
          </w:p>
          <w:p w14:paraId="4358BA5E" w14:textId="66C1A0D3" w:rsidR="003F3B26" w:rsidRPr="007D1918" w:rsidRDefault="003F3B26" w:rsidP="00AF19DB">
            <w:pPr>
              <w:pStyle w:val="TableHeading"/>
              <w:ind w:right="117"/>
              <w:rPr>
                <w:snapToGrid w:val="0"/>
                <w:lang w:eastAsia="en-US"/>
              </w:rPr>
            </w:pPr>
            <w:r w:rsidRPr="007D1918">
              <w:rPr>
                <w:snapToGrid w:val="0"/>
                <w:lang w:eastAsia="en-US"/>
              </w:rPr>
              <w:t>p-value and/or 95% CI</w:t>
            </w:r>
          </w:p>
        </w:tc>
      </w:tr>
      <w:tr w:rsidR="003F3B26" w:rsidRPr="007D1918" w14:paraId="5ECC0969" w14:textId="77777777" w:rsidTr="006025EC">
        <w:tc>
          <w:tcPr>
            <w:tcW w:w="925" w:type="pct"/>
            <w:shd w:val="clear" w:color="auto" w:fill="auto"/>
            <w:vAlign w:val="center"/>
          </w:tcPr>
          <w:p w14:paraId="139DE0FB" w14:textId="649F27E1" w:rsidR="006025EC" w:rsidRPr="007D1918" w:rsidRDefault="0075212A" w:rsidP="00D13985">
            <w:pPr>
              <w:pStyle w:val="TableText0"/>
              <w:ind w:left="16" w:right="117"/>
              <w:rPr>
                <w:snapToGrid w:val="0"/>
              </w:rPr>
            </w:pPr>
            <w:r w:rsidRPr="007D1918">
              <w:rPr>
                <w:snapToGrid w:val="0"/>
              </w:rPr>
              <w:fldChar w:fldCharType="begin"/>
            </w:r>
            <w:r w:rsidR="00C437BA" w:rsidRPr="007D1918">
              <w:rPr>
                <w:snapToGrid w:val="0"/>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00C437BA" w:rsidRPr="007D1918">
              <w:rPr>
                <w:rFonts w:ascii="Cambria Math" w:hAnsi="Cambria Math" w:cs="Cambria Math"/>
                <w:snapToGrid w:val="0"/>
              </w:rPr>
              <w:instrText>‐</w:instrText>
            </w:r>
            <w:r w:rsidR="00C437BA" w:rsidRPr="007D1918">
              <w:rPr>
                <w:snapToGrid w:val="0"/>
              </w:rPr>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snapToGrid w:val="0"/>
              </w:rPr>
              <w:fldChar w:fldCharType="separate"/>
            </w:r>
            <w:r w:rsidRPr="007D1918">
              <w:rPr>
                <w:noProof/>
                <w:snapToGrid w:val="0"/>
              </w:rPr>
              <w:t>(</w:t>
            </w:r>
            <w:hyperlink w:anchor="_ENREF_4" w:tooltip="Alipour-Faz, 2017 #64" w:history="1">
              <w:r w:rsidR="007D4948" w:rsidRPr="007D1918">
                <w:rPr>
                  <w:noProof/>
                  <w:snapToGrid w:val="0"/>
                </w:rPr>
                <w:t>Alipour-Faz et al. 2017</w:t>
              </w:r>
            </w:hyperlink>
            <w:r w:rsidRPr="007D1918">
              <w:rPr>
                <w:noProof/>
                <w:snapToGrid w:val="0"/>
              </w:rPr>
              <w:t>)</w:t>
            </w:r>
            <w:r w:rsidRPr="007D1918">
              <w:rPr>
                <w:snapToGrid w:val="0"/>
              </w:rPr>
              <w:fldChar w:fldCharType="end"/>
            </w:r>
            <w:r w:rsidR="00755009" w:rsidRPr="007D1918">
              <w:rPr>
                <w:snapToGrid w:val="0"/>
              </w:rPr>
              <w:t xml:space="preserve">, </w:t>
            </w:r>
            <w:r w:rsidR="006025EC" w:rsidRPr="007D1918">
              <w:rPr>
                <w:snapToGrid w:val="0"/>
              </w:rPr>
              <w:t>Canada</w:t>
            </w:r>
          </w:p>
          <w:p w14:paraId="1D208006" w14:textId="1B09D356" w:rsidR="003F3B26" w:rsidRPr="007D1918" w:rsidRDefault="003F3B26" w:rsidP="00D13985">
            <w:pPr>
              <w:pStyle w:val="TableText0"/>
              <w:ind w:left="16" w:right="117"/>
              <w:rPr>
                <w:snapToGrid w:val="0"/>
              </w:rPr>
            </w:pPr>
            <w:r w:rsidRPr="007D1918">
              <w:rPr>
                <w:snapToGrid w:val="0"/>
              </w:rPr>
              <w:t>Level II</w:t>
            </w:r>
          </w:p>
          <w:p w14:paraId="1C7FCC6E" w14:textId="5EBE4CDA" w:rsidR="003F3B26" w:rsidRPr="007D1918" w:rsidRDefault="003F3B26" w:rsidP="006025EC">
            <w:pPr>
              <w:pStyle w:val="TableText0"/>
              <w:rPr>
                <w:snapToGrid w:val="0"/>
              </w:rPr>
            </w:pPr>
            <w:r w:rsidRPr="007D1918">
              <w:rPr>
                <w:snapToGrid w:val="0"/>
              </w:rPr>
              <w:t>Moderate risk of bias</w:t>
            </w:r>
          </w:p>
        </w:tc>
        <w:tc>
          <w:tcPr>
            <w:tcW w:w="865" w:type="pct"/>
          </w:tcPr>
          <w:p w14:paraId="40E3DADF" w14:textId="77777777" w:rsidR="003F3B26" w:rsidRPr="007D1918" w:rsidRDefault="003F3B26" w:rsidP="00D13985">
            <w:pPr>
              <w:pStyle w:val="TableText0"/>
              <w:ind w:left="16" w:right="117"/>
              <w:rPr>
                <w:snapToGrid w:val="0"/>
              </w:rPr>
            </w:pPr>
            <w:r w:rsidRPr="007D1918">
              <w:rPr>
                <w:snapToGrid w:val="0"/>
              </w:rPr>
              <w:t>Post-operative intubation</w:t>
            </w:r>
          </w:p>
          <w:p w14:paraId="6DD2473D" w14:textId="2A53D637" w:rsidR="003F3B26" w:rsidRPr="007D1918" w:rsidRDefault="003F3B26" w:rsidP="00D13985">
            <w:pPr>
              <w:pStyle w:val="TableText0"/>
              <w:ind w:left="16" w:right="117"/>
              <w:rPr>
                <w:snapToGrid w:val="0"/>
              </w:rPr>
            </w:pPr>
            <w:r w:rsidRPr="007D1918">
              <w:rPr>
                <w:snapToGrid w:val="0"/>
              </w:rPr>
              <w:t>Myasthenic crisis</w:t>
            </w:r>
          </w:p>
        </w:tc>
        <w:tc>
          <w:tcPr>
            <w:tcW w:w="1022" w:type="pct"/>
            <w:shd w:val="clear" w:color="auto" w:fill="auto"/>
          </w:tcPr>
          <w:p w14:paraId="5903338B" w14:textId="77777777" w:rsidR="003F3B26" w:rsidRPr="007D1918" w:rsidRDefault="003F3B26" w:rsidP="00D13985">
            <w:pPr>
              <w:pStyle w:val="TableText0"/>
              <w:ind w:left="111" w:right="117"/>
              <w:rPr>
                <w:snapToGrid w:val="0"/>
              </w:rPr>
            </w:pPr>
            <w:r w:rsidRPr="007D1918">
              <w:rPr>
                <w:snapToGrid w:val="0"/>
              </w:rPr>
              <w:t>2/12 (16.7%)</w:t>
            </w:r>
            <w:r w:rsidRPr="007D1918">
              <w:rPr>
                <w:snapToGrid w:val="0"/>
              </w:rPr>
              <w:br/>
            </w:r>
          </w:p>
          <w:p w14:paraId="3703E09A" w14:textId="6ADD3D20" w:rsidR="003F3B26" w:rsidRPr="007D1918" w:rsidRDefault="003F3B26" w:rsidP="00D13985">
            <w:pPr>
              <w:pStyle w:val="TableText0"/>
              <w:ind w:left="111" w:right="117"/>
              <w:rPr>
                <w:snapToGrid w:val="0"/>
              </w:rPr>
            </w:pPr>
            <w:r w:rsidRPr="007D1918">
              <w:rPr>
                <w:snapToGrid w:val="0"/>
              </w:rPr>
              <w:t>0</w:t>
            </w:r>
          </w:p>
        </w:tc>
        <w:tc>
          <w:tcPr>
            <w:tcW w:w="1022" w:type="pct"/>
            <w:shd w:val="clear" w:color="auto" w:fill="auto"/>
          </w:tcPr>
          <w:p w14:paraId="53A8F02D" w14:textId="77777777" w:rsidR="003F3B26" w:rsidRPr="007D1918" w:rsidRDefault="003F3B26" w:rsidP="00D13985">
            <w:pPr>
              <w:pStyle w:val="TableText0"/>
              <w:ind w:left="77" w:right="117"/>
              <w:rPr>
                <w:snapToGrid w:val="0"/>
              </w:rPr>
            </w:pPr>
            <w:r w:rsidRPr="007D1918">
              <w:rPr>
                <w:snapToGrid w:val="0"/>
              </w:rPr>
              <w:t>7/12 (58.3%)</w:t>
            </w:r>
            <w:r w:rsidRPr="007D1918">
              <w:rPr>
                <w:snapToGrid w:val="0"/>
              </w:rPr>
              <w:br/>
            </w:r>
          </w:p>
          <w:p w14:paraId="2ACC4E16" w14:textId="1312CB1D" w:rsidR="003F3B26" w:rsidRPr="007D1918" w:rsidRDefault="003F3B26" w:rsidP="00D13985">
            <w:pPr>
              <w:pStyle w:val="TableText0"/>
              <w:ind w:left="77" w:right="117"/>
              <w:rPr>
                <w:snapToGrid w:val="0"/>
              </w:rPr>
            </w:pPr>
            <w:r w:rsidRPr="007D1918">
              <w:rPr>
                <w:snapToGrid w:val="0"/>
              </w:rPr>
              <w:t>2 (16.7%)</w:t>
            </w:r>
          </w:p>
        </w:tc>
        <w:tc>
          <w:tcPr>
            <w:tcW w:w="1166" w:type="pct"/>
            <w:shd w:val="clear" w:color="auto" w:fill="auto"/>
          </w:tcPr>
          <w:p w14:paraId="2F36AD53" w14:textId="2A6409DC" w:rsidR="006025EC" w:rsidRPr="007D1918" w:rsidRDefault="003F3B26" w:rsidP="00D13985">
            <w:pPr>
              <w:pStyle w:val="TableText0"/>
              <w:ind w:right="117"/>
              <w:rPr>
                <w:snapToGrid w:val="0"/>
              </w:rPr>
            </w:pPr>
            <w:r w:rsidRPr="007D1918">
              <w:rPr>
                <w:snapToGrid w:val="0"/>
              </w:rPr>
              <w:t>P = 0.01</w:t>
            </w:r>
            <w:r w:rsidR="006025EC" w:rsidRPr="007D1918">
              <w:rPr>
                <w:snapToGrid w:val="0"/>
                <w:vertAlign w:val="superscript"/>
              </w:rPr>
              <w:t>a</w:t>
            </w:r>
            <w:r w:rsidR="00B42345" w:rsidRPr="007D1918">
              <w:rPr>
                <w:snapToGrid w:val="0"/>
              </w:rPr>
              <w:br/>
            </w:r>
          </w:p>
          <w:p w14:paraId="74BBAC40" w14:textId="45974347" w:rsidR="006025EC" w:rsidRPr="007D1918" w:rsidRDefault="006025EC" w:rsidP="00D13985">
            <w:pPr>
              <w:pStyle w:val="TableText0"/>
              <w:ind w:right="117"/>
              <w:rPr>
                <w:snapToGrid w:val="0"/>
              </w:rPr>
            </w:pPr>
            <w:r w:rsidRPr="007D1918">
              <w:rPr>
                <w:snapToGrid w:val="0"/>
              </w:rPr>
              <w:t>P = 0.63 (-22.3%, 27.2%)</w:t>
            </w:r>
            <w:r w:rsidRPr="007D1918">
              <w:rPr>
                <w:snapToGrid w:val="0"/>
                <w:vertAlign w:val="superscript"/>
              </w:rPr>
              <w:t>b</w:t>
            </w:r>
          </w:p>
        </w:tc>
      </w:tr>
      <w:tr w:rsidR="003F3B26" w:rsidRPr="007D1918" w14:paraId="1CDB1E96" w14:textId="77777777" w:rsidTr="006025EC">
        <w:tc>
          <w:tcPr>
            <w:tcW w:w="925" w:type="pct"/>
            <w:shd w:val="clear" w:color="auto" w:fill="auto"/>
          </w:tcPr>
          <w:p w14:paraId="0A150FE6" w14:textId="15D88816" w:rsidR="006025EC" w:rsidRPr="007D1918" w:rsidRDefault="0075212A" w:rsidP="00BA4A83">
            <w:pPr>
              <w:pStyle w:val="TableText0"/>
              <w:rPr>
                <w:snapToGrid w:val="0"/>
              </w:rPr>
            </w:pPr>
            <w:r w:rsidRPr="007D1918">
              <w:rPr>
                <w:snapToGrid w:val="0"/>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56" w:tooltip="Jensen, 2008 #13" w:history="1">
              <w:r w:rsidR="007D4948" w:rsidRPr="007D1918">
                <w:rPr>
                  <w:noProof/>
                  <w:snapToGrid w:val="0"/>
                </w:rPr>
                <w:t>Jensen &amp; Bril 2008</w:t>
              </w:r>
            </w:hyperlink>
            <w:r w:rsidRPr="007D1918">
              <w:rPr>
                <w:noProof/>
                <w:snapToGrid w:val="0"/>
              </w:rPr>
              <w:t>)</w:t>
            </w:r>
            <w:r w:rsidRPr="007D1918">
              <w:rPr>
                <w:snapToGrid w:val="0"/>
              </w:rPr>
              <w:fldChar w:fldCharType="end"/>
            </w:r>
            <w:r w:rsidR="00755009" w:rsidRPr="007D1918">
              <w:rPr>
                <w:snapToGrid w:val="0"/>
              </w:rPr>
              <w:t xml:space="preserve">, </w:t>
            </w:r>
            <w:r w:rsidR="006025EC" w:rsidRPr="007D1918">
              <w:rPr>
                <w:snapToGrid w:val="0"/>
              </w:rPr>
              <w:t>Canada</w:t>
            </w:r>
          </w:p>
          <w:p w14:paraId="37F6E72F" w14:textId="77777777" w:rsidR="003F3B26" w:rsidRPr="007D1918" w:rsidRDefault="003F3B26" w:rsidP="00BA4A83">
            <w:pPr>
              <w:pStyle w:val="TableText0"/>
              <w:ind w:left="16" w:right="117"/>
              <w:rPr>
                <w:snapToGrid w:val="0"/>
              </w:rPr>
            </w:pPr>
            <w:r w:rsidRPr="007D1918">
              <w:rPr>
                <w:snapToGrid w:val="0"/>
              </w:rPr>
              <w:t>Level III-3</w:t>
            </w:r>
          </w:p>
          <w:p w14:paraId="5491EC37" w14:textId="21683F04" w:rsidR="003F3B26" w:rsidRPr="007D1918" w:rsidRDefault="003F3B26" w:rsidP="006025EC">
            <w:pPr>
              <w:pStyle w:val="TableText0"/>
              <w:rPr>
                <w:snapToGrid w:val="0"/>
              </w:rPr>
            </w:pPr>
            <w:r w:rsidRPr="007D1918">
              <w:rPr>
                <w:snapToGrid w:val="0"/>
              </w:rPr>
              <w:t>Low risk of bias</w:t>
            </w:r>
          </w:p>
        </w:tc>
        <w:tc>
          <w:tcPr>
            <w:tcW w:w="865" w:type="pct"/>
          </w:tcPr>
          <w:p w14:paraId="29561F86" w14:textId="49177A29" w:rsidR="003F3B26" w:rsidRPr="007D1918" w:rsidRDefault="003F3B26" w:rsidP="00B206F4">
            <w:pPr>
              <w:pStyle w:val="TableText0"/>
              <w:ind w:left="16" w:right="117"/>
              <w:rPr>
                <w:snapToGrid w:val="0"/>
              </w:rPr>
            </w:pPr>
            <w:r w:rsidRPr="007D1918">
              <w:rPr>
                <w:snapToGrid w:val="0"/>
              </w:rPr>
              <w:t>Headache</w:t>
            </w:r>
          </w:p>
          <w:p w14:paraId="01D081E6" w14:textId="3714021D" w:rsidR="003F3B26" w:rsidRPr="007D1918" w:rsidRDefault="003F3B26" w:rsidP="00B206F4">
            <w:pPr>
              <w:pStyle w:val="TableText0"/>
              <w:ind w:left="16" w:right="117"/>
              <w:rPr>
                <w:snapToGrid w:val="0"/>
              </w:rPr>
            </w:pPr>
            <w:r w:rsidRPr="007D1918">
              <w:rPr>
                <w:snapToGrid w:val="0"/>
              </w:rPr>
              <w:t>Dizziness</w:t>
            </w:r>
          </w:p>
          <w:p w14:paraId="24B64BCA" w14:textId="7E1701E3" w:rsidR="003F3B26" w:rsidRPr="007D1918" w:rsidRDefault="003F3B26" w:rsidP="00B206F4">
            <w:pPr>
              <w:pStyle w:val="TableText0"/>
              <w:ind w:left="16" w:right="117"/>
              <w:rPr>
                <w:snapToGrid w:val="0"/>
              </w:rPr>
            </w:pPr>
            <w:r w:rsidRPr="007D1918">
              <w:rPr>
                <w:snapToGrid w:val="0"/>
              </w:rPr>
              <w:t>Nausea</w:t>
            </w:r>
          </w:p>
          <w:p w14:paraId="53B0614B" w14:textId="77777777" w:rsidR="003F3B26" w:rsidRPr="007D1918" w:rsidRDefault="003F3B26" w:rsidP="00B206F4">
            <w:pPr>
              <w:pStyle w:val="TableText0"/>
              <w:ind w:left="16" w:right="117"/>
              <w:rPr>
                <w:snapToGrid w:val="0"/>
              </w:rPr>
            </w:pPr>
            <w:r w:rsidRPr="007D1918">
              <w:rPr>
                <w:snapToGrid w:val="0"/>
              </w:rPr>
              <w:t>Hypotension</w:t>
            </w:r>
          </w:p>
          <w:p w14:paraId="51A7296C" w14:textId="4FDC5485" w:rsidR="003F3B26" w:rsidRPr="007D1918" w:rsidRDefault="003F3B26" w:rsidP="00B206F4">
            <w:pPr>
              <w:pStyle w:val="TableText0"/>
              <w:ind w:left="16" w:right="117"/>
              <w:rPr>
                <w:snapToGrid w:val="0"/>
              </w:rPr>
            </w:pPr>
            <w:r w:rsidRPr="007D1918">
              <w:rPr>
                <w:snapToGrid w:val="0"/>
              </w:rPr>
              <w:t>Fever</w:t>
            </w:r>
          </w:p>
          <w:p w14:paraId="52A346FC" w14:textId="48435A64" w:rsidR="003F3B26" w:rsidRPr="007D1918" w:rsidRDefault="003F3B26" w:rsidP="00B206F4">
            <w:pPr>
              <w:pStyle w:val="TableText0"/>
              <w:ind w:left="16" w:right="117"/>
              <w:rPr>
                <w:snapToGrid w:val="0"/>
              </w:rPr>
            </w:pPr>
            <w:r w:rsidRPr="007D1918">
              <w:rPr>
                <w:snapToGrid w:val="0"/>
              </w:rPr>
              <w:t>Diarrhoea</w:t>
            </w:r>
          </w:p>
          <w:p w14:paraId="7D1FE978" w14:textId="469C28FE" w:rsidR="003F3B26" w:rsidRPr="007D1918" w:rsidRDefault="003F3B26" w:rsidP="00B206F4">
            <w:pPr>
              <w:pStyle w:val="TableText0"/>
              <w:ind w:left="16" w:right="117"/>
              <w:rPr>
                <w:snapToGrid w:val="0"/>
              </w:rPr>
            </w:pPr>
            <w:r w:rsidRPr="007D1918">
              <w:rPr>
                <w:snapToGrid w:val="0"/>
              </w:rPr>
              <w:t>Skin rash</w:t>
            </w:r>
          </w:p>
        </w:tc>
        <w:tc>
          <w:tcPr>
            <w:tcW w:w="1022" w:type="pct"/>
            <w:shd w:val="clear" w:color="auto" w:fill="auto"/>
          </w:tcPr>
          <w:p w14:paraId="6FDD7987" w14:textId="5FA34E1E" w:rsidR="003F3B26" w:rsidRPr="007D1918" w:rsidRDefault="003F3B26" w:rsidP="00D13985">
            <w:pPr>
              <w:pStyle w:val="TableText0"/>
              <w:ind w:left="111" w:right="117"/>
              <w:rPr>
                <w:snapToGrid w:val="0"/>
              </w:rPr>
            </w:pPr>
            <w:r w:rsidRPr="007D1918">
              <w:rPr>
                <w:snapToGrid w:val="0"/>
              </w:rPr>
              <w:t xml:space="preserve">2/9 </w:t>
            </w:r>
            <w:r w:rsidR="005E334B" w:rsidRPr="007D1918">
              <w:rPr>
                <w:snapToGrid w:val="0"/>
              </w:rPr>
              <w:t>(22%)</w:t>
            </w:r>
          </w:p>
          <w:p w14:paraId="15A1D6CD" w14:textId="16F8CF69" w:rsidR="003F3B26" w:rsidRPr="007D1918" w:rsidRDefault="003F3B26" w:rsidP="00D13985">
            <w:pPr>
              <w:pStyle w:val="TableText0"/>
              <w:ind w:left="111" w:right="117"/>
              <w:rPr>
                <w:snapToGrid w:val="0"/>
              </w:rPr>
            </w:pPr>
            <w:r w:rsidRPr="007D1918">
              <w:rPr>
                <w:snapToGrid w:val="0"/>
              </w:rPr>
              <w:t xml:space="preserve">1/9 </w:t>
            </w:r>
            <w:r w:rsidR="005E334B" w:rsidRPr="007D1918">
              <w:rPr>
                <w:snapToGrid w:val="0"/>
              </w:rPr>
              <w:t>(11%)</w:t>
            </w:r>
          </w:p>
          <w:p w14:paraId="0D555C0A" w14:textId="6239A1F2" w:rsidR="003F3B26" w:rsidRPr="007D1918" w:rsidRDefault="003F3B26" w:rsidP="00D13985">
            <w:pPr>
              <w:pStyle w:val="TableText0"/>
              <w:ind w:left="111" w:right="117"/>
              <w:rPr>
                <w:snapToGrid w:val="0"/>
              </w:rPr>
            </w:pPr>
            <w:r w:rsidRPr="007D1918">
              <w:rPr>
                <w:snapToGrid w:val="0"/>
              </w:rPr>
              <w:t>2/9</w:t>
            </w:r>
            <w:r w:rsidR="005E334B" w:rsidRPr="007D1918">
              <w:rPr>
                <w:snapToGrid w:val="0"/>
              </w:rPr>
              <w:t xml:space="preserve"> (22%)</w:t>
            </w:r>
          </w:p>
          <w:p w14:paraId="2B32CD0E" w14:textId="5806A099" w:rsidR="003F3B26" w:rsidRPr="007D1918" w:rsidRDefault="003F3B26" w:rsidP="00D13985">
            <w:pPr>
              <w:pStyle w:val="TableText0"/>
              <w:ind w:left="111" w:right="117"/>
              <w:rPr>
                <w:snapToGrid w:val="0"/>
              </w:rPr>
            </w:pPr>
            <w:r w:rsidRPr="007D1918">
              <w:rPr>
                <w:snapToGrid w:val="0"/>
              </w:rPr>
              <w:t>1/9</w:t>
            </w:r>
            <w:r w:rsidR="005E334B" w:rsidRPr="007D1918">
              <w:rPr>
                <w:snapToGrid w:val="0"/>
              </w:rPr>
              <w:t xml:space="preserve"> (11%)</w:t>
            </w:r>
          </w:p>
          <w:p w14:paraId="01DB2D6B" w14:textId="114BE5B3" w:rsidR="003F3B26" w:rsidRPr="007D1918" w:rsidRDefault="003F3B26" w:rsidP="00D13985">
            <w:pPr>
              <w:pStyle w:val="TableText0"/>
              <w:ind w:left="111" w:right="117"/>
              <w:rPr>
                <w:snapToGrid w:val="0"/>
              </w:rPr>
            </w:pPr>
            <w:r w:rsidRPr="007D1918">
              <w:rPr>
                <w:snapToGrid w:val="0"/>
              </w:rPr>
              <w:t>1/9</w:t>
            </w:r>
            <w:r w:rsidR="005E334B" w:rsidRPr="007D1918">
              <w:rPr>
                <w:snapToGrid w:val="0"/>
              </w:rPr>
              <w:t xml:space="preserve"> (11%)</w:t>
            </w:r>
          </w:p>
          <w:p w14:paraId="10FB466C" w14:textId="27B7CEE2" w:rsidR="003F3B26" w:rsidRPr="007D1918" w:rsidRDefault="003F3B26" w:rsidP="00D13985">
            <w:pPr>
              <w:pStyle w:val="TableText0"/>
              <w:ind w:left="111" w:right="117"/>
              <w:rPr>
                <w:snapToGrid w:val="0"/>
              </w:rPr>
            </w:pPr>
            <w:r w:rsidRPr="007D1918">
              <w:rPr>
                <w:snapToGrid w:val="0"/>
              </w:rPr>
              <w:t>1/9</w:t>
            </w:r>
            <w:r w:rsidR="005E334B" w:rsidRPr="007D1918">
              <w:rPr>
                <w:snapToGrid w:val="0"/>
              </w:rPr>
              <w:t xml:space="preserve"> (11%)</w:t>
            </w:r>
          </w:p>
          <w:p w14:paraId="4C4CAB96" w14:textId="5188792F" w:rsidR="003F3B26" w:rsidRPr="007D1918" w:rsidRDefault="003F3B26" w:rsidP="00D13985">
            <w:pPr>
              <w:pStyle w:val="TableText0"/>
              <w:ind w:left="111" w:right="117"/>
              <w:rPr>
                <w:snapToGrid w:val="0"/>
              </w:rPr>
            </w:pPr>
            <w:r w:rsidRPr="007D1918">
              <w:rPr>
                <w:snapToGrid w:val="0"/>
              </w:rPr>
              <w:t xml:space="preserve">1/9 </w:t>
            </w:r>
            <w:r w:rsidR="005E334B" w:rsidRPr="007D1918">
              <w:rPr>
                <w:snapToGrid w:val="0"/>
              </w:rPr>
              <w:t>(11%)</w:t>
            </w:r>
          </w:p>
        </w:tc>
        <w:tc>
          <w:tcPr>
            <w:tcW w:w="1022" w:type="pct"/>
            <w:shd w:val="clear" w:color="auto" w:fill="auto"/>
          </w:tcPr>
          <w:p w14:paraId="345F713C" w14:textId="58B077BC" w:rsidR="003F3B26" w:rsidRPr="007D1918" w:rsidRDefault="00755009" w:rsidP="00690B0B">
            <w:pPr>
              <w:pStyle w:val="TableText0"/>
              <w:ind w:left="77" w:right="117"/>
              <w:rPr>
                <w:snapToGrid w:val="0"/>
              </w:rPr>
            </w:pPr>
            <w:r w:rsidRPr="007D1918">
              <w:rPr>
                <w:snapToGrid w:val="0"/>
              </w:rPr>
              <w:t>NR</w:t>
            </w:r>
          </w:p>
        </w:tc>
        <w:tc>
          <w:tcPr>
            <w:tcW w:w="1166" w:type="pct"/>
            <w:shd w:val="clear" w:color="auto" w:fill="auto"/>
          </w:tcPr>
          <w:p w14:paraId="12A346AD" w14:textId="58649EED" w:rsidR="003F3B26" w:rsidRPr="007D1918" w:rsidRDefault="006025EC" w:rsidP="00D13985">
            <w:pPr>
              <w:pStyle w:val="TableText0"/>
              <w:ind w:right="117"/>
              <w:rPr>
                <w:snapToGrid w:val="0"/>
              </w:rPr>
            </w:pPr>
            <w:r w:rsidRPr="007D1918">
              <w:rPr>
                <w:snapToGrid w:val="0"/>
              </w:rPr>
              <w:t>-</w:t>
            </w:r>
          </w:p>
        </w:tc>
      </w:tr>
    </w:tbl>
    <w:p w14:paraId="50A4FCF5" w14:textId="0CD9E9C8" w:rsidR="007D3D35" w:rsidRPr="007D1918" w:rsidRDefault="007D3D35" w:rsidP="00755009">
      <w:pPr>
        <w:pStyle w:val="Tablenotes0"/>
        <w:spacing w:after="80"/>
        <w:contextualSpacing w:val="0"/>
      </w:pPr>
      <w:r w:rsidRPr="007D1918">
        <w:t>IVIg = intravenous immunoglobulin therapy;</w:t>
      </w:r>
      <w:r w:rsidR="00755009" w:rsidRPr="007D1918">
        <w:t xml:space="preserve"> NR = not reported</w:t>
      </w:r>
      <w:r w:rsidR="006F1538" w:rsidRPr="007D1918">
        <w:t>;</w:t>
      </w:r>
      <w:r w:rsidRPr="007D1918">
        <w:t xml:space="preserve"> PE = plasma exchange therapy</w:t>
      </w:r>
    </w:p>
    <w:p w14:paraId="02D8C7ED" w14:textId="5839777F" w:rsidR="0094721E" w:rsidRPr="007D1918" w:rsidRDefault="006025EC" w:rsidP="00E6429D">
      <w:pPr>
        <w:pStyle w:val="Tablenotes0"/>
      </w:pPr>
      <w:r w:rsidRPr="007D1918">
        <w:rPr>
          <w:vertAlign w:val="superscript"/>
        </w:rPr>
        <w:t>a</w:t>
      </w:r>
      <w:r w:rsidRPr="007D1918">
        <w:t xml:space="preserve"> Chi squared test </w:t>
      </w:r>
      <w:r w:rsidR="0075212A" w:rsidRPr="007D1918">
        <w:fldChar w:fldCharType="begin"/>
      </w:r>
      <w:r w:rsidR="00C437BA"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00C437BA" w:rsidRPr="007D1918">
        <w:rPr>
          <w:rFonts w:ascii="Cambria Math" w:hAnsi="Cambria Math" w:cs="Cambria Math"/>
        </w:rPr>
        <w:instrText>‐</w:instrText>
      </w:r>
      <w:r w:rsidR="00C437BA" w:rsidRPr="007D1918">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75212A" w:rsidRPr="007D1918">
        <w:fldChar w:fldCharType="separate"/>
      </w:r>
      <w:r w:rsidR="0075212A" w:rsidRPr="007D1918">
        <w:rPr>
          <w:noProof/>
        </w:rPr>
        <w:t>(</w:t>
      </w:r>
      <w:hyperlink w:anchor="_ENREF_4" w:tooltip="Alipour-Faz, 2017 #64" w:history="1">
        <w:r w:rsidR="007D4948" w:rsidRPr="007D1918">
          <w:rPr>
            <w:noProof/>
          </w:rPr>
          <w:t>Alipour-Faz et al. 2017</w:t>
        </w:r>
      </w:hyperlink>
      <w:r w:rsidR="0075212A" w:rsidRPr="007D1918">
        <w:rPr>
          <w:noProof/>
        </w:rPr>
        <w:t>)</w:t>
      </w:r>
      <w:r w:rsidR="0075212A" w:rsidRPr="007D1918">
        <w:fldChar w:fldCharType="end"/>
      </w:r>
    </w:p>
    <w:p w14:paraId="56FCCCD7" w14:textId="5617554F" w:rsidR="006025EC" w:rsidRPr="007D1918" w:rsidRDefault="006025EC" w:rsidP="00D37B08">
      <w:pPr>
        <w:pStyle w:val="Tablenotes0"/>
        <w:spacing w:after="0"/>
      </w:pPr>
      <w:r w:rsidRPr="007D1918">
        <w:rPr>
          <w:vertAlign w:val="superscript"/>
        </w:rPr>
        <w:t>b</w:t>
      </w:r>
      <w:r w:rsidR="00E403A6" w:rsidRPr="007D1918">
        <w:t xml:space="preserve"> Chi squared test</w:t>
      </w:r>
      <w:r w:rsidRPr="007D1918">
        <w:t xml:space="preserve">, </w:t>
      </w:r>
      <w:r w:rsidR="004D3879" w:rsidRPr="007D1918">
        <w:t>MedCalc</w:t>
      </w:r>
      <w:r w:rsidRPr="007D1918">
        <w:t xml:space="preserve"> online calculator</w:t>
      </w:r>
    </w:p>
    <w:p w14:paraId="11C6DBA3" w14:textId="77777777" w:rsidR="002A289C" w:rsidRPr="007D1918" w:rsidRDefault="002A289C" w:rsidP="00D37B08">
      <w:pPr>
        <w:pStyle w:val="Tabletext1"/>
      </w:pPr>
    </w:p>
    <w:p w14:paraId="72E65945" w14:textId="350F84C8" w:rsidR="00CE1F72" w:rsidRPr="007D1918" w:rsidRDefault="00CE1F72" w:rsidP="004E5C98">
      <w:pPr>
        <w:pStyle w:val="Heading4"/>
      </w:pPr>
      <w:r w:rsidRPr="007D1918">
        <w:t xml:space="preserve">Post-operative myasthenic crisis </w:t>
      </w:r>
      <w:r w:rsidR="006E2A21" w:rsidRPr="007D1918">
        <w:t>in patients given</w:t>
      </w:r>
      <w:r w:rsidRPr="007D1918">
        <w:t xml:space="preserve"> IVIg, PE </w:t>
      </w:r>
      <w:r w:rsidR="006E2A21" w:rsidRPr="007D1918">
        <w:t xml:space="preserve">or </w:t>
      </w:r>
      <w:r w:rsidRPr="007D1918">
        <w:t>Immunosuppressive therapy</w:t>
      </w:r>
    </w:p>
    <w:p w14:paraId="50088E7E" w14:textId="19010391" w:rsidR="00BB14D0" w:rsidRPr="007D1918" w:rsidRDefault="005212DF" w:rsidP="00C76056">
      <w:pPr>
        <w:jc w:val="both"/>
      </w:pPr>
      <w:r w:rsidRPr="007D1918">
        <w:t>In o</w:t>
      </w:r>
      <w:r w:rsidR="00C3442D" w:rsidRPr="007D1918">
        <w:t xml:space="preserve">ne other retrospective analysis </w:t>
      </w:r>
      <w:r w:rsidR="0075212A" w:rsidRPr="007D1918">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instrText xml:space="preserve"> ADDIN EN.CITE </w:instrText>
      </w:r>
      <w:r w:rsidR="00C437BA" w:rsidRPr="007D1918">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0" w:tooltip="Leuzzi, 2014 #63" w:history="1">
        <w:r w:rsidR="007D4948" w:rsidRPr="007D1918">
          <w:rPr>
            <w:noProof/>
          </w:rPr>
          <w:t>Leuzzi et al. 2014</w:t>
        </w:r>
      </w:hyperlink>
      <w:r w:rsidR="0075212A" w:rsidRPr="007D1918">
        <w:rPr>
          <w:noProof/>
        </w:rPr>
        <w:t>)</w:t>
      </w:r>
      <w:r w:rsidR="0075212A" w:rsidRPr="007D1918">
        <w:fldChar w:fldCharType="end"/>
      </w:r>
      <w:r w:rsidR="005E334B" w:rsidRPr="007D1918">
        <w:t>,</w:t>
      </w:r>
      <w:r w:rsidR="00C3442D" w:rsidRPr="007D1918">
        <w:t xml:space="preserve"> 177 MG patients who underwent thymectomy </w:t>
      </w:r>
      <w:r w:rsidRPr="007D1918">
        <w:t xml:space="preserve">were assessed </w:t>
      </w:r>
      <w:r w:rsidR="00C3442D" w:rsidRPr="007D1918">
        <w:t xml:space="preserve">for predictive factors associated with </w:t>
      </w:r>
      <w:r w:rsidR="003742C8" w:rsidRPr="007D1918">
        <w:t xml:space="preserve">post-operative </w:t>
      </w:r>
      <w:r w:rsidR="00C3442D" w:rsidRPr="007D1918">
        <w:t>myasthenic crisis</w:t>
      </w:r>
      <w:r w:rsidR="003742C8" w:rsidRPr="007D1918">
        <w:t xml:space="preserve"> (POMC)</w:t>
      </w:r>
      <w:r w:rsidR="00C3442D" w:rsidRPr="007D1918">
        <w:t xml:space="preserve">. </w:t>
      </w:r>
      <w:r w:rsidR="00062FA0" w:rsidRPr="007D1918">
        <w:t>In t</w:t>
      </w:r>
      <w:r w:rsidR="00C3442D" w:rsidRPr="007D1918">
        <w:t>h</w:t>
      </w:r>
      <w:r w:rsidRPr="007D1918">
        <w:t>is</w:t>
      </w:r>
      <w:r w:rsidR="00C3442D" w:rsidRPr="007D1918">
        <w:t xml:space="preserve"> single centre study </w:t>
      </w:r>
      <w:r w:rsidR="000D4845" w:rsidRPr="007D1918">
        <w:t>44 (24.8%) patients underwent PE, and 34 (19.3%) underwent IVIg prior to surgery</w:t>
      </w:r>
      <w:r w:rsidR="00507603" w:rsidRPr="007D1918">
        <w:t xml:space="preserve"> (</w:t>
      </w:r>
      <w:r w:rsidR="00507603" w:rsidRPr="007D1918">
        <w:fldChar w:fldCharType="begin"/>
      </w:r>
      <w:r w:rsidR="00507603" w:rsidRPr="007D1918">
        <w:instrText xml:space="preserve"> REF _Ref9325557 \h </w:instrText>
      </w:r>
      <w:r w:rsidR="00E07567" w:rsidRPr="007D1918">
        <w:instrText xml:space="preserve"> \* MERGEFORMAT </w:instrText>
      </w:r>
      <w:r w:rsidR="00507603" w:rsidRPr="007D1918">
        <w:fldChar w:fldCharType="separate"/>
      </w:r>
      <w:r w:rsidR="00153384" w:rsidRPr="007D1918">
        <w:t xml:space="preserve">Table </w:t>
      </w:r>
      <w:r w:rsidR="00153384" w:rsidRPr="007D1918">
        <w:rPr>
          <w:noProof/>
        </w:rPr>
        <w:t>20</w:t>
      </w:r>
      <w:r w:rsidR="00507603" w:rsidRPr="007D1918">
        <w:fldChar w:fldCharType="end"/>
      </w:r>
      <w:r w:rsidR="00507603" w:rsidRPr="007D1918">
        <w:t>)</w:t>
      </w:r>
      <w:r w:rsidR="000D4845" w:rsidRPr="007D1918">
        <w:t>. Of the whole group</w:t>
      </w:r>
      <w:r w:rsidRPr="007D1918">
        <w:t>,</w:t>
      </w:r>
      <w:r w:rsidR="000D4845" w:rsidRPr="007D1918">
        <w:t xml:space="preserve"> 79.4% were on </w:t>
      </w:r>
      <w:r w:rsidR="00210033" w:rsidRPr="007D1918">
        <w:t>IS</w:t>
      </w:r>
      <w:r w:rsidR="000D4845" w:rsidRPr="007D1918">
        <w:t xml:space="preserve"> therapies</w:t>
      </w:r>
      <w:r w:rsidR="00B42345" w:rsidRPr="007D1918">
        <w:t xml:space="preserve"> (specific drugs not stated) </w:t>
      </w:r>
      <w:r w:rsidR="000D4845" w:rsidRPr="007D1918">
        <w:t xml:space="preserve">for MG management at the time of surgery. The study </w:t>
      </w:r>
      <w:r w:rsidR="00C3442D" w:rsidRPr="007D1918">
        <w:t>reported that preoperative PE was independently ass</w:t>
      </w:r>
      <w:r w:rsidR="00062FA0" w:rsidRPr="007D1918">
        <w:t xml:space="preserve">ociated with </w:t>
      </w:r>
      <w:r w:rsidR="003742C8" w:rsidRPr="007D1918">
        <w:t>POMC</w:t>
      </w:r>
      <w:r w:rsidR="00062FA0" w:rsidRPr="007D1918">
        <w:t xml:space="preserve"> by</w:t>
      </w:r>
      <w:r w:rsidR="00C3442D" w:rsidRPr="007D1918">
        <w:t xml:space="preserve"> simple logistic regression (p = 0.021) but </w:t>
      </w:r>
      <w:r w:rsidR="000D4845" w:rsidRPr="007D1918">
        <w:t xml:space="preserve">this </w:t>
      </w:r>
      <w:r w:rsidR="00C3442D" w:rsidRPr="007D1918">
        <w:t xml:space="preserve">was not confirmed by multivariate analysis (p = 0.066). IVIg </w:t>
      </w:r>
      <w:r w:rsidR="00062FA0" w:rsidRPr="007D1918">
        <w:t xml:space="preserve">and </w:t>
      </w:r>
      <w:r w:rsidR="00210033" w:rsidRPr="007D1918">
        <w:t>IS</w:t>
      </w:r>
      <w:r w:rsidR="00062FA0" w:rsidRPr="007D1918">
        <w:t xml:space="preserve"> therapy were</w:t>
      </w:r>
      <w:r w:rsidR="00C3442D" w:rsidRPr="007D1918">
        <w:t xml:space="preserve"> not associated with </w:t>
      </w:r>
      <w:r w:rsidR="003742C8" w:rsidRPr="007D1918">
        <w:t>POMC</w:t>
      </w:r>
      <w:r w:rsidR="00C3442D" w:rsidRPr="007D1918">
        <w:t xml:space="preserve"> either by simple regression or multivariate analysis. </w:t>
      </w:r>
      <w:r w:rsidR="007F0E67" w:rsidRPr="007D1918">
        <w:t xml:space="preserve">Multivariate </w:t>
      </w:r>
      <w:r w:rsidR="00C76056" w:rsidRPr="007D1918">
        <w:t xml:space="preserve">analysis for predictive factors for any complication found that higher Osserman classification (stage III-IV or IIB), longer duration of MG (&gt;2 years) and no immunosuppressive therapy were independent predictors of higher incidence of complications associated with thymectomy. </w:t>
      </w:r>
      <w:r w:rsidR="0043160B" w:rsidRPr="007D1918">
        <w:t xml:space="preserve">As patients were not randomised to therapies and therapy groups were not compared, these results should be considered cautiously when trying to determine the safety of IVIg compared to other treatments. </w:t>
      </w:r>
      <w:r w:rsidR="00B82EBE" w:rsidRPr="007D1918">
        <w:t xml:space="preserve">Other non-randomised evidence has shown that a preference for PE for patients in crisis cannot be ruled out </w:t>
      </w:r>
      <w:r w:rsidR="003736AC"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3736AC" w:rsidRPr="007D1918">
        <w:fldChar w:fldCharType="separate"/>
      </w:r>
      <w:r w:rsidR="003736AC" w:rsidRPr="007D1918">
        <w:rPr>
          <w:noProof/>
        </w:rPr>
        <w:t>(</w:t>
      </w:r>
      <w:hyperlink w:anchor="_ENREF_64" w:tooltip="Mandawat, 2010 #37" w:history="1">
        <w:r w:rsidR="007D4948" w:rsidRPr="007D1918">
          <w:rPr>
            <w:noProof/>
          </w:rPr>
          <w:t>Mandawat et al. 2010</w:t>
        </w:r>
      </w:hyperlink>
      <w:r w:rsidR="003736AC" w:rsidRPr="007D1918">
        <w:rPr>
          <w:noProof/>
        </w:rPr>
        <w:t>)</w:t>
      </w:r>
      <w:r w:rsidR="003736AC" w:rsidRPr="007D1918">
        <w:fldChar w:fldCharType="end"/>
      </w:r>
      <w:r w:rsidR="00B82EBE" w:rsidRPr="007D1918">
        <w:t>.</w:t>
      </w:r>
    </w:p>
    <w:p w14:paraId="42F119FD" w14:textId="4C644A4C" w:rsidR="00C76056" w:rsidRPr="007D1918" w:rsidRDefault="00C76056" w:rsidP="003E0105">
      <w:pPr>
        <w:pStyle w:val="Caption"/>
        <w:keepNext/>
        <w:keepLines/>
      </w:pPr>
      <w:bookmarkStart w:id="230" w:name="_Ref9325557"/>
      <w:bookmarkStart w:id="231" w:name="_Toc23769507"/>
      <w:r w:rsidRPr="007D1918">
        <w:lastRenderedPageBreak/>
        <w:t xml:space="preserve">Table </w:t>
      </w:r>
      <w:r w:rsidR="0097383C" w:rsidRPr="007D1918">
        <w:rPr>
          <w:noProof/>
        </w:rPr>
        <w:fldChar w:fldCharType="begin"/>
      </w:r>
      <w:r w:rsidR="0097383C" w:rsidRPr="007D1918">
        <w:rPr>
          <w:noProof/>
        </w:rPr>
        <w:instrText xml:space="preserve"> SEQ Table \* ARABIC </w:instrText>
      </w:r>
      <w:r w:rsidR="0097383C" w:rsidRPr="007D1918">
        <w:rPr>
          <w:noProof/>
        </w:rPr>
        <w:fldChar w:fldCharType="separate"/>
      </w:r>
      <w:r w:rsidR="00942701" w:rsidRPr="007D1918">
        <w:rPr>
          <w:noProof/>
        </w:rPr>
        <w:t>20</w:t>
      </w:r>
      <w:r w:rsidR="0097383C" w:rsidRPr="007D1918">
        <w:rPr>
          <w:noProof/>
        </w:rPr>
        <w:fldChar w:fldCharType="end"/>
      </w:r>
      <w:bookmarkEnd w:id="230"/>
      <w:r w:rsidRPr="007D1918">
        <w:tab/>
        <w:t>Likelihood of post-operative myasthenic crisis by therapy type</w:t>
      </w:r>
      <w:r w:rsidR="00755009" w:rsidRPr="007D1918">
        <w:t xml:space="preserve"> </w:t>
      </w:r>
      <w:r w:rsidR="0075212A" w:rsidRPr="007D1918">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instrText xml:space="preserve"> ADDIN EN.CITE </w:instrText>
      </w:r>
      <w:r w:rsidR="00C437BA" w:rsidRPr="007D1918">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0" w:tooltip="Leuzzi, 2014 #63" w:history="1">
        <w:r w:rsidR="007D4948" w:rsidRPr="007D1918">
          <w:rPr>
            <w:noProof/>
          </w:rPr>
          <w:t>Leuzzi et al. 2014</w:t>
        </w:r>
      </w:hyperlink>
      <w:r w:rsidR="0075212A" w:rsidRPr="007D1918">
        <w:rPr>
          <w:noProof/>
        </w:rPr>
        <w:t>)</w:t>
      </w:r>
      <w:bookmarkEnd w:id="231"/>
      <w:r w:rsidR="0075212A" w:rsidRPr="007D1918">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8 Likelihood of post-operative myasthenic crisis by therapy type (Leuzzi et al. 2014)"/>
        <w:tblDescription w:val="A comparison of the number of MG (Indication 2) patients who experienced myasthenic crisis following surgery betwen those recieving IVIg, PE and IS only."/>
      </w:tblPr>
      <w:tblGrid>
        <w:gridCol w:w="2236"/>
        <w:gridCol w:w="2127"/>
        <w:gridCol w:w="2269"/>
        <w:gridCol w:w="2267"/>
      </w:tblGrid>
      <w:tr w:rsidR="000D4845" w:rsidRPr="007D1918" w14:paraId="54BA34B3" w14:textId="77777777" w:rsidTr="000D4845">
        <w:tc>
          <w:tcPr>
            <w:tcW w:w="1256" w:type="pct"/>
            <w:shd w:val="clear" w:color="auto" w:fill="auto"/>
          </w:tcPr>
          <w:p w14:paraId="64F6B42D" w14:textId="58D39D7C" w:rsidR="000D4845" w:rsidRPr="007D1918" w:rsidRDefault="000D4845" w:rsidP="003E0105">
            <w:pPr>
              <w:pStyle w:val="TableHeading"/>
              <w:keepLines/>
              <w:rPr>
                <w:snapToGrid w:val="0"/>
                <w:lang w:eastAsia="en-US"/>
              </w:rPr>
            </w:pPr>
            <w:r w:rsidRPr="007D1918">
              <w:rPr>
                <w:snapToGrid w:val="0"/>
                <w:lang w:eastAsia="en-US"/>
              </w:rPr>
              <w:t>Event</w:t>
            </w:r>
          </w:p>
        </w:tc>
        <w:tc>
          <w:tcPr>
            <w:tcW w:w="1195" w:type="pct"/>
          </w:tcPr>
          <w:p w14:paraId="14B4D4C7" w14:textId="77777777" w:rsidR="000D4845" w:rsidRPr="007D1918" w:rsidRDefault="000D4845" w:rsidP="003E0105">
            <w:pPr>
              <w:pStyle w:val="TableHeading"/>
              <w:keepLines/>
              <w:ind w:right="117"/>
              <w:rPr>
                <w:snapToGrid w:val="0"/>
                <w:lang w:eastAsia="en-US"/>
              </w:rPr>
            </w:pPr>
            <w:r w:rsidRPr="007D1918">
              <w:rPr>
                <w:snapToGrid w:val="0"/>
                <w:lang w:eastAsia="en-US"/>
              </w:rPr>
              <w:t xml:space="preserve">IVIg </w:t>
            </w:r>
          </w:p>
          <w:p w14:paraId="676AFECF" w14:textId="78538D5D" w:rsidR="000D4845" w:rsidRPr="007D1918" w:rsidRDefault="000D4845" w:rsidP="003E0105">
            <w:pPr>
              <w:pStyle w:val="TableHeading"/>
              <w:keepLines/>
              <w:ind w:left="16" w:right="117"/>
              <w:rPr>
                <w:snapToGrid w:val="0"/>
                <w:lang w:eastAsia="en-US"/>
              </w:rPr>
            </w:pPr>
            <w:r w:rsidRPr="007D1918">
              <w:rPr>
                <w:snapToGrid w:val="0"/>
                <w:lang w:eastAsia="en-US"/>
              </w:rPr>
              <w:t>n with event/N (%)</w:t>
            </w:r>
          </w:p>
        </w:tc>
        <w:tc>
          <w:tcPr>
            <w:tcW w:w="1275" w:type="pct"/>
            <w:shd w:val="clear" w:color="auto" w:fill="auto"/>
          </w:tcPr>
          <w:p w14:paraId="5E8A584C" w14:textId="77777777" w:rsidR="000D4845" w:rsidRPr="007D1918" w:rsidRDefault="000D4845" w:rsidP="003E0105">
            <w:pPr>
              <w:pStyle w:val="TableHeading"/>
              <w:keepLines/>
              <w:ind w:left="77" w:right="117"/>
              <w:rPr>
                <w:snapToGrid w:val="0"/>
                <w:lang w:eastAsia="en-US"/>
              </w:rPr>
            </w:pPr>
            <w:r w:rsidRPr="007D1918">
              <w:rPr>
                <w:snapToGrid w:val="0"/>
                <w:lang w:eastAsia="en-US"/>
              </w:rPr>
              <w:t>PE</w:t>
            </w:r>
          </w:p>
          <w:p w14:paraId="307478BC" w14:textId="7C6A42A2" w:rsidR="000D4845" w:rsidRPr="007D1918" w:rsidRDefault="000D4845" w:rsidP="003E0105">
            <w:pPr>
              <w:pStyle w:val="TableHeading"/>
              <w:keepLines/>
              <w:ind w:left="111" w:right="117"/>
              <w:rPr>
                <w:snapToGrid w:val="0"/>
                <w:lang w:eastAsia="en-US"/>
              </w:rPr>
            </w:pPr>
            <w:r w:rsidRPr="007D1918">
              <w:rPr>
                <w:snapToGrid w:val="0"/>
                <w:lang w:eastAsia="en-US"/>
              </w:rPr>
              <w:t>n with event/N (%)</w:t>
            </w:r>
          </w:p>
        </w:tc>
        <w:tc>
          <w:tcPr>
            <w:tcW w:w="1274" w:type="pct"/>
            <w:shd w:val="clear" w:color="auto" w:fill="auto"/>
          </w:tcPr>
          <w:p w14:paraId="48148AD8" w14:textId="77777777" w:rsidR="000D4845" w:rsidRPr="007D1918" w:rsidRDefault="000D4845" w:rsidP="003E0105">
            <w:pPr>
              <w:pStyle w:val="TableHeading"/>
              <w:keepLines/>
              <w:ind w:left="77" w:right="117"/>
              <w:rPr>
                <w:snapToGrid w:val="0"/>
                <w:lang w:eastAsia="en-US"/>
              </w:rPr>
            </w:pPr>
            <w:r w:rsidRPr="007D1918">
              <w:rPr>
                <w:snapToGrid w:val="0"/>
                <w:lang w:eastAsia="en-US"/>
              </w:rPr>
              <w:t>IS</w:t>
            </w:r>
          </w:p>
          <w:p w14:paraId="2020F3CD" w14:textId="2E812B6F" w:rsidR="000D4845" w:rsidRPr="007D1918" w:rsidRDefault="000D4845" w:rsidP="003E0105">
            <w:pPr>
              <w:pStyle w:val="TableHeading"/>
              <w:keepLines/>
              <w:ind w:left="77" w:right="117"/>
              <w:rPr>
                <w:snapToGrid w:val="0"/>
                <w:lang w:eastAsia="en-US"/>
              </w:rPr>
            </w:pPr>
            <w:r w:rsidRPr="007D1918">
              <w:rPr>
                <w:snapToGrid w:val="0"/>
                <w:lang w:eastAsia="en-US"/>
              </w:rPr>
              <w:t>n with event/N (%)</w:t>
            </w:r>
          </w:p>
        </w:tc>
      </w:tr>
      <w:tr w:rsidR="000D4845" w:rsidRPr="007D1918" w14:paraId="0F46A963" w14:textId="77777777" w:rsidTr="000D4845">
        <w:tc>
          <w:tcPr>
            <w:tcW w:w="1256" w:type="pct"/>
            <w:shd w:val="clear" w:color="auto" w:fill="auto"/>
          </w:tcPr>
          <w:p w14:paraId="7EFC3AB6" w14:textId="2B4110C9" w:rsidR="000D4845" w:rsidRPr="007D1918" w:rsidRDefault="000D4845" w:rsidP="003E0105">
            <w:pPr>
              <w:pStyle w:val="TableText0"/>
              <w:keepLines/>
              <w:rPr>
                <w:snapToGrid w:val="0"/>
              </w:rPr>
            </w:pPr>
            <w:r w:rsidRPr="007D1918">
              <w:rPr>
                <w:snapToGrid w:val="0"/>
              </w:rPr>
              <w:t>Proportion of surgery patients undergoing therapy</w:t>
            </w:r>
          </w:p>
        </w:tc>
        <w:tc>
          <w:tcPr>
            <w:tcW w:w="1195" w:type="pct"/>
          </w:tcPr>
          <w:p w14:paraId="2D655B2B" w14:textId="01017C8A" w:rsidR="000D4845" w:rsidRPr="007D1918" w:rsidRDefault="000D4845" w:rsidP="003E0105">
            <w:pPr>
              <w:pStyle w:val="TableText0"/>
              <w:keepLines/>
              <w:rPr>
                <w:snapToGrid w:val="0"/>
              </w:rPr>
            </w:pPr>
            <w:r w:rsidRPr="007D1918">
              <w:rPr>
                <w:snapToGrid w:val="0"/>
              </w:rPr>
              <w:t>34/176 (19.3%)</w:t>
            </w:r>
          </w:p>
        </w:tc>
        <w:tc>
          <w:tcPr>
            <w:tcW w:w="1275" w:type="pct"/>
            <w:shd w:val="clear" w:color="auto" w:fill="auto"/>
          </w:tcPr>
          <w:p w14:paraId="24674EA0" w14:textId="55BD7D47" w:rsidR="000D4845" w:rsidRPr="007D1918" w:rsidRDefault="000D4845" w:rsidP="003E0105">
            <w:pPr>
              <w:pStyle w:val="TableText0"/>
              <w:keepLines/>
              <w:rPr>
                <w:snapToGrid w:val="0"/>
              </w:rPr>
            </w:pPr>
            <w:r w:rsidRPr="007D1918">
              <w:rPr>
                <w:snapToGrid w:val="0"/>
              </w:rPr>
              <w:t>44/177 (24.8%)</w:t>
            </w:r>
          </w:p>
        </w:tc>
        <w:tc>
          <w:tcPr>
            <w:tcW w:w="1274" w:type="pct"/>
            <w:shd w:val="clear" w:color="auto" w:fill="auto"/>
          </w:tcPr>
          <w:p w14:paraId="2A4006F9" w14:textId="01B9F032" w:rsidR="000D4845" w:rsidRPr="007D1918" w:rsidRDefault="000D4845" w:rsidP="006D3FA5">
            <w:pPr>
              <w:pStyle w:val="TableText0"/>
              <w:keepLines/>
              <w:rPr>
                <w:snapToGrid w:val="0"/>
              </w:rPr>
            </w:pPr>
            <w:r w:rsidRPr="007D1918">
              <w:rPr>
                <w:snapToGrid w:val="0"/>
              </w:rPr>
              <w:t>1</w:t>
            </w:r>
            <w:r w:rsidR="006D3FA5" w:rsidRPr="007D1918">
              <w:rPr>
                <w:snapToGrid w:val="0"/>
              </w:rPr>
              <w:t>41</w:t>
            </w:r>
            <w:r w:rsidRPr="007D1918">
              <w:rPr>
                <w:snapToGrid w:val="0"/>
              </w:rPr>
              <w:t>/177 (79.7%)</w:t>
            </w:r>
          </w:p>
        </w:tc>
      </w:tr>
      <w:tr w:rsidR="000D4845" w:rsidRPr="007D1918" w14:paraId="712FEBC1" w14:textId="77777777" w:rsidTr="000D4845">
        <w:tc>
          <w:tcPr>
            <w:tcW w:w="1256" w:type="pct"/>
            <w:shd w:val="clear" w:color="auto" w:fill="auto"/>
          </w:tcPr>
          <w:p w14:paraId="05F70BD3" w14:textId="1B169CF0" w:rsidR="000D4845" w:rsidRPr="007D1918" w:rsidRDefault="000D4845" w:rsidP="00BF0974">
            <w:pPr>
              <w:pStyle w:val="TableText0"/>
              <w:rPr>
                <w:snapToGrid w:val="0"/>
              </w:rPr>
            </w:pPr>
            <w:r w:rsidRPr="007D1918">
              <w:rPr>
                <w:snapToGrid w:val="0"/>
              </w:rPr>
              <w:t>Myasthenic crisis in those on therapy</w:t>
            </w:r>
          </w:p>
        </w:tc>
        <w:tc>
          <w:tcPr>
            <w:tcW w:w="1195" w:type="pct"/>
          </w:tcPr>
          <w:p w14:paraId="718D4450" w14:textId="4290A666" w:rsidR="000D4845" w:rsidRPr="007D1918" w:rsidRDefault="000D4845" w:rsidP="00BF0974">
            <w:pPr>
              <w:pStyle w:val="TableText0"/>
              <w:rPr>
                <w:snapToGrid w:val="0"/>
              </w:rPr>
            </w:pPr>
            <w:r w:rsidRPr="007D1918">
              <w:rPr>
                <w:snapToGrid w:val="0"/>
              </w:rPr>
              <w:t>5/34 (14.7%)</w:t>
            </w:r>
          </w:p>
        </w:tc>
        <w:tc>
          <w:tcPr>
            <w:tcW w:w="1275" w:type="pct"/>
            <w:shd w:val="clear" w:color="auto" w:fill="auto"/>
          </w:tcPr>
          <w:p w14:paraId="5382A6C6" w14:textId="577A6AC5" w:rsidR="000D4845" w:rsidRPr="007D1918" w:rsidRDefault="000D4845" w:rsidP="00406734">
            <w:pPr>
              <w:pStyle w:val="TableText0"/>
              <w:rPr>
                <w:snapToGrid w:val="0"/>
              </w:rPr>
            </w:pPr>
            <w:r w:rsidRPr="007D1918">
              <w:rPr>
                <w:snapToGrid w:val="0"/>
              </w:rPr>
              <w:t>10/44 (22.7%)</w:t>
            </w:r>
          </w:p>
        </w:tc>
        <w:tc>
          <w:tcPr>
            <w:tcW w:w="1274" w:type="pct"/>
            <w:shd w:val="clear" w:color="auto" w:fill="auto"/>
          </w:tcPr>
          <w:p w14:paraId="5644E18E" w14:textId="252180B2" w:rsidR="000D4845" w:rsidRPr="007D1918" w:rsidRDefault="000D4845" w:rsidP="001947FB">
            <w:pPr>
              <w:pStyle w:val="TableText0"/>
              <w:rPr>
                <w:snapToGrid w:val="0"/>
              </w:rPr>
            </w:pPr>
            <w:r w:rsidRPr="007D1918">
              <w:rPr>
                <w:snapToGrid w:val="0"/>
              </w:rPr>
              <w:t>18/141 (12.8%)</w:t>
            </w:r>
          </w:p>
        </w:tc>
      </w:tr>
      <w:tr w:rsidR="000D4845" w:rsidRPr="007D1918" w14:paraId="44405729" w14:textId="77777777" w:rsidTr="000D4845">
        <w:tc>
          <w:tcPr>
            <w:tcW w:w="1256" w:type="pct"/>
            <w:shd w:val="clear" w:color="auto" w:fill="auto"/>
          </w:tcPr>
          <w:p w14:paraId="3B167719" w14:textId="4D4FEB65" w:rsidR="000D4845" w:rsidRPr="007D1918" w:rsidRDefault="000D4845" w:rsidP="00BF0974">
            <w:pPr>
              <w:pStyle w:val="TableText0"/>
              <w:rPr>
                <w:snapToGrid w:val="0"/>
              </w:rPr>
            </w:pPr>
            <w:r w:rsidRPr="007D1918">
              <w:rPr>
                <w:snapToGrid w:val="0"/>
              </w:rPr>
              <w:t>Myasthenic crisis in those not on therapy</w:t>
            </w:r>
          </w:p>
        </w:tc>
        <w:tc>
          <w:tcPr>
            <w:tcW w:w="1195" w:type="pct"/>
          </w:tcPr>
          <w:p w14:paraId="67E3C0F6" w14:textId="310950A3" w:rsidR="000D4845" w:rsidRPr="007D1918" w:rsidRDefault="000D4845" w:rsidP="001947FB">
            <w:pPr>
              <w:pStyle w:val="TableText0"/>
              <w:rPr>
                <w:snapToGrid w:val="0"/>
              </w:rPr>
            </w:pPr>
            <w:r w:rsidRPr="007D1918">
              <w:rPr>
                <w:snapToGrid w:val="0"/>
              </w:rPr>
              <w:t>17/142 (12.0%)</w:t>
            </w:r>
          </w:p>
        </w:tc>
        <w:tc>
          <w:tcPr>
            <w:tcW w:w="1275" w:type="pct"/>
            <w:shd w:val="clear" w:color="auto" w:fill="auto"/>
          </w:tcPr>
          <w:p w14:paraId="276E9721" w14:textId="0EC5F9CE" w:rsidR="000D4845" w:rsidRPr="007D1918" w:rsidRDefault="000D4845" w:rsidP="00406734">
            <w:pPr>
              <w:pStyle w:val="TableText0"/>
              <w:rPr>
                <w:snapToGrid w:val="0"/>
              </w:rPr>
            </w:pPr>
            <w:r w:rsidRPr="007D1918">
              <w:rPr>
                <w:snapToGrid w:val="0"/>
              </w:rPr>
              <w:t>12/133 (9.0%)</w:t>
            </w:r>
          </w:p>
        </w:tc>
        <w:tc>
          <w:tcPr>
            <w:tcW w:w="1274" w:type="pct"/>
            <w:shd w:val="clear" w:color="auto" w:fill="auto"/>
          </w:tcPr>
          <w:p w14:paraId="58A886D5" w14:textId="5C0D1FD0" w:rsidR="000D4845" w:rsidRPr="007D1918" w:rsidRDefault="000D4845" w:rsidP="00BF0974">
            <w:pPr>
              <w:pStyle w:val="TableText0"/>
              <w:rPr>
                <w:snapToGrid w:val="0"/>
              </w:rPr>
            </w:pPr>
            <w:r w:rsidRPr="007D1918">
              <w:rPr>
                <w:snapToGrid w:val="0"/>
              </w:rPr>
              <w:t>4/36 (11.1%)</w:t>
            </w:r>
          </w:p>
        </w:tc>
      </w:tr>
      <w:tr w:rsidR="000D4845" w:rsidRPr="007D1918" w14:paraId="0CA52FE3" w14:textId="77777777" w:rsidTr="000D4845">
        <w:tc>
          <w:tcPr>
            <w:tcW w:w="1256" w:type="pct"/>
            <w:shd w:val="clear" w:color="auto" w:fill="auto"/>
          </w:tcPr>
          <w:p w14:paraId="455E480F" w14:textId="6C9E0B74" w:rsidR="000D4845" w:rsidRPr="007D1918" w:rsidRDefault="000D4845" w:rsidP="00BF0974">
            <w:pPr>
              <w:pStyle w:val="TableText0"/>
              <w:rPr>
                <w:snapToGrid w:val="0"/>
              </w:rPr>
            </w:pPr>
            <w:r w:rsidRPr="007D1918">
              <w:rPr>
                <w:snapToGrid w:val="0"/>
              </w:rPr>
              <w:t>OR (unadjusted)</w:t>
            </w:r>
          </w:p>
          <w:p w14:paraId="4BF9FE10" w14:textId="6ABE9B65" w:rsidR="000D4845" w:rsidRPr="007D1918" w:rsidRDefault="00755009" w:rsidP="00BF0974">
            <w:pPr>
              <w:pStyle w:val="TableText0"/>
              <w:rPr>
                <w:snapToGrid w:val="0"/>
              </w:rPr>
            </w:pPr>
            <w:r w:rsidRPr="007D1918">
              <w:rPr>
                <w:snapToGrid w:val="0"/>
              </w:rPr>
              <w:t>(</w:t>
            </w:r>
            <w:r w:rsidR="00781376" w:rsidRPr="007D1918">
              <w:rPr>
                <w:snapToGrid w:val="0"/>
              </w:rPr>
              <w:t>95% CI</w:t>
            </w:r>
            <w:r w:rsidRPr="007D1918">
              <w:rPr>
                <w:snapToGrid w:val="0"/>
              </w:rPr>
              <w:t>)</w:t>
            </w:r>
            <w:r w:rsidR="000D4845" w:rsidRPr="007D1918">
              <w:rPr>
                <w:snapToGrid w:val="0"/>
              </w:rPr>
              <w:t xml:space="preserve"> p</w:t>
            </w:r>
            <w:r w:rsidRPr="007D1918">
              <w:rPr>
                <w:snapToGrid w:val="0"/>
              </w:rPr>
              <w:t xml:space="preserve"> value</w:t>
            </w:r>
          </w:p>
        </w:tc>
        <w:tc>
          <w:tcPr>
            <w:tcW w:w="1195" w:type="pct"/>
          </w:tcPr>
          <w:p w14:paraId="2FBDC826" w14:textId="77777777" w:rsidR="000D4845" w:rsidRPr="007D1918" w:rsidRDefault="000D4845" w:rsidP="001947FB">
            <w:pPr>
              <w:pStyle w:val="TableText0"/>
              <w:rPr>
                <w:snapToGrid w:val="0"/>
              </w:rPr>
            </w:pPr>
            <w:r w:rsidRPr="007D1918">
              <w:rPr>
                <w:snapToGrid w:val="0"/>
              </w:rPr>
              <w:t>1.27</w:t>
            </w:r>
          </w:p>
          <w:p w14:paraId="7E2900E9" w14:textId="7BD5B97E" w:rsidR="000D4845" w:rsidRPr="007D1918" w:rsidRDefault="00755009" w:rsidP="001947FB">
            <w:pPr>
              <w:pStyle w:val="TableText0"/>
              <w:rPr>
                <w:snapToGrid w:val="0"/>
              </w:rPr>
            </w:pPr>
            <w:r w:rsidRPr="007D1918">
              <w:rPr>
                <w:snapToGrid w:val="0"/>
              </w:rPr>
              <w:t>(</w:t>
            </w:r>
            <w:r w:rsidR="000D4845" w:rsidRPr="007D1918">
              <w:rPr>
                <w:snapToGrid w:val="0"/>
              </w:rPr>
              <w:t>0.43, 3.72</w:t>
            </w:r>
            <w:r w:rsidRPr="007D1918">
              <w:rPr>
                <w:snapToGrid w:val="0"/>
              </w:rPr>
              <w:t>)</w:t>
            </w:r>
          </w:p>
          <w:p w14:paraId="50948919" w14:textId="4A62BC44" w:rsidR="000D4845" w:rsidRPr="007D1918" w:rsidRDefault="000D4845" w:rsidP="001947FB">
            <w:pPr>
              <w:pStyle w:val="TableText0"/>
              <w:rPr>
                <w:snapToGrid w:val="0"/>
              </w:rPr>
            </w:pPr>
            <w:r w:rsidRPr="007D1918">
              <w:rPr>
                <w:snapToGrid w:val="0"/>
              </w:rPr>
              <w:t>P = 0.666</w:t>
            </w:r>
          </w:p>
        </w:tc>
        <w:tc>
          <w:tcPr>
            <w:tcW w:w="1275" w:type="pct"/>
            <w:shd w:val="clear" w:color="auto" w:fill="auto"/>
          </w:tcPr>
          <w:p w14:paraId="0FCCA060" w14:textId="77777777" w:rsidR="000D4845" w:rsidRPr="007D1918" w:rsidRDefault="000D4845" w:rsidP="00406734">
            <w:pPr>
              <w:pStyle w:val="TableText0"/>
              <w:rPr>
                <w:snapToGrid w:val="0"/>
              </w:rPr>
            </w:pPr>
            <w:r w:rsidRPr="007D1918">
              <w:rPr>
                <w:snapToGrid w:val="0"/>
              </w:rPr>
              <w:t>2.97</w:t>
            </w:r>
          </w:p>
          <w:p w14:paraId="63EBCEC9" w14:textId="2F848248" w:rsidR="000D4845" w:rsidRPr="007D1918" w:rsidRDefault="00755009" w:rsidP="00406734">
            <w:pPr>
              <w:pStyle w:val="TableText0"/>
              <w:rPr>
                <w:snapToGrid w:val="0"/>
              </w:rPr>
            </w:pPr>
            <w:r w:rsidRPr="007D1918">
              <w:rPr>
                <w:snapToGrid w:val="0"/>
              </w:rPr>
              <w:t>(</w:t>
            </w:r>
            <w:r w:rsidR="000D4845" w:rsidRPr="007D1918">
              <w:rPr>
                <w:snapToGrid w:val="0"/>
              </w:rPr>
              <w:t>1.18, 7.45</w:t>
            </w:r>
            <w:r w:rsidRPr="007D1918">
              <w:rPr>
                <w:snapToGrid w:val="0"/>
              </w:rPr>
              <w:t>)</w:t>
            </w:r>
          </w:p>
          <w:p w14:paraId="6D5C6363" w14:textId="555D0965" w:rsidR="000D4845" w:rsidRPr="007D1918" w:rsidRDefault="000D4845" w:rsidP="00406734">
            <w:pPr>
              <w:pStyle w:val="TableText0"/>
              <w:rPr>
                <w:snapToGrid w:val="0"/>
              </w:rPr>
            </w:pPr>
            <w:r w:rsidRPr="007D1918">
              <w:rPr>
                <w:snapToGrid w:val="0"/>
              </w:rPr>
              <w:t>P = 0.</w:t>
            </w:r>
            <w:r w:rsidR="00E93DAF" w:rsidRPr="007D1918">
              <w:rPr>
                <w:snapToGrid w:val="0"/>
              </w:rPr>
              <w:t>0</w:t>
            </w:r>
            <w:r w:rsidRPr="007D1918">
              <w:rPr>
                <w:snapToGrid w:val="0"/>
              </w:rPr>
              <w:t>21</w:t>
            </w:r>
          </w:p>
        </w:tc>
        <w:tc>
          <w:tcPr>
            <w:tcW w:w="1274" w:type="pct"/>
            <w:shd w:val="clear" w:color="auto" w:fill="auto"/>
          </w:tcPr>
          <w:p w14:paraId="49F43E23" w14:textId="77777777" w:rsidR="000D4845" w:rsidRPr="007D1918" w:rsidRDefault="000D4845" w:rsidP="00BF0974">
            <w:pPr>
              <w:pStyle w:val="TableText0"/>
              <w:rPr>
                <w:snapToGrid w:val="0"/>
              </w:rPr>
            </w:pPr>
            <w:r w:rsidRPr="007D1918">
              <w:rPr>
                <w:snapToGrid w:val="0"/>
              </w:rPr>
              <w:t>1.17</w:t>
            </w:r>
          </w:p>
          <w:p w14:paraId="7825D418" w14:textId="7F9774AE" w:rsidR="000D4845" w:rsidRPr="007D1918" w:rsidRDefault="00755009" w:rsidP="00BF0974">
            <w:pPr>
              <w:pStyle w:val="TableText0"/>
              <w:rPr>
                <w:snapToGrid w:val="0"/>
              </w:rPr>
            </w:pPr>
            <w:r w:rsidRPr="007D1918">
              <w:rPr>
                <w:snapToGrid w:val="0"/>
              </w:rPr>
              <w:t>(</w:t>
            </w:r>
            <w:r w:rsidR="000D4845" w:rsidRPr="007D1918">
              <w:rPr>
                <w:snapToGrid w:val="0"/>
              </w:rPr>
              <w:t>0.34, 3.70</w:t>
            </w:r>
            <w:r w:rsidRPr="007D1918">
              <w:rPr>
                <w:snapToGrid w:val="0"/>
              </w:rPr>
              <w:t>)</w:t>
            </w:r>
          </w:p>
          <w:p w14:paraId="0C5DCEF8" w14:textId="4172E9C0" w:rsidR="000D4845" w:rsidRPr="007D1918" w:rsidRDefault="000D4845" w:rsidP="00BF0974">
            <w:pPr>
              <w:pStyle w:val="TableText0"/>
              <w:rPr>
                <w:snapToGrid w:val="0"/>
              </w:rPr>
            </w:pPr>
            <w:r w:rsidRPr="007D1918">
              <w:rPr>
                <w:snapToGrid w:val="0"/>
              </w:rPr>
              <w:t>p = 0.788</w:t>
            </w:r>
          </w:p>
        </w:tc>
      </w:tr>
      <w:tr w:rsidR="000D4845" w:rsidRPr="007D1918" w14:paraId="05778A6A" w14:textId="77777777" w:rsidTr="000D4845">
        <w:tc>
          <w:tcPr>
            <w:tcW w:w="1256" w:type="pct"/>
            <w:shd w:val="clear" w:color="auto" w:fill="auto"/>
          </w:tcPr>
          <w:p w14:paraId="6F27C6B1" w14:textId="0614D592" w:rsidR="000D4845" w:rsidRPr="007D1918" w:rsidRDefault="000D4845" w:rsidP="00320611">
            <w:pPr>
              <w:pStyle w:val="TableText0"/>
              <w:rPr>
                <w:snapToGrid w:val="0"/>
              </w:rPr>
            </w:pPr>
            <w:r w:rsidRPr="007D1918">
              <w:rPr>
                <w:snapToGrid w:val="0"/>
              </w:rPr>
              <w:t>OR (adjusted</w:t>
            </w:r>
            <w:r w:rsidRPr="007D1918">
              <w:rPr>
                <w:snapToGrid w:val="0"/>
                <w:vertAlign w:val="superscript"/>
              </w:rPr>
              <w:t>a</w:t>
            </w:r>
            <w:r w:rsidRPr="007D1918">
              <w:rPr>
                <w:snapToGrid w:val="0"/>
              </w:rPr>
              <w:t>)</w:t>
            </w:r>
          </w:p>
          <w:p w14:paraId="0D110FC5" w14:textId="38B33794" w:rsidR="000D4845" w:rsidRPr="007D1918" w:rsidRDefault="00755009" w:rsidP="00320611">
            <w:pPr>
              <w:pStyle w:val="TableText0"/>
              <w:rPr>
                <w:snapToGrid w:val="0"/>
              </w:rPr>
            </w:pPr>
            <w:r w:rsidRPr="007D1918">
              <w:rPr>
                <w:snapToGrid w:val="0"/>
              </w:rPr>
              <w:t>(</w:t>
            </w:r>
            <w:r w:rsidR="00781376" w:rsidRPr="007D1918">
              <w:rPr>
                <w:snapToGrid w:val="0"/>
              </w:rPr>
              <w:t>95% CI</w:t>
            </w:r>
            <w:r w:rsidRPr="007D1918">
              <w:rPr>
                <w:snapToGrid w:val="0"/>
              </w:rPr>
              <w:t>)</w:t>
            </w:r>
            <w:r w:rsidR="000D4845" w:rsidRPr="007D1918">
              <w:rPr>
                <w:snapToGrid w:val="0"/>
              </w:rPr>
              <w:t xml:space="preserve"> p</w:t>
            </w:r>
            <w:r w:rsidRPr="007D1918">
              <w:rPr>
                <w:snapToGrid w:val="0"/>
              </w:rPr>
              <w:t xml:space="preserve"> value</w:t>
            </w:r>
          </w:p>
        </w:tc>
        <w:tc>
          <w:tcPr>
            <w:tcW w:w="1195" w:type="pct"/>
          </w:tcPr>
          <w:p w14:paraId="48DD59D7" w14:textId="77777777" w:rsidR="000D4845" w:rsidRPr="007D1918" w:rsidRDefault="000D4845" w:rsidP="001947FB">
            <w:pPr>
              <w:pStyle w:val="TableText0"/>
              <w:rPr>
                <w:snapToGrid w:val="0"/>
              </w:rPr>
            </w:pPr>
            <w:r w:rsidRPr="007D1918">
              <w:rPr>
                <w:snapToGrid w:val="0"/>
              </w:rPr>
              <w:t>1.05</w:t>
            </w:r>
          </w:p>
          <w:p w14:paraId="31515233" w14:textId="721CE0F4" w:rsidR="000D4845" w:rsidRPr="007D1918" w:rsidRDefault="00755009" w:rsidP="001947FB">
            <w:pPr>
              <w:pStyle w:val="TableText0"/>
              <w:rPr>
                <w:snapToGrid w:val="0"/>
              </w:rPr>
            </w:pPr>
            <w:r w:rsidRPr="007D1918">
              <w:rPr>
                <w:snapToGrid w:val="0"/>
              </w:rPr>
              <w:t>(</w:t>
            </w:r>
            <w:r w:rsidR="001B4703" w:rsidRPr="007D1918">
              <w:rPr>
                <w:snapToGrid w:val="0"/>
              </w:rPr>
              <w:t>0</w:t>
            </w:r>
            <w:r w:rsidR="000D4845" w:rsidRPr="007D1918">
              <w:rPr>
                <w:snapToGrid w:val="0"/>
              </w:rPr>
              <w:t>.26, 4.19</w:t>
            </w:r>
            <w:r w:rsidRPr="007D1918">
              <w:rPr>
                <w:snapToGrid w:val="0"/>
              </w:rPr>
              <w:t>)</w:t>
            </w:r>
          </w:p>
          <w:p w14:paraId="6296B27C" w14:textId="17A29BAB" w:rsidR="000D4845" w:rsidRPr="007D1918" w:rsidRDefault="000D4845" w:rsidP="001947FB">
            <w:pPr>
              <w:pStyle w:val="TableText0"/>
              <w:rPr>
                <w:snapToGrid w:val="0"/>
              </w:rPr>
            </w:pPr>
            <w:r w:rsidRPr="007D1918">
              <w:rPr>
                <w:snapToGrid w:val="0"/>
              </w:rPr>
              <w:t>P = 0.939</w:t>
            </w:r>
          </w:p>
        </w:tc>
        <w:tc>
          <w:tcPr>
            <w:tcW w:w="1275" w:type="pct"/>
            <w:shd w:val="clear" w:color="auto" w:fill="auto"/>
          </w:tcPr>
          <w:p w14:paraId="7278A5E3" w14:textId="77777777" w:rsidR="000D4845" w:rsidRPr="007D1918" w:rsidRDefault="000D4845" w:rsidP="00406734">
            <w:pPr>
              <w:pStyle w:val="TableText0"/>
              <w:rPr>
                <w:snapToGrid w:val="0"/>
              </w:rPr>
            </w:pPr>
            <w:r w:rsidRPr="007D1918">
              <w:rPr>
                <w:snapToGrid w:val="0"/>
              </w:rPr>
              <w:t>3.59</w:t>
            </w:r>
          </w:p>
          <w:p w14:paraId="018EA7C5" w14:textId="3CA78CA9" w:rsidR="000D4845" w:rsidRPr="007D1918" w:rsidRDefault="00755009" w:rsidP="00406734">
            <w:pPr>
              <w:pStyle w:val="TableText0"/>
              <w:rPr>
                <w:snapToGrid w:val="0"/>
              </w:rPr>
            </w:pPr>
            <w:r w:rsidRPr="007D1918">
              <w:rPr>
                <w:snapToGrid w:val="0"/>
              </w:rPr>
              <w:t>(</w:t>
            </w:r>
            <w:r w:rsidR="000D4845" w:rsidRPr="007D1918">
              <w:rPr>
                <w:snapToGrid w:val="0"/>
              </w:rPr>
              <w:t>0.92, 14.04</w:t>
            </w:r>
            <w:r w:rsidRPr="007D1918">
              <w:rPr>
                <w:snapToGrid w:val="0"/>
              </w:rPr>
              <w:t>)</w:t>
            </w:r>
          </w:p>
          <w:p w14:paraId="4A4A288C" w14:textId="67B1EC29" w:rsidR="000D4845" w:rsidRPr="007D1918" w:rsidRDefault="000D4845" w:rsidP="00406734">
            <w:pPr>
              <w:pStyle w:val="TableText0"/>
              <w:rPr>
                <w:snapToGrid w:val="0"/>
              </w:rPr>
            </w:pPr>
            <w:r w:rsidRPr="007D1918">
              <w:rPr>
                <w:snapToGrid w:val="0"/>
              </w:rPr>
              <w:t>P = 0.066</w:t>
            </w:r>
          </w:p>
        </w:tc>
        <w:tc>
          <w:tcPr>
            <w:tcW w:w="1274" w:type="pct"/>
            <w:shd w:val="clear" w:color="auto" w:fill="auto"/>
          </w:tcPr>
          <w:p w14:paraId="103D3707" w14:textId="77777777" w:rsidR="000D4845" w:rsidRPr="007D1918" w:rsidRDefault="000D4845" w:rsidP="00BF0974">
            <w:pPr>
              <w:pStyle w:val="TableText0"/>
              <w:rPr>
                <w:snapToGrid w:val="0"/>
              </w:rPr>
            </w:pPr>
            <w:r w:rsidRPr="007D1918">
              <w:rPr>
                <w:snapToGrid w:val="0"/>
              </w:rPr>
              <w:t>0.63</w:t>
            </w:r>
          </w:p>
          <w:p w14:paraId="35B5B691" w14:textId="5CE74393" w:rsidR="000D4845" w:rsidRPr="007D1918" w:rsidRDefault="00755009" w:rsidP="00BF0974">
            <w:pPr>
              <w:pStyle w:val="TableText0"/>
              <w:rPr>
                <w:snapToGrid w:val="0"/>
              </w:rPr>
            </w:pPr>
            <w:r w:rsidRPr="007D1918">
              <w:rPr>
                <w:snapToGrid w:val="0"/>
              </w:rPr>
              <w:t>(</w:t>
            </w:r>
            <w:r w:rsidR="000D4845" w:rsidRPr="007D1918">
              <w:rPr>
                <w:snapToGrid w:val="0"/>
              </w:rPr>
              <w:t>0.15, 2.64</w:t>
            </w:r>
            <w:r w:rsidRPr="007D1918">
              <w:rPr>
                <w:snapToGrid w:val="0"/>
              </w:rPr>
              <w:t>)</w:t>
            </w:r>
          </w:p>
          <w:p w14:paraId="1A02531C" w14:textId="3A0B709B" w:rsidR="000D4845" w:rsidRPr="007D1918" w:rsidRDefault="000D4845" w:rsidP="00BF0974">
            <w:pPr>
              <w:pStyle w:val="TableText0"/>
              <w:rPr>
                <w:snapToGrid w:val="0"/>
              </w:rPr>
            </w:pPr>
            <w:r w:rsidRPr="007D1918">
              <w:rPr>
                <w:snapToGrid w:val="0"/>
              </w:rPr>
              <w:t>p = 0.527</w:t>
            </w:r>
          </w:p>
        </w:tc>
      </w:tr>
    </w:tbl>
    <w:p w14:paraId="03C91D24" w14:textId="0B4ED967" w:rsidR="00210033" w:rsidRPr="007D1918" w:rsidRDefault="00210033" w:rsidP="00B82EBE">
      <w:pPr>
        <w:pStyle w:val="Tablenotes0"/>
        <w:spacing w:after="80"/>
        <w:contextualSpacing w:val="0"/>
      </w:pPr>
      <w:r w:rsidRPr="007D1918">
        <w:t>IS = immunosuppressive therapy; IVIg = intravenous immunoglobulin therapy; OR = odds ratio; PE = plasma exchange therapy</w:t>
      </w:r>
    </w:p>
    <w:p w14:paraId="4EB34381" w14:textId="54ECDA44" w:rsidR="00BB14D0" w:rsidRPr="007D1918" w:rsidRDefault="00320611" w:rsidP="005212DF">
      <w:pPr>
        <w:pStyle w:val="Tablenotes0"/>
      </w:pPr>
      <w:r w:rsidRPr="007D1918">
        <w:rPr>
          <w:vertAlign w:val="superscript"/>
        </w:rPr>
        <w:t>a</w:t>
      </w:r>
      <w:r w:rsidRPr="007D1918">
        <w:t xml:space="preserve"> Adjusting cofactors: Osserman</w:t>
      </w:r>
      <w:r w:rsidR="008D7BA8" w:rsidRPr="007D1918">
        <w:t xml:space="preserve"> </w:t>
      </w:r>
      <w:r w:rsidRPr="007D1918">
        <w:t>stage, pulmonary resection, duration of MG, BMI. The specified model correctly classifies 88.55% of observations.</w:t>
      </w:r>
    </w:p>
    <w:p w14:paraId="5B95AB10" w14:textId="4CA10C8A" w:rsidR="00BB14D0" w:rsidRPr="007D1918" w:rsidRDefault="00BB14D0" w:rsidP="00884084">
      <w:pPr>
        <w:pStyle w:val="Heading3"/>
        <w:keepLines/>
      </w:pPr>
      <w:bookmarkStart w:id="232" w:name="_Toc23766967"/>
      <w:r w:rsidRPr="007D1918">
        <w:lastRenderedPageBreak/>
        <w:t xml:space="preserve">Indication 3: </w:t>
      </w:r>
      <w:r w:rsidR="00581A33" w:rsidRPr="007D1918">
        <w:t>Adults</w:t>
      </w:r>
      <w:r w:rsidR="00467FA2" w:rsidRPr="007D1918">
        <w:t xml:space="preserve"> undergoing m</w:t>
      </w:r>
      <w:r w:rsidRPr="007D1918">
        <w:t xml:space="preserve">aintenance </w:t>
      </w:r>
      <w:r w:rsidR="00467FA2" w:rsidRPr="007D1918">
        <w:t>therapy</w:t>
      </w:r>
      <w:bookmarkEnd w:id="232"/>
      <w:r w:rsidR="005647F3" w:rsidRPr="007D1918">
        <w:t xml:space="preserve"> </w:t>
      </w:r>
    </w:p>
    <w:p w14:paraId="32612099" w14:textId="0099BA4B" w:rsidR="00BB14D0" w:rsidRPr="007D1918" w:rsidRDefault="003A1EFF" w:rsidP="00884084">
      <w:pPr>
        <w:pStyle w:val="Heading4"/>
        <w:keepLines/>
      </w:pPr>
      <w:r w:rsidRPr="007D1918">
        <w:t xml:space="preserve">Adverse </w:t>
      </w:r>
      <w:r w:rsidR="00B915CB" w:rsidRPr="007D1918">
        <w:t xml:space="preserve">events in </w:t>
      </w:r>
      <w:r w:rsidR="00746E1B" w:rsidRPr="007D1918">
        <w:t>patients</w:t>
      </w:r>
      <w:r w:rsidR="00B915CB" w:rsidRPr="007D1918">
        <w:t xml:space="preserve"> treated with </w:t>
      </w:r>
      <w:r w:rsidR="001A2468" w:rsidRPr="007D1918">
        <w:t>IV</w:t>
      </w:r>
      <w:r w:rsidR="0087607F" w:rsidRPr="007D1918">
        <w:t>I</w:t>
      </w:r>
      <w:r w:rsidRPr="007D1918">
        <w:t>g</w:t>
      </w:r>
      <w:r w:rsidR="0087607F" w:rsidRPr="007D1918">
        <w:t xml:space="preserve"> compared with PE</w:t>
      </w:r>
      <w:r w:rsidR="005647F3" w:rsidRPr="007D1918">
        <w:t xml:space="preserve"> </w:t>
      </w:r>
      <w:r w:rsidR="00746E1B" w:rsidRPr="007D1918">
        <w:t>maintenance</w:t>
      </w:r>
    </w:p>
    <w:p w14:paraId="02BC7A02" w14:textId="49C6215A" w:rsidR="0068173C" w:rsidRPr="007D1918" w:rsidRDefault="0086589E" w:rsidP="00884084">
      <w:pPr>
        <w:keepNext/>
        <w:keepLines/>
        <w:jc w:val="both"/>
      </w:pPr>
      <w:r w:rsidRPr="007D1918">
        <w:t xml:space="preserve">Adverse events for </w:t>
      </w:r>
      <w:r w:rsidR="005212DF" w:rsidRPr="007D1918">
        <w:t>IVIg</w:t>
      </w:r>
      <w:r w:rsidRPr="007D1918">
        <w:t xml:space="preserve"> and PE were compared </w:t>
      </w:r>
      <w:r w:rsidR="00B915CB" w:rsidRPr="007D1918">
        <w:t>in</w:t>
      </w:r>
      <w:r w:rsidRPr="007D1918">
        <w:t xml:space="preserve"> </w:t>
      </w:r>
      <w:r w:rsidR="006A7DF2" w:rsidRPr="007D1918">
        <w:t xml:space="preserve">three </w:t>
      </w:r>
      <w:r w:rsidRPr="007D1918">
        <w:t>RCTs (level II)</w:t>
      </w:r>
      <w:r w:rsidR="0068173C" w:rsidRPr="007D1918">
        <w:t xml:space="preserve"> </w:t>
      </w:r>
      <w:r w:rsidR="0075212A" w:rsidRPr="007D1918">
        <w:fldChar w:fldCharType="begin">
          <w:fldData xml:space="preserve">PEVuZE5vdGU+PENpdGU+PEF1dGhvcj5CYXJ0aDwvQXV0aG9yPjxZZWFyPjIwMTE8L1llYXI+PFJl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</w:fldData>
        </w:fldChar>
      </w:r>
      <w:r w:rsidR="007F4CDE" w:rsidRPr="007D1918">
        <w:instrText xml:space="preserve"> ADDIN EN.CITE </w:instrText>
      </w:r>
      <w:r w:rsidR="007F4CDE" w:rsidRPr="007D1918">
        <w:fldChar w:fldCharType="begin">
          <w:fldData xml:space="preserve">PEVuZE5vdGU+PENpdGU+PEF1dGhvcj5CYXJ0aDwvQXV0aG9yPjxZZWFyPjIwMTE8L1llYXI+PFJl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</w:fldData>
        </w:fldChar>
      </w:r>
      <w:r w:rsidR="007F4CDE" w:rsidRPr="007D1918">
        <w:instrText xml:space="preserve"> ADDIN EN.CITE.DATA </w:instrText>
      </w:r>
      <w:r w:rsidR="007F4CDE" w:rsidRPr="007D1918">
        <w:fldChar w:fldCharType="end"/>
      </w:r>
      <w:r w:rsidR="0075212A"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63" w:tooltip="Liu, 2010 #56" w:history="1">
        <w:r w:rsidR="007D4948" w:rsidRPr="007D1918">
          <w:rPr>
            <w:noProof/>
          </w:rPr>
          <w:t>Liu et al. 2010</w:t>
        </w:r>
      </w:hyperlink>
      <w:r w:rsidR="001A0E53" w:rsidRPr="007D1918">
        <w:rPr>
          <w:noProof/>
        </w:rPr>
        <w:t xml:space="preserve">; </w:t>
      </w:r>
      <w:hyperlink w:anchor="_ENREF_83" w:tooltip="Rønager, 2001 #41" w:history="1">
        <w:r w:rsidR="007D4948" w:rsidRPr="007D1918">
          <w:rPr>
            <w:noProof/>
          </w:rPr>
          <w:t>Rønager et al. 2001</w:t>
        </w:r>
      </w:hyperlink>
      <w:r w:rsidR="001A0E53" w:rsidRPr="007D1918">
        <w:rPr>
          <w:noProof/>
        </w:rPr>
        <w:t>)</w:t>
      </w:r>
      <w:r w:rsidR="0075212A" w:rsidRPr="007D1918">
        <w:fldChar w:fldCharType="end"/>
      </w:r>
      <w:r w:rsidRPr="007D1918">
        <w:t xml:space="preserve"> and </w:t>
      </w:r>
      <w:r w:rsidR="00F419BE" w:rsidRPr="007D1918">
        <w:t>one</w:t>
      </w:r>
      <w:r w:rsidR="006A7DF2" w:rsidRPr="007D1918">
        <w:t xml:space="preserve"> </w:t>
      </w:r>
      <w:r w:rsidRPr="007D1918">
        <w:t xml:space="preserve">comparative retrospective </w:t>
      </w:r>
      <w:r w:rsidR="00945861" w:rsidRPr="007D1918">
        <w:t xml:space="preserve">cohort </w:t>
      </w:r>
      <w:r w:rsidR="006A7DF2" w:rsidRPr="007D1918">
        <w:t>stud</w:t>
      </w:r>
      <w:r w:rsidR="00BC2208" w:rsidRPr="007D1918">
        <w:t>y</w:t>
      </w:r>
      <w:r w:rsidR="006A7DF2" w:rsidRPr="007D1918">
        <w:t xml:space="preserve"> </w:t>
      </w:r>
      <w:r w:rsidRPr="007D1918">
        <w:t>(level III-</w:t>
      </w:r>
      <w:r w:rsidR="006A7DF2" w:rsidRPr="007D1918">
        <w:t>2</w:t>
      </w:r>
      <w:r w:rsidRPr="007D1918">
        <w:t>)</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r w:rsidRPr="007D1918">
        <w:t xml:space="preserve">. </w:t>
      </w:r>
      <w:r w:rsidR="00F419BE" w:rsidRPr="007D1918">
        <w:t xml:space="preserve">Two of the RCT study </w:t>
      </w:r>
      <w:r w:rsidR="0068173C" w:rsidRPr="007D1918">
        <w:t xml:space="preserve">populations </w:t>
      </w:r>
      <w:r w:rsidR="00F419BE" w:rsidRPr="007D1918">
        <w:t xml:space="preserve">included patients with moderate to severe disease. </w:t>
      </w:r>
      <w:r w:rsidR="0068173C" w:rsidRPr="007D1918">
        <w:t xml:space="preserve">Barth et al (2011) included </w:t>
      </w:r>
      <w:r w:rsidR="00885661" w:rsidRPr="007D1918">
        <w:t xml:space="preserve">84 </w:t>
      </w:r>
      <w:r w:rsidR="0068173C" w:rsidRPr="007D1918">
        <w:t xml:space="preserve">adults </w:t>
      </w:r>
      <w:r w:rsidR="003547F7" w:rsidRPr="007D1918">
        <w:t xml:space="preserve">aged 19 to 84 years </w:t>
      </w:r>
      <w:r w:rsidR="0068173C" w:rsidRPr="007D1918">
        <w:t>with moderate to severe MG who required a change in therapy (meeting</w:t>
      </w:r>
      <w:r w:rsidR="003547F7" w:rsidRPr="007D1918">
        <w:t xml:space="preserve"> criteria for </w:t>
      </w:r>
      <w:r w:rsidR="0088065E" w:rsidRPr="007D1918">
        <w:rPr>
          <w:i/>
        </w:rPr>
        <w:t>Criteria V3</w:t>
      </w:r>
      <w:r w:rsidR="0088065E" w:rsidRPr="007D1918">
        <w:t xml:space="preserve"> </w:t>
      </w:r>
      <w:r w:rsidR="003547F7" w:rsidRPr="007D1918">
        <w:t>Indication 3).</w:t>
      </w:r>
      <w:r w:rsidR="0068173C" w:rsidRPr="007D1918">
        <w:t xml:space="preserve"> </w:t>
      </w:r>
      <w:r w:rsidR="00F419BE" w:rsidRPr="007D1918">
        <w:t>R</w:t>
      </w:r>
      <w:r w:rsidR="00FC02BA" w:rsidRPr="007D1918">
        <w:rPr>
          <w:rFonts w:cs="Calibri"/>
          <w:sz w:val="16"/>
          <w:szCs w:val="16"/>
        </w:rPr>
        <w:t>Ø</w:t>
      </w:r>
      <w:r w:rsidR="00F419BE" w:rsidRPr="007D1918">
        <w:t xml:space="preserve">nager et al (2001) was a cross-over design that included 12 patients who </w:t>
      </w:r>
      <w:r w:rsidR="005E334B" w:rsidRPr="007D1918">
        <w:t xml:space="preserve">received both IVIg and PE </w:t>
      </w:r>
      <w:r w:rsidR="00F419BE" w:rsidRPr="007D1918">
        <w:t>by the end of the trial. Patients with moderate to severe generalised MG meeting criteria of Osserman Class 3 to 5 and Oosterhuis functional status of 4 to 5 were included (see</w:t>
      </w:r>
      <w:r w:rsidR="005E334B" w:rsidRPr="007D1918">
        <w:t xml:space="preserve"> </w:t>
      </w:r>
      <w:r w:rsidR="006F1538" w:rsidRPr="007D1918">
        <w:fldChar w:fldCharType="begin"/>
      </w:r>
      <w:r w:rsidR="006F1538" w:rsidRPr="007D1918">
        <w:instrText xml:space="preserve"> REF _Ref8980759 \h </w:instrText>
      </w:r>
      <w:r w:rsidR="00E07567" w:rsidRPr="007D1918">
        <w:instrText xml:space="preserve"> \* MERGEFORMAT </w:instrText>
      </w:r>
      <w:r w:rsidR="006F1538" w:rsidRPr="007D1918">
        <w:fldChar w:fldCharType="separate"/>
      </w:r>
      <w:r w:rsidR="00153384" w:rsidRPr="007D1918">
        <w:t xml:space="preserve">Table </w:t>
      </w:r>
      <w:r w:rsidR="00153384" w:rsidRPr="007D1918">
        <w:rPr>
          <w:noProof/>
        </w:rPr>
        <w:t>13</w:t>
      </w:r>
      <w:r w:rsidR="006F1538" w:rsidRPr="007D1918">
        <w:fldChar w:fldCharType="end"/>
      </w:r>
      <w:r w:rsidR="0098482A" w:rsidRPr="007D1918">
        <w:t xml:space="preserve">, </w:t>
      </w:r>
      <w:r w:rsidR="00F419BE" w:rsidRPr="007D1918">
        <w:rPr>
          <w:i/>
        </w:rPr>
        <w:t>Section B.5</w:t>
      </w:r>
      <w:r w:rsidR="00F419BE" w:rsidRPr="007D1918">
        <w:t xml:space="preserve"> for description of </w:t>
      </w:r>
      <w:r w:rsidR="006F1538" w:rsidRPr="007D1918">
        <w:t>functional scales</w:t>
      </w:r>
      <w:r w:rsidR="00F419BE" w:rsidRPr="007D1918">
        <w:t xml:space="preserve">). All of the patients in the cross-over study were on IS treatment. </w:t>
      </w:r>
      <w:r w:rsidR="0068173C" w:rsidRPr="007D1918">
        <w:t xml:space="preserve">Liu et al (2010) included </w:t>
      </w:r>
      <w:r w:rsidR="003547F7" w:rsidRPr="007D1918">
        <w:t>40</w:t>
      </w:r>
      <w:r w:rsidR="0068173C" w:rsidRPr="007D1918">
        <w:t xml:space="preserve"> patients with late onset MG</w:t>
      </w:r>
      <w:r w:rsidR="00BD64CB" w:rsidRPr="007D1918">
        <w:t xml:space="preserve"> </w:t>
      </w:r>
      <w:r w:rsidR="00AE6774" w:rsidRPr="007D1918">
        <w:t xml:space="preserve">- </w:t>
      </w:r>
      <w:r w:rsidR="00BD64CB" w:rsidRPr="007D1918">
        <w:t xml:space="preserve">age of onset was 51.1 </w:t>
      </w:r>
      <w:r w:rsidR="00BD64CB" w:rsidRPr="007D1918">
        <w:rPr>
          <w:rFonts w:cs="Calibri"/>
        </w:rPr>
        <w:t>±</w:t>
      </w:r>
      <w:r w:rsidR="00BD64CB" w:rsidRPr="007D1918">
        <w:t xml:space="preserve"> 2.1 Years for the PE group and 52.7 </w:t>
      </w:r>
      <w:r w:rsidR="00BD64CB" w:rsidRPr="007D1918">
        <w:rPr>
          <w:rFonts w:cs="Calibri"/>
        </w:rPr>
        <w:t>±</w:t>
      </w:r>
      <w:r w:rsidR="00BD64CB" w:rsidRPr="007D1918">
        <w:t xml:space="preserve"> 2.3 years for the IVIg group). </w:t>
      </w:r>
      <w:r w:rsidR="00885661" w:rsidRPr="007D1918">
        <w:t xml:space="preserve">The </w:t>
      </w:r>
      <w:r w:rsidR="00BF0974" w:rsidRPr="007D1918">
        <w:t xml:space="preserve">late-onset </w:t>
      </w:r>
      <w:r w:rsidR="00885661" w:rsidRPr="007D1918">
        <w:t>patients were distributed fairly evenly between IVIg and PE treatments across clinical grades IIA, IIB and III</w:t>
      </w:r>
      <w:r w:rsidR="00AE6774" w:rsidRPr="007D1918">
        <w:t xml:space="preserve"> or mild to moderate severity </w:t>
      </w:r>
      <w:r w:rsidR="00885661" w:rsidRPr="007D1918">
        <w:t>(Osserman classification</w:t>
      </w:r>
      <w:r w:rsidR="00AE6774" w:rsidRPr="007D1918">
        <w:t>,</w:t>
      </w:r>
      <w:r w:rsidR="005E334B" w:rsidRPr="007D1918">
        <w:t xml:space="preserve"> </w:t>
      </w:r>
      <w:r w:rsidR="006F1538" w:rsidRPr="007D1918">
        <w:fldChar w:fldCharType="begin"/>
      </w:r>
      <w:r w:rsidR="006F1538" w:rsidRPr="007D1918">
        <w:instrText xml:space="preserve"> REF _Ref8980759 \h </w:instrText>
      </w:r>
      <w:r w:rsidR="00E07567" w:rsidRPr="007D1918">
        <w:instrText xml:space="preserve"> \* MERGEFORMAT </w:instrText>
      </w:r>
      <w:r w:rsidR="006F1538" w:rsidRPr="007D1918">
        <w:fldChar w:fldCharType="separate"/>
      </w:r>
      <w:r w:rsidR="00153384" w:rsidRPr="007D1918">
        <w:t xml:space="preserve">Table </w:t>
      </w:r>
      <w:r w:rsidR="00153384" w:rsidRPr="007D1918">
        <w:rPr>
          <w:noProof/>
        </w:rPr>
        <w:t>13</w:t>
      </w:r>
      <w:r w:rsidR="006F1538" w:rsidRPr="007D1918">
        <w:fldChar w:fldCharType="end"/>
      </w:r>
      <w:r w:rsidR="00885661" w:rsidRPr="007D1918">
        <w:t xml:space="preserve">). </w:t>
      </w:r>
    </w:p>
    <w:p w14:paraId="3E4C5277" w14:textId="1D0B4AEF" w:rsidR="00945861" w:rsidRPr="007D1918" w:rsidRDefault="00945861" w:rsidP="00884084">
      <w:pPr>
        <w:keepNext/>
        <w:keepLines/>
        <w:jc w:val="both"/>
      </w:pPr>
      <w:r w:rsidRPr="007D1918">
        <w:t xml:space="preserve">The cohort study </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r w:rsidRPr="007D1918">
        <w:t xml:space="preserve"> was a large </w:t>
      </w:r>
      <w:r w:rsidR="005212DF" w:rsidRPr="007D1918">
        <w:t>retrospective analysis</w:t>
      </w:r>
      <w:r w:rsidRPr="007D1918">
        <w:t xml:space="preserve"> of 1,606 patients performed with data from an administrative database. Hospitalised patients diagnosed with MG </w:t>
      </w:r>
      <w:r w:rsidR="00917DE9" w:rsidRPr="007D1918">
        <w:t xml:space="preserve">(n = 908) </w:t>
      </w:r>
      <w:r w:rsidRPr="007D1918">
        <w:t xml:space="preserve">or in MG crisis </w:t>
      </w:r>
      <w:r w:rsidR="00917DE9" w:rsidRPr="007D1918">
        <w:t xml:space="preserve">(n = 698) </w:t>
      </w:r>
      <w:r w:rsidRPr="007D1918">
        <w:t xml:space="preserve">and who underwent either IVIg or PE treatments were included and analysed separately. It was not possible to tell if the patients identified as having been hospitalised with MG but not in crisis met the NBA </w:t>
      </w:r>
      <w:r w:rsidR="00EC09DA" w:rsidRPr="007D1918">
        <w:rPr>
          <w:i/>
        </w:rPr>
        <w:t>Criteria V3</w:t>
      </w:r>
      <w:r w:rsidR="006F1538" w:rsidRPr="007D1918">
        <w:t xml:space="preserve"> </w:t>
      </w:r>
      <w:r w:rsidRPr="007D1918">
        <w:t>for maintenance IVIg eligibility</w:t>
      </w:r>
      <w:r w:rsidR="002A49E9" w:rsidRPr="007D1918">
        <w:t xml:space="preserve"> (MGC score </w:t>
      </w:r>
      <w:r w:rsidR="002A49E9" w:rsidRPr="007D1918">
        <w:rPr>
          <w:rFonts w:cs="Calibri"/>
        </w:rPr>
        <w:t>≥</w:t>
      </w:r>
      <w:r w:rsidR="002A49E9" w:rsidRPr="007D1918">
        <w:t xml:space="preserve"> 4)</w:t>
      </w:r>
      <w:r w:rsidRPr="007D1918">
        <w:t xml:space="preserve">, as </w:t>
      </w:r>
      <w:r w:rsidR="00845729" w:rsidRPr="007D1918">
        <w:t>MG severity scores were not reported.</w:t>
      </w:r>
    </w:p>
    <w:p w14:paraId="6C9DD9A7" w14:textId="166E49C3" w:rsidR="00BB14D0" w:rsidRPr="007D1918" w:rsidRDefault="0086589E" w:rsidP="00A76F5E">
      <w:pPr>
        <w:jc w:val="both"/>
      </w:pPr>
      <w:r w:rsidRPr="007D1918">
        <w:t xml:space="preserve">IVIg doses were similar between the studies although the time over </w:t>
      </w:r>
      <w:r w:rsidR="0045753E" w:rsidRPr="007D1918">
        <w:t>which the dose was given varied</w:t>
      </w:r>
      <w:r w:rsidRPr="007D1918">
        <w:t xml:space="preserve"> </w:t>
      </w:r>
      <w:r w:rsidR="0045753E" w:rsidRPr="007D1918">
        <w:t>(details given in the study profiles table Apendix C)</w:t>
      </w:r>
      <w:r w:rsidRPr="007D1918">
        <w:t>.</w:t>
      </w:r>
      <w:r w:rsidR="006F1989" w:rsidRPr="007D1918">
        <w:t xml:space="preserve"> </w:t>
      </w:r>
      <w:r w:rsidR="00945861" w:rsidRPr="007D1918">
        <w:t xml:space="preserve">Mandawat et al did not report details about IVIg and PE doses. </w:t>
      </w:r>
    </w:p>
    <w:p w14:paraId="43463D38" w14:textId="74A531DD" w:rsidR="005D7746" w:rsidRPr="007D1918" w:rsidRDefault="0045753E" w:rsidP="005D7746">
      <w:pPr>
        <w:jc w:val="both"/>
      </w:pPr>
      <w:r w:rsidRPr="007D1918">
        <w:t>Results for the t</w:t>
      </w:r>
      <w:r w:rsidR="00CA3EB0" w:rsidRPr="007D1918">
        <w:t>hree</w:t>
      </w:r>
      <w:r w:rsidR="002F0D08" w:rsidRPr="007D1918">
        <w:t xml:space="preserve"> RCTs and one retrospective</w:t>
      </w:r>
      <w:r w:rsidR="00CA3EB0" w:rsidRPr="007D1918">
        <w:t xml:space="preserve"> cohort</w:t>
      </w:r>
      <w:r w:rsidR="002F0D08" w:rsidRPr="007D1918">
        <w:t xml:space="preserve"> study compar</w:t>
      </w:r>
      <w:r w:rsidRPr="007D1918">
        <w:t>ing</w:t>
      </w:r>
      <w:r w:rsidR="002F0D08" w:rsidRPr="007D1918">
        <w:t xml:space="preserve"> AEs between groups receiving IVIg or PE therapy for maintenance of MG</w:t>
      </w:r>
      <w:r w:rsidR="00CA3EB0" w:rsidRPr="007D1918">
        <w:t xml:space="preserve"> </w:t>
      </w:r>
      <w:r w:rsidRPr="007D1918">
        <w:t xml:space="preserve">are displayed in </w:t>
      </w:r>
      <w:r w:rsidR="00CA3EB0" w:rsidRPr="007D1918">
        <w:fldChar w:fldCharType="begin"/>
      </w:r>
      <w:r w:rsidR="00CA3EB0" w:rsidRPr="007D1918">
        <w:instrText xml:space="preserve"> REF _Ref9331499 \h </w:instrText>
      </w:r>
      <w:r w:rsidR="00E07567" w:rsidRPr="007D1918">
        <w:instrText xml:space="preserve"> \* MERGEFORMAT </w:instrText>
      </w:r>
      <w:r w:rsidR="00CA3EB0" w:rsidRPr="007D1918">
        <w:fldChar w:fldCharType="separate"/>
      </w:r>
      <w:r w:rsidR="00153384" w:rsidRPr="007D1918">
        <w:t xml:space="preserve">Table </w:t>
      </w:r>
      <w:r w:rsidR="00153384" w:rsidRPr="007D1918">
        <w:rPr>
          <w:noProof/>
        </w:rPr>
        <w:t>21</w:t>
      </w:r>
      <w:r w:rsidR="00CA3EB0" w:rsidRPr="007D1918">
        <w:fldChar w:fldCharType="end"/>
      </w:r>
      <w:r w:rsidR="002F0D08" w:rsidRPr="007D1918">
        <w:t>. In adults with MG</w:t>
      </w:r>
      <w:r w:rsidR="005D7746" w:rsidRPr="007D1918">
        <w:t>,</w:t>
      </w:r>
      <w:r w:rsidR="002F0D08" w:rsidRPr="007D1918">
        <w:t xml:space="preserve"> including those with adult onset MG, there were more events of headache and nausea/vomiting in the IVIg group compared to the PE group. </w:t>
      </w:r>
      <w:r w:rsidR="005D7746" w:rsidRPr="007D1918">
        <w:t xml:space="preserve">Reported AEs related to intravenous line access </w:t>
      </w:r>
      <w:r w:rsidR="002F0D08" w:rsidRPr="007D1918">
        <w:t xml:space="preserve">occurred </w:t>
      </w:r>
      <w:r w:rsidR="005D7746" w:rsidRPr="007D1918">
        <w:t>only in the PE group. Barth et al</w:t>
      </w:r>
      <w:r w:rsidR="00CA3EB0" w:rsidRPr="007D1918">
        <w:t xml:space="preserve"> also reported that one patient</w:t>
      </w:r>
      <w:r w:rsidR="005D7746" w:rsidRPr="007D1918">
        <w:t xml:space="preserve"> in the PE group had congestive heart failure but this was unlikely to be related to treatment, and one patient had a myocardial infarction that was considered related to treatment in the same group. The study did not report whether the difference between groups was significant. </w:t>
      </w:r>
      <w:r w:rsidR="00CA3EB0" w:rsidRPr="007D1918">
        <w:t>In an unadjusted analysis, Mandawat et al did not find any difference between treatment groups for AEs</w:t>
      </w:r>
      <w:r w:rsidR="00885DD1" w:rsidRPr="007D1918">
        <w:t xml:space="preserve"> but the authors did not perform an a</w:t>
      </w:r>
      <w:r w:rsidR="00CA3EB0" w:rsidRPr="007D1918">
        <w:t xml:space="preserve">djusted analyses for separated </w:t>
      </w:r>
      <w:r w:rsidRPr="007D1918">
        <w:t>m</w:t>
      </w:r>
      <w:r w:rsidR="00CA3EB0" w:rsidRPr="007D1918">
        <w:t>aintenance and crisis populations.</w:t>
      </w:r>
    </w:p>
    <w:p w14:paraId="01EB9E82" w14:textId="77777777" w:rsidR="003753DC" w:rsidRPr="007D1918" w:rsidRDefault="003753DC" w:rsidP="005D7746">
      <w:pPr>
        <w:jc w:val="both"/>
      </w:pPr>
    </w:p>
    <w:p w14:paraId="19C30FAA" w14:textId="5B1579FD" w:rsidR="00BF0974" w:rsidRPr="007D1918" w:rsidRDefault="00BF0974" w:rsidP="00A76F5E">
      <w:pPr>
        <w:pStyle w:val="Caption"/>
        <w:keepNext/>
        <w:keepLines/>
      </w:pPr>
      <w:bookmarkStart w:id="233" w:name="_Ref9331499"/>
      <w:bookmarkStart w:id="234" w:name="_Toc23769508"/>
      <w:r w:rsidRPr="007D1918">
        <w:lastRenderedPageBreak/>
        <w:t xml:space="preserve">Table </w:t>
      </w:r>
      <w:r w:rsidR="0097383C" w:rsidRPr="007D1918">
        <w:rPr>
          <w:noProof/>
        </w:rPr>
        <w:fldChar w:fldCharType="begin"/>
      </w:r>
      <w:r w:rsidR="0097383C" w:rsidRPr="007D1918">
        <w:rPr>
          <w:noProof/>
        </w:rPr>
        <w:instrText xml:space="preserve"> SEQ Table \* ARABIC </w:instrText>
      </w:r>
      <w:r w:rsidR="0097383C" w:rsidRPr="007D1918">
        <w:rPr>
          <w:noProof/>
        </w:rPr>
        <w:fldChar w:fldCharType="separate"/>
      </w:r>
      <w:r w:rsidR="00942701" w:rsidRPr="007D1918">
        <w:rPr>
          <w:noProof/>
        </w:rPr>
        <w:t>21</w:t>
      </w:r>
      <w:r w:rsidR="0097383C" w:rsidRPr="007D1918">
        <w:rPr>
          <w:noProof/>
        </w:rPr>
        <w:fldChar w:fldCharType="end"/>
      </w:r>
      <w:bookmarkEnd w:id="233"/>
      <w:r w:rsidRPr="007D1918">
        <w:tab/>
        <w:t>Adverse events for IVIg compared with PE for MG maintenance</w:t>
      </w:r>
      <w:bookmarkEnd w:id="234"/>
    </w:p>
    <w:tbl>
      <w:tblPr>
        <w:tblW w:w="509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19 Adverse events for IVIg compared with PE for MG maintenance"/>
        <w:tblDescription w:val="Adverse events compared between Patients with MG (Indication 3) who received IVIg or PE."/>
      </w:tblPr>
      <w:tblGrid>
        <w:gridCol w:w="1665"/>
        <w:gridCol w:w="1846"/>
        <w:gridCol w:w="1702"/>
        <w:gridCol w:w="1701"/>
        <w:gridCol w:w="2268"/>
      </w:tblGrid>
      <w:tr w:rsidR="00A76F5E" w:rsidRPr="007D1918" w14:paraId="635954F7" w14:textId="77777777" w:rsidTr="005E334B">
        <w:tc>
          <w:tcPr>
            <w:tcW w:w="907" w:type="pct"/>
            <w:shd w:val="clear" w:color="auto" w:fill="auto"/>
          </w:tcPr>
          <w:p w14:paraId="308CAB8B" w14:textId="7E3218FF" w:rsidR="00845729" w:rsidRPr="007D1918" w:rsidRDefault="00845729" w:rsidP="00A76F5E">
            <w:pPr>
              <w:pStyle w:val="TableHeading"/>
              <w:keepLines/>
              <w:rPr>
                <w:snapToGrid w:val="0"/>
                <w:lang w:eastAsia="en-US"/>
              </w:rPr>
            </w:pPr>
            <w:r w:rsidRPr="007D1918">
              <w:rPr>
                <w:snapToGrid w:val="0"/>
                <w:lang w:eastAsia="en-US"/>
              </w:rPr>
              <w:t>Study ID</w:t>
            </w:r>
            <w:r w:rsidR="00540738" w:rsidRPr="007D1918">
              <w:rPr>
                <w:snapToGrid w:val="0"/>
                <w:lang w:eastAsia="en-US"/>
              </w:rPr>
              <w:t>, country</w:t>
            </w:r>
          </w:p>
          <w:p w14:paraId="1F9DC1A6" w14:textId="77777777" w:rsidR="00845729" w:rsidRPr="007D1918" w:rsidRDefault="00845729" w:rsidP="00A76F5E">
            <w:pPr>
              <w:pStyle w:val="TableHeading"/>
              <w:keepLines/>
              <w:rPr>
                <w:snapToGrid w:val="0"/>
                <w:lang w:eastAsia="en-US"/>
              </w:rPr>
            </w:pPr>
            <w:r w:rsidRPr="007D1918">
              <w:rPr>
                <w:snapToGrid w:val="0"/>
                <w:lang w:eastAsia="en-US"/>
              </w:rPr>
              <w:t>Level of evidence</w:t>
            </w:r>
          </w:p>
          <w:p w14:paraId="021AC218" w14:textId="76964935" w:rsidR="00845729" w:rsidRPr="007D1918" w:rsidRDefault="00845729" w:rsidP="00A76F5E">
            <w:pPr>
              <w:pStyle w:val="TableHeading"/>
              <w:keepLines/>
              <w:rPr>
                <w:snapToGrid w:val="0"/>
                <w:lang w:eastAsia="en-US"/>
              </w:rPr>
            </w:pPr>
            <w:r w:rsidRPr="007D1918">
              <w:rPr>
                <w:snapToGrid w:val="0"/>
                <w:lang w:eastAsia="en-US"/>
              </w:rPr>
              <w:t>Quality</w:t>
            </w:r>
          </w:p>
        </w:tc>
        <w:tc>
          <w:tcPr>
            <w:tcW w:w="1005" w:type="pct"/>
          </w:tcPr>
          <w:p w14:paraId="49836559" w14:textId="332CC9D0" w:rsidR="00845729" w:rsidRPr="007D1918" w:rsidRDefault="00845729" w:rsidP="00A76F5E">
            <w:pPr>
              <w:pStyle w:val="TableHeading"/>
              <w:keepLines/>
              <w:ind w:left="111" w:right="117"/>
              <w:rPr>
                <w:snapToGrid w:val="0"/>
                <w:lang w:eastAsia="en-US"/>
              </w:rPr>
            </w:pPr>
            <w:r w:rsidRPr="007D1918">
              <w:rPr>
                <w:snapToGrid w:val="0"/>
                <w:lang w:eastAsia="en-US"/>
              </w:rPr>
              <w:t>Event</w:t>
            </w:r>
          </w:p>
        </w:tc>
        <w:tc>
          <w:tcPr>
            <w:tcW w:w="927" w:type="pct"/>
            <w:shd w:val="clear" w:color="auto" w:fill="auto"/>
          </w:tcPr>
          <w:p w14:paraId="50D3E884" w14:textId="77777777" w:rsidR="00845729" w:rsidRPr="007D1918" w:rsidRDefault="00845729" w:rsidP="00A76F5E">
            <w:pPr>
              <w:pStyle w:val="TableHeading"/>
              <w:keepLines/>
              <w:ind w:left="111" w:right="117"/>
              <w:rPr>
                <w:snapToGrid w:val="0"/>
                <w:lang w:eastAsia="en-US"/>
              </w:rPr>
            </w:pPr>
            <w:r w:rsidRPr="007D1918">
              <w:rPr>
                <w:snapToGrid w:val="0"/>
                <w:lang w:eastAsia="en-US"/>
              </w:rPr>
              <w:t>IVIg</w:t>
            </w:r>
          </w:p>
          <w:p w14:paraId="4E41862B" w14:textId="1D7E3A72" w:rsidR="00845729" w:rsidRPr="007D1918" w:rsidRDefault="00134848" w:rsidP="008D7BA8">
            <w:pPr>
              <w:pStyle w:val="TableHeading"/>
              <w:keepLines/>
              <w:ind w:left="111" w:right="117"/>
              <w:rPr>
                <w:snapToGrid w:val="0"/>
                <w:lang w:eastAsia="en-US"/>
              </w:rPr>
            </w:pPr>
            <w:r w:rsidRPr="007D1918">
              <w:rPr>
                <w:snapToGrid w:val="0"/>
                <w:lang w:eastAsia="en-US"/>
              </w:rPr>
              <w:t>n with event/N (%)</w:t>
            </w:r>
          </w:p>
        </w:tc>
        <w:tc>
          <w:tcPr>
            <w:tcW w:w="926" w:type="pct"/>
            <w:shd w:val="clear" w:color="auto" w:fill="auto"/>
          </w:tcPr>
          <w:p w14:paraId="42C4FD82" w14:textId="77777777" w:rsidR="00845729" w:rsidRPr="007D1918" w:rsidRDefault="00845729" w:rsidP="00A76F5E">
            <w:pPr>
              <w:pStyle w:val="TableHeading"/>
              <w:keepLines/>
              <w:ind w:left="77" w:right="117"/>
              <w:rPr>
                <w:snapToGrid w:val="0"/>
                <w:lang w:eastAsia="en-US"/>
              </w:rPr>
            </w:pPr>
            <w:r w:rsidRPr="007D1918">
              <w:rPr>
                <w:snapToGrid w:val="0"/>
                <w:lang w:eastAsia="en-US"/>
              </w:rPr>
              <w:t>PE</w:t>
            </w:r>
          </w:p>
          <w:p w14:paraId="5E8CDE9E" w14:textId="0E94F5CB" w:rsidR="00845729" w:rsidRPr="007D1918" w:rsidRDefault="00845729" w:rsidP="008D7BA8">
            <w:pPr>
              <w:pStyle w:val="TableHeading"/>
              <w:keepLines/>
              <w:ind w:left="77" w:right="117"/>
              <w:rPr>
                <w:snapToGrid w:val="0"/>
                <w:lang w:eastAsia="en-US"/>
              </w:rPr>
            </w:pPr>
            <w:r w:rsidRPr="007D1918">
              <w:rPr>
                <w:snapToGrid w:val="0"/>
                <w:lang w:eastAsia="en-US"/>
              </w:rPr>
              <w:t>n with event/N (%)</w:t>
            </w:r>
          </w:p>
        </w:tc>
        <w:tc>
          <w:tcPr>
            <w:tcW w:w="1235" w:type="pct"/>
            <w:shd w:val="clear" w:color="auto" w:fill="auto"/>
          </w:tcPr>
          <w:p w14:paraId="546DCD1C" w14:textId="2FADB474" w:rsidR="00845729" w:rsidRPr="007D1918" w:rsidRDefault="005E334B" w:rsidP="00A76F5E">
            <w:pPr>
              <w:pStyle w:val="TableHeading"/>
              <w:keepLines/>
              <w:ind w:right="117"/>
              <w:rPr>
                <w:snapToGrid w:val="0"/>
                <w:lang w:eastAsia="en-US"/>
              </w:rPr>
            </w:pPr>
            <w:r w:rsidRPr="007D1918">
              <w:rPr>
                <w:snapToGrid w:val="0"/>
                <w:lang w:eastAsia="en-US"/>
              </w:rPr>
              <w:t>D</w:t>
            </w:r>
            <w:r w:rsidR="00845729" w:rsidRPr="007D1918">
              <w:rPr>
                <w:snapToGrid w:val="0"/>
                <w:lang w:eastAsia="en-US"/>
              </w:rPr>
              <w:t>ifference</w:t>
            </w:r>
          </w:p>
          <w:p w14:paraId="4605B0B8" w14:textId="3CAC9AE5" w:rsidR="00845729" w:rsidRPr="007D1918" w:rsidRDefault="00845729" w:rsidP="00A76F5E">
            <w:pPr>
              <w:pStyle w:val="TableHeading"/>
              <w:keepLines/>
              <w:ind w:right="117"/>
              <w:rPr>
                <w:snapToGrid w:val="0"/>
                <w:lang w:eastAsia="en-US"/>
              </w:rPr>
            </w:pPr>
            <w:r w:rsidRPr="007D1918">
              <w:rPr>
                <w:snapToGrid w:val="0"/>
                <w:lang w:eastAsia="en-US"/>
              </w:rPr>
              <w:t xml:space="preserve">p-value </w:t>
            </w:r>
            <w:r w:rsidR="00134848" w:rsidRPr="007D1918">
              <w:rPr>
                <w:snapToGrid w:val="0"/>
                <w:lang w:eastAsia="en-US"/>
              </w:rPr>
              <w:t>(</w:t>
            </w:r>
            <w:r w:rsidRPr="007D1918">
              <w:rPr>
                <w:snapToGrid w:val="0"/>
                <w:lang w:eastAsia="en-US"/>
              </w:rPr>
              <w:t xml:space="preserve"> 95% CI</w:t>
            </w:r>
            <w:r w:rsidR="00134848" w:rsidRPr="007D1918">
              <w:rPr>
                <w:snapToGrid w:val="0"/>
                <w:lang w:eastAsia="en-US"/>
              </w:rPr>
              <w:t>)</w:t>
            </w:r>
          </w:p>
        </w:tc>
      </w:tr>
      <w:tr w:rsidR="00A76F5E" w:rsidRPr="007D1918" w14:paraId="3C44D99D" w14:textId="77777777" w:rsidTr="005E334B">
        <w:tc>
          <w:tcPr>
            <w:tcW w:w="907" w:type="pct"/>
            <w:shd w:val="clear" w:color="auto" w:fill="auto"/>
          </w:tcPr>
          <w:p w14:paraId="7E8362AC" w14:textId="495FF3C3" w:rsidR="00845729" w:rsidRPr="007D1918" w:rsidRDefault="0075212A" w:rsidP="00A76F5E">
            <w:pPr>
              <w:pStyle w:val="Tabletext1"/>
              <w:keepNext/>
              <w:keepLines/>
              <w:rPr>
                <w:snapToGrid w:val="0"/>
                <w:lang w:eastAsia="en-US"/>
              </w:rPr>
            </w:pPr>
            <w:r w:rsidRPr="007D1918">
              <w:rPr>
                <w:snapToGrid w:val="0"/>
                <w:lang w:eastAsia="en-US"/>
              </w:rPr>
              <w:fldChar w:fldCharType="begin"/>
            </w:r>
            <w:r w:rsidR="001A0E53" w:rsidRPr="007D1918">
              <w:rPr>
                <w:snapToGrid w:val="0"/>
                <w:lang w:eastAsia="en-US"/>
              </w:rPr>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001A0E53" w:rsidRPr="007D1918">
              <w:rPr>
                <w:rFonts w:ascii="Cambria Math" w:hAnsi="Cambria Math" w:cs="Cambria Math"/>
                <w:snapToGrid w:val="0"/>
                <w:lang w:eastAsia="en-US"/>
              </w:rPr>
              <w:instrText>‐</w:instrText>
            </w:r>
            <w:r w:rsidR="001A0E53" w:rsidRPr="007D1918">
              <w:rPr>
                <w:snapToGrid w:val="0"/>
                <w:lang w:eastAsia="en-US"/>
              </w:rPr>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001A0E53" w:rsidRPr="007D1918">
              <w:rPr>
                <w:rFonts w:ascii="Cambria Math" w:hAnsi="Cambria Math" w:cs="Cambria Math"/>
                <w:snapToGrid w:val="0"/>
                <w:lang w:eastAsia="en-US"/>
              </w:rPr>
              <w:instrText>‐</w:instrText>
            </w:r>
            <w:r w:rsidR="001A0E53" w:rsidRPr="007D1918">
              <w:rPr>
                <w:snapToGrid w:val="0"/>
                <w:lang w:eastAsia="en-US"/>
              </w:rPr>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001A0E53" w:rsidRPr="007D1918">
              <w:rPr>
                <w:rFonts w:ascii="Cambria Math" w:hAnsi="Cambria Math" w:cs="Cambria Math"/>
                <w:snapToGrid w:val="0"/>
                <w:lang w:eastAsia="en-US"/>
              </w:rPr>
              <w:instrText>‐</w:instrText>
            </w:r>
            <w:r w:rsidR="001A0E53" w:rsidRPr="007D1918">
              <w:rPr>
                <w:snapToGrid w:val="0"/>
                <w:lang w:eastAsia="en-US"/>
              </w:rPr>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rPr>
                <w:snapToGrid w:val="0"/>
                <w:lang w:eastAsia="en-US"/>
              </w:rPr>
              <w:fldChar w:fldCharType="separate"/>
            </w:r>
            <w:r w:rsidR="001A0E53" w:rsidRPr="007D1918">
              <w:rPr>
                <w:noProof/>
                <w:snapToGrid w:val="0"/>
                <w:lang w:eastAsia="en-US"/>
              </w:rPr>
              <w:t>(</w:t>
            </w:r>
            <w:hyperlink w:anchor="_ENREF_8" w:tooltip="Barth, 2011 #48" w:history="1">
              <w:r w:rsidR="007D4948" w:rsidRPr="007D1918">
                <w:rPr>
                  <w:noProof/>
                  <w:snapToGrid w:val="0"/>
                  <w:lang w:eastAsia="en-US"/>
                </w:rPr>
                <w:t>Barth et al. 2011</w:t>
              </w:r>
            </w:hyperlink>
            <w:r w:rsidR="001A0E53" w:rsidRPr="007D1918">
              <w:rPr>
                <w:noProof/>
                <w:snapToGrid w:val="0"/>
                <w:lang w:eastAsia="en-US"/>
              </w:rPr>
              <w:t>)</w:t>
            </w:r>
            <w:r w:rsidRPr="007D1918">
              <w:rPr>
                <w:snapToGrid w:val="0"/>
                <w:lang w:eastAsia="en-US"/>
              </w:rPr>
              <w:fldChar w:fldCharType="end"/>
            </w:r>
            <w:r w:rsidR="00540738" w:rsidRPr="007D1918">
              <w:rPr>
                <w:snapToGrid w:val="0"/>
                <w:lang w:eastAsia="en-US"/>
              </w:rPr>
              <w:t xml:space="preserve">, </w:t>
            </w:r>
            <w:r w:rsidR="00845729" w:rsidRPr="007D1918">
              <w:rPr>
                <w:snapToGrid w:val="0"/>
                <w:lang w:eastAsia="en-US"/>
              </w:rPr>
              <w:t>Canada</w:t>
            </w:r>
          </w:p>
          <w:p w14:paraId="6B25B7E5" w14:textId="77777777" w:rsidR="00845729" w:rsidRPr="007D1918" w:rsidRDefault="00845729" w:rsidP="00A76F5E">
            <w:pPr>
              <w:keepNext/>
              <w:keepLines/>
              <w:spacing w:before="40" w:after="40" w:line="240" w:lineRule="auto"/>
              <w:rPr>
                <w:rFonts w:ascii="Arial Narrow" w:hAnsi="Arial Narrow"/>
                <w:sz w:val="20"/>
                <w:szCs w:val="20"/>
              </w:rPr>
            </w:pPr>
            <w:r w:rsidRPr="007D1918">
              <w:rPr>
                <w:rFonts w:ascii="Arial Narrow" w:hAnsi="Arial Narrow"/>
                <w:sz w:val="20"/>
                <w:szCs w:val="20"/>
              </w:rPr>
              <w:t>Level II</w:t>
            </w:r>
          </w:p>
          <w:p w14:paraId="3863F644" w14:textId="14BFE035" w:rsidR="00845729" w:rsidRPr="007D1918" w:rsidRDefault="00845729" w:rsidP="00A76F5E">
            <w:pPr>
              <w:pStyle w:val="Tabletext1"/>
              <w:keepNext/>
              <w:keepLines/>
              <w:rPr>
                <w:snapToGrid w:val="0"/>
                <w:lang w:eastAsia="en-US"/>
              </w:rPr>
            </w:pPr>
            <w:r w:rsidRPr="007D1918">
              <w:t>Low</w:t>
            </w:r>
            <w:r w:rsidR="00290C8C" w:rsidRPr="007D1918">
              <w:t xml:space="preserve"> risk of bias</w:t>
            </w:r>
          </w:p>
        </w:tc>
        <w:tc>
          <w:tcPr>
            <w:tcW w:w="1005" w:type="pct"/>
          </w:tcPr>
          <w:p w14:paraId="73B5D1D5" w14:textId="77777777" w:rsidR="00845729" w:rsidRPr="007D1918" w:rsidRDefault="00845729" w:rsidP="00A76F5E">
            <w:pPr>
              <w:pStyle w:val="Tabletext1"/>
              <w:keepNext/>
              <w:keepLines/>
              <w:rPr>
                <w:snapToGrid w:val="0"/>
                <w:lang w:eastAsia="en-US"/>
              </w:rPr>
            </w:pPr>
            <w:r w:rsidRPr="007D1918">
              <w:rPr>
                <w:snapToGrid w:val="0"/>
                <w:lang w:eastAsia="en-US"/>
              </w:rPr>
              <w:t>Allergic reaction</w:t>
            </w:r>
          </w:p>
          <w:p w14:paraId="089F3482" w14:textId="77777777" w:rsidR="00845729" w:rsidRPr="007D1918" w:rsidRDefault="00845729" w:rsidP="00A76F5E">
            <w:pPr>
              <w:pStyle w:val="Tabletext1"/>
              <w:keepNext/>
              <w:keepLines/>
              <w:rPr>
                <w:snapToGrid w:val="0"/>
                <w:lang w:eastAsia="en-US"/>
              </w:rPr>
            </w:pPr>
            <w:r w:rsidRPr="007D1918">
              <w:rPr>
                <w:snapToGrid w:val="0"/>
                <w:lang w:eastAsia="en-US"/>
              </w:rPr>
              <w:t>Nausea, vomiting</w:t>
            </w:r>
          </w:p>
          <w:p w14:paraId="547852F0" w14:textId="0B55A96B" w:rsidR="00845729" w:rsidRPr="007D1918" w:rsidRDefault="00845729" w:rsidP="00A76F5E">
            <w:pPr>
              <w:pStyle w:val="Tabletext1"/>
              <w:keepNext/>
              <w:keepLines/>
              <w:rPr>
                <w:snapToGrid w:val="0"/>
                <w:lang w:eastAsia="en-US"/>
              </w:rPr>
            </w:pPr>
            <w:r w:rsidRPr="007D1918">
              <w:rPr>
                <w:snapToGrid w:val="0"/>
                <w:lang w:eastAsia="en-US"/>
              </w:rPr>
              <w:t>Headache</w:t>
            </w:r>
          </w:p>
          <w:p w14:paraId="70511641" w14:textId="2A12CC26" w:rsidR="00845729" w:rsidRPr="007D1918" w:rsidRDefault="00845729" w:rsidP="00A76F5E">
            <w:pPr>
              <w:pStyle w:val="Tabletext1"/>
              <w:keepNext/>
              <w:keepLines/>
              <w:rPr>
                <w:snapToGrid w:val="0"/>
                <w:lang w:eastAsia="en-US"/>
              </w:rPr>
            </w:pPr>
            <w:r w:rsidRPr="007D1918">
              <w:rPr>
                <w:snapToGrid w:val="0"/>
                <w:lang w:eastAsia="en-US"/>
              </w:rPr>
              <w:t>Chills</w:t>
            </w:r>
          </w:p>
          <w:p w14:paraId="2E2E8866" w14:textId="39BFC545" w:rsidR="00845729" w:rsidRPr="007D1918" w:rsidRDefault="00845729" w:rsidP="00A76F5E">
            <w:pPr>
              <w:pStyle w:val="Tabletext1"/>
              <w:keepNext/>
              <w:keepLines/>
              <w:rPr>
                <w:snapToGrid w:val="0"/>
                <w:lang w:eastAsia="en-US"/>
              </w:rPr>
            </w:pPr>
            <w:r w:rsidRPr="007D1918">
              <w:rPr>
                <w:snapToGrid w:val="0"/>
                <w:lang w:eastAsia="en-US"/>
              </w:rPr>
              <w:t>Fever</w:t>
            </w:r>
          </w:p>
          <w:p w14:paraId="04772C03" w14:textId="393BB107" w:rsidR="00845729" w:rsidRPr="007D1918" w:rsidRDefault="00845729" w:rsidP="00A76F5E">
            <w:pPr>
              <w:pStyle w:val="Tabletext1"/>
              <w:keepNext/>
              <w:keepLines/>
              <w:rPr>
                <w:snapToGrid w:val="0"/>
                <w:lang w:eastAsia="en-US"/>
              </w:rPr>
            </w:pPr>
            <w:r w:rsidRPr="007D1918">
              <w:rPr>
                <w:snapToGrid w:val="0"/>
                <w:lang w:eastAsia="en-US"/>
              </w:rPr>
              <w:t>Haemolytic anaemia</w:t>
            </w:r>
          </w:p>
          <w:p w14:paraId="420327C5" w14:textId="12F33D17" w:rsidR="00845729" w:rsidRPr="007D1918" w:rsidRDefault="00845729" w:rsidP="00A76F5E">
            <w:pPr>
              <w:pStyle w:val="Tabletext1"/>
              <w:keepNext/>
              <w:keepLines/>
              <w:rPr>
                <w:snapToGrid w:val="0"/>
                <w:lang w:eastAsia="en-US"/>
              </w:rPr>
            </w:pPr>
            <w:r w:rsidRPr="007D1918">
              <w:rPr>
                <w:snapToGrid w:val="0"/>
                <w:lang w:eastAsia="en-US"/>
              </w:rPr>
              <w:t>Hypertension</w:t>
            </w:r>
          </w:p>
          <w:p w14:paraId="7001EBCB" w14:textId="77777777" w:rsidR="00845729" w:rsidRPr="007D1918" w:rsidRDefault="00845729" w:rsidP="00A76F5E">
            <w:pPr>
              <w:pStyle w:val="Tabletext1"/>
              <w:keepNext/>
              <w:keepLines/>
              <w:rPr>
                <w:snapToGrid w:val="0"/>
                <w:lang w:eastAsia="en-US"/>
              </w:rPr>
            </w:pPr>
            <w:r w:rsidRPr="007D1918">
              <w:rPr>
                <w:snapToGrid w:val="0"/>
                <w:lang w:eastAsia="en-US"/>
              </w:rPr>
              <w:t>Citrate reaction</w:t>
            </w:r>
          </w:p>
          <w:p w14:paraId="12BB8970" w14:textId="3E053421" w:rsidR="00845729" w:rsidRPr="007D1918" w:rsidRDefault="00845729" w:rsidP="00A76F5E">
            <w:pPr>
              <w:pStyle w:val="Tabletext1"/>
              <w:keepNext/>
              <w:keepLines/>
              <w:rPr>
                <w:snapToGrid w:val="0"/>
                <w:lang w:eastAsia="en-US"/>
              </w:rPr>
            </w:pPr>
            <w:r w:rsidRPr="007D1918">
              <w:rPr>
                <w:snapToGrid w:val="0"/>
                <w:lang w:eastAsia="en-US"/>
              </w:rPr>
              <w:t>Poor venous access delaying treatment</w:t>
            </w:r>
          </w:p>
          <w:p w14:paraId="1DB41433" w14:textId="567D0454" w:rsidR="00845729" w:rsidRPr="007D1918" w:rsidRDefault="00845729" w:rsidP="00A76F5E">
            <w:pPr>
              <w:pStyle w:val="Tabletext1"/>
              <w:keepNext/>
              <w:keepLines/>
              <w:rPr>
                <w:snapToGrid w:val="0"/>
                <w:lang w:eastAsia="en-US"/>
              </w:rPr>
            </w:pPr>
            <w:r w:rsidRPr="007D1918">
              <w:rPr>
                <w:snapToGrid w:val="0"/>
                <w:lang w:eastAsia="en-US"/>
              </w:rPr>
              <w:t>Vasospasm</w:t>
            </w:r>
          </w:p>
          <w:p w14:paraId="4FCC3E5A" w14:textId="77777777" w:rsidR="00845729" w:rsidRPr="007D1918" w:rsidRDefault="00845729" w:rsidP="00A76F5E">
            <w:pPr>
              <w:pStyle w:val="Tabletext1"/>
              <w:keepNext/>
              <w:keepLines/>
              <w:rPr>
                <w:snapToGrid w:val="0"/>
                <w:lang w:eastAsia="en-US"/>
              </w:rPr>
            </w:pPr>
            <w:r w:rsidRPr="007D1918">
              <w:rPr>
                <w:snapToGrid w:val="0"/>
                <w:lang w:eastAsia="en-US"/>
              </w:rPr>
              <w:t>Vasovagal reaction</w:t>
            </w:r>
          </w:p>
          <w:p w14:paraId="7B69CA6A" w14:textId="6980E034" w:rsidR="00845729" w:rsidRPr="007D1918" w:rsidRDefault="00845729" w:rsidP="00A76F5E">
            <w:pPr>
              <w:pStyle w:val="Tabletext1"/>
              <w:keepNext/>
              <w:keepLines/>
              <w:rPr>
                <w:snapToGrid w:val="0"/>
                <w:lang w:eastAsia="en-US"/>
              </w:rPr>
            </w:pPr>
            <w:r w:rsidRPr="007D1918">
              <w:rPr>
                <w:snapToGrid w:val="0"/>
                <w:lang w:eastAsia="en-US"/>
              </w:rPr>
              <w:t>Myocardial infarction</w:t>
            </w:r>
          </w:p>
        </w:tc>
        <w:tc>
          <w:tcPr>
            <w:tcW w:w="927" w:type="pct"/>
            <w:shd w:val="clear" w:color="auto" w:fill="auto"/>
          </w:tcPr>
          <w:p w14:paraId="0A9CFC82" w14:textId="0280F8F9" w:rsidR="00845729" w:rsidRPr="007D1918" w:rsidRDefault="00845729" w:rsidP="00A76F5E">
            <w:pPr>
              <w:pStyle w:val="Tabletext1"/>
              <w:keepNext/>
              <w:keepLines/>
              <w:rPr>
                <w:snapToGrid w:val="0"/>
                <w:lang w:eastAsia="en-US"/>
              </w:rPr>
            </w:pPr>
            <w:r w:rsidRPr="007D1918">
              <w:rPr>
                <w:snapToGrid w:val="0"/>
                <w:lang w:eastAsia="en-US"/>
              </w:rPr>
              <w:t>2/41 (4.9%)</w:t>
            </w:r>
          </w:p>
          <w:p w14:paraId="438FC33F" w14:textId="7B0C390A" w:rsidR="00845729" w:rsidRPr="007D1918" w:rsidRDefault="00845729" w:rsidP="00A76F5E">
            <w:pPr>
              <w:pStyle w:val="Tabletext1"/>
              <w:keepNext/>
              <w:keepLines/>
              <w:rPr>
                <w:snapToGrid w:val="0"/>
                <w:lang w:eastAsia="en-US"/>
              </w:rPr>
            </w:pPr>
            <w:r w:rsidRPr="007D1918">
              <w:rPr>
                <w:snapToGrid w:val="0"/>
                <w:lang w:eastAsia="en-US"/>
              </w:rPr>
              <w:t>7/41 (17.0%)</w:t>
            </w:r>
          </w:p>
          <w:p w14:paraId="6A2C2FBC" w14:textId="3C9D4E15" w:rsidR="00845729" w:rsidRPr="007D1918" w:rsidRDefault="00845729" w:rsidP="00A76F5E">
            <w:pPr>
              <w:pStyle w:val="Tabletext1"/>
              <w:keepNext/>
              <w:keepLines/>
              <w:rPr>
                <w:snapToGrid w:val="0"/>
                <w:lang w:eastAsia="en-US"/>
              </w:rPr>
            </w:pPr>
            <w:r w:rsidRPr="007D1918">
              <w:rPr>
                <w:snapToGrid w:val="0"/>
                <w:lang w:eastAsia="en-US"/>
              </w:rPr>
              <w:t>8/41 (19.5%)</w:t>
            </w:r>
          </w:p>
          <w:p w14:paraId="20ECEF97" w14:textId="1C0C3553" w:rsidR="00845729" w:rsidRPr="007D1918" w:rsidRDefault="00845729" w:rsidP="00A76F5E">
            <w:pPr>
              <w:pStyle w:val="Tabletext1"/>
              <w:keepNext/>
              <w:keepLines/>
              <w:rPr>
                <w:snapToGrid w:val="0"/>
                <w:lang w:eastAsia="en-US"/>
              </w:rPr>
            </w:pPr>
            <w:r w:rsidRPr="007D1918">
              <w:rPr>
                <w:snapToGrid w:val="0"/>
                <w:lang w:eastAsia="en-US"/>
              </w:rPr>
              <w:t>2/41 (4.9%)</w:t>
            </w:r>
          </w:p>
          <w:p w14:paraId="4E9C65A2" w14:textId="3C7EC727" w:rsidR="00845729" w:rsidRPr="007D1918" w:rsidRDefault="00845729" w:rsidP="00A76F5E">
            <w:pPr>
              <w:pStyle w:val="Tabletext1"/>
              <w:keepNext/>
              <w:keepLines/>
              <w:rPr>
                <w:snapToGrid w:val="0"/>
                <w:lang w:eastAsia="en-US"/>
              </w:rPr>
            </w:pPr>
            <w:r w:rsidRPr="007D1918">
              <w:rPr>
                <w:snapToGrid w:val="0"/>
                <w:lang w:eastAsia="en-US"/>
              </w:rPr>
              <w:t>3/41 (7.3%)</w:t>
            </w:r>
          </w:p>
          <w:p w14:paraId="074FA77D" w14:textId="1B6671D1" w:rsidR="00845729" w:rsidRPr="007D1918" w:rsidRDefault="00845729" w:rsidP="00A76F5E">
            <w:pPr>
              <w:pStyle w:val="Tabletext1"/>
              <w:keepNext/>
              <w:keepLines/>
              <w:rPr>
                <w:snapToGrid w:val="0"/>
                <w:lang w:eastAsia="en-US"/>
              </w:rPr>
            </w:pPr>
            <w:r w:rsidRPr="007D1918">
              <w:rPr>
                <w:snapToGrid w:val="0"/>
                <w:lang w:eastAsia="en-US"/>
              </w:rPr>
              <w:t>1/41 (2.45%)</w:t>
            </w:r>
          </w:p>
          <w:p w14:paraId="6EA08755" w14:textId="44292F66" w:rsidR="00845729" w:rsidRPr="007D1918" w:rsidRDefault="00845729" w:rsidP="00A76F5E">
            <w:pPr>
              <w:pStyle w:val="Tabletext1"/>
              <w:keepNext/>
              <w:keepLines/>
              <w:rPr>
                <w:snapToGrid w:val="0"/>
                <w:lang w:eastAsia="en-US"/>
              </w:rPr>
            </w:pPr>
            <w:r w:rsidRPr="007D1918">
              <w:rPr>
                <w:snapToGrid w:val="0"/>
                <w:lang w:eastAsia="en-US"/>
              </w:rPr>
              <w:t>1/41 (2.4%)</w:t>
            </w:r>
          </w:p>
          <w:p w14:paraId="597275E5" w14:textId="5D9D325C" w:rsidR="00845729" w:rsidRPr="007D1918" w:rsidRDefault="00845729" w:rsidP="00A76F5E">
            <w:pPr>
              <w:pStyle w:val="Tabletext1"/>
              <w:keepNext/>
              <w:keepLines/>
              <w:rPr>
                <w:snapToGrid w:val="0"/>
                <w:lang w:eastAsia="en-US"/>
              </w:rPr>
            </w:pPr>
            <w:r w:rsidRPr="007D1918">
              <w:rPr>
                <w:snapToGrid w:val="0"/>
                <w:lang w:eastAsia="en-US"/>
              </w:rPr>
              <w:t>0/41</w:t>
            </w:r>
          </w:p>
          <w:p w14:paraId="43F16E13" w14:textId="77777777" w:rsidR="00845729" w:rsidRPr="007D1918" w:rsidRDefault="00845729" w:rsidP="00A76F5E">
            <w:pPr>
              <w:pStyle w:val="Tabletext1"/>
              <w:keepNext/>
              <w:keepLines/>
              <w:rPr>
                <w:snapToGrid w:val="0"/>
                <w:lang w:eastAsia="en-US"/>
              </w:rPr>
            </w:pPr>
            <w:r w:rsidRPr="007D1918">
              <w:rPr>
                <w:snapToGrid w:val="0"/>
                <w:lang w:eastAsia="en-US"/>
              </w:rPr>
              <w:t>0/41</w:t>
            </w:r>
            <w:r w:rsidRPr="007D1918">
              <w:rPr>
                <w:snapToGrid w:val="0"/>
                <w:lang w:eastAsia="en-US"/>
              </w:rPr>
              <w:br/>
            </w:r>
          </w:p>
          <w:p w14:paraId="05217A6E" w14:textId="20189856" w:rsidR="00845729" w:rsidRPr="007D1918" w:rsidRDefault="00845729" w:rsidP="00A76F5E">
            <w:pPr>
              <w:pStyle w:val="Tabletext1"/>
              <w:keepNext/>
              <w:keepLines/>
              <w:rPr>
                <w:snapToGrid w:val="0"/>
                <w:lang w:eastAsia="en-US"/>
              </w:rPr>
            </w:pPr>
            <w:r w:rsidRPr="007D1918">
              <w:rPr>
                <w:snapToGrid w:val="0"/>
                <w:lang w:eastAsia="en-US"/>
              </w:rPr>
              <w:t>0/41</w:t>
            </w:r>
          </w:p>
          <w:p w14:paraId="10261F1C" w14:textId="77777777" w:rsidR="00845729" w:rsidRPr="007D1918" w:rsidRDefault="00845729" w:rsidP="00A76F5E">
            <w:pPr>
              <w:pStyle w:val="Tabletext1"/>
              <w:keepNext/>
              <w:keepLines/>
              <w:rPr>
                <w:snapToGrid w:val="0"/>
                <w:lang w:eastAsia="en-US"/>
              </w:rPr>
            </w:pPr>
            <w:r w:rsidRPr="007D1918">
              <w:rPr>
                <w:snapToGrid w:val="0"/>
                <w:lang w:eastAsia="en-US"/>
              </w:rPr>
              <w:t>0/41</w:t>
            </w:r>
          </w:p>
          <w:p w14:paraId="24873FEB" w14:textId="21841E16" w:rsidR="00845729" w:rsidRPr="007D1918" w:rsidRDefault="00845729" w:rsidP="00A76F5E">
            <w:pPr>
              <w:pStyle w:val="Tabletext1"/>
              <w:keepNext/>
              <w:keepLines/>
              <w:rPr>
                <w:snapToGrid w:val="0"/>
                <w:lang w:eastAsia="en-US"/>
              </w:rPr>
            </w:pPr>
            <w:r w:rsidRPr="007D1918">
              <w:rPr>
                <w:snapToGrid w:val="0"/>
                <w:lang w:eastAsia="en-US"/>
              </w:rPr>
              <w:t>0/41</w:t>
            </w:r>
          </w:p>
        </w:tc>
        <w:tc>
          <w:tcPr>
            <w:tcW w:w="926" w:type="pct"/>
            <w:shd w:val="clear" w:color="auto" w:fill="auto"/>
          </w:tcPr>
          <w:p w14:paraId="77612728" w14:textId="53EE0F90" w:rsidR="00845729" w:rsidRPr="007D1918" w:rsidRDefault="00845729" w:rsidP="00A76F5E">
            <w:pPr>
              <w:pStyle w:val="Tabletext1"/>
              <w:keepNext/>
              <w:keepLines/>
              <w:rPr>
                <w:snapToGrid w:val="0"/>
                <w:lang w:eastAsia="en-US"/>
              </w:rPr>
            </w:pPr>
            <w:r w:rsidRPr="007D1918">
              <w:rPr>
                <w:snapToGrid w:val="0"/>
                <w:lang w:eastAsia="en-US"/>
              </w:rPr>
              <w:t>0/43</w:t>
            </w:r>
          </w:p>
          <w:p w14:paraId="4D3B2CA2" w14:textId="6ED7DBC1" w:rsidR="00845729" w:rsidRPr="007D1918" w:rsidRDefault="00845729" w:rsidP="00A76F5E">
            <w:pPr>
              <w:pStyle w:val="Tabletext1"/>
              <w:keepNext/>
              <w:keepLines/>
              <w:rPr>
                <w:snapToGrid w:val="0"/>
                <w:lang w:eastAsia="en-US"/>
              </w:rPr>
            </w:pPr>
            <w:r w:rsidRPr="007D1918">
              <w:rPr>
                <w:snapToGrid w:val="0"/>
                <w:lang w:eastAsia="en-US"/>
              </w:rPr>
              <w:t>0/43</w:t>
            </w:r>
          </w:p>
          <w:p w14:paraId="20612EF8" w14:textId="6A167026" w:rsidR="00845729" w:rsidRPr="007D1918" w:rsidRDefault="00845729" w:rsidP="00A76F5E">
            <w:pPr>
              <w:pStyle w:val="Tabletext1"/>
              <w:keepNext/>
              <w:keepLines/>
              <w:rPr>
                <w:snapToGrid w:val="0"/>
                <w:lang w:eastAsia="en-US"/>
              </w:rPr>
            </w:pPr>
            <w:r w:rsidRPr="007D1918">
              <w:rPr>
                <w:snapToGrid w:val="0"/>
                <w:lang w:eastAsia="en-US"/>
              </w:rPr>
              <w:t>0/43</w:t>
            </w:r>
          </w:p>
          <w:p w14:paraId="610351B1" w14:textId="79D95784" w:rsidR="00845729" w:rsidRPr="007D1918" w:rsidRDefault="00845729" w:rsidP="00A76F5E">
            <w:pPr>
              <w:pStyle w:val="Tabletext1"/>
              <w:keepNext/>
              <w:keepLines/>
              <w:rPr>
                <w:snapToGrid w:val="0"/>
                <w:lang w:eastAsia="en-US"/>
              </w:rPr>
            </w:pPr>
            <w:r w:rsidRPr="007D1918">
              <w:rPr>
                <w:snapToGrid w:val="0"/>
                <w:lang w:eastAsia="en-US"/>
              </w:rPr>
              <w:t>0/43</w:t>
            </w:r>
          </w:p>
          <w:p w14:paraId="5FEA9A06" w14:textId="21FF4A82" w:rsidR="00845729" w:rsidRPr="007D1918" w:rsidRDefault="00845729" w:rsidP="00A76F5E">
            <w:pPr>
              <w:pStyle w:val="Tabletext1"/>
              <w:keepNext/>
              <w:keepLines/>
              <w:rPr>
                <w:snapToGrid w:val="0"/>
                <w:lang w:eastAsia="en-US"/>
              </w:rPr>
            </w:pPr>
            <w:r w:rsidRPr="007D1918">
              <w:rPr>
                <w:snapToGrid w:val="0"/>
                <w:lang w:eastAsia="en-US"/>
              </w:rPr>
              <w:t>0/43</w:t>
            </w:r>
          </w:p>
          <w:p w14:paraId="2B21379E" w14:textId="29A4137B" w:rsidR="00845729" w:rsidRPr="007D1918" w:rsidRDefault="00845729" w:rsidP="00A76F5E">
            <w:pPr>
              <w:pStyle w:val="Tabletext1"/>
              <w:keepNext/>
              <w:keepLines/>
              <w:rPr>
                <w:snapToGrid w:val="0"/>
                <w:lang w:eastAsia="en-US"/>
              </w:rPr>
            </w:pPr>
            <w:r w:rsidRPr="007D1918">
              <w:rPr>
                <w:snapToGrid w:val="0"/>
                <w:lang w:eastAsia="en-US"/>
              </w:rPr>
              <w:t>0/43</w:t>
            </w:r>
          </w:p>
          <w:p w14:paraId="4B8D9871" w14:textId="3F132C74" w:rsidR="00845729" w:rsidRPr="007D1918" w:rsidRDefault="00845729" w:rsidP="00A76F5E">
            <w:pPr>
              <w:pStyle w:val="Tabletext1"/>
              <w:keepNext/>
              <w:keepLines/>
              <w:rPr>
                <w:snapToGrid w:val="0"/>
                <w:lang w:eastAsia="en-US"/>
              </w:rPr>
            </w:pPr>
            <w:r w:rsidRPr="007D1918">
              <w:rPr>
                <w:snapToGrid w:val="0"/>
                <w:lang w:eastAsia="en-US"/>
              </w:rPr>
              <w:t>0/43</w:t>
            </w:r>
          </w:p>
          <w:p w14:paraId="4C8C03A2" w14:textId="4931C1F7" w:rsidR="00845729" w:rsidRPr="007D1918" w:rsidRDefault="00845729" w:rsidP="00A76F5E">
            <w:pPr>
              <w:pStyle w:val="Tabletext1"/>
              <w:keepNext/>
              <w:keepLines/>
              <w:rPr>
                <w:snapToGrid w:val="0"/>
                <w:lang w:eastAsia="en-US"/>
              </w:rPr>
            </w:pPr>
            <w:r w:rsidRPr="007D1918">
              <w:rPr>
                <w:snapToGrid w:val="0"/>
                <w:lang w:eastAsia="en-US"/>
              </w:rPr>
              <w:t>6/43 (14.0%)</w:t>
            </w:r>
          </w:p>
          <w:p w14:paraId="407EE7E7" w14:textId="1858E528" w:rsidR="00845729" w:rsidRPr="007D1918" w:rsidRDefault="00845729" w:rsidP="00A76F5E">
            <w:pPr>
              <w:pStyle w:val="Tabletext1"/>
              <w:keepNext/>
              <w:keepLines/>
              <w:rPr>
                <w:snapToGrid w:val="0"/>
                <w:lang w:eastAsia="en-US"/>
              </w:rPr>
            </w:pPr>
            <w:r w:rsidRPr="007D1918">
              <w:rPr>
                <w:snapToGrid w:val="0"/>
                <w:lang w:eastAsia="en-US"/>
              </w:rPr>
              <w:t>4/43 (9.3%)</w:t>
            </w:r>
            <w:r w:rsidRPr="007D1918">
              <w:rPr>
                <w:snapToGrid w:val="0"/>
                <w:lang w:eastAsia="en-US"/>
              </w:rPr>
              <w:br/>
            </w:r>
          </w:p>
          <w:p w14:paraId="327442DB" w14:textId="5598A1ED" w:rsidR="00845729" w:rsidRPr="007D1918" w:rsidRDefault="00845729" w:rsidP="00A76F5E">
            <w:pPr>
              <w:pStyle w:val="Tabletext1"/>
              <w:keepNext/>
              <w:keepLines/>
              <w:rPr>
                <w:snapToGrid w:val="0"/>
                <w:lang w:eastAsia="en-US"/>
              </w:rPr>
            </w:pPr>
            <w:r w:rsidRPr="007D1918">
              <w:rPr>
                <w:snapToGrid w:val="0"/>
                <w:lang w:eastAsia="en-US"/>
              </w:rPr>
              <w:t>8/43 (18.6%)</w:t>
            </w:r>
          </w:p>
          <w:p w14:paraId="6482EC36" w14:textId="77FD4630" w:rsidR="00845729" w:rsidRPr="007D1918" w:rsidRDefault="00845729" w:rsidP="00A76F5E">
            <w:pPr>
              <w:pStyle w:val="Tabletext1"/>
              <w:keepNext/>
              <w:keepLines/>
              <w:rPr>
                <w:snapToGrid w:val="0"/>
                <w:lang w:eastAsia="en-US"/>
              </w:rPr>
            </w:pPr>
            <w:r w:rsidRPr="007D1918">
              <w:rPr>
                <w:snapToGrid w:val="0"/>
                <w:lang w:eastAsia="en-US"/>
              </w:rPr>
              <w:t>2/43 (4.7%)</w:t>
            </w:r>
          </w:p>
          <w:p w14:paraId="73ABD423" w14:textId="5C8A90EA" w:rsidR="00845729" w:rsidRPr="007D1918" w:rsidRDefault="00845729" w:rsidP="00A76F5E">
            <w:pPr>
              <w:pStyle w:val="Tabletext1"/>
              <w:keepNext/>
              <w:keepLines/>
              <w:rPr>
                <w:snapToGrid w:val="0"/>
                <w:lang w:eastAsia="en-US"/>
              </w:rPr>
            </w:pPr>
            <w:r w:rsidRPr="007D1918">
              <w:rPr>
                <w:snapToGrid w:val="0"/>
                <w:lang w:eastAsia="en-US"/>
              </w:rPr>
              <w:t>1/43 (2.3%)</w:t>
            </w:r>
          </w:p>
        </w:tc>
        <w:tc>
          <w:tcPr>
            <w:tcW w:w="1235" w:type="pct"/>
            <w:shd w:val="clear" w:color="auto" w:fill="auto"/>
          </w:tcPr>
          <w:p w14:paraId="50098EE4" w14:textId="6D0182AC" w:rsidR="00845729" w:rsidRPr="007D1918" w:rsidRDefault="00503E06" w:rsidP="00A76F5E">
            <w:pPr>
              <w:pStyle w:val="Tabletext1"/>
              <w:keepNext/>
              <w:keepLines/>
              <w:rPr>
                <w:snapToGrid w:val="0"/>
                <w:vertAlign w:val="superscript"/>
                <w:lang w:eastAsia="en-US"/>
              </w:rPr>
            </w:pPr>
            <w:r w:rsidRPr="007D1918">
              <w:rPr>
                <w:snapToGrid w:val="0"/>
                <w:lang w:eastAsia="en-US"/>
              </w:rPr>
              <w:t>P = 0.14 (-4.03%, 16.1%)</w:t>
            </w:r>
            <w:r w:rsidR="008B7913" w:rsidRPr="007D1918">
              <w:rPr>
                <w:snapToGrid w:val="0"/>
                <w:vertAlign w:val="superscript"/>
                <w:lang w:eastAsia="en-US"/>
              </w:rPr>
              <w:t>a</w:t>
            </w:r>
          </w:p>
          <w:p w14:paraId="735E20C0" w14:textId="058AE3B0" w:rsidR="00503E06" w:rsidRPr="007D1918" w:rsidRDefault="00503E06" w:rsidP="00A76F5E">
            <w:pPr>
              <w:pStyle w:val="Tabletext1"/>
              <w:keepNext/>
              <w:keepLines/>
              <w:rPr>
                <w:snapToGrid w:val="0"/>
                <w:lang w:eastAsia="en-US"/>
              </w:rPr>
            </w:pPr>
            <w:r w:rsidRPr="007D1918">
              <w:rPr>
                <w:snapToGrid w:val="0"/>
                <w:lang w:eastAsia="en-US"/>
              </w:rPr>
              <w:t xml:space="preserve">P = </w:t>
            </w:r>
            <w:r w:rsidRPr="007D1918">
              <w:rPr>
                <w:b/>
                <w:snapToGrid w:val="0"/>
                <w:lang w:eastAsia="en-US"/>
              </w:rPr>
              <w:t>0.005</w:t>
            </w:r>
            <w:r w:rsidRPr="007D1918">
              <w:rPr>
                <w:snapToGrid w:val="0"/>
                <w:lang w:eastAsia="en-US"/>
              </w:rPr>
              <w:t xml:space="preserve"> (5.</w:t>
            </w:r>
            <w:r w:rsidR="00540738" w:rsidRPr="007D1918">
              <w:rPr>
                <w:snapToGrid w:val="0"/>
                <w:lang w:eastAsia="en-US"/>
              </w:rPr>
              <w:t>17</w:t>
            </w:r>
            <w:r w:rsidRPr="007D1918">
              <w:rPr>
                <w:snapToGrid w:val="0"/>
                <w:lang w:eastAsia="en-US"/>
              </w:rPr>
              <w:t>%, 31.2%)</w:t>
            </w:r>
          </w:p>
          <w:p w14:paraId="1F7C2F75" w14:textId="7EC8157D" w:rsidR="00503E06" w:rsidRPr="007D1918" w:rsidRDefault="00503E06" w:rsidP="00A76F5E">
            <w:pPr>
              <w:pStyle w:val="Tabletext1"/>
              <w:keepNext/>
              <w:keepLines/>
              <w:rPr>
                <w:snapToGrid w:val="0"/>
                <w:lang w:eastAsia="en-US"/>
              </w:rPr>
            </w:pPr>
            <w:r w:rsidRPr="007D1918">
              <w:rPr>
                <w:snapToGrid w:val="0"/>
                <w:lang w:eastAsia="en-US"/>
              </w:rPr>
              <w:t xml:space="preserve">P = </w:t>
            </w:r>
            <w:r w:rsidRPr="007D1918">
              <w:rPr>
                <w:b/>
                <w:snapToGrid w:val="0"/>
                <w:lang w:eastAsia="en-US"/>
              </w:rPr>
              <w:t>0.0025</w:t>
            </w:r>
            <w:r w:rsidRPr="007D1918">
              <w:rPr>
                <w:snapToGrid w:val="0"/>
                <w:lang w:eastAsia="en-US"/>
              </w:rPr>
              <w:t xml:space="preserve"> (7.12%, 34.0%)</w:t>
            </w:r>
          </w:p>
          <w:p w14:paraId="6A46434D" w14:textId="39B606E9" w:rsidR="00503E06" w:rsidRPr="007D1918" w:rsidRDefault="00503E06" w:rsidP="00A76F5E">
            <w:pPr>
              <w:pStyle w:val="Tabletext1"/>
              <w:keepNext/>
              <w:keepLines/>
              <w:rPr>
                <w:snapToGrid w:val="0"/>
                <w:lang w:eastAsia="en-US"/>
              </w:rPr>
            </w:pPr>
            <w:r w:rsidRPr="007D1918">
              <w:rPr>
                <w:snapToGrid w:val="0"/>
                <w:lang w:eastAsia="en-US"/>
              </w:rPr>
              <w:t>P = 0.</w:t>
            </w:r>
            <w:r w:rsidR="008B7913" w:rsidRPr="007D1918">
              <w:rPr>
                <w:snapToGrid w:val="0"/>
                <w:lang w:eastAsia="en-US"/>
              </w:rPr>
              <w:t>14</w:t>
            </w:r>
            <w:r w:rsidRPr="007D1918">
              <w:rPr>
                <w:snapToGrid w:val="0"/>
                <w:lang w:eastAsia="en-US"/>
              </w:rPr>
              <w:t xml:space="preserve"> (</w:t>
            </w:r>
            <w:r w:rsidR="008B7913" w:rsidRPr="007D1918">
              <w:rPr>
                <w:snapToGrid w:val="0"/>
                <w:lang w:eastAsia="en-US"/>
              </w:rPr>
              <w:t>-4.03</w:t>
            </w:r>
            <w:r w:rsidRPr="007D1918">
              <w:rPr>
                <w:snapToGrid w:val="0"/>
                <w:lang w:eastAsia="en-US"/>
              </w:rPr>
              <w:t xml:space="preserve">%, </w:t>
            </w:r>
            <w:r w:rsidR="008B7913" w:rsidRPr="007D1918">
              <w:rPr>
                <w:snapToGrid w:val="0"/>
                <w:lang w:eastAsia="en-US"/>
              </w:rPr>
              <w:t>16.1</w:t>
            </w:r>
            <w:r w:rsidRPr="007D1918">
              <w:rPr>
                <w:snapToGrid w:val="0"/>
                <w:lang w:eastAsia="en-US"/>
              </w:rPr>
              <w:t>%)</w:t>
            </w:r>
          </w:p>
          <w:p w14:paraId="636660AD" w14:textId="1767D575" w:rsidR="00503E06" w:rsidRPr="007D1918" w:rsidRDefault="00503E06" w:rsidP="00A76F5E">
            <w:pPr>
              <w:pStyle w:val="Tabletext1"/>
              <w:keepNext/>
              <w:keepLines/>
              <w:rPr>
                <w:snapToGrid w:val="0"/>
                <w:lang w:eastAsia="en-US"/>
              </w:rPr>
            </w:pPr>
            <w:r w:rsidRPr="007D1918">
              <w:rPr>
                <w:snapToGrid w:val="0"/>
                <w:lang w:eastAsia="en-US"/>
              </w:rPr>
              <w:t>P = 0.</w:t>
            </w:r>
            <w:r w:rsidR="00540738" w:rsidRPr="007D1918">
              <w:rPr>
                <w:snapToGrid w:val="0"/>
                <w:lang w:eastAsia="en-US"/>
              </w:rPr>
              <w:t>073</w:t>
            </w:r>
            <w:r w:rsidRPr="007D1918">
              <w:rPr>
                <w:snapToGrid w:val="0"/>
                <w:lang w:eastAsia="en-US"/>
              </w:rPr>
              <w:t xml:space="preserve"> (</w:t>
            </w:r>
            <w:r w:rsidR="008B7913" w:rsidRPr="007D1918">
              <w:rPr>
                <w:snapToGrid w:val="0"/>
                <w:lang w:eastAsia="en-US"/>
              </w:rPr>
              <w:t>-</w:t>
            </w:r>
            <w:r w:rsidR="00540738" w:rsidRPr="007D1918">
              <w:rPr>
                <w:snapToGrid w:val="0"/>
                <w:lang w:eastAsia="en-US"/>
              </w:rPr>
              <w:t>2.20</w:t>
            </w:r>
            <w:r w:rsidRPr="007D1918">
              <w:rPr>
                <w:snapToGrid w:val="0"/>
                <w:lang w:eastAsia="en-US"/>
              </w:rPr>
              <w:t xml:space="preserve">%, </w:t>
            </w:r>
            <w:r w:rsidR="00540738" w:rsidRPr="007D1918">
              <w:rPr>
                <w:snapToGrid w:val="0"/>
                <w:lang w:eastAsia="en-US"/>
              </w:rPr>
              <w:t>19</w:t>
            </w:r>
            <w:r w:rsidR="008B7913" w:rsidRPr="007D1918">
              <w:rPr>
                <w:snapToGrid w:val="0"/>
                <w:lang w:eastAsia="en-US"/>
              </w:rPr>
              <w:t>.4</w:t>
            </w:r>
            <w:r w:rsidRPr="007D1918">
              <w:rPr>
                <w:snapToGrid w:val="0"/>
                <w:lang w:eastAsia="en-US"/>
              </w:rPr>
              <w:t>%)</w:t>
            </w:r>
          </w:p>
          <w:p w14:paraId="7BB42AA8" w14:textId="159CEC48" w:rsidR="00503E06" w:rsidRPr="007D1918" w:rsidRDefault="00503E06" w:rsidP="00A76F5E">
            <w:pPr>
              <w:pStyle w:val="Tabletext1"/>
              <w:keepNext/>
              <w:keepLines/>
              <w:rPr>
                <w:snapToGrid w:val="0"/>
                <w:lang w:eastAsia="en-US"/>
              </w:rPr>
            </w:pPr>
            <w:r w:rsidRPr="007D1918">
              <w:rPr>
                <w:snapToGrid w:val="0"/>
                <w:lang w:eastAsia="en-US"/>
              </w:rPr>
              <w:t>P = 0.</w:t>
            </w:r>
            <w:r w:rsidR="00540738" w:rsidRPr="007D1918">
              <w:rPr>
                <w:snapToGrid w:val="0"/>
                <w:lang w:eastAsia="en-US"/>
              </w:rPr>
              <w:t>30</w:t>
            </w:r>
            <w:r w:rsidRPr="007D1918">
              <w:rPr>
                <w:snapToGrid w:val="0"/>
                <w:lang w:eastAsia="en-US"/>
              </w:rPr>
              <w:t xml:space="preserve"> (</w:t>
            </w:r>
            <w:r w:rsidR="008B7913" w:rsidRPr="007D1918">
              <w:rPr>
                <w:snapToGrid w:val="0"/>
                <w:lang w:eastAsia="en-US"/>
              </w:rPr>
              <w:t>-</w:t>
            </w:r>
            <w:r w:rsidR="00540738" w:rsidRPr="007D1918">
              <w:rPr>
                <w:snapToGrid w:val="0"/>
                <w:lang w:eastAsia="en-US"/>
              </w:rPr>
              <w:t>5.99</w:t>
            </w:r>
            <w:r w:rsidRPr="007D1918">
              <w:rPr>
                <w:snapToGrid w:val="0"/>
                <w:lang w:eastAsia="en-US"/>
              </w:rPr>
              <w:t xml:space="preserve">%, </w:t>
            </w:r>
            <w:r w:rsidR="00540738" w:rsidRPr="007D1918">
              <w:rPr>
                <w:snapToGrid w:val="0"/>
                <w:lang w:eastAsia="en-US"/>
              </w:rPr>
              <w:t>12.6</w:t>
            </w:r>
            <w:r w:rsidRPr="007D1918">
              <w:rPr>
                <w:snapToGrid w:val="0"/>
                <w:lang w:eastAsia="en-US"/>
              </w:rPr>
              <w:t>%)</w:t>
            </w:r>
          </w:p>
          <w:p w14:paraId="57113D7C" w14:textId="77777777" w:rsidR="00540738" w:rsidRPr="007D1918" w:rsidRDefault="00540738" w:rsidP="00A76F5E">
            <w:pPr>
              <w:pStyle w:val="Tabletext1"/>
              <w:keepNext/>
              <w:keepLines/>
              <w:rPr>
                <w:snapToGrid w:val="0"/>
                <w:lang w:eastAsia="en-US"/>
              </w:rPr>
            </w:pPr>
            <w:r w:rsidRPr="007D1918">
              <w:rPr>
                <w:snapToGrid w:val="0"/>
                <w:lang w:eastAsia="en-US"/>
              </w:rPr>
              <w:t>P = 0.30 (-5.99%, 12.6%)</w:t>
            </w:r>
          </w:p>
          <w:p w14:paraId="37C746AD" w14:textId="757E8D37" w:rsidR="00503E06" w:rsidRPr="007D1918" w:rsidRDefault="00503E06" w:rsidP="00A76F5E">
            <w:pPr>
              <w:pStyle w:val="Tabletext1"/>
              <w:keepNext/>
              <w:keepLines/>
              <w:rPr>
                <w:snapToGrid w:val="0"/>
                <w:lang w:eastAsia="en-US"/>
              </w:rPr>
            </w:pPr>
            <w:r w:rsidRPr="007D1918">
              <w:rPr>
                <w:snapToGrid w:val="0"/>
                <w:lang w:eastAsia="en-US"/>
              </w:rPr>
              <w:t>P =</w:t>
            </w:r>
            <w:r w:rsidRPr="007D1918">
              <w:rPr>
                <w:b/>
                <w:snapToGrid w:val="0"/>
                <w:lang w:eastAsia="en-US"/>
              </w:rPr>
              <w:t xml:space="preserve"> 0.</w:t>
            </w:r>
            <w:r w:rsidR="00540738" w:rsidRPr="007D1918">
              <w:rPr>
                <w:b/>
                <w:snapToGrid w:val="0"/>
                <w:lang w:eastAsia="en-US"/>
              </w:rPr>
              <w:t>013</w:t>
            </w:r>
            <w:r w:rsidRPr="007D1918">
              <w:rPr>
                <w:snapToGrid w:val="0"/>
                <w:lang w:eastAsia="en-US"/>
              </w:rPr>
              <w:t xml:space="preserve"> (</w:t>
            </w:r>
            <w:r w:rsidR="00540738" w:rsidRPr="007D1918">
              <w:rPr>
                <w:snapToGrid w:val="0"/>
                <w:lang w:eastAsia="en-US"/>
              </w:rPr>
              <w:t>2.67</w:t>
            </w:r>
            <w:r w:rsidRPr="007D1918">
              <w:rPr>
                <w:snapToGrid w:val="0"/>
                <w:lang w:eastAsia="en-US"/>
              </w:rPr>
              <w:t xml:space="preserve">%, </w:t>
            </w:r>
            <w:r w:rsidR="00540738" w:rsidRPr="007D1918">
              <w:rPr>
                <w:snapToGrid w:val="0"/>
                <w:lang w:eastAsia="en-US"/>
              </w:rPr>
              <w:t>27</w:t>
            </w:r>
            <w:r w:rsidR="008B7913" w:rsidRPr="007D1918">
              <w:rPr>
                <w:snapToGrid w:val="0"/>
                <w:lang w:eastAsia="en-US"/>
              </w:rPr>
              <w:t>.3</w:t>
            </w:r>
            <w:r w:rsidRPr="007D1918">
              <w:rPr>
                <w:snapToGrid w:val="0"/>
                <w:lang w:eastAsia="en-US"/>
              </w:rPr>
              <w:t>%)</w:t>
            </w:r>
          </w:p>
          <w:p w14:paraId="6F6422D5" w14:textId="2B2F94D3" w:rsidR="00503E06" w:rsidRPr="007D1918" w:rsidRDefault="00503E06" w:rsidP="00A76F5E">
            <w:pPr>
              <w:pStyle w:val="Tabletext1"/>
              <w:keepNext/>
              <w:keepLines/>
              <w:rPr>
                <w:snapToGrid w:val="0"/>
                <w:lang w:eastAsia="en-US"/>
              </w:rPr>
            </w:pPr>
            <w:r w:rsidRPr="007D1918">
              <w:rPr>
                <w:snapToGrid w:val="0"/>
                <w:lang w:eastAsia="en-US"/>
              </w:rPr>
              <w:t xml:space="preserve">P = </w:t>
            </w:r>
            <w:r w:rsidRPr="007D1918">
              <w:rPr>
                <w:b/>
                <w:snapToGrid w:val="0"/>
                <w:lang w:eastAsia="en-US"/>
              </w:rPr>
              <w:t>0.</w:t>
            </w:r>
            <w:r w:rsidR="00540738" w:rsidRPr="007D1918">
              <w:rPr>
                <w:b/>
                <w:snapToGrid w:val="0"/>
                <w:lang w:eastAsia="en-US"/>
              </w:rPr>
              <w:t>047</w:t>
            </w:r>
            <w:r w:rsidRPr="007D1918">
              <w:rPr>
                <w:snapToGrid w:val="0"/>
                <w:lang w:eastAsia="en-US"/>
              </w:rPr>
              <w:t xml:space="preserve"> (</w:t>
            </w:r>
            <w:r w:rsidR="008B7913" w:rsidRPr="007D1918">
              <w:rPr>
                <w:snapToGrid w:val="0"/>
                <w:lang w:eastAsia="en-US"/>
              </w:rPr>
              <w:t>-</w:t>
            </w:r>
            <w:r w:rsidR="00540738" w:rsidRPr="007D1918">
              <w:rPr>
                <w:snapToGrid w:val="0"/>
                <w:lang w:eastAsia="en-US"/>
              </w:rPr>
              <w:t>.948</w:t>
            </w:r>
            <w:r w:rsidRPr="007D1918">
              <w:rPr>
                <w:snapToGrid w:val="0"/>
                <w:lang w:eastAsia="en-US"/>
              </w:rPr>
              <w:t xml:space="preserve">%, </w:t>
            </w:r>
            <w:r w:rsidR="00540738" w:rsidRPr="007D1918">
              <w:rPr>
                <w:snapToGrid w:val="0"/>
                <w:lang w:eastAsia="en-US"/>
              </w:rPr>
              <w:t>21.6</w:t>
            </w:r>
            <w:r w:rsidRPr="007D1918">
              <w:rPr>
                <w:snapToGrid w:val="0"/>
                <w:lang w:eastAsia="en-US"/>
              </w:rPr>
              <w:t>%)</w:t>
            </w:r>
            <w:r w:rsidRPr="007D1918">
              <w:rPr>
                <w:snapToGrid w:val="0"/>
                <w:lang w:eastAsia="en-US"/>
              </w:rPr>
              <w:br/>
            </w:r>
          </w:p>
          <w:p w14:paraId="615ACCFD" w14:textId="27FABC50" w:rsidR="00503E06" w:rsidRPr="007D1918" w:rsidRDefault="00503E06" w:rsidP="00A76F5E">
            <w:pPr>
              <w:pStyle w:val="Tabletext1"/>
              <w:keepNext/>
              <w:keepLines/>
              <w:rPr>
                <w:snapToGrid w:val="0"/>
                <w:lang w:eastAsia="en-US"/>
              </w:rPr>
            </w:pPr>
            <w:r w:rsidRPr="007D1918">
              <w:rPr>
                <w:snapToGrid w:val="0"/>
                <w:lang w:eastAsia="en-US"/>
              </w:rPr>
              <w:t xml:space="preserve">P = </w:t>
            </w:r>
            <w:r w:rsidRPr="007D1918">
              <w:rPr>
                <w:b/>
                <w:snapToGrid w:val="0"/>
                <w:lang w:eastAsia="en-US"/>
              </w:rPr>
              <w:t>0.</w:t>
            </w:r>
            <w:r w:rsidR="00540738" w:rsidRPr="007D1918">
              <w:rPr>
                <w:b/>
                <w:snapToGrid w:val="0"/>
                <w:lang w:eastAsia="en-US"/>
              </w:rPr>
              <w:t>0039</w:t>
            </w:r>
            <w:r w:rsidRPr="007D1918">
              <w:rPr>
                <w:b/>
                <w:snapToGrid w:val="0"/>
                <w:lang w:eastAsia="en-US"/>
              </w:rPr>
              <w:t xml:space="preserve"> </w:t>
            </w:r>
            <w:r w:rsidRPr="007D1918">
              <w:rPr>
                <w:snapToGrid w:val="0"/>
                <w:lang w:eastAsia="en-US"/>
              </w:rPr>
              <w:t>(</w:t>
            </w:r>
            <w:r w:rsidR="005149CD" w:rsidRPr="007D1918">
              <w:rPr>
                <w:snapToGrid w:val="0"/>
                <w:lang w:eastAsia="en-US"/>
              </w:rPr>
              <w:t>6.27</w:t>
            </w:r>
            <w:r w:rsidRPr="007D1918">
              <w:rPr>
                <w:snapToGrid w:val="0"/>
                <w:lang w:eastAsia="en-US"/>
              </w:rPr>
              <w:t xml:space="preserve">%, </w:t>
            </w:r>
            <w:r w:rsidR="005149CD" w:rsidRPr="007D1918">
              <w:rPr>
                <w:snapToGrid w:val="0"/>
                <w:lang w:eastAsia="en-US"/>
              </w:rPr>
              <w:t>32.6</w:t>
            </w:r>
            <w:r w:rsidRPr="007D1918">
              <w:rPr>
                <w:snapToGrid w:val="0"/>
                <w:lang w:eastAsia="en-US"/>
              </w:rPr>
              <w:t>%)</w:t>
            </w:r>
          </w:p>
          <w:p w14:paraId="66DC8984" w14:textId="66CA8017" w:rsidR="005149CD" w:rsidRPr="007D1918" w:rsidRDefault="005149CD" w:rsidP="00A76F5E">
            <w:pPr>
              <w:pStyle w:val="Tabletext1"/>
              <w:keepNext/>
              <w:keepLines/>
              <w:rPr>
                <w:snapToGrid w:val="0"/>
                <w:lang w:eastAsia="en-US"/>
              </w:rPr>
            </w:pPr>
            <w:r w:rsidRPr="007D1918">
              <w:rPr>
                <w:snapToGrid w:val="0"/>
                <w:lang w:eastAsia="en-US"/>
              </w:rPr>
              <w:t>P = 0.16 (-4.51%, 15.5%)</w:t>
            </w:r>
          </w:p>
          <w:p w14:paraId="7FB42037" w14:textId="1DC42715" w:rsidR="00503E06" w:rsidRPr="007D1918" w:rsidRDefault="005149CD" w:rsidP="00A76F5E">
            <w:pPr>
              <w:pStyle w:val="Tabletext1"/>
              <w:keepNext/>
              <w:keepLines/>
              <w:rPr>
                <w:snapToGrid w:val="0"/>
                <w:lang w:eastAsia="en-US"/>
              </w:rPr>
            </w:pPr>
            <w:r w:rsidRPr="007D1918">
              <w:rPr>
                <w:snapToGrid w:val="0"/>
                <w:lang w:eastAsia="en-US"/>
              </w:rPr>
              <w:t>P = 0.30 (-5.99%, 12.6%)</w:t>
            </w:r>
          </w:p>
        </w:tc>
      </w:tr>
      <w:tr w:rsidR="00845729" w:rsidRPr="007D1918" w14:paraId="2C0390D2" w14:textId="77777777" w:rsidTr="005E334B">
        <w:tc>
          <w:tcPr>
            <w:tcW w:w="907" w:type="pct"/>
            <w:shd w:val="clear" w:color="auto" w:fill="auto"/>
          </w:tcPr>
          <w:p w14:paraId="1F17AF5E" w14:textId="3B27EE31" w:rsidR="00845729" w:rsidRPr="007D1918" w:rsidRDefault="0075212A" w:rsidP="00F52CA5">
            <w:pPr>
              <w:pStyle w:val="Tabletext1"/>
              <w:rPr>
                <w:snapToGrid w:val="0"/>
                <w:lang w:eastAsia="en-US"/>
              </w:rPr>
            </w:pPr>
            <w:r w:rsidRPr="007D1918">
              <w:rPr>
                <w:snapToGrid w:val="0"/>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snapToGrid w:val="0"/>
                <w:lang w:eastAsia="en-US"/>
              </w:rPr>
              <w:instrText xml:space="preserve"> ADDIN EN.CITE </w:instrText>
            </w:r>
            <w:r w:rsidR="00C437BA" w:rsidRPr="007D1918">
              <w:rPr>
                <w:snapToGrid w:val="0"/>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snapToGrid w:val="0"/>
                <w:lang w:eastAsia="en-US"/>
              </w:rPr>
              <w:instrText xml:space="preserve"> ADDIN EN.CITE.DATA </w:instrText>
            </w:r>
            <w:r w:rsidR="00C437BA" w:rsidRPr="007D1918">
              <w:rPr>
                <w:snapToGrid w:val="0"/>
                <w:lang w:eastAsia="en-US"/>
              </w:rPr>
            </w:r>
            <w:r w:rsidR="00C437BA" w:rsidRPr="007D1918">
              <w:rPr>
                <w:snapToGrid w:val="0"/>
                <w:lang w:eastAsia="en-US"/>
              </w:rPr>
              <w:fldChar w:fldCharType="end"/>
            </w:r>
            <w:r w:rsidRPr="007D1918">
              <w:rPr>
                <w:snapToGrid w:val="0"/>
                <w:lang w:eastAsia="en-US"/>
              </w:rPr>
            </w:r>
            <w:r w:rsidRPr="007D1918">
              <w:rPr>
                <w:snapToGrid w:val="0"/>
                <w:lang w:eastAsia="en-US"/>
              </w:rPr>
              <w:fldChar w:fldCharType="separate"/>
            </w:r>
            <w:r w:rsidRPr="007D1918">
              <w:rPr>
                <w:noProof/>
                <w:snapToGrid w:val="0"/>
                <w:lang w:eastAsia="en-US"/>
              </w:rPr>
              <w:t>(</w:t>
            </w:r>
            <w:hyperlink w:anchor="_ENREF_63" w:tooltip="Liu, 2010 #56" w:history="1">
              <w:r w:rsidR="007D4948" w:rsidRPr="007D1918">
                <w:rPr>
                  <w:noProof/>
                  <w:snapToGrid w:val="0"/>
                  <w:lang w:eastAsia="en-US"/>
                </w:rPr>
                <w:t>Liu et al. 2010</w:t>
              </w:r>
            </w:hyperlink>
            <w:r w:rsidRPr="007D1918">
              <w:rPr>
                <w:noProof/>
                <w:snapToGrid w:val="0"/>
                <w:lang w:eastAsia="en-US"/>
              </w:rPr>
              <w:t>)</w:t>
            </w:r>
            <w:r w:rsidRPr="007D1918">
              <w:rPr>
                <w:snapToGrid w:val="0"/>
                <w:lang w:eastAsia="en-US"/>
              </w:rPr>
              <w:fldChar w:fldCharType="end"/>
            </w:r>
            <w:r w:rsidR="00540738" w:rsidRPr="007D1918">
              <w:rPr>
                <w:snapToGrid w:val="0"/>
                <w:lang w:eastAsia="en-US"/>
              </w:rPr>
              <w:t xml:space="preserve">, </w:t>
            </w:r>
            <w:r w:rsidR="00845729" w:rsidRPr="007D1918">
              <w:rPr>
                <w:snapToGrid w:val="0"/>
                <w:lang w:eastAsia="en-US"/>
              </w:rPr>
              <w:t>China</w:t>
            </w:r>
          </w:p>
          <w:p w14:paraId="628D35E1" w14:textId="77777777" w:rsidR="00845729" w:rsidRPr="007D1918" w:rsidRDefault="00845729" w:rsidP="00845729">
            <w:pPr>
              <w:pStyle w:val="TableText0"/>
              <w:rPr>
                <w:snapToGrid w:val="0"/>
              </w:rPr>
            </w:pPr>
            <w:r w:rsidRPr="007D1918">
              <w:rPr>
                <w:snapToGrid w:val="0"/>
              </w:rPr>
              <w:t>Level II</w:t>
            </w:r>
          </w:p>
          <w:p w14:paraId="6663CED5" w14:textId="2008FAEB" w:rsidR="00845729" w:rsidRPr="007D1918" w:rsidRDefault="00845729" w:rsidP="00845729">
            <w:pPr>
              <w:pStyle w:val="Tabletext1"/>
              <w:rPr>
                <w:snapToGrid w:val="0"/>
                <w:lang w:eastAsia="en-US"/>
              </w:rPr>
            </w:pPr>
            <w:r w:rsidRPr="007D1918">
              <w:rPr>
                <w:snapToGrid w:val="0"/>
              </w:rPr>
              <w:t>Moderate</w:t>
            </w:r>
            <w:r w:rsidR="00290C8C" w:rsidRPr="007D1918">
              <w:rPr>
                <w:snapToGrid w:val="0"/>
              </w:rPr>
              <w:t xml:space="preserve"> risk of bias</w:t>
            </w:r>
          </w:p>
        </w:tc>
        <w:tc>
          <w:tcPr>
            <w:tcW w:w="1005" w:type="pct"/>
          </w:tcPr>
          <w:p w14:paraId="5846FC64" w14:textId="5ABECF06" w:rsidR="00845729" w:rsidRPr="007D1918" w:rsidRDefault="00845729" w:rsidP="00BF0974">
            <w:pPr>
              <w:pStyle w:val="TableText0"/>
              <w:rPr>
                <w:snapToGrid w:val="0"/>
              </w:rPr>
            </w:pPr>
            <w:r w:rsidRPr="007D1918">
              <w:rPr>
                <w:snapToGrid w:val="0"/>
              </w:rPr>
              <w:t>Hypotension</w:t>
            </w:r>
          </w:p>
          <w:p w14:paraId="50B36931" w14:textId="77777777" w:rsidR="00845729" w:rsidRPr="007D1918" w:rsidRDefault="00845729" w:rsidP="00BF0974">
            <w:pPr>
              <w:pStyle w:val="TableText0"/>
              <w:rPr>
                <w:snapToGrid w:val="0"/>
              </w:rPr>
            </w:pPr>
            <w:r w:rsidRPr="007D1918">
              <w:rPr>
                <w:snapToGrid w:val="0"/>
              </w:rPr>
              <w:t>Haematoma</w:t>
            </w:r>
          </w:p>
          <w:p w14:paraId="1865EBCA" w14:textId="77777777" w:rsidR="00845729" w:rsidRPr="007D1918" w:rsidRDefault="00845729" w:rsidP="00BF0974">
            <w:pPr>
              <w:pStyle w:val="TableText0"/>
              <w:rPr>
                <w:snapToGrid w:val="0"/>
              </w:rPr>
            </w:pPr>
            <w:r w:rsidRPr="007D1918">
              <w:rPr>
                <w:snapToGrid w:val="0"/>
              </w:rPr>
              <w:t>Vomiting</w:t>
            </w:r>
          </w:p>
          <w:p w14:paraId="68FA779F" w14:textId="16915F6C" w:rsidR="00845729" w:rsidRPr="007D1918" w:rsidRDefault="00845729" w:rsidP="00BF0974">
            <w:pPr>
              <w:pStyle w:val="TableText0"/>
              <w:rPr>
                <w:snapToGrid w:val="0"/>
              </w:rPr>
            </w:pPr>
            <w:r w:rsidRPr="007D1918">
              <w:rPr>
                <w:snapToGrid w:val="0"/>
              </w:rPr>
              <w:t>Anaphylaxis</w:t>
            </w:r>
          </w:p>
        </w:tc>
        <w:tc>
          <w:tcPr>
            <w:tcW w:w="927" w:type="pct"/>
            <w:shd w:val="clear" w:color="auto" w:fill="auto"/>
          </w:tcPr>
          <w:p w14:paraId="6206803C" w14:textId="50F0FBF3" w:rsidR="00845729" w:rsidRPr="007D1918" w:rsidRDefault="00845729" w:rsidP="00BF0974">
            <w:pPr>
              <w:pStyle w:val="TableText0"/>
              <w:rPr>
                <w:snapToGrid w:val="0"/>
              </w:rPr>
            </w:pPr>
            <w:r w:rsidRPr="007D1918">
              <w:rPr>
                <w:snapToGrid w:val="0"/>
              </w:rPr>
              <w:t>0/15</w:t>
            </w:r>
          </w:p>
          <w:p w14:paraId="741A3410" w14:textId="47FE8387" w:rsidR="00845729" w:rsidRPr="007D1918" w:rsidRDefault="00845729" w:rsidP="00BF0974">
            <w:pPr>
              <w:pStyle w:val="TableText0"/>
              <w:rPr>
                <w:snapToGrid w:val="0"/>
              </w:rPr>
            </w:pPr>
            <w:r w:rsidRPr="007D1918">
              <w:rPr>
                <w:snapToGrid w:val="0"/>
              </w:rPr>
              <w:t>0/15</w:t>
            </w:r>
          </w:p>
          <w:p w14:paraId="06A36310" w14:textId="3CB6E54F" w:rsidR="00845729" w:rsidRPr="007D1918" w:rsidRDefault="00845729" w:rsidP="00BF0974">
            <w:pPr>
              <w:pStyle w:val="TableText0"/>
              <w:rPr>
                <w:snapToGrid w:val="0"/>
              </w:rPr>
            </w:pPr>
            <w:r w:rsidRPr="007D1918">
              <w:rPr>
                <w:snapToGrid w:val="0"/>
              </w:rPr>
              <w:t>1/15</w:t>
            </w:r>
            <w:r w:rsidR="00503E06" w:rsidRPr="007D1918">
              <w:rPr>
                <w:snapToGrid w:val="0"/>
              </w:rPr>
              <w:t xml:space="preserve"> (6.7%)</w:t>
            </w:r>
          </w:p>
          <w:p w14:paraId="6BCBF377" w14:textId="0738AB7D" w:rsidR="00845729" w:rsidRPr="007D1918" w:rsidRDefault="00845729" w:rsidP="00BF0974">
            <w:pPr>
              <w:pStyle w:val="TableText0"/>
              <w:rPr>
                <w:snapToGrid w:val="0"/>
              </w:rPr>
            </w:pPr>
            <w:r w:rsidRPr="007D1918">
              <w:rPr>
                <w:snapToGrid w:val="0"/>
              </w:rPr>
              <w:t>0/15</w:t>
            </w:r>
          </w:p>
        </w:tc>
        <w:tc>
          <w:tcPr>
            <w:tcW w:w="926" w:type="pct"/>
            <w:shd w:val="clear" w:color="auto" w:fill="auto"/>
          </w:tcPr>
          <w:p w14:paraId="311F6E85" w14:textId="427B9B88"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2/15</w:t>
            </w:r>
            <w:r w:rsidR="00503E06" w:rsidRPr="007D1918">
              <w:rPr>
                <w:rFonts w:ascii="Arial Narrow" w:hAnsi="Arial Narrow"/>
                <w:snapToGrid w:val="0"/>
                <w:sz w:val="20"/>
                <w:lang w:eastAsia="en-US"/>
              </w:rPr>
              <w:t xml:space="preserve"> (13.3%)</w:t>
            </w:r>
          </w:p>
          <w:p w14:paraId="2BB154A7" w14:textId="4F87D70C"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1/15</w:t>
            </w:r>
            <w:r w:rsidR="00503E06" w:rsidRPr="007D1918">
              <w:rPr>
                <w:rFonts w:ascii="Arial Narrow" w:hAnsi="Arial Narrow"/>
                <w:snapToGrid w:val="0"/>
                <w:sz w:val="20"/>
                <w:lang w:eastAsia="en-US"/>
              </w:rPr>
              <w:t xml:space="preserve"> (6.7%)</w:t>
            </w:r>
          </w:p>
          <w:p w14:paraId="7AA6F4D0" w14:textId="2C55CC4A"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0/15</w:t>
            </w:r>
          </w:p>
          <w:p w14:paraId="0A47FADE" w14:textId="728B0800"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0/15</w:t>
            </w:r>
          </w:p>
        </w:tc>
        <w:tc>
          <w:tcPr>
            <w:tcW w:w="1235" w:type="pct"/>
            <w:shd w:val="clear" w:color="auto" w:fill="auto"/>
          </w:tcPr>
          <w:p w14:paraId="215A415E" w14:textId="60EA257C" w:rsidR="00845729" w:rsidRPr="007D1918" w:rsidRDefault="00540738" w:rsidP="00BF0974">
            <w:pPr>
              <w:pStyle w:val="TableText0"/>
              <w:rPr>
                <w:snapToGrid w:val="0"/>
                <w:vertAlign w:val="superscript"/>
              </w:rPr>
            </w:pPr>
            <w:r w:rsidRPr="007D1918">
              <w:rPr>
                <w:snapToGrid w:val="0"/>
              </w:rPr>
              <w:t>P = 0.15 (-9.23%, 37.8%)</w:t>
            </w:r>
            <w:r w:rsidRPr="007D1918">
              <w:rPr>
                <w:snapToGrid w:val="0"/>
                <w:vertAlign w:val="superscript"/>
              </w:rPr>
              <w:t>a</w:t>
            </w:r>
          </w:p>
          <w:p w14:paraId="0EC155FD" w14:textId="77777777" w:rsidR="00540738" w:rsidRPr="007D1918" w:rsidRDefault="00540738" w:rsidP="00BF0974">
            <w:pPr>
              <w:pStyle w:val="TableText0"/>
              <w:rPr>
                <w:snapToGrid w:val="0"/>
              </w:rPr>
            </w:pPr>
            <w:r w:rsidRPr="007D1918">
              <w:rPr>
                <w:snapToGrid w:val="0"/>
              </w:rPr>
              <w:t>P = 0.32 (-14.4%, 29.9%)</w:t>
            </w:r>
          </w:p>
          <w:p w14:paraId="3DC95D15" w14:textId="77777777" w:rsidR="00540738" w:rsidRPr="007D1918" w:rsidRDefault="00540738" w:rsidP="00540738">
            <w:pPr>
              <w:pStyle w:val="TableText0"/>
              <w:rPr>
                <w:snapToGrid w:val="0"/>
              </w:rPr>
            </w:pPr>
            <w:r w:rsidRPr="007D1918">
              <w:rPr>
                <w:snapToGrid w:val="0"/>
              </w:rPr>
              <w:t>P = 0.32 (-14.4%, 29.9%)</w:t>
            </w:r>
          </w:p>
          <w:p w14:paraId="0C0B63E2" w14:textId="7104D19B" w:rsidR="00540738" w:rsidRPr="007D1918" w:rsidRDefault="00540738" w:rsidP="00BF0974">
            <w:pPr>
              <w:pStyle w:val="TableText0"/>
              <w:rPr>
                <w:snapToGrid w:val="0"/>
              </w:rPr>
            </w:pPr>
            <w:r w:rsidRPr="007D1918">
              <w:rPr>
                <w:snapToGrid w:val="0"/>
              </w:rPr>
              <w:t>-</w:t>
            </w:r>
          </w:p>
        </w:tc>
      </w:tr>
      <w:tr w:rsidR="00845729" w:rsidRPr="007D1918" w14:paraId="45E45D14" w14:textId="77777777" w:rsidTr="005E334B">
        <w:tc>
          <w:tcPr>
            <w:tcW w:w="907" w:type="pct"/>
            <w:shd w:val="clear" w:color="auto" w:fill="auto"/>
          </w:tcPr>
          <w:p w14:paraId="7F529B2B" w14:textId="2C35FC55" w:rsidR="00845729" w:rsidRPr="007D1918" w:rsidRDefault="0075212A" w:rsidP="00F52CA5">
            <w:pPr>
              <w:pStyle w:val="Tabletext1"/>
              <w:rPr>
                <w:snapToGrid w:val="0"/>
                <w:lang w:eastAsia="en-US"/>
              </w:rPr>
            </w:pPr>
            <w:r w:rsidRPr="007D1918">
              <w:rPr>
                <w:snapToGrid w:val="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Pr="007D1918">
              <w:rPr>
                <w:snapToGrid w:val="0"/>
                <w:lang w:eastAsia="en-US"/>
              </w:rPr>
            </w:r>
            <w:r w:rsidRPr="007D1918">
              <w:rPr>
                <w:snapToGrid w:val="0"/>
                <w:lang w:eastAsia="en-US"/>
              </w:rPr>
              <w:fldChar w:fldCharType="separate"/>
            </w:r>
            <w:r w:rsidRPr="007D1918">
              <w:rPr>
                <w:noProof/>
                <w:snapToGrid w:val="0"/>
                <w:lang w:eastAsia="en-US"/>
              </w:rPr>
              <w:t>(</w:t>
            </w:r>
            <w:hyperlink w:anchor="_ENREF_64" w:tooltip="Mandawat, 2010 #37" w:history="1">
              <w:r w:rsidR="007D4948" w:rsidRPr="007D1918">
                <w:rPr>
                  <w:noProof/>
                  <w:snapToGrid w:val="0"/>
                  <w:lang w:eastAsia="en-US"/>
                </w:rPr>
                <w:t>Mandawat et al. 2010</w:t>
              </w:r>
            </w:hyperlink>
            <w:r w:rsidRPr="007D1918">
              <w:rPr>
                <w:noProof/>
                <w:snapToGrid w:val="0"/>
                <w:lang w:eastAsia="en-US"/>
              </w:rPr>
              <w:t>)</w:t>
            </w:r>
            <w:r w:rsidRPr="007D1918">
              <w:rPr>
                <w:snapToGrid w:val="0"/>
                <w:lang w:eastAsia="en-US"/>
              </w:rPr>
              <w:fldChar w:fldCharType="end"/>
            </w:r>
            <w:r w:rsidR="00540738" w:rsidRPr="007D1918">
              <w:rPr>
                <w:snapToGrid w:val="0"/>
                <w:lang w:eastAsia="en-US"/>
              </w:rPr>
              <w:t xml:space="preserve">, </w:t>
            </w:r>
            <w:r w:rsidR="00845729" w:rsidRPr="007D1918">
              <w:rPr>
                <w:snapToGrid w:val="0"/>
                <w:lang w:eastAsia="en-US"/>
              </w:rPr>
              <w:t>USA</w:t>
            </w:r>
          </w:p>
          <w:p w14:paraId="329F99F0" w14:textId="77777777" w:rsidR="00845729" w:rsidRPr="007D1918" w:rsidRDefault="00845729" w:rsidP="00845729">
            <w:pPr>
              <w:pStyle w:val="Tabletext1"/>
              <w:rPr>
                <w:snapToGrid w:val="0"/>
                <w:lang w:eastAsia="en-US"/>
              </w:rPr>
            </w:pPr>
            <w:r w:rsidRPr="007D1918">
              <w:rPr>
                <w:snapToGrid w:val="0"/>
                <w:lang w:eastAsia="en-US"/>
              </w:rPr>
              <w:t>Level III-2</w:t>
            </w:r>
          </w:p>
          <w:p w14:paraId="154841D8" w14:textId="65E42305" w:rsidR="00845729" w:rsidRPr="007D1918" w:rsidRDefault="00290C8C" w:rsidP="00845729">
            <w:pPr>
              <w:pStyle w:val="Tabletext1"/>
              <w:rPr>
                <w:snapToGrid w:val="0"/>
                <w:lang w:eastAsia="en-US"/>
              </w:rPr>
            </w:pPr>
            <w:r w:rsidRPr="007D1918">
              <w:rPr>
                <w:snapToGrid w:val="0"/>
                <w:lang w:eastAsia="en-US"/>
              </w:rPr>
              <w:t>Moderate risk of bias</w:t>
            </w:r>
          </w:p>
        </w:tc>
        <w:tc>
          <w:tcPr>
            <w:tcW w:w="1005" w:type="pct"/>
          </w:tcPr>
          <w:p w14:paraId="79D6E46E" w14:textId="77777777" w:rsidR="00845729" w:rsidRPr="007D1918" w:rsidRDefault="00845729" w:rsidP="00E957DD">
            <w:pPr>
              <w:pStyle w:val="TableText0"/>
              <w:rPr>
                <w:snapToGrid w:val="0"/>
              </w:rPr>
            </w:pPr>
            <w:r w:rsidRPr="007D1918">
              <w:rPr>
                <w:snapToGrid w:val="0"/>
              </w:rPr>
              <w:t>Patient number</w:t>
            </w:r>
          </w:p>
          <w:p w14:paraId="44063856" w14:textId="77777777" w:rsidR="00845729" w:rsidRPr="007D1918" w:rsidRDefault="00845729" w:rsidP="00E957DD">
            <w:pPr>
              <w:pStyle w:val="TableText0"/>
              <w:rPr>
                <w:snapToGrid w:val="0"/>
              </w:rPr>
            </w:pPr>
            <w:r w:rsidRPr="007D1918">
              <w:rPr>
                <w:snapToGrid w:val="0"/>
              </w:rPr>
              <w:t xml:space="preserve">Mortality </w:t>
            </w:r>
          </w:p>
          <w:p w14:paraId="3DAC1621" w14:textId="77777777" w:rsidR="00845729" w:rsidRPr="007D1918" w:rsidRDefault="00845729" w:rsidP="00E957DD">
            <w:pPr>
              <w:pStyle w:val="TableText0"/>
              <w:rPr>
                <w:snapToGrid w:val="0"/>
              </w:rPr>
            </w:pPr>
            <w:r w:rsidRPr="007D1918">
              <w:rPr>
                <w:snapToGrid w:val="0"/>
              </w:rPr>
              <w:t xml:space="preserve">Any complication </w:t>
            </w:r>
          </w:p>
          <w:p w14:paraId="0DD9D67E" w14:textId="77777777" w:rsidR="00845729" w:rsidRPr="007D1918" w:rsidRDefault="00845729" w:rsidP="00E957DD">
            <w:pPr>
              <w:pStyle w:val="TableText0"/>
              <w:rPr>
                <w:snapToGrid w:val="0"/>
              </w:rPr>
            </w:pPr>
            <w:r w:rsidRPr="007D1918">
              <w:rPr>
                <w:snapToGrid w:val="0"/>
              </w:rPr>
              <w:t>Cardiac</w:t>
            </w:r>
          </w:p>
          <w:p w14:paraId="790665D4" w14:textId="77777777" w:rsidR="00845729" w:rsidRPr="007D1918" w:rsidRDefault="00845729" w:rsidP="00E957DD">
            <w:pPr>
              <w:pStyle w:val="TableText0"/>
              <w:rPr>
                <w:snapToGrid w:val="0"/>
              </w:rPr>
            </w:pPr>
            <w:r w:rsidRPr="007D1918">
              <w:rPr>
                <w:snapToGrid w:val="0"/>
              </w:rPr>
              <w:t>Acute renal failure</w:t>
            </w:r>
          </w:p>
          <w:p w14:paraId="057D6FDA" w14:textId="77777777" w:rsidR="00845729" w:rsidRPr="007D1918" w:rsidRDefault="00845729" w:rsidP="00E957DD">
            <w:pPr>
              <w:pStyle w:val="TableText0"/>
              <w:rPr>
                <w:snapToGrid w:val="0"/>
              </w:rPr>
            </w:pPr>
            <w:r w:rsidRPr="007D1918">
              <w:rPr>
                <w:snapToGrid w:val="0"/>
              </w:rPr>
              <w:t>Systemic infection</w:t>
            </w:r>
          </w:p>
          <w:p w14:paraId="3A12F176" w14:textId="3838BF29" w:rsidR="00845729" w:rsidRPr="007D1918" w:rsidRDefault="00845729" w:rsidP="00E957DD">
            <w:pPr>
              <w:pStyle w:val="TableText0"/>
              <w:rPr>
                <w:snapToGrid w:val="0"/>
              </w:rPr>
            </w:pPr>
            <w:r w:rsidRPr="007D1918">
              <w:rPr>
                <w:snapToGrid w:val="0"/>
              </w:rPr>
              <w:t>Thrombotic complications</w:t>
            </w:r>
          </w:p>
        </w:tc>
        <w:tc>
          <w:tcPr>
            <w:tcW w:w="927" w:type="pct"/>
            <w:shd w:val="clear" w:color="auto" w:fill="auto"/>
          </w:tcPr>
          <w:p w14:paraId="740A4DE0" w14:textId="77777777" w:rsidR="00845729" w:rsidRPr="007D1918" w:rsidRDefault="00845729" w:rsidP="00BF0974">
            <w:pPr>
              <w:pStyle w:val="TableText0"/>
              <w:rPr>
                <w:snapToGrid w:val="0"/>
              </w:rPr>
            </w:pPr>
            <w:r w:rsidRPr="007D1918">
              <w:rPr>
                <w:snapToGrid w:val="0"/>
              </w:rPr>
              <w:t>171</w:t>
            </w:r>
          </w:p>
          <w:p w14:paraId="0C837889" w14:textId="4008ABC6" w:rsidR="00845729" w:rsidRPr="007D1918" w:rsidRDefault="00845729" w:rsidP="00BF0974">
            <w:pPr>
              <w:pStyle w:val="TableText0"/>
              <w:rPr>
                <w:snapToGrid w:val="0"/>
              </w:rPr>
            </w:pPr>
            <w:r w:rsidRPr="007D1918">
              <w:rPr>
                <w:snapToGrid w:val="0"/>
              </w:rPr>
              <w:t>(0.58%)</w:t>
            </w:r>
          </w:p>
          <w:p w14:paraId="5168364A" w14:textId="4BB87554" w:rsidR="00845729" w:rsidRPr="007D1918" w:rsidRDefault="00845729" w:rsidP="00BF0974">
            <w:pPr>
              <w:pStyle w:val="TableText0"/>
              <w:rPr>
                <w:snapToGrid w:val="0"/>
              </w:rPr>
            </w:pPr>
            <w:r w:rsidRPr="007D1918">
              <w:rPr>
                <w:snapToGrid w:val="0"/>
              </w:rPr>
              <w:t>(10.53%)</w:t>
            </w:r>
          </w:p>
          <w:p w14:paraId="2C4FBB64" w14:textId="0C733EC4" w:rsidR="00845729" w:rsidRPr="007D1918" w:rsidRDefault="00845729" w:rsidP="00BF0974">
            <w:pPr>
              <w:pStyle w:val="TableText0"/>
              <w:rPr>
                <w:snapToGrid w:val="0"/>
              </w:rPr>
            </w:pPr>
            <w:r w:rsidRPr="007D1918">
              <w:rPr>
                <w:snapToGrid w:val="0"/>
              </w:rPr>
              <w:t>(7.60%)</w:t>
            </w:r>
          </w:p>
          <w:p w14:paraId="3C3BAE1C" w14:textId="77777777" w:rsidR="00845729" w:rsidRPr="007D1918" w:rsidRDefault="00845729" w:rsidP="00BF0974">
            <w:pPr>
              <w:pStyle w:val="TableText0"/>
              <w:rPr>
                <w:snapToGrid w:val="0"/>
              </w:rPr>
            </w:pPr>
            <w:r w:rsidRPr="007D1918">
              <w:rPr>
                <w:snapToGrid w:val="0"/>
              </w:rPr>
              <w:t>(1.17%)</w:t>
            </w:r>
          </w:p>
          <w:p w14:paraId="09D4B06A" w14:textId="2A04A763" w:rsidR="00845729" w:rsidRPr="007D1918" w:rsidRDefault="00845729" w:rsidP="00BF0974">
            <w:pPr>
              <w:pStyle w:val="TableText0"/>
              <w:rPr>
                <w:snapToGrid w:val="0"/>
              </w:rPr>
            </w:pPr>
            <w:r w:rsidRPr="007D1918">
              <w:rPr>
                <w:snapToGrid w:val="0"/>
              </w:rPr>
              <w:t>(1.7%)</w:t>
            </w:r>
          </w:p>
          <w:p w14:paraId="03C620CD" w14:textId="03A62013" w:rsidR="00845729" w:rsidRPr="007D1918" w:rsidRDefault="00845729" w:rsidP="008D7BA8">
            <w:pPr>
              <w:pStyle w:val="TableText0"/>
              <w:rPr>
                <w:snapToGrid w:val="0"/>
              </w:rPr>
            </w:pPr>
            <w:r w:rsidRPr="007D1918">
              <w:rPr>
                <w:snapToGrid w:val="0"/>
              </w:rPr>
              <w:t>(0.58%)</w:t>
            </w:r>
          </w:p>
        </w:tc>
        <w:tc>
          <w:tcPr>
            <w:tcW w:w="926" w:type="pct"/>
            <w:shd w:val="clear" w:color="auto" w:fill="auto"/>
          </w:tcPr>
          <w:p w14:paraId="1340C3E0"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737</w:t>
            </w:r>
          </w:p>
          <w:p w14:paraId="47EF1D4F"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(0.41%)</w:t>
            </w:r>
          </w:p>
          <w:p w14:paraId="4531DFDB"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(11.40%)</w:t>
            </w:r>
          </w:p>
          <w:p w14:paraId="467EEC25"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(9.50%)</w:t>
            </w:r>
          </w:p>
          <w:p w14:paraId="2335E945"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(0.27%)</w:t>
            </w:r>
          </w:p>
          <w:p w14:paraId="6642CF76"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(1.63%)</w:t>
            </w:r>
          </w:p>
          <w:p w14:paraId="62E4FF49" w14:textId="0CAB3570"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(0.27%)</w:t>
            </w:r>
          </w:p>
        </w:tc>
        <w:tc>
          <w:tcPr>
            <w:tcW w:w="1235" w:type="pct"/>
            <w:shd w:val="clear" w:color="auto" w:fill="auto"/>
          </w:tcPr>
          <w:p w14:paraId="1F2DB7B2" w14:textId="77777777" w:rsidR="00845729" w:rsidRPr="007D1918" w:rsidRDefault="00845729" w:rsidP="00BF0974">
            <w:pPr>
              <w:pStyle w:val="TableText0"/>
              <w:rPr>
                <w:snapToGrid w:val="0"/>
              </w:rPr>
            </w:pPr>
            <w:r w:rsidRPr="007D1918">
              <w:rPr>
                <w:snapToGrid w:val="0"/>
              </w:rPr>
              <w:t>-</w:t>
            </w:r>
          </w:p>
          <w:p w14:paraId="6901D8B7" w14:textId="7993AC86" w:rsidR="00845729" w:rsidRPr="007D1918" w:rsidRDefault="00845729" w:rsidP="00BF0974">
            <w:pPr>
              <w:pStyle w:val="TableText0"/>
              <w:rPr>
                <w:snapToGrid w:val="0"/>
                <w:vertAlign w:val="superscript"/>
              </w:rPr>
            </w:pPr>
            <w:r w:rsidRPr="007D1918">
              <w:rPr>
                <w:snapToGrid w:val="0"/>
              </w:rPr>
              <w:t>P = 0.56</w:t>
            </w:r>
            <w:r w:rsidR="008B7913" w:rsidRPr="007D1918">
              <w:rPr>
                <w:snapToGrid w:val="0"/>
                <w:vertAlign w:val="superscript"/>
              </w:rPr>
              <w:t>b</w:t>
            </w:r>
          </w:p>
          <w:p w14:paraId="3A461D5B" w14:textId="77777777" w:rsidR="00845729" w:rsidRPr="007D1918" w:rsidRDefault="00845729" w:rsidP="00BF0974">
            <w:pPr>
              <w:pStyle w:val="TableText0"/>
              <w:rPr>
                <w:snapToGrid w:val="0"/>
              </w:rPr>
            </w:pPr>
            <w:r w:rsidRPr="007D1918">
              <w:rPr>
                <w:snapToGrid w:val="0"/>
              </w:rPr>
              <w:t>P = 0.89</w:t>
            </w:r>
          </w:p>
          <w:p w14:paraId="4EAEA5E1" w14:textId="77777777" w:rsidR="00845729" w:rsidRPr="007D1918" w:rsidRDefault="00845729" w:rsidP="00BF0974">
            <w:pPr>
              <w:pStyle w:val="TableText0"/>
              <w:rPr>
                <w:snapToGrid w:val="0"/>
              </w:rPr>
            </w:pPr>
            <w:r w:rsidRPr="007D1918">
              <w:rPr>
                <w:snapToGrid w:val="0"/>
              </w:rPr>
              <w:t>P = 0.55</w:t>
            </w:r>
          </w:p>
          <w:p w14:paraId="1E14CADB" w14:textId="77777777" w:rsidR="00845729" w:rsidRPr="007D1918" w:rsidRDefault="00845729" w:rsidP="00BF0974">
            <w:pPr>
              <w:pStyle w:val="TableText0"/>
              <w:rPr>
                <w:snapToGrid w:val="0"/>
              </w:rPr>
            </w:pPr>
            <w:r w:rsidRPr="007D1918">
              <w:rPr>
                <w:snapToGrid w:val="0"/>
              </w:rPr>
              <w:t>P = 0.16</w:t>
            </w:r>
          </w:p>
          <w:p w14:paraId="5A4673DD" w14:textId="77777777" w:rsidR="00845729" w:rsidRPr="007D1918" w:rsidRDefault="00845729" w:rsidP="00BF0974">
            <w:pPr>
              <w:pStyle w:val="TableText0"/>
              <w:rPr>
                <w:snapToGrid w:val="0"/>
              </w:rPr>
            </w:pPr>
            <w:r w:rsidRPr="007D1918">
              <w:rPr>
                <w:snapToGrid w:val="0"/>
              </w:rPr>
              <w:t>P = 1.00</w:t>
            </w:r>
          </w:p>
          <w:p w14:paraId="724E6E24" w14:textId="16A806C7" w:rsidR="00845729" w:rsidRPr="007D1918" w:rsidRDefault="00845729" w:rsidP="00BF0974">
            <w:pPr>
              <w:pStyle w:val="TableText0"/>
              <w:rPr>
                <w:snapToGrid w:val="0"/>
              </w:rPr>
            </w:pPr>
            <w:r w:rsidRPr="007D1918">
              <w:rPr>
                <w:snapToGrid w:val="0"/>
              </w:rPr>
              <w:t>P = 0.46</w:t>
            </w:r>
          </w:p>
        </w:tc>
      </w:tr>
      <w:tr w:rsidR="00845729" w:rsidRPr="007D1918" w14:paraId="4F04C499" w14:textId="77777777" w:rsidTr="005E334B">
        <w:tc>
          <w:tcPr>
            <w:tcW w:w="907" w:type="pct"/>
            <w:shd w:val="clear" w:color="auto" w:fill="auto"/>
          </w:tcPr>
          <w:p w14:paraId="722B6DB5" w14:textId="10C38791" w:rsidR="00845729" w:rsidRPr="007D1918" w:rsidRDefault="0075212A" w:rsidP="00F52CA5">
            <w:pPr>
              <w:pStyle w:val="Tabletext1"/>
              <w:rPr>
                <w:snapToGrid w:val="0"/>
                <w:lang w:eastAsia="en-US"/>
              </w:rPr>
            </w:pPr>
            <w:r w:rsidRPr="007D1918">
              <w:rPr>
                <w:snapToGrid w:val="0"/>
                <w:lang w:eastAsia="en-US"/>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Pr="007D1918">
              <w:rPr>
                <w:snapToGrid w:val="0"/>
                <w:lang w:eastAsia="en-US"/>
              </w:rPr>
            </w:r>
            <w:r w:rsidRPr="007D1918">
              <w:rPr>
                <w:snapToGrid w:val="0"/>
                <w:lang w:eastAsia="en-US"/>
              </w:rPr>
              <w:fldChar w:fldCharType="separate"/>
            </w:r>
            <w:r w:rsidRPr="007D1918">
              <w:rPr>
                <w:noProof/>
                <w:snapToGrid w:val="0"/>
                <w:lang w:eastAsia="en-US"/>
              </w:rPr>
              <w:t>(</w:t>
            </w:r>
            <w:hyperlink w:anchor="_ENREF_83" w:tooltip="Rønager, 2001 #41" w:history="1">
              <w:r w:rsidR="007D4948" w:rsidRPr="007D1918">
                <w:rPr>
                  <w:noProof/>
                  <w:snapToGrid w:val="0"/>
                  <w:lang w:eastAsia="en-US"/>
                </w:rPr>
                <w:t>Rønager et al. 2001</w:t>
              </w:r>
            </w:hyperlink>
            <w:r w:rsidRPr="007D1918">
              <w:rPr>
                <w:noProof/>
                <w:snapToGrid w:val="0"/>
                <w:lang w:eastAsia="en-US"/>
              </w:rPr>
              <w:t>)</w:t>
            </w:r>
            <w:r w:rsidRPr="007D1918">
              <w:rPr>
                <w:snapToGrid w:val="0"/>
                <w:lang w:eastAsia="en-US"/>
              </w:rPr>
              <w:fldChar w:fldCharType="end"/>
            </w:r>
            <w:r w:rsidR="00540738" w:rsidRPr="007D1918">
              <w:rPr>
                <w:snapToGrid w:val="0"/>
                <w:lang w:eastAsia="en-US"/>
              </w:rPr>
              <w:t xml:space="preserve">, </w:t>
            </w:r>
            <w:r w:rsidR="00845729" w:rsidRPr="007D1918">
              <w:rPr>
                <w:snapToGrid w:val="0"/>
                <w:lang w:eastAsia="en-US"/>
              </w:rPr>
              <w:t>Denmark</w:t>
            </w:r>
          </w:p>
          <w:p w14:paraId="11FEA713" w14:textId="77777777" w:rsidR="00845729" w:rsidRPr="007D1918" w:rsidRDefault="00845729" w:rsidP="00845729">
            <w:pPr>
              <w:pStyle w:val="Tabletext1"/>
              <w:rPr>
                <w:snapToGrid w:val="0"/>
                <w:lang w:eastAsia="en-US"/>
              </w:rPr>
            </w:pPr>
            <w:r w:rsidRPr="007D1918">
              <w:rPr>
                <w:snapToGrid w:val="0"/>
                <w:lang w:eastAsia="en-US"/>
              </w:rPr>
              <w:t>Level II</w:t>
            </w:r>
          </w:p>
          <w:p w14:paraId="22D335CD" w14:textId="7C2060B0" w:rsidR="00845729" w:rsidRPr="007D1918" w:rsidRDefault="00845729" w:rsidP="00845729">
            <w:pPr>
              <w:pStyle w:val="Tabletext1"/>
              <w:rPr>
                <w:snapToGrid w:val="0"/>
                <w:lang w:eastAsia="en-US"/>
              </w:rPr>
            </w:pPr>
            <w:r w:rsidRPr="007D1918">
              <w:rPr>
                <w:snapToGrid w:val="0"/>
                <w:lang w:eastAsia="en-US"/>
              </w:rPr>
              <w:t>High</w:t>
            </w:r>
            <w:r w:rsidR="00290C8C" w:rsidRPr="007D1918">
              <w:rPr>
                <w:snapToGrid w:val="0"/>
                <w:lang w:eastAsia="en-US"/>
              </w:rPr>
              <w:t xml:space="preserve"> risk of bias</w:t>
            </w:r>
          </w:p>
        </w:tc>
        <w:tc>
          <w:tcPr>
            <w:tcW w:w="1005" w:type="pct"/>
          </w:tcPr>
          <w:p w14:paraId="4718C8D3" w14:textId="64F85626" w:rsidR="00845729" w:rsidRPr="007D1918" w:rsidRDefault="00845729" w:rsidP="00BF0974">
            <w:pPr>
              <w:pStyle w:val="TableText0"/>
              <w:rPr>
                <w:snapToGrid w:val="0"/>
              </w:rPr>
            </w:pPr>
            <w:r w:rsidRPr="007D1918">
              <w:rPr>
                <w:snapToGrid w:val="0"/>
              </w:rPr>
              <w:t>Number of AEs</w:t>
            </w:r>
          </w:p>
          <w:p w14:paraId="357FBC38" w14:textId="77777777" w:rsidR="00845729" w:rsidRPr="007D1918" w:rsidRDefault="00845729" w:rsidP="00BF0974">
            <w:pPr>
              <w:pStyle w:val="TableText0"/>
              <w:rPr>
                <w:snapToGrid w:val="0"/>
              </w:rPr>
            </w:pPr>
            <w:r w:rsidRPr="007D1918">
              <w:rPr>
                <w:snapToGrid w:val="0"/>
              </w:rPr>
              <w:t>Hypotension</w:t>
            </w:r>
          </w:p>
          <w:p w14:paraId="2A6C91E3" w14:textId="77777777" w:rsidR="00845729" w:rsidRPr="007D1918" w:rsidRDefault="00845729" w:rsidP="00BF0974">
            <w:pPr>
              <w:pStyle w:val="TableText0"/>
              <w:rPr>
                <w:snapToGrid w:val="0"/>
              </w:rPr>
            </w:pPr>
            <w:r w:rsidRPr="007D1918">
              <w:rPr>
                <w:snapToGrid w:val="0"/>
              </w:rPr>
              <w:t>Nausea, vomiting</w:t>
            </w:r>
          </w:p>
          <w:p w14:paraId="14B756E6" w14:textId="77777777" w:rsidR="00845729" w:rsidRPr="007D1918" w:rsidRDefault="00845729" w:rsidP="00BF0974">
            <w:pPr>
              <w:pStyle w:val="TableText0"/>
              <w:rPr>
                <w:snapToGrid w:val="0"/>
              </w:rPr>
            </w:pPr>
            <w:r w:rsidRPr="007D1918">
              <w:rPr>
                <w:snapToGrid w:val="0"/>
              </w:rPr>
              <w:t>Septicaemia</w:t>
            </w:r>
          </w:p>
          <w:p w14:paraId="260DDE8D" w14:textId="7622095A" w:rsidR="00845729" w:rsidRPr="007D1918" w:rsidRDefault="00845729" w:rsidP="00BF0974">
            <w:pPr>
              <w:pStyle w:val="TableText0"/>
              <w:rPr>
                <w:snapToGrid w:val="0"/>
              </w:rPr>
            </w:pPr>
            <w:r w:rsidRPr="007D1918">
              <w:rPr>
                <w:snapToGrid w:val="0"/>
              </w:rPr>
              <w:t>Deep vein thrombosis</w:t>
            </w:r>
          </w:p>
          <w:p w14:paraId="2D42EB16" w14:textId="623E8B7B" w:rsidR="00845729" w:rsidRPr="007D1918" w:rsidRDefault="00845729" w:rsidP="00BF0974">
            <w:pPr>
              <w:pStyle w:val="TableText0"/>
              <w:rPr>
                <w:snapToGrid w:val="0"/>
              </w:rPr>
            </w:pPr>
            <w:r w:rsidRPr="007D1918">
              <w:rPr>
                <w:snapToGrid w:val="0"/>
              </w:rPr>
              <w:t>High temperature</w:t>
            </w:r>
          </w:p>
          <w:p w14:paraId="35C05E7B" w14:textId="77777777" w:rsidR="00845729" w:rsidRPr="007D1918" w:rsidRDefault="00845729" w:rsidP="00BF0974">
            <w:pPr>
              <w:pStyle w:val="TableText0"/>
              <w:rPr>
                <w:snapToGrid w:val="0"/>
              </w:rPr>
            </w:pPr>
            <w:r w:rsidRPr="007D1918">
              <w:rPr>
                <w:snapToGrid w:val="0"/>
              </w:rPr>
              <w:t>Headache</w:t>
            </w:r>
          </w:p>
          <w:p w14:paraId="3FC2B5F0" w14:textId="7F1BCDB5" w:rsidR="00845729" w:rsidRPr="007D1918" w:rsidRDefault="00845729" w:rsidP="00BF0974">
            <w:pPr>
              <w:pStyle w:val="TableText0"/>
              <w:rPr>
                <w:snapToGrid w:val="0"/>
              </w:rPr>
            </w:pPr>
            <w:r w:rsidRPr="007D1918">
              <w:rPr>
                <w:snapToGrid w:val="0"/>
              </w:rPr>
              <w:t>Patients with no AE</w:t>
            </w:r>
          </w:p>
        </w:tc>
        <w:tc>
          <w:tcPr>
            <w:tcW w:w="927" w:type="pct"/>
            <w:shd w:val="clear" w:color="auto" w:fill="auto"/>
          </w:tcPr>
          <w:p w14:paraId="47E3F85B" w14:textId="77777777" w:rsidR="00845729" w:rsidRPr="007D1918" w:rsidRDefault="00845729" w:rsidP="00BF0974">
            <w:pPr>
              <w:pStyle w:val="TableText0"/>
              <w:rPr>
                <w:snapToGrid w:val="0"/>
              </w:rPr>
            </w:pPr>
            <w:r w:rsidRPr="007D1918">
              <w:rPr>
                <w:snapToGrid w:val="0"/>
              </w:rPr>
              <w:t>14</w:t>
            </w:r>
          </w:p>
          <w:p w14:paraId="1479D59D" w14:textId="77777777" w:rsidR="00845729" w:rsidRPr="007D1918" w:rsidRDefault="00845729" w:rsidP="00BF0974">
            <w:pPr>
              <w:pStyle w:val="TableText0"/>
              <w:rPr>
                <w:snapToGrid w:val="0"/>
              </w:rPr>
            </w:pPr>
            <w:r w:rsidRPr="007D1918">
              <w:rPr>
                <w:snapToGrid w:val="0"/>
              </w:rPr>
              <w:t>0</w:t>
            </w:r>
          </w:p>
          <w:p w14:paraId="2104990A" w14:textId="0764413E" w:rsidR="00845729" w:rsidRPr="007D1918" w:rsidRDefault="00845729" w:rsidP="00BF0974">
            <w:pPr>
              <w:pStyle w:val="TableText0"/>
              <w:rPr>
                <w:snapToGrid w:val="0"/>
              </w:rPr>
            </w:pPr>
            <w:r w:rsidRPr="007D1918">
              <w:rPr>
                <w:snapToGrid w:val="0"/>
              </w:rPr>
              <w:t>3</w:t>
            </w:r>
          </w:p>
          <w:p w14:paraId="07EBB757" w14:textId="77777777" w:rsidR="00845729" w:rsidRPr="007D1918" w:rsidRDefault="00845729" w:rsidP="00BF0974">
            <w:pPr>
              <w:pStyle w:val="TableText0"/>
              <w:rPr>
                <w:snapToGrid w:val="0"/>
              </w:rPr>
            </w:pPr>
            <w:r w:rsidRPr="007D1918">
              <w:rPr>
                <w:snapToGrid w:val="0"/>
              </w:rPr>
              <w:t>0</w:t>
            </w:r>
          </w:p>
          <w:p w14:paraId="0ECD3679" w14:textId="77777777" w:rsidR="00845729" w:rsidRPr="007D1918" w:rsidRDefault="00845729" w:rsidP="00BF0974">
            <w:pPr>
              <w:pStyle w:val="TableText0"/>
              <w:rPr>
                <w:snapToGrid w:val="0"/>
              </w:rPr>
            </w:pPr>
            <w:r w:rsidRPr="007D1918">
              <w:rPr>
                <w:snapToGrid w:val="0"/>
              </w:rPr>
              <w:t>0</w:t>
            </w:r>
          </w:p>
          <w:p w14:paraId="7508A2AE" w14:textId="77777777" w:rsidR="00845729" w:rsidRPr="007D1918" w:rsidRDefault="00845729" w:rsidP="00BF0974">
            <w:pPr>
              <w:pStyle w:val="TableText0"/>
              <w:rPr>
                <w:snapToGrid w:val="0"/>
              </w:rPr>
            </w:pPr>
            <w:r w:rsidRPr="007D1918">
              <w:rPr>
                <w:snapToGrid w:val="0"/>
              </w:rPr>
              <w:t>5</w:t>
            </w:r>
          </w:p>
          <w:p w14:paraId="68AF9C67" w14:textId="77777777" w:rsidR="00845729" w:rsidRPr="007D1918" w:rsidRDefault="00845729" w:rsidP="00A504E6">
            <w:pPr>
              <w:pStyle w:val="TableText0"/>
              <w:rPr>
                <w:snapToGrid w:val="0"/>
              </w:rPr>
            </w:pPr>
            <w:r w:rsidRPr="007D1918">
              <w:rPr>
                <w:snapToGrid w:val="0"/>
              </w:rPr>
              <w:t>7</w:t>
            </w:r>
          </w:p>
          <w:p w14:paraId="2BCA87EA" w14:textId="05A882DD" w:rsidR="00845729" w:rsidRPr="007D1918" w:rsidRDefault="00845729" w:rsidP="00A504E6">
            <w:pPr>
              <w:pStyle w:val="TableText0"/>
              <w:rPr>
                <w:snapToGrid w:val="0"/>
              </w:rPr>
            </w:pPr>
            <w:r w:rsidRPr="007D1918">
              <w:rPr>
                <w:snapToGrid w:val="0"/>
              </w:rPr>
              <w:t>4</w:t>
            </w:r>
            <w:r w:rsidR="00503E06" w:rsidRPr="007D1918">
              <w:rPr>
                <w:snapToGrid w:val="0"/>
              </w:rPr>
              <w:t>/12 (33.3%)</w:t>
            </w:r>
          </w:p>
        </w:tc>
        <w:tc>
          <w:tcPr>
            <w:tcW w:w="926" w:type="pct"/>
            <w:shd w:val="clear" w:color="auto" w:fill="auto"/>
          </w:tcPr>
          <w:p w14:paraId="448D235F"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7</w:t>
            </w:r>
          </w:p>
          <w:p w14:paraId="7592C6E7"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4</w:t>
            </w:r>
          </w:p>
          <w:p w14:paraId="7431A7F0"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w:t>
            </w:r>
          </w:p>
          <w:p w14:paraId="12CDB9A9"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w:t>
            </w:r>
          </w:p>
          <w:p w14:paraId="2C278A71"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w:t>
            </w:r>
          </w:p>
          <w:p w14:paraId="03F6DD42"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w:t>
            </w:r>
          </w:p>
          <w:p w14:paraId="64156D14" w14:textId="77777777"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w:t>
            </w:r>
          </w:p>
          <w:p w14:paraId="13CCD9AD" w14:textId="2CB1191A" w:rsidR="00845729" w:rsidRPr="007D1918" w:rsidRDefault="00845729" w:rsidP="00BF0974">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8</w:t>
            </w:r>
            <w:r w:rsidR="00503E06" w:rsidRPr="007D1918">
              <w:rPr>
                <w:rFonts w:ascii="Arial Narrow" w:hAnsi="Arial Narrow"/>
                <w:snapToGrid w:val="0"/>
                <w:sz w:val="20"/>
                <w:lang w:eastAsia="en-US"/>
              </w:rPr>
              <w:t>/12 (66.7%)</w:t>
            </w:r>
          </w:p>
        </w:tc>
        <w:tc>
          <w:tcPr>
            <w:tcW w:w="1235" w:type="pct"/>
            <w:shd w:val="clear" w:color="auto" w:fill="auto"/>
          </w:tcPr>
          <w:p w14:paraId="5450DD00" w14:textId="06122066" w:rsidR="008B7913" w:rsidRPr="002909D8" w:rsidRDefault="008B7913" w:rsidP="00BF0974">
            <w:pPr>
              <w:pStyle w:val="TableText0"/>
              <w:rPr>
                <w:snapToGrid w:val="0"/>
                <w:sz w:val="160"/>
                <w:szCs w:val="160"/>
              </w:rPr>
            </w:pPr>
          </w:p>
          <w:p w14:paraId="65BE425D" w14:textId="122D9401" w:rsidR="008B7913" w:rsidRPr="007D1918" w:rsidRDefault="008B7913" w:rsidP="00BF0974">
            <w:pPr>
              <w:pStyle w:val="TableText0"/>
              <w:rPr>
                <w:snapToGrid w:val="0"/>
                <w:vertAlign w:val="superscript"/>
              </w:rPr>
            </w:pPr>
            <w:r w:rsidRPr="007D1918">
              <w:rPr>
                <w:snapToGrid w:val="0"/>
              </w:rPr>
              <w:t>P = 0.11 (-5.64%, 61.0%)</w:t>
            </w:r>
            <w:r w:rsidRPr="007D1918">
              <w:rPr>
                <w:snapToGrid w:val="0"/>
                <w:vertAlign w:val="superscript"/>
              </w:rPr>
              <w:t>a</w:t>
            </w:r>
          </w:p>
        </w:tc>
      </w:tr>
    </w:tbl>
    <w:p w14:paraId="130E2051" w14:textId="17293CA4" w:rsidR="00A76F5E" w:rsidRPr="007D1918" w:rsidRDefault="00A76F5E" w:rsidP="00AE6774">
      <w:pPr>
        <w:pStyle w:val="Tablenotes0"/>
        <w:spacing w:after="80"/>
        <w:contextualSpacing w:val="0"/>
      </w:pPr>
      <w:r w:rsidRPr="007D1918">
        <w:t xml:space="preserve">AE = adverse event; IVIg = intravenous immunoglobulin therapy; </w:t>
      </w:r>
      <w:r w:rsidR="008D7BA8" w:rsidRPr="007D1918">
        <w:t xml:space="preserve">MG = myasthenia gravis; </w:t>
      </w:r>
      <w:r w:rsidRPr="007D1918">
        <w:t>PE = plasma exchange therapy</w:t>
      </w:r>
    </w:p>
    <w:p w14:paraId="61EA7C8A" w14:textId="2C6E01F7" w:rsidR="002E4864" w:rsidRPr="007D1918" w:rsidRDefault="001A0023" w:rsidP="00E6429D">
      <w:pPr>
        <w:pStyle w:val="Tablenotes0"/>
      </w:pPr>
      <w:r w:rsidRPr="007D1918">
        <w:rPr>
          <w:vertAlign w:val="superscript"/>
        </w:rPr>
        <w:t>a</w:t>
      </w:r>
      <w:r w:rsidRPr="007D1918">
        <w:t xml:space="preserve"> </w:t>
      </w:r>
      <w:r w:rsidR="008B7913" w:rsidRPr="007D1918">
        <w:t xml:space="preserve">Chi-squared test, </w:t>
      </w:r>
      <w:r w:rsidR="004D3879" w:rsidRPr="007D1918">
        <w:t>MedCalc</w:t>
      </w:r>
      <w:r w:rsidR="008B7913" w:rsidRPr="007D1918">
        <w:t xml:space="preserve"> online calculator</w:t>
      </w:r>
    </w:p>
    <w:p w14:paraId="314E796E" w14:textId="6ADE8BEA" w:rsidR="008B7913" w:rsidRPr="007D1918" w:rsidRDefault="008B7913" w:rsidP="00B44991">
      <w:pPr>
        <w:pStyle w:val="Tablenotes0"/>
        <w:spacing w:after="0"/>
      </w:pPr>
      <w:r w:rsidRPr="007D1918">
        <w:rPr>
          <w:vertAlign w:val="superscript"/>
        </w:rPr>
        <w:t>b</w:t>
      </w:r>
      <w:r w:rsidRPr="007D1918">
        <w:t xml:space="preserve"> Fisher’s exact test </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p>
    <w:p w14:paraId="65E9CC01" w14:textId="77777777" w:rsidR="004A4E63" w:rsidRPr="007D1918" w:rsidRDefault="004A4E63" w:rsidP="00B44991">
      <w:pPr>
        <w:pStyle w:val="Tabletext1"/>
      </w:pPr>
    </w:p>
    <w:p w14:paraId="1A7E567E" w14:textId="63D0A55A" w:rsidR="00493036" w:rsidRPr="007D1918" w:rsidRDefault="00493036" w:rsidP="00493036">
      <w:pPr>
        <w:pStyle w:val="Heading4"/>
        <w:keepLines/>
      </w:pPr>
      <w:r w:rsidRPr="007D1918">
        <w:t>Adverse events in patients treated with IVIg compared with placebo</w:t>
      </w:r>
      <w:r w:rsidR="0098482A" w:rsidRPr="007D1918">
        <w:t xml:space="preserve"> </w:t>
      </w:r>
      <w:r w:rsidRPr="007D1918">
        <w:t>for maintenance</w:t>
      </w:r>
    </w:p>
    <w:p w14:paraId="7F83A5B9" w14:textId="157A8BB1" w:rsidR="0098482A" w:rsidRPr="007D1918" w:rsidRDefault="0098482A" w:rsidP="0045753E">
      <w:pPr>
        <w:jc w:val="both"/>
      </w:pPr>
      <w:r w:rsidRPr="007D1918">
        <w:t xml:space="preserve">Standard therapies </w:t>
      </w:r>
      <w:r w:rsidR="005E152A" w:rsidRPr="007D1918">
        <w:t xml:space="preserve">for MG such as </w:t>
      </w:r>
      <w:r w:rsidR="00885DD1" w:rsidRPr="007D1918">
        <w:t xml:space="preserve">IS, IM, </w:t>
      </w:r>
      <w:r w:rsidR="005E152A" w:rsidRPr="007D1918">
        <w:t xml:space="preserve">prednisone (PN), </w:t>
      </w:r>
      <w:r w:rsidR="006B6C7E" w:rsidRPr="007D1918">
        <w:t>methylprednisolone</w:t>
      </w:r>
      <w:r w:rsidR="00467F94" w:rsidRPr="007D1918">
        <w:t xml:space="preserve"> (</w:t>
      </w:r>
      <w:r w:rsidR="005E152A" w:rsidRPr="007D1918">
        <w:t>MPN</w:t>
      </w:r>
      <w:r w:rsidR="00467F94" w:rsidRPr="007D1918">
        <w:t>)</w:t>
      </w:r>
      <w:r w:rsidR="005E152A" w:rsidRPr="007D1918">
        <w:t xml:space="preserve">, pyridostigmine or azathioprine are comparators listed in the PICO for </w:t>
      </w:r>
      <w:r w:rsidR="0088065E" w:rsidRPr="007D1918">
        <w:rPr>
          <w:i/>
        </w:rPr>
        <w:t>Criteria V3</w:t>
      </w:r>
      <w:r w:rsidR="005E152A" w:rsidRPr="007D1918">
        <w:t xml:space="preserve"> Indication 3. There were no studies comparing IVIg alone with any of these comparators. Patients on IVIg </w:t>
      </w:r>
      <w:r w:rsidR="00467F94" w:rsidRPr="007D1918">
        <w:t>are</w:t>
      </w:r>
      <w:r w:rsidR="005E152A" w:rsidRPr="007D1918">
        <w:t xml:space="preserve"> often taking standard therapies as well as IVIg</w:t>
      </w:r>
      <w:r w:rsidR="00467F94" w:rsidRPr="007D1918">
        <w:t xml:space="preserve"> in trials</w:t>
      </w:r>
      <w:r w:rsidR="005E152A" w:rsidRPr="007D1918">
        <w:t xml:space="preserve">. However, data on the incremental benefit of IVIg in addition to </w:t>
      </w:r>
      <w:r w:rsidR="005E152A" w:rsidRPr="007D1918">
        <w:lastRenderedPageBreak/>
        <w:t xml:space="preserve">standard therapies </w:t>
      </w:r>
      <w:r w:rsidR="004D0A18" w:rsidRPr="007D1918">
        <w:t>has the potential</w:t>
      </w:r>
      <w:r w:rsidR="005E152A" w:rsidRPr="007D1918">
        <w:t xml:space="preserve"> to inform the questions of this assessment, therefore articles that compared IVIg to placebo or no additional therapy in patients that were on standard therapies were included. </w:t>
      </w:r>
    </w:p>
    <w:p w14:paraId="03A6FB2F" w14:textId="44A70958" w:rsidR="000A28F6" w:rsidRPr="007D1918" w:rsidRDefault="003753DC" w:rsidP="0045753E">
      <w:pPr>
        <w:jc w:val="both"/>
      </w:pPr>
      <w:r w:rsidRPr="007D1918">
        <w:t xml:space="preserve">A RCT identified from a conference abstract had published online data for AEs </w:t>
      </w:r>
      <w:r w:rsidR="005429E1" w:rsidRPr="007D1918">
        <w:t xml:space="preserve">(in the clinical trials database) </w:t>
      </w:r>
      <w:r w:rsidR="0075212A"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 </w:instrText>
      </w:r>
      <w:r w:rsidR="00C437BA"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40" w:tooltip="Griffin, 2017 #62" w:history="1">
        <w:r w:rsidR="007D4948" w:rsidRPr="007D1918">
          <w:rPr>
            <w:noProof/>
          </w:rPr>
          <w:t>Griffin et al. 2017b</w:t>
        </w:r>
      </w:hyperlink>
      <w:r w:rsidR="0075212A" w:rsidRPr="007D1918">
        <w:rPr>
          <w:noProof/>
        </w:rPr>
        <w:t>)</w:t>
      </w:r>
      <w:r w:rsidR="0075212A" w:rsidRPr="007D1918">
        <w:fldChar w:fldCharType="end"/>
      </w:r>
      <w:r w:rsidRPr="007D1918">
        <w:t xml:space="preserve">. </w:t>
      </w:r>
      <w:r w:rsidR="005429E1" w:rsidRPr="007D1918">
        <w:t xml:space="preserve">Although it is not technically ‘published’ data, </w:t>
      </w:r>
      <w:r w:rsidR="004D5244" w:rsidRPr="007D1918">
        <w:t xml:space="preserve">the study has </w:t>
      </w:r>
      <w:r w:rsidRPr="007D1918">
        <w:t xml:space="preserve">been included because it was the only evidence identified which assessed the incremental benefit of IVIg over standard treatment in a maintenance population. Patients were included if they had symptomatic generalised MG, and were randomised to either IVIg </w:t>
      </w:r>
      <w:r w:rsidR="000C7A5E" w:rsidRPr="007D1918">
        <w:t xml:space="preserve">(human) </w:t>
      </w:r>
      <w:r w:rsidRPr="007D1918">
        <w:t xml:space="preserve">10% caprylate/chromatography purified (IVIg-C) or placebo delivered intravenously. Patients continued their standard therapies but these were not specified in the data available. </w:t>
      </w:r>
      <w:r w:rsidR="008679B2" w:rsidRPr="007D1918">
        <w:t xml:space="preserve">Patients were followed for 24 weeks and data on AEs </w:t>
      </w:r>
      <w:r w:rsidR="001A7A0A" w:rsidRPr="007D1918">
        <w:t>were</w:t>
      </w:r>
      <w:r w:rsidR="008679B2" w:rsidRPr="007D1918">
        <w:t xml:space="preserve"> reported on the clinicaltrials.gov website (</w:t>
      </w:r>
      <w:hyperlink r:id="rId46" w:history="1">
        <w:r w:rsidR="008679B2" w:rsidRPr="007D1918">
          <w:rPr>
            <w:rStyle w:val="Hyperlink"/>
          </w:rPr>
          <w:t>NCT02473952</w:t>
        </w:r>
      </w:hyperlink>
      <w:r w:rsidR="008679B2" w:rsidRPr="007D1918">
        <w:t xml:space="preserve">). </w:t>
      </w:r>
    </w:p>
    <w:p w14:paraId="43FA6942" w14:textId="06CAC833" w:rsidR="005647F3" w:rsidRPr="007D1918" w:rsidRDefault="00963727" w:rsidP="00045F8E">
      <w:pPr>
        <w:jc w:val="both"/>
      </w:pPr>
      <w:r w:rsidRPr="007D1918">
        <w:t xml:space="preserve">The 62 participants were recruited from North America and Europe. The primary outcome of the trial was change in symptoms measured with the QMGS, however these results were not yet posted online or published. </w:t>
      </w:r>
      <w:r w:rsidR="002A2C58" w:rsidRPr="007D1918">
        <w:t xml:space="preserve">There were </w:t>
      </w:r>
      <w:r w:rsidR="005429E1" w:rsidRPr="007D1918">
        <w:t>more</w:t>
      </w:r>
      <w:r w:rsidR="002A2C58" w:rsidRPr="007D1918">
        <w:t xml:space="preserve"> patients that </w:t>
      </w:r>
      <w:r w:rsidR="00885DD1" w:rsidRPr="007D1918">
        <w:t xml:space="preserve">didn’t </w:t>
      </w:r>
      <w:r w:rsidR="002A2C58" w:rsidRPr="007D1918">
        <w:t>complete the trial in the placebo group (n = 8) compared to the IVIg-C group (n = 2) (</w:t>
      </w:r>
      <w:r w:rsidR="00EA617F" w:rsidRPr="007D1918">
        <w:t>p = 0.052)</w:t>
      </w:r>
      <w:r w:rsidR="002A2C58" w:rsidRPr="007D1918">
        <w:t xml:space="preserve">. Of those given placebo there were 6 withdrawals by participant (reason not given). There were two withdrawals in each arm due to AEs. </w:t>
      </w:r>
    </w:p>
    <w:p w14:paraId="076702B0" w14:textId="3F211179" w:rsidR="00117D2B" w:rsidRPr="007D1918" w:rsidRDefault="00963727" w:rsidP="00045F8E">
      <w:pPr>
        <w:jc w:val="both"/>
      </w:pPr>
      <w:r w:rsidRPr="007D1918">
        <w:t xml:space="preserve">There were nine serious AEs in the IVIg-C arm, and five in the placebo arm of the trial.  The number of patients impacted were similar between groups – 5 (16.67%) in the IVIg-C arm and 4 (12.5%) in the placebo group. </w:t>
      </w:r>
      <w:r w:rsidR="00045F8E" w:rsidRPr="007D1918">
        <w:t xml:space="preserve">Serious AEs are compared in </w:t>
      </w:r>
      <w:r w:rsidR="00045F8E" w:rsidRPr="007D1918">
        <w:fldChar w:fldCharType="begin"/>
      </w:r>
      <w:r w:rsidR="00045F8E" w:rsidRPr="007D1918">
        <w:instrText xml:space="preserve"> REF _Ref9935624 \h  \* MERGEFORMAT </w:instrText>
      </w:r>
      <w:r w:rsidR="00045F8E" w:rsidRPr="007D1918">
        <w:fldChar w:fldCharType="separate"/>
      </w:r>
      <w:r w:rsidR="00153384" w:rsidRPr="007D1918">
        <w:t xml:space="preserve">Table </w:t>
      </w:r>
      <w:r w:rsidR="00153384" w:rsidRPr="007D1918">
        <w:rPr>
          <w:noProof/>
        </w:rPr>
        <w:t>22</w:t>
      </w:r>
      <w:r w:rsidR="00045F8E" w:rsidRPr="007D1918">
        <w:fldChar w:fldCharType="end"/>
      </w:r>
      <w:r w:rsidR="00045F8E" w:rsidRPr="007D1918">
        <w:t xml:space="preserve">. </w:t>
      </w:r>
      <w:r w:rsidRPr="007D1918">
        <w:t xml:space="preserve">For non-serious AEs, the frequency was higher but still </w:t>
      </w:r>
      <w:r w:rsidR="00045F8E" w:rsidRPr="007D1918">
        <w:t>similar</w:t>
      </w:r>
      <w:r w:rsidRPr="007D1918">
        <w:t xml:space="preserve"> between arms – 22 </w:t>
      </w:r>
      <w:r w:rsidR="005429E1" w:rsidRPr="007D1918">
        <w:t>(</w:t>
      </w:r>
      <w:r w:rsidRPr="007D1918">
        <w:t xml:space="preserve">73.33%) patients affected in the IVIg-C arm and 21 (65.63%) affected in the placebo arm. </w:t>
      </w:r>
      <w:r w:rsidR="00045F8E" w:rsidRPr="007D1918">
        <w:t>There were no statistical</w:t>
      </w:r>
      <w:r w:rsidR="005429E1" w:rsidRPr="007D1918">
        <w:t>ly significant</w:t>
      </w:r>
      <w:r w:rsidR="00045F8E" w:rsidRPr="007D1918">
        <w:t xml:space="preserve"> differences between treatment groups. </w:t>
      </w:r>
      <w:r w:rsidR="00467F94" w:rsidRPr="007D1918">
        <w:t xml:space="preserve">There were no data for AEs associated with individual standard </w:t>
      </w:r>
      <w:r w:rsidR="00885DD1" w:rsidRPr="007D1918">
        <w:t>therapies</w:t>
      </w:r>
      <w:r w:rsidR="00467F94" w:rsidRPr="007D1918">
        <w:t>.</w:t>
      </w:r>
    </w:p>
    <w:p w14:paraId="15DED642" w14:textId="77777777" w:rsidR="00117D2B" w:rsidRPr="007D1918" w:rsidRDefault="00117D2B" w:rsidP="00045F8E">
      <w:pPr>
        <w:jc w:val="both"/>
      </w:pPr>
    </w:p>
    <w:p w14:paraId="20CE5DEC" w14:textId="77777777" w:rsidR="00117D2B" w:rsidRPr="007D1918" w:rsidRDefault="00117D2B" w:rsidP="00045F8E">
      <w:pPr>
        <w:jc w:val="both"/>
      </w:pPr>
    </w:p>
    <w:p w14:paraId="38EC7D0E" w14:textId="77777777" w:rsidR="002909D8" w:rsidRDefault="002909D8">
      <w:pPr>
        <w:spacing w:after="0" w:line="240" w:lineRule="auto"/>
        <w:rPr>
          <w:rFonts w:ascii="Arial Narrow" w:hAnsi="Arial Narrow"/>
          <w:b/>
          <w:bCs/>
          <w:sz w:val="20"/>
        </w:rPr>
      </w:pPr>
      <w:bookmarkStart w:id="235" w:name="_Ref9935624"/>
      <w:bookmarkStart w:id="236" w:name="_Toc23769509"/>
      <w:r>
        <w:br w:type="page"/>
      </w:r>
    </w:p>
    <w:p w14:paraId="78A4D3D4" w14:textId="1D75528C" w:rsidR="005647F3" w:rsidRPr="007D1918" w:rsidRDefault="004C2293" w:rsidP="00155E4E">
      <w:pPr>
        <w:pStyle w:val="Caption"/>
        <w:keepNext/>
        <w:keepLines/>
        <w:ind w:left="1134" w:hanging="1134"/>
      </w:pPr>
      <w:r w:rsidRPr="007D1918">
        <w:lastRenderedPageBreak/>
        <w:t xml:space="preserve">Table </w:t>
      </w:r>
      <w:r w:rsidR="00153891" w:rsidRPr="007D1918">
        <w:rPr>
          <w:noProof/>
        </w:rPr>
        <w:fldChar w:fldCharType="begin"/>
      </w:r>
      <w:r w:rsidR="00153891" w:rsidRPr="007D1918">
        <w:rPr>
          <w:noProof/>
        </w:rPr>
        <w:instrText xml:space="preserve"> SEQ Table \* ARABIC </w:instrText>
      </w:r>
      <w:r w:rsidR="00153891" w:rsidRPr="007D1918">
        <w:rPr>
          <w:noProof/>
        </w:rPr>
        <w:fldChar w:fldCharType="separate"/>
      </w:r>
      <w:r w:rsidR="00942701" w:rsidRPr="007D1918">
        <w:rPr>
          <w:noProof/>
        </w:rPr>
        <w:t>22</w:t>
      </w:r>
      <w:r w:rsidR="00153891" w:rsidRPr="007D1918">
        <w:rPr>
          <w:noProof/>
        </w:rPr>
        <w:fldChar w:fldCharType="end"/>
      </w:r>
      <w:bookmarkEnd w:id="235"/>
      <w:r w:rsidRPr="007D1918">
        <w:tab/>
      </w:r>
      <w:r w:rsidR="005429E1" w:rsidRPr="007D1918">
        <w:t>S</w:t>
      </w:r>
      <w:r w:rsidRPr="007D1918">
        <w:t>erious adverse events for symptomatic MG patients randomised to IVIg-</w:t>
      </w:r>
      <w:r w:rsidR="008D7BA8" w:rsidRPr="007D1918">
        <w:t>C</w:t>
      </w:r>
      <w:r w:rsidRPr="007D1918">
        <w:t xml:space="preserve"> or placebo</w:t>
      </w:r>
      <w:r w:rsidR="00F62894" w:rsidRPr="007D1918">
        <w:t xml:space="preserve"> </w:t>
      </w:r>
      <w:r w:rsidR="008D77A9" w:rsidRPr="007D1918">
        <w:t>(</w:t>
      </w:r>
      <w:hyperlink r:id="rId47" w:history="1">
        <w:r w:rsidR="008D77A9" w:rsidRPr="007D1918">
          <w:rPr>
            <w:rStyle w:val="Hyperlink"/>
          </w:rPr>
          <w:t>NCT02473952</w:t>
        </w:r>
      </w:hyperlink>
      <w:r w:rsidR="008D77A9" w:rsidRPr="007D1918">
        <w:t>)</w:t>
      </w:r>
      <w:bookmarkEnd w:id="236"/>
    </w:p>
    <w:tbl>
      <w:tblPr>
        <w:tblW w:w="498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0 Serious adverse events for symptomatic MG patients randomised to IVIg-C or placebo"/>
        <w:tblDescription w:val="Comparison of adverse events in MG patients (Indication3) who received IVIg or placebo. Both patient groups were on standard therapies as well."/>
      </w:tblPr>
      <w:tblGrid>
        <w:gridCol w:w="2377"/>
        <w:gridCol w:w="2126"/>
        <w:gridCol w:w="2128"/>
        <w:gridCol w:w="2356"/>
      </w:tblGrid>
      <w:tr w:rsidR="00963727" w:rsidRPr="007D1918" w14:paraId="33D6FF19" w14:textId="400071E9" w:rsidTr="005429E1">
        <w:tc>
          <w:tcPr>
            <w:tcW w:w="1322" w:type="pct"/>
          </w:tcPr>
          <w:p w14:paraId="2FE08ECA" w14:textId="2B3253BC" w:rsidR="00963727" w:rsidRPr="007D1918" w:rsidRDefault="00963727" w:rsidP="00155E4E">
            <w:pPr>
              <w:pStyle w:val="TableHeading"/>
              <w:keepLines/>
              <w:ind w:left="16" w:right="117"/>
              <w:rPr>
                <w:snapToGrid w:val="0"/>
                <w:lang w:eastAsia="en-US"/>
              </w:rPr>
            </w:pPr>
            <w:r w:rsidRPr="007D1918">
              <w:rPr>
                <w:snapToGrid w:val="0"/>
                <w:lang w:eastAsia="en-US"/>
              </w:rPr>
              <w:t>Event</w:t>
            </w:r>
          </w:p>
        </w:tc>
        <w:tc>
          <w:tcPr>
            <w:tcW w:w="1183" w:type="pct"/>
          </w:tcPr>
          <w:p w14:paraId="2C4DA478" w14:textId="77777777" w:rsidR="00963727" w:rsidRPr="007D1918" w:rsidRDefault="00963727" w:rsidP="00155E4E">
            <w:pPr>
              <w:pStyle w:val="TableHeading"/>
              <w:keepLines/>
              <w:ind w:left="111" w:right="117"/>
              <w:rPr>
                <w:snapToGrid w:val="0"/>
                <w:lang w:eastAsia="en-US"/>
              </w:rPr>
            </w:pPr>
            <w:r w:rsidRPr="007D1918">
              <w:rPr>
                <w:snapToGrid w:val="0"/>
                <w:lang w:eastAsia="en-US"/>
              </w:rPr>
              <w:t>IVIg-C</w:t>
            </w:r>
          </w:p>
          <w:p w14:paraId="54D2A9E8" w14:textId="5113E004" w:rsidR="00963727" w:rsidRPr="007D1918" w:rsidRDefault="004C2293" w:rsidP="00155E4E">
            <w:pPr>
              <w:pStyle w:val="TableHeading"/>
              <w:keepLines/>
              <w:ind w:left="111" w:right="117"/>
              <w:rPr>
                <w:snapToGrid w:val="0"/>
                <w:lang w:eastAsia="en-US"/>
              </w:rPr>
            </w:pPr>
            <w:r w:rsidRPr="007D1918">
              <w:rPr>
                <w:snapToGrid w:val="0"/>
                <w:lang w:eastAsia="en-US"/>
              </w:rPr>
              <w:t xml:space="preserve">Number of </w:t>
            </w:r>
            <w:r w:rsidR="00963727" w:rsidRPr="007D1918">
              <w:rPr>
                <w:snapToGrid w:val="0"/>
                <w:lang w:eastAsia="en-US"/>
              </w:rPr>
              <w:t>event</w:t>
            </w:r>
            <w:r w:rsidRPr="007D1918">
              <w:rPr>
                <w:snapToGrid w:val="0"/>
                <w:lang w:eastAsia="en-US"/>
              </w:rPr>
              <w:t xml:space="preserve">s </w:t>
            </w:r>
            <w:r w:rsidRPr="007D1918">
              <w:rPr>
                <w:snapToGrid w:val="0"/>
                <w:lang w:eastAsia="en-US"/>
              </w:rPr>
              <w:br/>
            </w:r>
            <w:r w:rsidR="00963727" w:rsidRPr="007D1918">
              <w:rPr>
                <w:snapToGrid w:val="0"/>
                <w:lang w:eastAsia="en-US"/>
              </w:rPr>
              <w:t>(%</w:t>
            </w:r>
            <w:r w:rsidRPr="007D1918">
              <w:rPr>
                <w:snapToGrid w:val="0"/>
                <w:lang w:eastAsia="en-US"/>
              </w:rPr>
              <w:t xml:space="preserve"> of patients</w:t>
            </w:r>
            <w:r w:rsidR="00963727" w:rsidRPr="007D1918">
              <w:rPr>
                <w:snapToGrid w:val="0"/>
                <w:lang w:eastAsia="en-US"/>
              </w:rPr>
              <w:t>)</w:t>
            </w:r>
          </w:p>
        </w:tc>
        <w:tc>
          <w:tcPr>
            <w:tcW w:w="1184" w:type="pct"/>
            <w:shd w:val="clear" w:color="auto" w:fill="auto"/>
          </w:tcPr>
          <w:p w14:paraId="30CD10E9" w14:textId="0DC1DC0D" w:rsidR="00963727" w:rsidRPr="007D1918" w:rsidRDefault="00963727" w:rsidP="00155E4E">
            <w:pPr>
              <w:pStyle w:val="TableHeading"/>
              <w:keepLines/>
              <w:ind w:left="111" w:right="117"/>
              <w:rPr>
                <w:snapToGrid w:val="0"/>
                <w:lang w:eastAsia="en-US"/>
              </w:rPr>
            </w:pPr>
            <w:r w:rsidRPr="007D1918">
              <w:rPr>
                <w:snapToGrid w:val="0"/>
                <w:lang w:eastAsia="en-US"/>
              </w:rPr>
              <w:t>Placebo</w:t>
            </w:r>
          </w:p>
          <w:p w14:paraId="460E7623" w14:textId="0285D04D" w:rsidR="00963727" w:rsidRPr="007D1918" w:rsidRDefault="004C2293" w:rsidP="00155E4E">
            <w:pPr>
              <w:pStyle w:val="TableHeading"/>
              <w:keepLines/>
              <w:ind w:left="111" w:right="117"/>
              <w:rPr>
                <w:snapToGrid w:val="0"/>
                <w:lang w:eastAsia="en-US"/>
              </w:rPr>
            </w:pPr>
            <w:r w:rsidRPr="007D1918">
              <w:rPr>
                <w:snapToGrid w:val="0"/>
                <w:lang w:eastAsia="en-US"/>
              </w:rPr>
              <w:t xml:space="preserve">Number of </w:t>
            </w:r>
            <w:r w:rsidR="00963727" w:rsidRPr="007D1918">
              <w:rPr>
                <w:snapToGrid w:val="0"/>
                <w:lang w:eastAsia="en-US"/>
              </w:rPr>
              <w:t>event</w:t>
            </w:r>
            <w:r w:rsidRPr="007D1918">
              <w:rPr>
                <w:snapToGrid w:val="0"/>
                <w:lang w:eastAsia="en-US"/>
              </w:rPr>
              <w:t>s</w:t>
            </w:r>
            <w:r w:rsidR="00963727" w:rsidRPr="007D1918">
              <w:rPr>
                <w:snapToGrid w:val="0"/>
                <w:lang w:eastAsia="en-US"/>
              </w:rPr>
              <w:t xml:space="preserve"> </w:t>
            </w:r>
            <w:r w:rsidRPr="007D1918">
              <w:rPr>
                <w:snapToGrid w:val="0"/>
                <w:lang w:eastAsia="en-US"/>
              </w:rPr>
              <w:br/>
            </w:r>
            <w:r w:rsidR="00963727" w:rsidRPr="007D1918">
              <w:rPr>
                <w:snapToGrid w:val="0"/>
                <w:lang w:eastAsia="en-US"/>
              </w:rPr>
              <w:t>(%</w:t>
            </w:r>
            <w:r w:rsidRPr="007D1918">
              <w:rPr>
                <w:snapToGrid w:val="0"/>
                <w:lang w:eastAsia="en-US"/>
              </w:rPr>
              <w:t xml:space="preserve"> of patients</w:t>
            </w:r>
            <w:r w:rsidR="00963727" w:rsidRPr="007D1918">
              <w:rPr>
                <w:snapToGrid w:val="0"/>
                <w:lang w:eastAsia="en-US"/>
              </w:rPr>
              <w:t>)</w:t>
            </w:r>
          </w:p>
        </w:tc>
        <w:tc>
          <w:tcPr>
            <w:tcW w:w="1311" w:type="pct"/>
          </w:tcPr>
          <w:p w14:paraId="05ECE17B" w14:textId="6583F697" w:rsidR="00963727" w:rsidRPr="007D1918" w:rsidRDefault="005429E1" w:rsidP="00155E4E">
            <w:pPr>
              <w:pStyle w:val="TableHeading"/>
              <w:keepLines/>
              <w:ind w:left="111" w:right="117"/>
              <w:rPr>
                <w:snapToGrid w:val="0"/>
                <w:lang w:eastAsia="en-US"/>
              </w:rPr>
            </w:pPr>
            <w:r w:rsidRPr="007D1918">
              <w:rPr>
                <w:snapToGrid w:val="0"/>
                <w:lang w:eastAsia="en-US"/>
              </w:rPr>
              <w:t>D</w:t>
            </w:r>
            <w:r w:rsidR="004C2293" w:rsidRPr="007D1918">
              <w:rPr>
                <w:snapToGrid w:val="0"/>
                <w:lang w:eastAsia="en-US"/>
              </w:rPr>
              <w:t>ifference</w:t>
            </w:r>
          </w:p>
          <w:p w14:paraId="6C1EBF93" w14:textId="046FE60F" w:rsidR="000C7A5E" w:rsidRPr="007D1918" w:rsidRDefault="000C7A5E" w:rsidP="00155E4E">
            <w:pPr>
              <w:pStyle w:val="TableHeading"/>
              <w:keepLines/>
              <w:ind w:left="111" w:right="117"/>
              <w:rPr>
                <w:snapToGrid w:val="0"/>
                <w:vertAlign w:val="superscript"/>
                <w:lang w:eastAsia="en-US"/>
              </w:rPr>
            </w:pPr>
            <w:r w:rsidRPr="007D1918">
              <w:rPr>
                <w:snapToGrid w:val="0"/>
                <w:lang w:eastAsia="en-US"/>
              </w:rPr>
              <w:t>P value (</w:t>
            </w:r>
            <w:r w:rsidR="00781376" w:rsidRPr="007D1918">
              <w:rPr>
                <w:snapToGrid w:val="0"/>
                <w:lang w:eastAsia="en-US"/>
              </w:rPr>
              <w:t>95% CI</w:t>
            </w:r>
            <w:r w:rsidRPr="007D1918">
              <w:rPr>
                <w:snapToGrid w:val="0"/>
                <w:lang w:eastAsia="en-US"/>
              </w:rPr>
              <w:t>)</w:t>
            </w:r>
            <w:r w:rsidRPr="007D1918">
              <w:rPr>
                <w:snapToGrid w:val="0"/>
                <w:vertAlign w:val="superscript"/>
                <w:lang w:eastAsia="en-US"/>
              </w:rPr>
              <w:t>a</w:t>
            </w:r>
          </w:p>
        </w:tc>
      </w:tr>
      <w:tr w:rsidR="000C7A5E" w:rsidRPr="007D1918" w14:paraId="4AA29BA6" w14:textId="77777777" w:rsidTr="005429E1">
        <w:tc>
          <w:tcPr>
            <w:tcW w:w="1322" w:type="pct"/>
          </w:tcPr>
          <w:p w14:paraId="3729B08C" w14:textId="5B3A0D7D" w:rsidR="000C7A5E" w:rsidRPr="007D1918" w:rsidRDefault="000C7A5E" w:rsidP="00155E4E">
            <w:pPr>
              <w:pStyle w:val="Tabletext1"/>
              <w:keepNext/>
              <w:keepLines/>
              <w:rPr>
                <w:snapToGrid w:val="0"/>
                <w:lang w:eastAsia="en-US"/>
              </w:rPr>
            </w:pPr>
            <w:r w:rsidRPr="007D1918">
              <w:rPr>
                <w:snapToGrid w:val="0"/>
                <w:lang w:eastAsia="en-US"/>
              </w:rPr>
              <w:t>Total affected</w:t>
            </w:r>
          </w:p>
        </w:tc>
        <w:tc>
          <w:tcPr>
            <w:tcW w:w="1183" w:type="pct"/>
          </w:tcPr>
          <w:p w14:paraId="5566B32A" w14:textId="5D245A9C" w:rsidR="000C7A5E" w:rsidRPr="007D1918" w:rsidRDefault="000C7A5E" w:rsidP="00155E4E">
            <w:pPr>
              <w:pStyle w:val="TableText0"/>
              <w:keepLines/>
              <w:rPr>
                <w:snapToGrid w:val="0"/>
              </w:rPr>
            </w:pPr>
            <w:r w:rsidRPr="007D1918">
              <w:rPr>
                <w:snapToGrid w:val="0"/>
              </w:rPr>
              <w:t>5/30 (16.67%)</w:t>
            </w:r>
          </w:p>
        </w:tc>
        <w:tc>
          <w:tcPr>
            <w:tcW w:w="1184" w:type="pct"/>
            <w:shd w:val="clear" w:color="auto" w:fill="auto"/>
          </w:tcPr>
          <w:p w14:paraId="5FF436F6" w14:textId="56B50995" w:rsidR="000C7A5E" w:rsidRPr="007D1918" w:rsidRDefault="000C7A5E" w:rsidP="00155E4E">
            <w:pPr>
              <w:pStyle w:val="TableText0"/>
              <w:keepLines/>
              <w:rPr>
                <w:szCs w:val="20"/>
              </w:rPr>
            </w:pPr>
            <w:r w:rsidRPr="007D1918">
              <w:rPr>
                <w:szCs w:val="20"/>
              </w:rPr>
              <w:t>4/32 (12.50%)</w:t>
            </w:r>
          </w:p>
        </w:tc>
        <w:tc>
          <w:tcPr>
            <w:tcW w:w="1311" w:type="pct"/>
          </w:tcPr>
          <w:p w14:paraId="36ED5A01" w14:textId="18AAF17F" w:rsidR="000C7A5E" w:rsidRPr="007D1918" w:rsidRDefault="000C7A5E" w:rsidP="00155E4E">
            <w:pPr>
              <w:pStyle w:val="TableText0"/>
              <w:keepLines/>
              <w:rPr>
                <w:snapToGrid w:val="0"/>
                <w:szCs w:val="20"/>
              </w:rPr>
            </w:pPr>
            <w:r w:rsidRPr="007D1918">
              <w:rPr>
                <w:snapToGrid w:val="0"/>
                <w:szCs w:val="20"/>
              </w:rPr>
              <w:t>P = 0.644 (-12.98%, 22.66%)</w:t>
            </w:r>
          </w:p>
        </w:tc>
      </w:tr>
      <w:tr w:rsidR="00963727" w:rsidRPr="007D1918" w14:paraId="5D1FEA06" w14:textId="72A852A0" w:rsidTr="005429E1">
        <w:tc>
          <w:tcPr>
            <w:tcW w:w="1322" w:type="pct"/>
          </w:tcPr>
          <w:p w14:paraId="29EC5599" w14:textId="161A973C" w:rsidR="00963727" w:rsidRPr="007D1918" w:rsidRDefault="004C2293" w:rsidP="009C2C7B">
            <w:pPr>
              <w:pStyle w:val="Tabletext1"/>
              <w:rPr>
                <w:snapToGrid w:val="0"/>
                <w:lang w:eastAsia="en-US"/>
              </w:rPr>
            </w:pPr>
            <w:r w:rsidRPr="007D1918">
              <w:rPr>
                <w:snapToGrid w:val="0"/>
                <w:lang w:eastAsia="en-US"/>
              </w:rPr>
              <w:t>Cardiac disorders</w:t>
            </w:r>
          </w:p>
          <w:p w14:paraId="1213A12B" w14:textId="7BB780AF" w:rsidR="004C2293" w:rsidRPr="007D1918" w:rsidRDefault="004C2293" w:rsidP="004C2293">
            <w:pPr>
              <w:pStyle w:val="Tabletext1"/>
              <w:ind w:left="113" w:right="113"/>
              <w:rPr>
                <w:snapToGrid w:val="0"/>
                <w:lang w:eastAsia="en-US"/>
              </w:rPr>
            </w:pPr>
            <w:r w:rsidRPr="007D1918">
              <w:rPr>
                <w:snapToGrid w:val="0"/>
                <w:lang w:eastAsia="en-US"/>
              </w:rPr>
              <w:t>Atrial fibrillation</w:t>
            </w:r>
          </w:p>
          <w:p w14:paraId="2104B37E" w14:textId="15289D82" w:rsidR="004C2293" w:rsidRPr="007D1918" w:rsidRDefault="004C2293" w:rsidP="004C2293">
            <w:pPr>
              <w:pStyle w:val="Tabletext1"/>
              <w:ind w:left="113" w:right="113"/>
              <w:rPr>
                <w:snapToGrid w:val="0"/>
                <w:lang w:eastAsia="en-US"/>
              </w:rPr>
            </w:pPr>
            <w:r w:rsidRPr="007D1918">
              <w:rPr>
                <w:snapToGrid w:val="0"/>
                <w:lang w:eastAsia="en-US"/>
              </w:rPr>
              <w:t>Cardiopulmonary failure</w:t>
            </w:r>
          </w:p>
        </w:tc>
        <w:tc>
          <w:tcPr>
            <w:tcW w:w="1183" w:type="pct"/>
          </w:tcPr>
          <w:p w14:paraId="21F430B0" w14:textId="77777777" w:rsidR="004C2293" w:rsidRPr="007D1918" w:rsidRDefault="004C2293" w:rsidP="009C2C7B">
            <w:pPr>
              <w:pStyle w:val="TableText0"/>
              <w:rPr>
                <w:snapToGrid w:val="0"/>
              </w:rPr>
            </w:pPr>
          </w:p>
          <w:p w14:paraId="64631608" w14:textId="77777777" w:rsidR="00963727" w:rsidRPr="007D1918" w:rsidRDefault="004C2293" w:rsidP="009C2C7B">
            <w:pPr>
              <w:pStyle w:val="TableText0"/>
              <w:rPr>
                <w:snapToGrid w:val="0"/>
              </w:rPr>
            </w:pPr>
            <w:r w:rsidRPr="007D1918">
              <w:rPr>
                <w:snapToGrid w:val="0"/>
              </w:rPr>
              <w:t>1/30 (3.33%)</w:t>
            </w:r>
          </w:p>
          <w:p w14:paraId="62A33A49" w14:textId="693B45DD" w:rsidR="004C2293" w:rsidRPr="007D1918" w:rsidRDefault="004C2293" w:rsidP="009C2C7B">
            <w:pPr>
              <w:pStyle w:val="TableText0"/>
              <w:rPr>
                <w:snapToGrid w:val="0"/>
              </w:rPr>
            </w:pPr>
            <w:r w:rsidRPr="007D1918">
              <w:rPr>
                <w:snapToGrid w:val="0"/>
              </w:rPr>
              <w:t>1/30 (3.33%)</w:t>
            </w:r>
          </w:p>
        </w:tc>
        <w:tc>
          <w:tcPr>
            <w:tcW w:w="1184" w:type="pct"/>
            <w:shd w:val="clear" w:color="auto" w:fill="auto"/>
          </w:tcPr>
          <w:p w14:paraId="0946BD46" w14:textId="77777777" w:rsidR="00963727" w:rsidRPr="007D1918" w:rsidRDefault="00963727" w:rsidP="009C2C7B">
            <w:pPr>
              <w:pStyle w:val="TableText0"/>
              <w:rPr>
                <w:szCs w:val="20"/>
              </w:rPr>
            </w:pPr>
          </w:p>
          <w:p w14:paraId="79D7D448" w14:textId="77777777" w:rsidR="004C2293" w:rsidRPr="007D1918" w:rsidRDefault="004C2293" w:rsidP="009C2C7B">
            <w:pPr>
              <w:pStyle w:val="TableText0"/>
              <w:rPr>
                <w:szCs w:val="20"/>
              </w:rPr>
            </w:pPr>
            <w:r w:rsidRPr="007D1918">
              <w:rPr>
                <w:szCs w:val="20"/>
              </w:rPr>
              <w:t>0/32</w:t>
            </w:r>
          </w:p>
          <w:p w14:paraId="666F7672" w14:textId="29A5E64F" w:rsidR="004C2293" w:rsidRPr="007D1918" w:rsidRDefault="004C2293" w:rsidP="009C2C7B">
            <w:pPr>
              <w:pStyle w:val="TableText0"/>
              <w:rPr>
                <w:szCs w:val="20"/>
              </w:rPr>
            </w:pPr>
            <w:r w:rsidRPr="007D1918">
              <w:rPr>
                <w:szCs w:val="20"/>
              </w:rPr>
              <w:t>0/32</w:t>
            </w:r>
          </w:p>
        </w:tc>
        <w:tc>
          <w:tcPr>
            <w:tcW w:w="1311" w:type="pct"/>
          </w:tcPr>
          <w:p w14:paraId="3FCEC7FA" w14:textId="77777777" w:rsidR="00963727" w:rsidRPr="007D1918" w:rsidRDefault="00963727" w:rsidP="009C2C7B">
            <w:pPr>
              <w:pStyle w:val="TableText0"/>
              <w:rPr>
                <w:snapToGrid w:val="0"/>
                <w:szCs w:val="20"/>
              </w:rPr>
            </w:pPr>
          </w:p>
          <w:p w14:paraId="70FF4457" w14:textId="14569E04" w:rsidR="000C7A5E" w:rsidRPr="007D1918" w:rsidRDefault="000C7A5E" w:rsidP="000C7A5E">
            <w:pPr>
              <w:pStyle w:val="TableText0"/>
              <w:rPr>
                <w:snapToGrid w:val="0"/>
                <w:szCs w:val="20"/>
              </w:rPr>
            </w:pPr>
            <w:r w:rsidRPr="007D1918">
              <w:rPr>
                <w:snapToGrid w:val="0"/>
                <w:szCs w:val="20"/>
              </w:rPr>
              <w:t>P = 0.30 (-7.73%, 16.67%)</w:t>
            </w:r>
          </w:p>
          <w:p w14:paraId="3E76B771" w14:textId="05D17197" w:rsidR="000C7A5E" w:rsidRPr="007D1918" w:rsidRDefault="000C7A5E" w:rsidP="000C7A5E">
            <w:pPr>
              <w:pStyle w:val="TableText0"/>
              <w:rPr>
                <w:snapToGrid w:val="0"/>
                <w:szCs w:val="20"/>
              </w:rPr>
            </w:pPr>
            <w:r w:rsidRPr="007D1918">
              <w:rPr>
                <w:snapToGrid w:val="0"/>
                <w:szCs w:val="20"/>
              </w:rPr>
              <w:t>P = 0.30 (-7.73%, 16.67%)</w:t>
            </w:r>
          </w:p>
        </w:tc>
      </w:tr>
      <w:tr w:rsidR="004C2293" w:rsidRPr="007D1918" w14:paraId="7CCD5C16" w14:textId="77777777" w:rsidTr="005429E1">
        <w:tc>
          <w:tcPr>
            <w:tcW w:w="1322" w:type="pct"/>
          </w:tcPr>
          <w:p w14:paraId="16549EAF" w14:textId="4758536D" w:rsidR="004C2293" w:rsidRPr="007D1918" w:rsidRDefault="004C2293" w:rsidP="009C2C7B">
            <w:pPr>
              <w:pStyle w:val="Tabletext1"/>
              <w:rPr>
                <w:snapToGrid w:val="0"/>
                <w:lang w:eastAsia="en-US"/>
              </w:rPr>
            </w:pPr>
            <w:r w:rsidRPr="007D1918">
              <w:rPr>
                <w:snapToGrid w:val="0"/>
                <w:lang w:eastAsia="en-US"/>
              </w:rPr>
              <w:t>Gastrointestinal disorders</w:t>
            </w:r>
          </w:p>
          <w:p w14:paraId="378422B0" w14:textId="2A1E8C3C" w:rsidR="004C2293" w:rsidRPr="007D1918" w:rsidRDefault="004C2293" w:rsidP="004C2293">
            <w:pPr>
              <w:pStyle w:val="Tabletext1"/>
              <w:ind w:left="113"/>
              <w:rPr>
                <w:snapToGrid w:val="0"/>
                <w:lang w:eastAsia="en-US"/>
              </w:rPr>
            </w:pPr>
            <w:r w:rsidRPr="007D1918">
              <w:rPr>
                <w:snapToGrid w:val="0"/>
                <w:lang w:eastAsia="en-US"/>
              </w:rPr>
              <w:t>Haemorrhoids thrombosed</w:t>
            </w:r>
          </w:p>
        </w:tc>
        <w:tc>
          <w:tcPr>
            <w:tcW w:w="1183" w:type="pct"/>
          </w:tcPr>
          <w:p w14:paraId="18CC5530" w14:textId="77777777" w:rsidR="004C2293" w:rsidRPr="007D1918" w:rsidRDefault="004C2293" w:rsidP="009C2C7B">
            <w:pPr>
              <w:pStyle w:val="TableText0"/>
              <w:rPr>
                <w:snapToGrid w:val="0"/>
              </w:rPr>
            </w:pPr>
          </w:p>
          <w:p w14:paraId="63337E32" w14:textId="63D4E579" w:rsidR="004C2293" w:rsidRPr="007D1918" w:rsidRDefault="004C2293" w:rsidP="000C7A5E">
            <w:pPr>
              <w:pStyle w:val="TableText0"/>
              <w:rPr>
                <w:snapToGrid w:val="0"/>
              </w:rPr>
            </w:pPr>
            <w:r w:rsidRPr="007D1918">
              <w:rPr>
                <w:snapToGrid w:val="0"/>
              </w:rPr>
              <w:t>1/30 (</w:t>
            </w:r>
            <w:r w:rsidR="000C7A5E" w:rsidRPr="007D1918">
              <w:rPr>
                <w:snapToGrid w:val="0"/>
              </w:rPr>
              <w:t>3.3</w:t>
            </w:r>
            <w:r w:rsidRPr="007D1918">
              <w:rPr>
                <w:snapToGrid w:val="0"/>
              </w:rPr>
              <w:t>3%)</w:t>
            </w:r>
          </w:p>
        </w:tc>
        <w:tc>
          <w:tcPr>
            <w:tcW w:w="1184" w:type="pct"/>
            <w:shd w:val="clear" w:color="auto" w:fill="auto"/>
          </w:tcPr>
          <w:p w14:paraId="20D3318F" w14:textId="77777777" w:rsidR="004C2293" w:rsidRPr="007D1918" w:rsidRDefault="004C2293" w:rsidP="009C2C7B">
            <w:pPr>
              <w:pStyle w:val="TableText0"/>
              <w:rPr>
                <w:snapToGrid w:val="0"/>
                <w:szCs w:val="20"/>
              </w:rPr>
            </w:pPr>
          </w:p>
          <w:p w14:paraId="497D3036" w14:textId="7A3D7D14" w:rsidR="004C2293" w:rsidRPr="007D1918" w:rsidRDefault="000C7A5E" w:rsidP="009C2C7B">
            <w:pPr>
              <w:pStyle w:val="TableText0"/>
              <w:rPr>
                <w:snapToGrid w:val="0"/>
                <w:szCs w:val="20"/>
              </w:rPr>
            </w:pPr>
            <w:r w:rsidRPr="007D1918">
              <w:rPr>
                <w:snapToGrid w:val="0"/>
                <w:szCs w:val="20"/>
              </w:rPr>
              <w:t>0/30</w:t>
            </w:r>
          </w:p>
        </w:tc>
        <w:tc>
          <w:tcPr>
            <w:tcW w:w="1311" w:type="pct"/>
          </w:tcPr>
          <w:p w14:paraId="4EFF5A96" w14:textId="77777777" w:rsidR="004C2293" w:rsidRPr="007D1918" w:rsidRDefault="004C2293" w:rsidP="009C2C7B">
            <w:pPr>
              <w:pStyle w:val="TableText0"/>
              <w:rPr>
                <w:snapToGrid w:val="0"/>
                <w:szCs w:val="20"/>
              </w:rPr>
            </w:pPr>
          </w:p>
          <w:p w14:paraId="62AF5E9B" w14:textId="35431731" w:rsidR="000C7A5E" w:rsidRPr="007D1918" w:rsidRDefault="000C7A5E" w:rsidP="009C2C7B">
            <w:pPr>
              <w:pStyle w:val="TableText0"/>
              <w:rPr>
                <w:snapToGrid w:val="0"/>
                <w:szCs w:val="20"/>
              </w:rPr>
            </w:pPr>
            <w:r w:rsidRPr="007D1918">
              <w:rPr>
                <w:snapToGrid w:val="0"/>
                <w:szCs w:val="20"/>
              </w:rPr>
              <w:t>P = 0.30 (-7.73%, 16.67%)</w:t>
            </w:r>
          </w:p>
        </w:tc>
      </w:tr>
      <w:tr w:rsidR="004C2293" w:rsidRPr="007D1918" w14:paraId="4514698A" w14:textId="77777777" w:rsidTr="005429E1">
        <w:tc>
          <w:tcPr>
            <w:tcW w:w="1322" w:type="pct"/>
          </w:tcPr>
          <w:p w14:paraId="028C2945" w14:textId="22B0DC59" w:rsidR="004C2293" w:rsidRPr="007D1918" w:rsidRDefault="004C2293" w:rsidP="009C2C7B">
            <w:pPr>
              <w:pStyle w:val="Tabletext1"/>
              <w:rPr>
                <w:snapToGrid w:val="0"/>
                <w:lang w:eastAsia="en-US"/>
              </w:rPr>
            </w:pPr>
            <w:r w:rsidRPr="007D1918">
              <w:rPr>
                <w:snapToGrid w:val="0"/>
                <w:lang w:eastAsia="en-US"/>
              </w:rPr>
              <w:t>Infections and infestations</w:t>
            </w:r>
          </w:p>
          <w:p w14:paraId="6D988CD3" w14:textId="1910E887" w:rsidR="004C2293" w:rsidRPr="007D1918" w:rsidRDefault="004C2293" w:rsidP="004C2293">
            <w:pPr>
              <w:pStyle w:val="Tabletext1"/>
              <w:ind w:left="113"/>
              <w:rPr>
                <w:snapToGrid w:val="0"/>
                <w:lang w:eastAsia="en-US"/>
              </w:rPr>
            </w:pPr>
            <w:r w:rsidRPr="007D1918">
              <w:rPr>
                <w:snapToGrid w:val="0"/>
                <w:lang w:eastAsia="en-US"/>
              </w:rPr>
              <w:t>Pneumonia</w:t>
            </w:r>
          </w:p>
          <w:p w14:paraId="5869D0E5" w14:textId="6D4836D8" w:rsidR="004C2293" w:rsidRPr="007D1918" w:rsidRDefault="004C2293" w:rsidP="004C2293">
            <w:pPr>
              <w:pStyle w:val="Tabletext1"/>
              <w:ind w:left="113"/>
              <w:rPr>
                <w:snapToGrid w:val="0"/>
                <w:lang w:eastAsia="en-US"/>
              </w:rPr>
            </w:pPr>
            <w:r w:rsidRPr="007D1918">
              <w:rPr>
                <w:snapToGrid w:val="0"/>
                <w:lang w:eastAsia="en-US"/>
              </w:rPr>
              <w:t>Septic shock</w:t>
            </w:r>
          </w:p>
        </w:tc>
        <w:tc>
          <w:tcPr>
            <w:tcW w:w="1183" w:type="pct"/>
          </w:tcPr>
          <w:p w14:paraId="2750F707" w14:textId="77777777" w:rsidR="004C2293" w:rsidRPr="007D1918" w:rsidRDefault="004C2293" w:rsidP="009C2C7B">
            <w:pPr>
              <w:pStyle w:val="TableText0"/>
              <w:rPr>
                <w:snapToGrid w:val="0"/>
              </w:rPr>
            </w:pPr>
          </w:p>
          <w:p w14:paraId="49082D12" w14:textId="39BA0AB3" w:rsidR="000C7A5E" w:rsidRPr="007D1918" w:rsidRDefault="000C7A5E" w:rsidP="009C2C7B">
            <w:pPr>
              <w:pStyle w:val="TableText0"/>
              <w:rPr>
                <w:snapToGrid w:val="0"/>
              </w:rPr>
            </w:pPr>
            <w:r w:rsidRPr="007D1918">
              <w:rPr>
                <w:snapToGrid w:val="0"/>
              </w:rPr>
              <w:t>1/30 (3.33%)</w:t>
            </w:r>
          </w:p>
          <w:p w14:paraId="6E7FC37F" w14:textId="78AF5F2D" w:rsidR="004C2293" w:rsidRPr="007D1918" w:rsidRDefault="000C7A5E" w:rsidP="000C7A5E">
            <w:pPr>
              <w:pStyle w:val="TableText0"/>
              <w:rPr>
                <w:snapToGrid w:val="0"/>
              </w:rPr>
            </w:pPr>
            <w:r w:rsidRPr="007D1918">
              <w:rPr>
                <w:snapToGrid w:val="0"/>
              </w:rPr>
              <w:t>1/30 (3.33%)</w:t>
            </w:r>
          </w:p>
        </w:tc>
        <w:tc>
          <w:tcPr>
            <w:tcW w:w="1184" w:type="pct"/>
            <w:shd w:val="clear" w:color="auto" w:fill="auto"/>
          </w:tcPr>
          <w:p w14:paraId="23F4744F" w14:textId="77777777" w:rsidR="004C2293" w:rsidRPr="007D1918" w:rsidRDefault="004C2293" w:rsidP="009C2C7B">
            <w:pPr>
              <w:pStyle w:val="TableText0"/>
              <w:rPr>
                <w:snapToGrid w:val="0"/>
                <w:szCs w:val="20"/>
              </w:rPr>
            </w:pPr>
          </w:p>
          <w:p w14:paraId="741EC0E7" w14:textId="77777777" w:rsidR="000C7A5E" w:rsidRPr="007D1918" w:rsidRDefault="000C7A5E" w:rsidP="009C2C7B">
            <w:pPr>
              <w:pStyle w:val="TableText0"/>
              <w:rPr>
                <w:snapToGrid w:val="0"/>
                <w:szCs w:val="20"/>
              </w:rPr>
            </w:pPr>
            <w:r w:rsidRPr="007D1918">
              <w:rPr>
                <w:snapToGrid w:val="0"/>
                <w:szCs w:val="20"/>
              </w:rPr>
              <w:t>0/30</w:t>
            </w:r>
          </w:p>
          <w:p w14:paraId="367BC4F7" w14:textId="2DD8EFE0" w:rsidR="000C7A5E" w:rsidRPr="007D1918" w:rsidRDefault="000C7A5E" w:rsidP="009C2C7B">
            <w:pPr>
              <w:pStyle w:val="TableText0"/>
              <w:rPr>
                <w:snapToGrid w:val="0"/>
                <w:szCs w:val="20"/>
              </w:rPr>
            </w:pPr>
            <w:r w:rsidRPr="007D1918">
              <w:rPr>
                <w:snapToGrid w:val="0"/>
                <w:szCs w:val="20"/>
              </w:rPr>
              <w:t>0/30</w:t>
            </w:r>
          </w:p>
        </w:tc>
        <w:tc>
          <w:tcPr>
            <w:tcW w:w="1311" w:type="pct"/>
          </w:tcPr>
          <w:p w14:paraId="69DD7F73" w14:textId="77777777" w:rsidR="004C2293" w:rsidRPr="007D1918" w:rsidRDefault="004C2293" w:rsidP="009C2C7B">
            <w:pPr>
              <w:pStyle w:val="TableText0"/>
              <w:rPr>
                <w:snapToGrid w:val="0"/>
                <w:szCs w:val="20"/>
              </w:rPr>
            </w:pPr>
          </w:p>
          <w:p w14:paraId="579040E2" w14:textId="77777777" w:rsidR="000C7A5E" w:rsidRPr="007D1918" w:rsidRDefault="000C7A5E" w:rsidP="009C2C7B">
            <w:pPr>
              <w:pStyle w:val="TableText0"/>
              <w:rPr>
                <w:snapToGrid w:val="0"/>
                <w:szCs w:val="20"/>
              </w:rPr>
            </w:pPr>
            <w:r w:rsidRPr="007D1918">
              <w:rPr>
                <w:snapToGrid w:val="0"/>
                <w:szCs w:val="20"/>
              </w:rPr>
              <w:t>P = 0.30 (-7.73%, 16.67%)</w:t>
            </w:r>
          </w:p>
          <w:p w14:paraId="45400BE0" w14:textId="5415F731" w:rsidR="000C7A5E" w:rsidRPr="007D1918" w:rsidRDefault="000C7A5E" w:rsidP="009C2C7B">
            <w:pPr>
              <w:pStyle w:val="TableText0"/>
              <w:rPr>
                <w:snapToGrid w:val="0"/>
                <w:szCs w:val="20"/>
              </w:rPr>
            </w:pPr>
            <w:r w:rsidRPr="007D1918">
              <w:rPr>
                <w:snapToGrid w:val="0"/>
                <w:szCs w:val="20"/>
              </w:rPr>
              <w:t>P = 0.30 (-7.73%, 16.67%)</w:t>
            </w:r>
          </w:p>
        </w:tc>
      </w:tr>
      <w:tr w:rsidR="000C7A5E" w:rsidRPr="007D1918" w14:paraId="73F2A42A" w14:textId="77777777" w:rsidTr="005429E1">
        <w:tc>
          <w:tcPr>
            <w:tcW w:w="1322" w:type="pct"/>
          </w:tcPr>
          <w:p w14:paraId="3E90D964" w14:textId="3D127412" w:rsidR="000C7A5E" w:rsidRPr="007D1918" w:rsidRDefault="000C7A5E" w:rsidP="009C2C7B">
            <w:pPr>
              <w:pStyle w:val="Tabletext1"/>
              <w:rPr>
                <w:snapToGrid w:val="0"/>
                <w:lang w:eastAsia="en-US"/>
              </w:rPr>
            </w:pPr>
            <w:r w:rsidRPr="007D1918">
              <w:rPr>
                <w:snapToGrid w:val="0"/>
                <w:lang w:eastAsia="en-US"/>
              </w:rPr>
              <w:t>Injury, poisoning, procedural complications</w:t>
            </w:r>
          </w:p>
          <w:p w14:paraId="2AB00091" w14:textId="77777777" w:rsidR="000C7A5E" w:rsidRPr="007D1918" w:rsidRDefault="000C7A5E" w:rsidP="000C7A5E">
            <w:pPr>
              <w:pStyle w:val="Tabletext1"/>
              <w:ind w:left="113"/>
              <w:rPr>
                <w:snapToGrid w:val="0"/>
                <w:lang w:eastAsia="en-US"/>
              </w:rPr>
            </w:pPr>
            <w:r w:rsidRPr="007D1918">
              <w:rPr>
                <w:snapToGrid w:val="0"/>
                <w:lang w:eastAsia="en-US"/>
              </w:rPr>
              <w:t>Lower limb fracture</w:t>
            </w:r>
          </w:p>
          <w:p w14:paraId="26F60076" w14:textId="72B463B0" w:rsidR="000C7A5E" w:rsidRPr="007D1918" w:rsidRDefault="000C7A5E" w:rsidP="000C7A5E">
            <w:pPr>
              <w:pStyle w:val="Tabletext1"/>
              <w:ind w:left="113"/>
              <w:rPr>
                <w:snapToGrid w:val="0"/>
                <w:lang w:eastAsia="en-US"/>
              </w:rPr>
            </w:pPr>
            <w:r w:rsidRPr="007D1918">
              <w:rPr>
                <w:snapToGrid w:val="0"/>
                <w:lang w:eastAsia="en-US"/>
              </w:rPr>
              <w:t>Wrist fracture</w:t>
            </w:r>
          </w:p>
        </w:tc>
        <w:tc>
          <w:tcPr>
            <w:tcW w:w="1183" w:type="pct"/>
          </w:tcPr>
          <w:p w14:paraId="0D6138B9" w14:textId="77777777" w:rsidR="000C7A5E" w:rsidRPr="007D1918" w:rsidRDefault="000C7A5E" w:rsidP="009C2C7B">
            <w:pPr>
              <w:pStyle w:val="TableText0"/>
              <w:rPr>
                <w:snapToGrid w:val="0"/>
              </w:rPr>
            </w:pPr>
          </w:p>
          <w:p w14:paraId="08CA7C68" w14:textId="77777777" w:rsidR="000C7A5E" w:rsidRPr="007D1918" w:rsidRDefault="000C7A5E" w:rsidP="009C2C7B">
            <w:pPr>
              <w:pStyle w:val="TableText0"/>
              <w:rPr>
                <w:snapToGrid w:val="0"/>
              </w:rPr>
            </w:pPr>
            <w:r w:rsidRPr="007D1918">
              <w:rPr>
                <w:snapToGrid w:val="0"/>
              </w:rPr>
              <w:br/>
              <w:t>0/30</w:t>
            </w:r>
          </w:p>
          <w:p w14:paraId="467C7EBE" w14:textId="0D92AF7B" w:rsidR="000C7A5E" w:rsidRPr="007D1918" w:rsidRDefault="000C7A5E" w:rsidP="009C2C7B">
            <w:pPr>
              <w:pStyle w:val="TableText0"/>
              <w:rPr>
                <w:snapToGrid w:val="0"/>
              </w:rPr>
            </w:pPr>
            <w:r w:rsidRPr="007D1918">
              <w:rPr>
                <w:snapToGrid w:val="0"/>
              </w:rPr>
              <w:t>0/30</w:t>
            </w:r>
          </w:p>
        </w:tc>
        <w:tc>
          <w:tcPr>
            <w:tcW w:w="1184" w:type="pct"/>
            <w:shd w:val="clear" w:color="auto" w:fill="auto"/>
          </w:tcPr>
          <w:p w14:paraId="5524BAE6" w14:textId="77777777" w:rsidR="000C7A5E" w:rsidRPr="007D1918" w:rsidRDefault="000C7A5E" w:rsidP="009C2C7B">
            <w:pPr>
              <w:pStyle w:val="TableText0"/>
              <w:rPr>
                <w:snapToGrid w:val="0"/>
                <w:szCs w:val="20"/>
              </w:rPr>
            </w:pPr>
          </w:p>
          <w:p w14:paraId="3EE7A673" w14:textId="77777777" w:rsidR="000C7A5E" w:rsidRPr="007D1918" w:rsidRDefault="000C7A5E" w:rsidP="009C2C7B">
            <w:pPr>
              <w:pStyle w:val="TableText0"/>
              <w:rPr>
                <w:snapToGrid w:val="0"/>
                <w:szCs w:val="20"/>
              </w:rPr>
            </w:pPr>
            <w:r w:rsidRPr="007D1918">
              <w:rPr>
                <w:snapToGrid w:val="0"/>
                <w:szCs w:val="20"/>
              </w:rPr>
              <w:br/>
              <w:t>1/32 (3.13%)</w:t>
            </w:r>
          </w:p>
          <w:p w14:paraId="31170AA1" w14:textId="487A93F4" w:rsidR="000C7A5E" w:rsidRPr="007D1918" w:rsidRDefault="000C7A5E" w:rsidP="009C2C7B">
            <w:pPr>
              <w:pStyle w:val="TableText0"/>
              <w:rPr>
                <w:snapToGrid w:val="0"/>
                <w:szCs w:val="20"/>
              </w:rPr>
            </w:pPr>
            <w:r w:rsidRPr="007D1918">
              <w:rPr>
                <w:snapToGrid w:val="0"/>
                <w:szCs w:val="20"/>
              </w:rPr>
              <w:t>1/32 (3.13%)</w:t>
            </w:r>
          </w:p>
        </w:tc>
        <w:tc>
          <w:tcPr>
            <w:tcW w:w="1311" w:type="pct"/>
          </w:tcPr>
          <w:p w14:paraId="2AF73948" w14:textId="77777777" w:rsidR="000C7A5E" w:rsidRPr="007D1918" w:rsidRDefault="000C7A5E" w:rsidP="009C2C7B">
            <w:pPr>
              <w:pStyle w:val="TableText0"/>
              <w:rPr>
                <w:snapToGrid w:val="0"/>
                <w:szCs w:val="20"/>
              </w:rPr>
            </w:pPr>
          </w:p>
          <w:p w14:paraId="5478BFC0" w14:textId="77777777" w:rsidR="000C7A5E" w:rsidRPr="007D1918" w:rsidRDefault="000C7A5E" w:rsidP="009C2C7B">
            <w:pPr>
              <w:pStyle w:val="TableText0"/>
              <w:rPr>
                <w:snapToGrid w:val="0"/>
                <w:szCs w:val="20"/>
              </w:rPr>
            </w:pPr>
            <w:r w:rsidRPr="007D1918">
              <w:rPr>
                <w:snapToGrid w:val="0"/>
                <w:szCs w:val="20"/>
              </w:rPr>
              <w:br/>
              <w:t>p = 0.33 (-8.51%, 15.75%)</w:t>
            </w:r>
          </w:p>
          <w:p w14:paraId="5BFF8087" w14:textId="37610669" w:rsidR="000C7A5E" w:rsidRPr="007D1918" w:rsidRDefault="000C7A5E" w:rsidP="009C2C7B">
            <w:pPr>
              <w:pStyle w:val="TableText0"/>
              <w:rPr>
                <w:snapToGrid w:val="0"/>
                <w:szCs w:val="20"/>
              </w:rPr>
            </w:pPr>
            <w:r w:rsidRPr="007D1918">
              <w:rPr>
                <w:snapToGrid w:val="0"/>
                <w:szCs w:val="20"/>
              </w:rPr>
              <w:t>p = 0.33 (-8.51%, 15.75%)</w:t>
            </w:r>
          </w:p>
        </w:tc>
      </w:tr>
      <w:tr w:rsidR="004C2293" w:rsidRPr="007D1918" w14:paraId="3E09A941" w14:textId="77777777" w:rsidTr="005429E1">
        <w:tc>
          <w:tcPr>
            <w:tcW w:w="1322" w:type="pct"/>
          </w:tcPr>
          <w:p w14:paraId="21A1C105" w14:textId="57E96005" w:rsidR="004C2293" w:rsidRPr="007D1918" w:rsidRDefault="004C2293" w:rsidP="009C2C7B">
            <w:pPr>
              <w:pStyle w:val="Tabletext1"/>
              <w:rPr>
                <w:snapToGrid w:val="0"/>
                <w:lang w:eastAsia="en-US"/>
              </w:rPr>
            </w:pPr>
            <w:r w:rsidRPr="007D1918">
              <w:rPr>
                <w:snapToGrid w:val="0"/>
                <w:lang w:eastAsia="en-US"/>
              </w:rPr>
              <w:t>Nervous system disorders</w:t>
            </w:r>
          </w:p>
          <w:p w14:paraId="1A685564" w14:textId="77777777" w:rsidR="004C2293" w:rsidRPr="007D1918" w:rsidRDefault="004C2293" w:rsidP="004C2293">
            <w:pPr>
              <w:pStyle w:val="Tabletext1"/>
              <w:ind w:left="113"/>
              <w:rPr>
                <w:snapToGrid w:val="0"/>
                <w:lang w:eastAsia="en-US"/>
              </w:rPr>
            </w:pPr>
            <w:r w:rsidRPr="007D1918">
              <w:rPr>
                <w:snapToGrid w:val="0"/>
                <w:lang w:eastAsia="en-US"/>
              </w:rPr>
              <w:t>Myasthenia gravis</w:t>
            </w:r>
          </w:p>
          <w:p w14:paraId="17666E1A" w14:textId="77777777" w:rsidR="004C2293" w:rsidRPr="007D1918" w:rsidRDefault="004C2293" w:rsidP="004C2293">
            <w:pPr>
              <w:pStyle w:val="Tabletext1"/>
              <w:ind w:left="113"/>
              <w:rPr>
                <w:snapToGrid w:val="0"/>
                <w:lang w:eastAsia="en-US"/>
              </w:rPr>
            </w:pPr>
            <w:r w:rsidRPr="007D1918">
              <w:rPr>
                <w:snapToGrid w:val="0"/>
                <w:lang w:eastAsia="en-US"/>
              </w:rPr>
              <w:t>Ischaemic stroke</w:t>
            </w:r>
          </w:p>
          <w:p w14:paraId="6C0C53C3" w14:textId="2411DCE7" w:rsidR="004C2293" w:rsidRPr="007D1918" w:rsidRDefault="004C2293" w:rsidP="004C2293">
            <w:pPr>
              <w:pStyle w:val="Tabletext1"/>
              <w:ind w:left="113"/>
              <w:rPr>
                <w:snapToGrid w:val="0"/>
                <w:lang w:eastAsia="en-US"/>
              </w:rPr>
            </w:pPr>
            <w:r w:rsidRPr="007D1918">
              <w:rPr>
                <w:snapToGrid w:val="0"/>
                <w:lang w:eastAsia="en-US"/>
              </w:rPr>
              <w:t>Cerebral haemorrhage</w:t>
            </w:r>
          </w:p>
        </w:tc>
        <w:tc>
          <w:tcPr>
            <w:tcW w:w="1183" w:type="pct"/>
          </w:tcPr>
          <w:p w14:paraId="6FA7C5EC" w14:textId="77777777" w:rsidR="004C2293" w:rsidRPr="007D1918" w:rsidRDefault="004C2293" w:rsidP="009C2C7B">
            <w:pPr>
              <w:pStyle w:val="TableText0"/>
              <w:rPr>
                <w:snapToGrid w:val="0"/>
              </w:rPr>
            </w:pPr>
          </w:p>
          <w:p w14:paraId="1260DEAF" w14:textId="77777777" w:rsidR="004C2293" w:rsidRPr="007D1918" w:rsidRDefault="004C2293" w:rsidP="009C2C7B">
            <w:pPr>
              <w:pStyle w:val="TableText0"/>
              <w:rPr>
                <w:snapToGrid w:val="0"/>
              </w:rPr>
            </w:pPr>
            <w:r w:rsidRPr="007D1918">
              <w:rPr>
                <w:snapToGrid w:val="0"/>
              </w:rPr>
              <w:t>3/30 (10%)</w:t>
            </w:r>
          </w:p>
          <w:p w14:paraId="6294BB17" w14:textId="77777777" w:rsidR="004C2293" w:rsidRPr="007D1918" w:rsidRDefault="004C2293" w:rsidP="009C2C7B">
            <w:pPr>
              <w:pStyle w:val="TableText0"/>
              <w:rPr>
                <w:snapToGrid w:val="0"/>
              </w:rPr>
            </w:pPr>
            <w:r w:rsidRPr="007D1918">
              <w:rPr>
                <w:snapToGrid w:val="0"/>
              </w:rPr>
              <w:t>0/30</w:t>
            </w:r>
          </w:p>
          <w:p w14:paraId="2FF6563A" w14:textId="16C182F6" w:rsidR="004C2293" w:rsidRPr="007D1918" w:rsidRDefault="004C2293" w:rsidP="009C2C7B">
            <w:pPr>
              <w:pStyle w:val="TableText0"/>
              <w:rPr>
                <w:snapToGrid w:val="0"/>
              </w:rPr>
            </w:pPr>
            <w:r w:rsidRPr="007D1918">
              <w:rPr>
                <w:snapToGrid w:val="0"/>
              </w:rPr>
              <w:t>0/30</w:t>
            </w:r>
          </w:p>
        </w:tc>
        <w:tc>
          <w:tcPr>
            <w:tcW w:w="1184" w:type="pct"/>
            <w:shd w:val="clear" w:color="auto" w:fill="auto"/>
          </w:tcPr>
          <w:p w14:paraId="76771D2B" w14:textId="77777777" w:rsidR="004C2293" w:rsidRPr="007D1918" w:rsidRDefault="004C2293" w:rsidP="009C2C7B">
            <w:pPr>
              <w:pStyle w:val="TableText0"/>
              <w:rPr>
                <w:snapToGrid w:val="0"/>
                <w:szCs w:val="20"/>
              </w:rPr>
            </w:pPr>
          </w:p>
          <w:p w14:paraId="1FE2AF0F" w14:textId="77777777" w:rsidR="000C7A5E" w:rsidRPr="007D1918" w:rsidRDefault="000C7A5E" w:rsidP="009C2C7B">
            <w:pPr>
              <w:pStyle w:val="TableText0"/>
              <w:rPr>
                <w:snapToGrid w:val="0"/>
                <w:szCs w:val="20"/>
              </w:rPr>
            </w:pPr>
            <w:r w:rsidRPr="007D1918">
              <w:rPr>
                <w:snapToGrid w:val="0"/>
                <w:szCs w:val="20"/>
              </w:rPr>
              <w:t>1/32 (3.13%)</w:t>
            </w:r>
          </w:p>
          <w:p w14:paraId="214D7202" w14:textId="77777777" w:rsidR="000C7A5E" w:rsidRPr="007D1918" w:rsidRDefault="000C7A5E" w:rsidP="009C2C7B">
            <w:pPr>
              <w:pStyle w:val="TableText0"/>
              <w:rPr>
                <w:snapToGrid w:val="0"/>
                <w:szCs w:val="20"/>
              </w:rPr>
            </w:pPr>
            <w:r w:rsidRPr="007D1918">
              <w:rPr>
                <w:snapToGrid w:val="0"/>
                <w:szCs w:val="20"/>
              </w:rPr>
              <w:t>1/32 (3.13%)</w:t>
            </w:r>
          </w:p>
          <w:p w14:paraId="1856C89D" w14:textId="471D3EBC" w:rsidR="000C7A5E" w:rsidRPr="007D1918" w:rsidRDefault="000C7A5E" w:rsidP="009C2C7B">
            <w:pPr>
              <w:pStyle w:val="TableText0"/>
              <w:rPr>
                <w:snapToGrid w:val="0"/>
                <w:szCs w:val="20"/>
              </w:rPr>
            </w:pPr>
            <w:r w:rsidRPr="007D1918">
              <w:rPr>
                <w:snapToGrid w:val="0"/>
                <w:szCs w:val="20"/>
              </w:rPr>
              <w:t>1/32 (3.13%)</w:t>
            </w:r>
          </w:p>
        </w:tc>
        <w:tc>
          <w:tcPr>
            <w:tcW w:w="1311" w:type="pct"/>
          </w:tcPr>
          <w:p w14:paraId="203FC5EF" w14:textId="77777777" w:rsidR="004C2293" w:rsidRPr="007D1918" w:rsidRDefault="004C2293" w:rsidP="009C2C7B">
            <w:pPr>
              <w:pStyle w:val="TableText0"/>
              <w:rPr>
                <w:snapToGrid w:val="0"/>
                <w:szCs w:val="20"/>
              </w:rPr>
            </w:pPr>
          </w:p>
          <w:p w14:paraId="499928DB" w14:textId="067FAF3C" w:rsidR="000C7A5E" w:rsidRPr="007D1918" w:rsidRDefault="00045F8E" w:rsidP="009C2C7B">
            <w:pPr>
              <w:pStyle w:val="TableText0"/>
              <w:rPr>
                <w:snapToGrid w:val="0"/>
                <w:szCs w:val="20"/>
              </w:rPr>
            </w:pPr>
            <w:r w:rsidRPr="007D1918">
              <w:rPr>
                <w:snapToGrid w:val="0"/>
                <w:szCs w:val="20"/>
              </w:rPr>
              <w:t>P = 0.28 (-7.35%, 22.7%)</w:t>
            </w:r>
          </w:p>
          <w:p w14:paraId="76FD14CA" w14:textId="77777777" w:rsidR="000C7A5E" w:rsidRPr="007D1918" w:rsidRDefault="000C7A5E" w:rsidP="009C2C7B">
            <w:pPr>
              <w:pStyle w:val="TableText0"/>
              <w:rPr>
                <w:snapToGrid w:val="0"/>
                <w:szCs w:val="20"/>
              </w:rPr>
            </w:pPr>
            <w:r w:rsidRPr="007D1918">
              <w:rPr>
                <w:snapToGrid w:val="0"/>
                <w:szCs w:val="20"/>
              </w:rPr>
              <w:t>p = 0.33 (-8.51%, 15.75%)</w:t>
            </w:r>
          </w:p>
          <w:p w14:paraId="545AE4D5" w14:textId="66139306" w:rsidR="000C7A5E" w:rsidRPr="007D1918" w:rsidRDefault="000C7A5E" w:rsidP="009C2C7B">
            <w:pPr>
              <w:pStyle w:val="TableText0"/>
              <w:rPr>
                <w:snapToGrid w:val="0"/>
                <w:szCs w:val="20"/>
              </w:rPr>
            </w:pPr>
            <w:r w:rsidRPr="007D1918">
              <w:rPr>
                <w:snapToGrid w:val="0"/>
                <w:szCs w:val="20"/>
              </w:rPr>
              <w:t>p = 0.33 (-8.51%, 15.75%)</w:t>
            </w:r>
          </w:p>
        </w:tc>
      </w:tr>
      <w:tr w:rsidR="004C2293" w:rsidRPr="007D1918" w14:paraId="1CEC52C3" w14:textId="77777777" w:rsidTr="005429E1">
        <w:tc>
          <w:tcPr>
            <w:tcW w:w="1322" w:type="pct"/>
          </w:tcPr>
          <w:p w14:paraId="6FA02844" w14:textId="7EDA4622" w:rsidR="004C2293" w:rsidRPr="007D1918" w:rsidRDefault="004C2293" w:rsidP="009C2C7B">
            <w:pPr>
              <w:pStyle w:val="Tabletext1"/>
              <w:rPr>
                <w:snapToGrid w:val="0"/>
                <w:lang w:eastAsia="en-US"/>
              </w:rPr>
            </w:pPr>
            <w:r w:rsidRPr="007D1918">
              <w:rPr>
                <w:snapToGrid w:val="0"/>
                <w:lang w:eastAsia="en-US"/>
              </w:rPr>
              <w:t>Psychiatric disorders</w:t>
            </w:r>
          </w:p>
          <w:p w14:paraId="3A4FDBD4" w14:textId="6FCA6339" w:rsidR="004C2293" w:rsidRPr="007D1918" w:rsidRDefault="004C2293" w:rsidP="004C2293">
            <w:pPr>
              <w:pStyle w:val="Tabletext1"/>
              <w:ind w:left="113"/>
              <w:rPr>
                <w:snapToGrid w:val="0"/>
                <w:lang w:eastAsia="en-US"/>
              </w:rPr>
            </w:pPr>
            <w:r w:rsidRPr="007D1918">
              <w:rPr>
                <w:snapToGrid w:val="0"/>
                <w:lang w:eastAsia="en-US"/>
              </w:rPr>
              <w:t>Panic attack</w:t>
            </w:r>
          </w:p>
        </w:tc>
        <w:tc>
          <w:tcPr>
            <w:tcW w:w="1183" w:type="pct"/>
          </w:tcPr>
          <w:p w14:paraId="5D6BB5F6" w14:textId="77777777" w:rsidR="000C7A5E" w:rsidRPr="007D1918" w:rsidRDefault="000C7A5E" w:rsidP="000C7A5E">
            <w:pPr>
              <w:pStyle w:val="TableText0"/>
              <w:rPr>
                <w:snapToGrid w:val="0"/>
              </w:rPr>
            </w:pPr>
          </w:p>
          <w:p w14:paraId="24B11FC5" w14:textId="799BE3E2" w:rsidR="004C2293" w:rsidRPr="007D1918" w:rsidRDefault="004C2293" w:rsidP="000C7A5E">
            <w:pPr>
              <w:pStyle w:val="TableText0"/>
              <w:rPr>
                <w:snapToGrid w:val="0"/>
              </w:rPr>
            </w:pPr>
            <w:r w:rsidRPr="007D1918">
              <w:rPr>
                <w:snapToGrid w:val="0"/>
              </w:rPr>
              <w:t>1/30</w:t>
            </w:r>
            <w:r w:rsidR="000C7A5E" w:rsidRPr="007D1918">
              <w:rPr>
                <w:snapToGrid w:val="0"/>
              </w:rPr>
              <w:t xml:space="preserve"> (3.33%)</w:t>
            </w:r>
          </w:p>
        </w:tc>
        <w:tc>
          <w:tcPr>
            <w:tcW w:w="1184" w:type="pct"/>
            <w:shd w:val="clear" w:color="auto" w:fill="auto"/>
          </w:tcPr>
          <w:p w14:paraId="08309907" w14:textId="77777777" w:rsidR="000C7A5E" w:rsidRPr="007D1918" w:rsidRDefault="000C7A5E" w:rsidP="009C2C7B">
            <w:pPr>
              <w:pStyle w:val="TableText0"/>
              <w:rPr>
                <w:snapToGrid w:val="0"/>
                <w:szCs w:val="20"/>
              </w:rPr>
            </w:pPr>
          </w:p>
          <w:p w14:paraId="3A1C948B" w14:textId="6C824A5D" w:rsidR="004C2293" w:rsidRPr="007D1918" w:rsidRDefault="000C7A5E" w:rsidP="009C2C7B">
            <w:pPr>
              <w:pStyle w:val="TableText0"/>
              <w:rPr>
                <w:snapToGrid w:val="0"/>
                <w:szCs w:val="20"/>
              </w:rPr>
            </w:pPr>
            <w:r w:rsidRPr="007D1918">
              <w:rPr>
                <w:snapToGrid w:val="0"/>
                <w:szCs w:val="20"/>
              </w:rPr>
              <w:t xml:space="preserve">0/32 </w:t>
            </w:r>
          </w:p>
        </w:tc>
        <w:tc>
          <w:tcPr>
            <w:tcW w:w="1311" w:type="pct"/>
          </w:tcPr>
          <w:p w14:paraId="69B8EB83" w14:textId="77777777" w:rsidR="004C2293" w:rsidRPr="007D1918" w:rsidRDefault="004C2293" w:rsidP="009C2C7B">
            <w:pPr>
              <w:pStyle w:val="TableText0"/>
              <w:rPr>
                <w:snapToGrid w:val="0"/>
                <w:szCs w:val="20"/>
              </w:rPr>
            </w:pPr>
          </w:p>
          <w:p w14:paraId="757B7960" w14:textId="76300330" w:rsidR="000C7A5E" w:rsidRPr="007D1918" w:rsidRDefault="000C7A5E" w:rsidP="009C2C7B">
            <w:pPr>
              <w:pStyle w:val="TableText0"/>
              <w:rPr>
                <w:snapToGrid w:val="0"/>
                <w:szCs w:val="20"/>
              </w:rPr>
            </w:pPr>
            <w:r w:rsidRPr="007D1918">
              <w:rPr>
                <w:snapToGrid w:val="0"/>
                <w:szCs w:val="20"/>
              </w:rPr>
              <w:t>P = 0.30 (-7.73%, 16.67%)</w:t>
            </w:r>
          </w:p>
        </w:tc>
      </w:tr>
    </w:tbl>
    <w:p w14:paraId="1840D00A" w14:textId="24081AD9" w:rsidR="0053456F" w:rsidRPr="007D1918" w:rsidRDefault="004C2293" w:rsidP="008D7BA8">
      <w:pPr>
        <w:pStyle w:val="Tablenotes0"/>
        <w:spacing w:after="80"/>
        <w:contextualSpacing w:val="0"/>
      </w:pPr>
      <w:r w:rsidRPr="007D1918">
        <w:t>IVIg-C = IVIg</w:t>
      </w:r>
      <w:r w:rsidR="000C7A5E" w:rsidRPr="007D1918">
        <w:t xml:space="preserve"> (human)</w:t>
      </w:r>
      <w:r w:rsidRPr="007D1918">
        <w:t xml:space="preserve"> 10% caprylate/chromatography purified</w:t>
      </w:r>
      <w:r w:rsidR="008D7BA8" w:rsidRPr="007D1918">
        <w:t>; MG = myasthenia gravis</w:t>
      </w:r>
    </w:p>
    <w:p w14:paraId="356E3F74" w14:textId="470BA282" w:rsidR="000C7A5E" w:rsidRPr="007D1918" w:rsidRDefault="000C7A5E" w:rsidP="00B44991">
      <w:pPr>
        <w:pStyle w:val="Tablenotes0"/>
        <w:spacing w:after="0"/>
      </w:pPr>
      <w:r w:rsidRPr="007D1918">
        <w:rPr>
          <w:vertAlign w:val="superscript"/>
        </w:rPr>
        <w:t>a</w:t>
      </w:r>
      <w:r w:rsidRPr="007D1918">
        <w:t xml:space="preserve"> Chi-squared test, MedCalc online calculator</w:t>
      </w:r>
    </w:p>
    <w:p w14:paraId="13D2F327" w14:textId="77777777" w:rsidR="00885DD1" w:rsidRPr="007D1918" w:rsidRDefault="00885DD1" w:rsidP="00B44991">
      <w:pPr>
        <w:pStyle w:val="Tabletext1"/>
      </w:pPr>
    </w:p>
    <w:p w14:paraId="1EC6D09F" w14:textId="0A219661" w:rsidR="00885DD1" w:rsidRPr="007D1918" w:rsidRDefault="00885DD1" w:rsidP="005429E1">
      <w:pPr>
        <w:pStyle w:val="Heading4"/>
      </w:pPr>
      <w:r w:rsidRPr="007D1918">
        <w:t>Adverse events in adults receiving IVIg maintenance</w:t>
      </w:r>
    </w:p>
    <w:p w14:paraId="4D979A4E" w14:textId="324CB704" w:rsidR="0098482A" w:rsidRPr="007D1918" w:rsidRDefault="0098482A" w:rsidP="0098482A">
      <w:pPr>
        <w:jc w:val="both"/>
      </w:pPr>
      <w:r w:rsidRPr="007D1918">
        <w:t>One study reported the number of AEs in a case series</w:t>
      </w:r>
      <w:r w:rsidR="005429E1" w:rsidRPr="007D1918">
        <w:t xml:space="preserve"> of patients</w:t>
      </w:r>
      <w:r w:rsidRPr="007D1918">
        <w:t xml:space="preserve"> receiving IVIg for maintenance therapy </w:t>
      </w:r>
      <w:r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instrText xml:space="preserve"> ADDIN EN.CITE </w:instrText>
      </w:r>
      <w:r w:rsidR="007F4CDE"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instrText xml:space="preserve"> ADDIN EN.CITE.DATA </w:instrText>
      </w:r>
      <w:r w:rsidR="007F4CDE" w:rsidRPr="007D1918">
        <w:fldChar w:fldCharType="end"/>
      </w:r>
      <w:r w:rsidRPr="007D1918">
        <w:fldChar w:fldCharType="separate"/>
      </w:r>
      <w:r w:rsidRPr="007D1918">
        <w:rPr>
          <w:noProof/>
        </w:rPr>
        <w:t>(</w:t>
      </w:r>
      <w:hyperlink w:anchor="_ENREF_49" w:tooltip="Hellmann, 2014 #53" w:history="1">
        <w:r w:rsidR="007D4948" w:rsidRPr="007D1918">
          <w:rPr>
            <w:noProof/>
          </w:rPr>
          <w:t>Hellmann et al. 2014</w:t>
        </w:r>
      </w:hyperlink>
      <w:r w:rsidRPr="007D1918">
        <w:rPr>
          <w:noProof/>
        </w:rPr>
        <w:t>)</w:t>
      </w:r>
      <w:r w:rsidRPr="007D1918">
        <w:fldChar w:fldCharType="end"/>
      </w:r>
      <w:r w:rsidRPr="007D1918">
        <w:t xml:space="preserve">. Fifty-two adults of all MG classes were identified in a retrospective analysis. They had failed or were contraindicated to other therapies. The authors’ opinion was that IVIg was associated with three major disadvantages: i) it is associated with AEs as serious as myocardial infarction and stroke; ii) it is expensive; iii) it is cumbersome, requiring hospitalisation or several hours at a day clinic. However, as there was no comparison with PE or other treatments, this </w:t>
      </w:r>
      <w:r w:rsidR="005429E1" w:rsidRPr="007D1918">
        <w:t xml:space="preserve">is </w:t>
      </w:r>
      <w:r w:rsidRPr="007D1918">
        <w:t xml:space="preserve">opinion </w:t>
      </w:r>
      <w:r w:rsidR="005429E1" w:rsidRPr="007D1918">
        <w:t>rather than evidence</w:t>
      </w:r>
      <w:r w:rsidRPr="007D1918">
        <w:t xml:space="preserve">, and benefits of IVIg may </w:t>
      </w:r>
      <w:r w:rsidR="005429E1" w:rsidRPr="007D1918">
        <w:t>outweigh</w:t>
      </w:r>
      <w:r w:rsidRPr="007D1918">
        <w:t xml:space="preserve"> the risks when standard therapies are no longer suitable. </w:t>
      </w:r>
      <w:r w:rsidR="005429E1" w:rsidRPr="007D1918">
        <w:t xml:space="preserve">By way of comparison, </w:t>
      </w:r>
      <w:r w:rsidRPr="007D1918">
        <w:t xml:space="preserve">Barth et al </w:t>
      </w:r>
      <w:r w:rsidR="00F26C8C" w:rsidRPr="007D1918">
        <w:t xml:space="preserve">(2011) </w:t>
      </w:r>
      <w:r w:rsidRPr="007D1918">
        <w:t>had noted two myocardial events in the group randomised to PE, although one event was not thought to be related to treatment (</w:t>
      </w:r>
      <w:r w:rsidR="005429E1" w:rsidRPr="007D1918">
        <w:fldChar w:fldCharType="begin"/>
      </w:r>
      <w:r w:rsidR="005429E1" w:rsidRPr="007D1918">
        <w:instrText xml:space="preserve"> REF _Ref12970914 \h </w:instrText>
      </w:r>
      <w:r w:rsidR="00E07567" w:rsidRPr="007D1918">
        <w:instrText xml:space="preserve"> \* MERGEFORMAT </w:instrText>
      </w:r>
      <w:r w:rsidR="005429E1" w:rsidRPr="007D1918">
        <w:fldChar w:fldCharType="separate"/>
      </w:r>
      <w:r w:rsidR="00153384" w:rsidRPr="007D1918">
        <w:t xml:space="preserve">Table </w:t>
      </w:r>
      <w:r w:rsidR="00153384" w:rsidRPr="007D1918">
        <w:rPr>
          <w:noProof/>
        </w:rPr>
        <w:t>23</w:t>
      </w:r>
      <w:r w:rsidR="005429E1" w:rsidRPr="007D1918">
        <w:fldChar w:fldCharType="end"/>
      </w:r>
      <w:r w:rsidRPr="007D1918">
        <w:t xml:space="preserve">). </w:t>
      </w:r>
    </w:p>
    <w:p w14:paraId="4C07780E" w14:textId="6812A290" w:rsidR="0098482A" w:rsidRPr="007D1918" w:rsidRDefault="0098482A" w:rsidP="005429E1">
      <w:pPr>
        <w:pStyle w:val="Caption"/>
        <w:keepNext/>
        <w:keepLines/>
      </w:pPr>
      <w:bookmarkStart w:id="237" w:name="_Ref12970914"/>
      <w:bookmarkStart w:id="238" w:name="_Toc23769510"/>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23</w:t>
      </w:r>
      <w:r w:rsidRPr="007D1918">
        <w:rPr>
          <w:noProof/>
        </w:rPr>
        <w:fldChar w:fldCharType="end"/>
      </w:r>
      <w:bookmarkEnd w:id="237"/>
      <w:r w:rsidRPr="007D1918">
        <w:tab/>
        <w:t xml:space="preserve">Adverse events in a case series receiving IVIg MG maintenance </w:t>
      </w:r>
      <w:r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instrText xml:space="preserve"> ADDIN EN.CITE </w:instrText>
      </w:r>
      <w:r w:rsidR="007F4CDE"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instrText xml:space="preserve"> ADDIN EN.CITE.DATA </w:instrText>
      </w:r>
      <w:r w:rsidR="007F4CDE" w:rsidRPr="007D1918">
        <w:fldChar w:fldCharType="end"/>
      </w:r>
      <w:r w:rsidRPr="007D1918">
        <w:fldChar w:fldCharType="separate"/>
      </w:r>
      <w:r w:rsidRPr="007D1918">
        <w:rPr>
          <w:noProof/>
        </w:rPr>
        <w:t>(</w:t>
      </w:r>
      <w:hyperlink w:anchor="_ENREF_49" w:tooltip="Hellmann, 2014 #53" w:history="1">
        <w:r w:rsidR="007D4948" w:rsidRPr="007D1918">
          <w:rPr>
            <w:noProof/>
          </w:rPr>
          <w:t>Hellmann et al. 2014</w:t>
        </w:r>
      </w:hyperlink>
      <w:r w:rsidRPr="007D1918">
        <w:rPr>
          <w:noProof/>
        </w:rPr>
        <w:t>)</w:t>
      </w:r>
      <w:bookmarkEnd w:id="238"/>
      <w:r w:rsidRPr="007D1918">
        <w:fldChar w:fldCharType="end"/>
      </w:r>
    </w:p>
    <w:tbl>
      <w:tblPr>
        <w:tblW w:w="438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1 Adverse events in a case series receiving IVIg MG maintenance (Hellmann et al. 2014)"/>
        <w:tblDescription w:val="Frequency of adverse events in  case serise of MG patients receiving IVIg maintenance therapy. The adverse events were headache  (15.4%), mild anaphylactic eaction (1.96%), myocardial infarction (1.96%), minor stroke (1.96%)."/>
      </w:tblPr>
      <w:tblGrid>
        <w:gridCol w:w="2235"/>
        <w:gridCol w:w="3119"/>
        <w:gridCol w:w="2555"/>
      </w:tblGrid>
      <w:tr w:rsidR="0098482A" w:rsidRPr="007D1918" w14:paraId="11011954" w14:textId="77777777" w:rsidTr="00E50E25">
        <w:tc>
          <w:tcPr>
            <w:tcW w:w="1412" w:type="pct"/>
          </w:tcPr>
          <w:p w14:paraId="55958322" w14:textId="77777777" w:rsidR="0098482A" w:rsidRPr="007D1918" w:rsidRDefault="0098482A" w:rsidP="005429E1">
            <w:pPr>
              <w:pStyle w:val="TableHeading"/>
              <w:keepLines/>
              <w:ind w:left="16" w:right="117"/>
              <w:rPr>
                <w:snapToGrid w:val="0"/>
                <w:lang w:eastAsia="en-US"/>
              </w:rPr>
            </w:pPr>
            <w:r w:rsidRPr="007D1918">
              <w:rPr>
                <w:snapToGrid w:val="0"/>
                <w:lang w:eastAsia="en-US"/>
              </w:rPr>
              <w:t>Country</w:t>
            </w:r>
          </w:p>
          <w:p w14:paraId="63D48538" w14:textId="77777777" w:rsidR="0098482A" w:rsidRPr="007D1918" w:rsidRDefault="0098482A" w:rsidP="005429E1">
            <w:pPr>
              <w:pStyle w:val="TableHeading"/>
              <w:keepLines/>
              <w:ind w:left="16" w:right="117"/>
              <w:rPr>
                <w:snapToGrid w:val="0"/>
                <w:lang w:eastAsia="en-US"/>
              </w:rPr>
            </w:pPr>
            <w:r w:rsidRPr="007D1918">
              <w:rPr>
                <w:snapToGrid w:val="0"/>
                <w:lang w:eastAsia="en-US"/>
              </w:rPr>
              <w:t>Level of evidence</w:t>
            </w:r>
          </w:p>
          <w:p w14:paraId="6B079553" w14:textId="77777777" w:rsidR="0098482A" w:rsidRPr="007D1918" w:rsidRDefault="0098482A" w:rsidP="005429E1">
            <w:pPr>
              <w:pStyle w:val="TableHeading"/>
              <w:keepLines/>
              <w:ind w:left="16" w:right="117"/>
              <w:rPr>
                <w:snapToGrid w:val="0"/>
                <w:lang w:eastAsia="en-US"/>
              </w:rPr>
            </w:pPr>
            <w:r w:rsidRPr="007D1918">
              <w:rPr>
                <w:snapToGrid w:val="0"/>
                <w:lang w:eastAsia="en-US"/>
              </w:rPr>
              <w:t>Risk of bias</w:t>
            </w:r>
          </w:p>
        </w:tc>
        <w:tc>
          <w:tcPr>
            <w:tcW w:w="1972" w:type="pct"/>
          </w:tcPr>
          <w:p w14:paraId="1CF88525" w14:textId="77777777" w:rsidR="0098482A" w:rsidRPr="007D1918" w:rsidRDefault="0098482A" w:rsidP="005429E1">
            <w:pPr>
              <w:pStyle w:val="TableHeading"/>
              <w:keepLines/>
              <w:ind w:left="111" w:right="117"/>
              <w:rPr>
                <w:snapToGrid w:val="0"/>
                <w:lang w:eastAsia="en-US"/>
              </w:rPr>
            </w:pPr>
            <w:r w:rsidRPr="007D1918">
              <w:rPr>
                <w:snapToGrid w:val="0"/>
                <w:lang w:eastAsia="en-US"/>
              </w:rPr>
              <w:t>Event</w:t>
            </w:r>
          </w:p>
        </w:tc>
        <w:tc>
          <w:tcPr>
            <w:tcW w:w="1615" w:type="pct"/>
            <w:shd w:val="clear" w:color="auto" w:fill="auto"/>
          </w:tcPr>
          <w:p w14:paraId="051896D1" w14:textId="77777777" w:rsidR="0098482A" w:rsidRPr="007D1918" w:rsidRDefault="0098482A" w:rsidP="005429E1">
            <w:pPr>
              <w:pStyle w:val="TableHeading"/>
              <w:keepLines/>
              <w:ind w:left="111" w:right="117"/>
              <w:rPr>
                <w:snapToGrid w:val="0"/>
                <w:lang w:eastAsia="en-US"/>
              </w:rPr>
            </w:pPr>
            <w:r w:rsidRPr="007D1918">
              <w:rPr>
                <w:snapToGrid w:val="0"/>
                <w:lang w:eastAsia="en-US"/>
              </w:rPr>
              <w:t>Frequency</w:t>
            </w:r>
          </w:p>
          <w:p w14:paraId="1B5E7026" w14:textId="77777777" w:rsidR="0098482A" w:rsidRPr="007D1918" w:rsidRDefault="0098482A" w:rsidP="005429E1">
            <w:pPr>
              <w:pStyle w:val="TableHeading"/>
              <w:keepLines/>
              <w:ind w:left="111" w:right="117"/>
              <w:rPr>
                <w:snapToGrid w:val="0"/>
                <w:lang w:eastAsia="en-US"/>
              </w:rPr>
            </w:pPr>
            <w:r w:rsidRPr="007D1918">
              <w:rPr>
                <w:snapToGrid w:val="0"/>
                <w:lang w:eastAsia="en-US"/>
              </w:rPr>
              <w:t>n with event (%)</w:t>
            </w:r>
          </w:p>
        </w:tc>
      </w:tr>
      <w:tr w:rsidR="0098482A" w:rsidRPr="007D1918" w14:paraId="29C0764E" w14:textId="77777777" w:rsidTr="00E50E25">
        <w:tc>
          <w:tcPr>
            <w:tcW w:w="1412" w:type="pct"/>
          </w:tcPr>
          <w:p w14:paraId="723575D7" w14:textId="77777777" w:rsidR="0098482A" w:rsidRPr="007D1918" w:rsidRDefault="0098482A" w:rsidP="005429E1">
            <w:pPr>
              <w:pStyle w:val="Tabletext1"/>
              <w:keepNext/>
              <w:keepLines/>
              <w:rPr>
                <w:snapToGrid w:val="0"/>
                <w:lang w:eastAsia="en-US"/>
              </w:rPr>
            </w:pPr>
            <w:r w:rsidRPr="007D1918">
              <w:rPr>
                <w:snapToGrid w:val="0"/>
                <w:lang w:eastAsia="en-US"/>
              </w:rPr>
              <w:t>Israel</w:t>
            </w:r>
          </w:p>
          <w:p w14:paraId="07F6C081" w14:textId="77777777" w:rsidR="0098482A" w:rsidRPr="007D1918" w:rsidRDefault="0098482A" w:rsidP="005429E1">
            <w:pPr>
              <w:pStyle w:val="Tabletext1"/>
              <w:keepNext/>
              <w:keepLines/>
              <w:rPr>
                <w:snapToGrid w:val="0"/>
                <w:lang w:eastAsia="en-US"/>
              </w:rPr>
            </w:pPr>
            <w:r w:rsidRPr="007D1918">
              <w:rPr>
                <w:snapToGrid w:val="0"/>
                <w:lang w:eastAsia="en-US"/>
              </w:rPr>
              <w:t>Level IV</w:t>
            </w:r>
          </w:p>
          <w:p w14:paraId="2043D108" w14:textId="77777777" w:rsidR="0098482A" w:rsidRPr="007D1918" w:rsidRDefault="0098482A" w:rsidP="005429E1">
            <w:pPr>
              <w:pStyle w:val="Tabletext1"/>
              <w:keepNext/>
              <w:keepLines/>
              <w:rPr>
                <w:snapToGrid w:val="0"/>
                <w:lang w:eastAsia="en-US"/>
              </w:rPr>
            </w:pPr>
            <w:r w:rsidRPr="007D1918">
              <w:rPr>
                <w:snapToGrid w:val="0"/>
                <w:lang w:eastAsia="en-US"/>
              </w:rPr>
              <w:t>Low</w:t>
            </w:r>
          </w:p>
        </w:tc>
        <w:tc>
          <w:tcPr>
            <w:tcW w:w="1972" w:type="pct"/>
          </w:tcPr>
          <w:p w14:paraId="64B6F446" w14:textId="77777777" w:rsidR="0098482A" w:rsidRPr="007D1918" w:rsidRDefault="0098482A" w:rsidP="005429E1">
            <w:pPr>
              <w:pStyle w:val="TableText0"/>
              <w:keepLines/>
              <w:rPr>
                <w:snapToGrid w:val="0"/>
              </w:rPr>
            </w:pPr>
            <w:r w:rsidRPr="007D1918">
              <w:rPr>
                <w:snapToGrid w:val="0"/>
              </w:rPr>
              <w:t>Headache</w:t>
            </w:r>
          </w:p>
          <w:p w14:paraId="59C60F80" w14:textId="77777777" w:rsidR="0098482A" w:rsidRPr="007D1918" w:rsidRDefault="0098482A" w:rsidP="005429E1">
            <w:pPr>
              <w:pStyle w:val="TableText0"/>
              <w:keepLines/>
              <w:rPr>
                <w:snapToGrid w:val="0"/>
              </w:rPr>
            </w:pPr>
            <w:r w:rsidRPr="007D1918">
              <w:rPr>
                <w:snapToGrid w:val="0"/>
              </w:rPr>
              <w:t>Mild anaphylactic reaction</w:t>
            </w:r>
          </w:p>
          <w:p w14:paraId="1E4D74D3" w14:textId="77777777" w:rsidR="0098482A" w:rsidRPr="007D1918" w:rsidRDefault="0098482A" w:rsidP="005429E1">
            <w:pPr>
              <w:pStyle w:val="TableText0"/>
              <w:keepLines/>
              <w:rPr>
                <w:snapToGrid w:val="0"/>
              </w:rPr>
            </w:pPr>
            <w:r w:rsidRPr="007D1918">
              <w:rPr>
                <w:snapToGrid w:val="0"/>
              </w:rPr>
              <w:t>Myocardial infarction</w:t>
            </w:r>
          </w:p>
          <w:p w14:paraId="1C877588" w14:textId="77777777" w:rsidR="0098482A" w:rsidRPr="007D1918" w:rsidRDefault="0098482A" w:rsidP="005429E1">
            <w:pPr>
              <w:pStyle w:val="TableText0"/>
              <w:keepLines/>
              <w:rPr>
                <w:snapToGrid w:val="0"/>
              </w:rPr>
            </w:pPr>
            <w:r w:rsidRPr="007D1918">
              <w:rPr>
                <w:snapToGrid w:val="0"/>
              </w:rPr>
              <w:t>Minor stroke</w:t>
            </w:r>
          </w:p>
        </w:tc>
        <w:tc>
          <w:tcPr>
            <w:tcW w:w="1615" w:type="pct"/>
            <w:shd w:val="clear" w:color="auto" w:fill="auto"/>
          </w:tcPr>
          <w:p w14:paraId="13B4A2B3" w14:textId="77777777" w:rsidR="0098482A" w:rsidRPr="007D1918" w:rsidRDefault="0098482A" w:rsidP="005429E1">
            <w:pPr>
              <w:pStyle w:val="TableText0"/>
              <w:keepLines/>
              <w:rPr>
                <w:snapToGrid w:val="0"/>
              </w:rPr>
            </w:pPr>
            <w:r w:rsidRPr="007D1918">
              <w:rPr>
                <w:snapToGrid w:val="0"/>
              </w:rPr>
              <w:t>8/52 (15.4%)</w:t>
            </w:r>
          </w:p>
          <w:p w14:paraId="13D25AA9" w14:textId="77777777" w:rsidR="0098482A" w:rsidRPr="007D1918" w:rsidRDefault="0098482A" w:rsidP="005429E1">
            <w:pPr>
              <w:pStyle w:val="TableText0"/>
              <w:keepLines/>
              <w:rPr>
                <w:snapToGrid w:val="0"/>
              </w:rPr>
            </w:pPr>
            <w:r w:rsidRPr="007D1918">
              <w:rPr>
                <w:snapToGrid w:val="0"/>
              </w:rPr>
              <w:t>1/52 (1.96%)</w:t>
            </w:r>
          </w:p>
          <w:p w14:paraId="07ECD0A0" w14:textId="77777777" w:rsidR="0098482A" w:rsidRPr="007D1918" w:rsidRDefault="0098482A" w:rsidP="005429E1">
            <w:pPr>
              <w:pStyle w:val="TableText0"/>
              <w:keepLines/>
              <w:rPr>
                <w:snapToGrid w:val="0"/>
              </w:rPr>
            </w:pPr>
            <w:r w:rsidRPr="007D1918">
              <w:rPr>
                <w:snapToGrid w:val="0"/>
              </w:rPr>
              <w:t>1/52 (1.96%)</w:t>
            </w:r>
          </w:p>
          <w:p w14:paraId="230C4BB0" w14:textId="77777777" w:rsidR="0098482A" w:rsidRPr="007D1918" w:rsidRDefault="0098482A" w:rsidP="005429E1">
            <w:pPr>
              <w:pStyle w:val="TableText0"/>
              <w:keepLines/>
              <w:rPr>
                <w:sz w:val="18"/>
                <w:szCs w:val="18"/>
              </w:rPr>
            </w:pPr>
            <w:r w:rsidRPr="007D1918">
              <w:rPr>
                <w:snapToGrid w:val="0"/>
              </w:rPr>
              <w:t>1/52 (1.96%)</w:t>
            </w:r>
          </w:p>
        </w:tc>
      </w:tr>
    </w:tbl>
    <w:p w14:paraId="5787603B" w14:textId="2F6139A7" w:rsidR="0098482A" w:rsidRPr="007D1918" w:rsidRDefault="0098482A" w:rsidP="00B44991">
      <w:pPr>
        <w:pStyle w:val="Tablenotes0"/>
        <w:spacing w:after="0"/>
        <w:contextualSpacing w:val="0"/>
      </w:pPr>
      <w:r w:rsidRPr="007D1918">
        <w:t xml:space="preserve">IVIg = intravenous immunoglobulin therapy; </w:t>
      </w:r>
      <w:r w:rsidR="00885DD1" w:rsidRPr="007D1918">
        <w:t xml:space="preserve">MG = myasthenia gravis; </w:t>
      </w:r>
      <w:r w:rsidRPr="007D1918">
        <w:t>PE = plasma exchange therapy</w:t>
      </w:r>
    </w:p>
    <w:p w14:paraId="2ED600AD" w14:textId="77777777" w:rsidR="004C2293" w:rsidRPr="007D1918" w:rsidRDefault="004C2293" w:rsidP="00A436AC">
      <w:pPr>
        <w:spacing w:before="240"/>
      </w:pPr>
    </w:p>
    <w:p w14:paraId="0979DE63" w14:textId="6AF70202" w:rsidR="0053456F" w:rsidRPr="007D1918" w:rsidRDefault="00581A33" w:rsidP="00581A33">
      <w:pPr>
        <w:pStyle w:val="Heading3"/>
      </w:pPr>
      <w:bookmarkStart w:id="239" w:name="_Toc23766968"/>
      <w:r w:rsidRPr="007D1918">
        <w:t>Indication 3: Children undergoing IVIg maintenance therapy</w:t>
      </w:r>
      <w:bookmarkEnd w:id="239"/>
      <w:r w:rsidRPr="007D1918">
        <w:t xml:space="preserve"> </w:t>
      </w:r>
    </w:p>
    <w:p w14:paraId="46C8EB2A" w14:textId="5E1FB6A7" w:rsidR="00581A33" w:rsidRPr="007D1918" w:rsidRDefault="00581A33" w:rsidP="0045753E">
      <w:pPr>
        <w:pStyle w:val="Heading4"/>
      </w:pPr>
      <w:r w:rsidRPr="007D1918">
        <w:t xml:space="preserve">Adverse events for </w:t>
      </w:r>
      <w:r w:rsidR="00433FCC" w:rsidRPr="007D1918">
        <w:t xml:space="preserve">children treated with </w:t>
      </w:r>
      <w:r w:rsidRPr="007D1918">
        <w:t xml:space="preserve">IVIg </w:t>
      </w:r>
      <w:r w:rsidR="00433FCC" w:rsidRPr="007D1918">
        <w:t>or</w:t>
      </w:r>
      <w:r w:rsidRPr="007D1918">
        <w:t xml:space="preserve"> PE </w:t>
      </w:r>
      <w:r w:rsidR="00433FCC" w:rsidRPr="007D1918">
        <w:t>maintenance</w:t>
      </w:r>
    </w:p>
    <w:p w14:paraId="77BFAE35" w14:textId="013017F9" w:rsidR="0045753E" w:rsidRPr="007D1918" w:rsidRDefault="0045753E" w:rsidP="0045753E">
      <w:pPr>
        <w:jc w:val="both"/>
      </w:pPr>
      <w:bookmarkStart w:id="240" w:name="_Ref9344009"/>
      <w:r w:rsidRPr="007D1918">
        <w:t xml:space="preserve">One study compared IVIg </w:t>
      </w:r>
      <w:r w:rsidR="008D77A9" w:rsidRPr="007D1918">
        <w:t xml:space="preserve">and PE in children. Liew et al </w:t>
      </w:r>
      <w:r w:rsidR="003736AC"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7D4948" w:rsidRPr="007D1918">
        <w:instrText xml:space="preserve"> ADDIN EN.CITE </w:instrText>
      </w:r>
      <w:r w:rsidR="007D4948"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62" w:tooltip="Liew, 2014 #55" w:history="1">
        <w:r w:rsidR="007D4948" w:rsidRPr="007D1918">
          <w:rPr>
            <w:noProof/>
          </w:rPr>
          <w:t>Liew et al. 2014</w:t>
        </w:r>
      </w:hyperlink>
      <w:r w:rsidR="007D4948" w:rsidRPr="007D1918">
        <w:rPr>
          <w:noProof/>
        </w:rPr>
        <w:t>)</w:t>
      </w:r>
      <w:r w:rsidR="003736AC" w:rsidRPr="007D1918">
        <w:fldChar w:fldCharType="end"/>
      </w:r>
      <w:r w:rsidRPr="007D1918">
        <w:t xml:space="preserve"> included only patients with juvenile MG with mean age of onset of 8 years [Q1: 2, Q3: 13 years] (n = 33). Of the 33 patients, 10 received IVIg only and seven received PE only, allowing a comparison between the groups. Of those in the IVIg group, two experienced pyrexia and rigors (20%) severe enough to cease treatment, and one in the PE group developed central-line sepsis. The numbers were not statistically compared. Liew et al (2014) did not describe the MG class and treatment toler</w:t>
      </w:r>
      <w:r w:rsidR="00F26C8C" w:rsidRPr="007D1918">
        <w:t>ance in the patient groups well</w:t>
      </w:r>
      <w:r w:rsidR="00885DD1" w:rsidRPr="007D1918">
        <w:t>, h</w:t>
      </w:r>
      <w:r w:rsidRPr="007D1918">
        <w:t>owever the authors reported that both treatments were well tolerated (</w:t>
      </w:r>
      <w:r w:rsidRPr="007D1918">
        <w:fldChar w:fldCharType="begin"/>
      </w:r>
      <w:r w:rsidRPr="007D1918">
        <w:instrText xml:space="preserve"> REF _Ref10107702 \h </w:instrText>
      </w:r>
      <w:r w:rsidR="00E07567" w:rsidRPr="007D1918">
        <w:instrText xml:space="preserve"> \* MERGEFORMAT </w:instrText>
      </w:r>
      <w:r w:rsidRPr="007D1918">
        <w:fldChar w:fldCharType="separate"/>
      </w:r>
      <w:r w:rsidR="00153384" w:rsidRPr="007D1918">
        <w:t xml:space="preserve">Table </w:t>
      </w:r>
      <w:r w:rsidR="00153384" w:rsidRPr="007D1918">
        <w:rPr>
          <w:noProof/>
        </w:rPr>
        <w:t>24</w:t>
      </w:r>
      <w:r w:rsidRPr="007D1918">
        <w:fldChar w:fldCharType="end"/>
      </w:r>
      <w:r w:rsidRPr="007D1918">
        <w:t>).</w:t>
      </w:r>
    </w:p>
    <w:p w14:paraId="3E4AF984" w14:textId="40725E75" w:rsidR="00581A33" w:rsidRPr="007D1918" w:rsidRDefault="00581A33" w:rsidP="00045F8E">
      <w:pPr>
        <w:pStyle w:val="Caption"/>
        <w:keepNext/>
        <w:keepLines/>
      </w:pPr>
      <w:bookmarkStart w:id="241" w:name="_Ref10107702"/>
      <w:bookmarkStart w:id="242" w:name="_Toc23769511"/>
      <w:r w:rsidRPr="007D1918">
        <w:t xml:space="preserve">Table </w:t>
      </w:r>
      <w:r w:rsidR="0050102B" w:rsidRPr="007D1918">
        <w:rPr>
          <w:noProof/>
        </w:rPr>
        <w:fldChar w:fldCharType="begin"/>
      </w:r>
      <w:r w:rsidR="0050102B" w:rsidRPr="007D1918">
        <w:rPr>
          <w:noProof/>
        </w:rPr>
        <w:instrText xml:space="preserve"> SEQ Table \* ARABIC </w:instrText>
      </w:r>
      <w:r w:rsidR="0050102B" w:rsidRPr="007D1918">
        <w:rPr>
          <w:noProof/>
        </w:rPr>
        <w:fldChar w:fldCharType="separate"/>
      </w:r>
      <w:r w:rsidR="00942701" w:rsidRPr="007D1918">
        <w:rPr>
          <w:noProof/>
        </w:rPr>
        <w:t>24</w:t>
      </w:r>
      <w:r w:rsidR="0050102B" w:rsidRPr="007D1918">
        <w:rPr>
          <w:noProof/>
        </w:rPr>
        <w:fldChar w:fldCharType="end"/>
      </w:r>
      <w:bookmarkEnd w:id="240"/>
      <w:bookmarkEnd w:id="241"/>
      <w:r w:rsidRPr="007D1918">
        <w:tab/>
      </w:r>
      <w:r w:rsidR="00433FCC" w:rsidRPr="007D1918">
        <w:t>Ad</w:t>
      </w:r>
      <w:r w:rsidRPr="007D1918">
        <w:t>verse events for IVIg compared with PE in children</w:t>
      </w:r>
      <w:r w:rsidR="00EB4871" w:rsidRPr="007D1918">
        <w:t xml:space="preserve"> </w:t>
      </w:r>
      <w:r w:rsidR="0075212A"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instrText xml:space="preserve"> ADDIN EN.CITE </w:instrText>
      </w:r>
      <w:r w:rsidR="00C437BA"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2" w:tooltip="Liew, 2014 #55" w:history="1">
        <w:r w:rsidR="007D4948" w:rsidRPr="007D1918">
          <w:rPr>
            <w:noProof/>
          </w:rPr>
          <w:t>Liew et al. 2014</w:t>
        </w:r>
      </w:hyperlink>
      <w:r w:rsidR="0075212A" w:rsidRPr="007D1918">
        <w:rPr>
          <w:noProof/>
        </w:rPr>
        <w:t>)</w:t>
      </w:r>
      <w:bookmarkEnd w:id="242"/>
      <w:r w:rsidR="0075212A" w:rsidRPr="007D1918">
        <w:fldChar w:fldCharType="end"/>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2 Adverse events for IVIg compared with PE in children (Liew et al. 2014)"/>
        <w:tblDescription w:val="Comparison of adverse events between children with MG receiving either IVIg or PE (Indication 3)"/>
      </w:tblPr>
      <w:tblGrid>
        <w:gridCol w:w="1811"/>
        <w:gridCol w:w="1700"/>
        <w:gridCol w:w="1843"/>
        <w:gridCol w:w="1702"/>
        <w:gridCol w:w="1960"/>
      </w:tblGrid>
      <w:tr w:rsidR="00EB4871" w:rsidRPr="007D1918" w14:paraId="7962A5FB" w14:textId="77777777" w:rsidTr="00EB4871">
        <w:tc>
          <w:tcPr>
            <w:tcW w:w="1004" w:type="pct"/>
            <w:shd w:val="clear" w:color="auto" w:fill="auto"/>
          </w:tcPr>
          <w:p w14:paraId="5889F0D0" w14:textId="77777777" w:rsidR="00EB4871" w:rsidRPr="007D1918" w:rsidRDefault="00EB4871" w:rsidP="00045F8E">
            <w:pPr>
              <w:pStyle w:val="TableHeading"/>
              <w:keepLines/>
              <w:rPr>
                <w:snapToGrid w:val="0"/>
                <w:lang w:eastAsia="en-US"/>
              </w:rPr>
            </w:pPr>
            <w:r w:rsidRPr="007D1918">
              <w:rPr>
                <w:snapToGrid w:val="0"/>
                <w:lang w:eastAsia="en-US"/>
              </w:rPr>
              <w:t>Country</w:t>
            </w:r>
          </w:p>
          <w:p w14:paraId="3EE83C4C" w14:textId="77777777" w:rsidR="00EB4871" w:rsidRPr="007D1918" w:rsidRDefault="00EB4871" w:rsidP="00045F8E">
            <w:pPr>
              <w:pStyle w:val="TableHeading"/>
              <w:keepLines/>
              <w:rPr>
                <w:snapToGrid w:val="0"/>
                <w:lang w:eastAsia="en-US"/>
              </w:rPr>
            </w:pPr>
            <w:r w:rsidRPr="007D1918">
              <w:rPr>
                <w:snapToGrid w:val="0"/>
                <w:lang w:eastAsia="en-US"/>
              </w:rPr>
              <w:t>Level of evidence</w:t>
            </w:r>
          </w:p>
          <w:p w14:paraId="6E5DF630" w14:textId="596DE681" w:rsidR="00EB4871" w:rsidRPr="007D1918" w:rsidRDefault="00EB4871" w:rsidP="00045F8E">
            <w:pPr>
              <w:pStyle w:val="TableHeading"/>
              <w:keepLines/>
              <w:rPr>
                <w:snapToGrid w:val="0"/>
                <w:lang w:eastAsia="en-US"/>
              </w:rPr>
            </w:pPr>
            <w:r w:rsidRPr="007D1918">
              <w:rPr>
                <w:snapToGrid w:val="0"/>
                <w:lang w:eastAsia="en-US"/>
              </w:rPr>
              <w:t>Quality</w:t>
            </w:r>
          </w:p>
        </w:tc>
        <w:tc>
          <w:tcPr>
            <w:tcW w:w="943" w:type="pct"/>
          </w:tcPr>
          <w:p w14:paraId="53949E9B" w14:textId="77777777" w:rsidR="00EB4871" w:rsidRPr="007D1918" w:rsidRDefault="00EB4871" w:rsidP="00045F8E">
            <w:pPr>
              <w:pStyle w:val="TableHeading"/>
              <w:keepLines/>
              <w:ind w:left="111" w:right="117"/>
              <w:rPr>
                <w:snapToGrid w:val="0"/>
                <w:lang w:eastAsia="en-US"/>
              </w:rPr>
            </w:pPr>
            <w:r w:rsidRPr="007D1918">
              <w:rPr>
                <w:snapToGrid w:val="0"/>
                <w:lang w:eastAsia="en-US"/>
              </w:rPr>
              <w:t>Event</w:t>
            </w:r>
          </w:p>
        </w:tc>
        <w:tc>
          <w:tcPr>
            <w:tcW w:w="1022" w:type="pct"/>
            <w:shd w:val="clear" w:color="auto" w:fill="auto"/>
          </w:tcPr>
          <w:p w14:paraId="07957EA6" w14:textId="77777777" w:rsidR="00EB4871" w:rsidRPr="007D1918" w:rsidRDefault="00EB4871" w:rsidP="00045F8E">
            <w:pPr>
              <w:pStyle w:val="TableHeading"/>
              <w:keepLines/>
              <w:ind w:left="111" w:right="117"/>
              <w:rPr>
                <w:snapToGrid w:val="0"/>
                <w:lang w:eastAsia="en-US"/>
              </w:rPr>
            </w:pPr>
            <w:r w:rsidRPr="007D1918">
              <w:rPr>
                <w:snapToGrid w:val="0"/>
                <w:lang w:eastAsia="en-US"/>
              </w:rPr>
              <w:t>IVIg</w:t>
            </w:r>
          </w:p>
          <w:p w14:paraId="61ACCC72" w14:textId="6A5B8CAB" w:rsidR="00EB4871" w:rsidRPr="007D1918" w:rsidRDefault="00EB4871" w:rsidP="00045F8E">
            <w:pPr>
              <w:pStyle w:val="TableHeading"/>
              <w:keepLines/>
              <w:ind w:left="111" w:right="117"/>
              <w:rPr>
                <w:snapToGrid w:val="0"/>
                <w:lang w:eastAsia="en-US"/>
              </w:rPr>
            </w:pPr>
            <w:r w:rsidRPr="007D1918">
              <w:rPr>
                <w:snapToGrid w:val="0"/>
                <w:lang w:eastAsia="en-US"/>
              </w:rPr>
              <w:t>n with event/N (%)</w:t>
            </w:r>
          </w:p>
        </w:tc>
        <w:tc>
          <w:tcPr>
            <w:tcW w:w="944" w:type="pct"/>
            <w:shd w:val="clear" w:color="auto" w:fill="auto"/>
          </w:tcPr>
          <w:p w14:paraId="3D2C16F1" w14:textId="28627B7C" w:rsidR="00EB4871" w:rsidRPr="007D1918" w:rsidRDefault="00EB4871" w:rsidP="00045F8E">
            <w:pPr>
              <w:pStyle w:val="TableHeading"/>
              <w:keepLines/>
              <w:ind w:left="77" w:right="117"/>
              <w:rPr>
                <w:snapToGrid w:val="0"/>
                <w:lang w:eastAsia="en-US"/>
              </w:rPr>
            </w:pPr>
            <w:r w:rsidRPr="007D1918">
              <w:rPr>
                <w:snapToGrid w:val="0"/>
                <w:lang w:eastAsia="en-US"/>
              </w:rPr>
              <w:t>PE</w:t>
            </w:r>
          </w:p>
          <w:p w14:paraId="3F1FE6DA" w14:textId="67392C8D" w:rsidR="00EB4871" w:rsidRPr="007D1918" w:rsidRDefault="00EB4871" w:rsidP="00045F8E">
            <w:pPr>
              <w:pStyle w:val="TableHeading"/>
              <w:keepLines/>
              <w:ind w:left="77" w:right="117"/>
              <w:rPr>
                <w:snapToGrid w:val="0"/>
                <w:lang w:eastAsia="en-US"/>
              </w:rPr>
            </w:pPr>
            <w:r w:rsidRPr="007D1918">
              <w:rPr>
                <w:snapToGrid w:val="0"/>
                <w:lang w:eastAsia="en-US"/>
              </w:rPr>
              <w:t>n with event/N (%)</w:t>
            </w:r>
          </w:p>
        </w:tc>
        <w:tc>
          <w:tcPr>
            <w:tcW w:w="1088" w:type="pct"/>
            <w:shd w:val="clear" w:color="auto" w:fill="auto"/>
          </w:tcPr>
          <w:p w14:paraId="13AF09D7" w14:textId="36CBCF72" w:rsidR="00EB4871" w:rsidRPr="007D1918" w:rsidRDefault="00F26C8C" w:rsidP="00045F8E">
            <w:pPr>
              <w:pStyle w:val="TableHeading"/>
              <w:keepLines/>
              <w:ind w:right="117"/>
              <w:rPr>
                <w:snapToGrid w:val="0"/>
                <w:lang w:eastAsia="en-US"/>
              </w:rPr>
            </w:pPr>
            <w:r w:rsidRPr="007D1918">
              <w:rPr>
                <w:snapToGrid w:val="0"/>
                <w:lang w:eastAsia="en-US"/>
              </w:rPr>
              <w:t>D</w:t>
            </w:r>
            <w:r w:rsidR="00EB4871" w:rsidRPr="007D1918">
              <w:rPr>
                <w:snapToGrid w:val="0"/>
                <w:lang w:eastAsia="en-US"/>
              </w:rPr>
              <w:t>ifference</w:t>
            </w:r>
          </w:p>
          <w:p w14:paraId="0DFE8C8D" w14:textId="3FB46A4A" w:rsidR="00EB4871" w:rsidRPr="007D1918" w:rsidRDefault="00EB4871" w:rsidP="00045F8E">
            <w:pPr>
              <w:pStyle w:val="TableHeading"/>
              <w:keepLines/>
              <w:ind w:right="117"/>
              <w:rPr>
                <w:snapToGrid w:val="0"/>
                <w:vertAlign w:val="superscript"/>
                <w:lang w:eastAsia="en-US"/>
              </w:rPr>
            </w:pPr>
            <w:r w:rsidRPr="007D1918">
              <w:rPr>
                <w:snapToGrid w:val="0"/>
                <w:lang w:eastAsia="en-US"/>
              </w:rPr>
              <w:t>p-value (95% CI)</w:t>
            </w:r>
            <w:r w:rsidR="00433FCC" w:rsidRPr="007D1918">
              <w:rPr>
                <w:snapToGrid w:val="0"/>
                <w:vertAlign w:val="superscript"/>
                <w:lang w:eastAsia="en-US"/>
              </w:rPr>
              <w:t>c</w:t>
            </w:r>
          </w:p>
        </w:tc>
      </w:tr>
      <w:tr w:rsidR="00EB4871" w:rsidRPr="007D1918" w14:paraId="650F8EB1" w14:textId="77777777" w:rsidTr="00EB4871">
        <w:tc>
          <w:tcPr>
            <w:tcW w:w="1004" w:type="pct"/>
            <w:shd w:val="clear" w:color="auto" w:fill="auto"/>
          </w:tcPr>
          <w:p w14:paraId="3BFD4A21" w14:textId="44481695" w:rsidR="00EB4871" w:rsidRPr="007D1918" w:rsidRDefault="00EB4871" w:rsidP="00045F8E">
            <w:pPr>
              <w:pStyle w:val="Tabletext1"/>
              <w:keepNext/>
              <w:keepLines/>
              <w:rPr>
                <w:snapToGrid w:val="0"/>
                <w:lang w:eastAsia="en-US"/>
              </w:rPr>
            </w:pPr>
            <w:r w:rsidRPr="007D1918">
              <w:rPr>
                <w:snapToGrid w:val="0"/>
                <w:lang w:eastAsia="en-US"/>
              </w:rPr>
              <w:t>USA</w:t>
            </w:r>
          </w:p>
          <w:p w14:paraId="12A970FB" w14:textId="43144982" w:rsidR="00EB4871" w:rsidRPr="007D1918" w:rsidRDefault="00EB4871" w:rsidP="00045F8E">
            <w:pPr>
              <w:pStyle w:val="Tabletext1"/>
              <w:keepNext/>
              <w:keepLines/>
              <w:rPr>
                <w:snapToGrid w:val="0"/>
                <w:lang w:eastAsia="en-US"/>
              </w:rPr>
            </w:pPr>
            <w:r w:rsidRPr="007D1918">
              <w:rPr>
                <w:snapToGrid w:val="0"/>
                <w:lang w:eastAsia="en-US"/>
              </w:rPr>
              <w:t>Level III-</w:t>
            </w:r>
            <w:r w:rsidR="00CE3DFC" w:rsidRPr="007D1918">
              <w:rPr>
                <w:snapToGrid w:val="0"/>
                <w:lang w:eastAsia="en-US"/>
              </w:rPr>
              <w:t>2</w:t>
            </w:r>
          </w:p>
          <w:p w14:paraId="7F1199F8" w14:textId="6E3F5D9C" w:rsidR="00EB4871" w:rsidRPr="007D1918" w:rsidRDefault="00EB4871" w:rsidP="00045F8E">
            <w:pPr>
              <w:pStyle w:val="Tabletext1"/>
              <w:keepNext/>
              <w:keepLines/>
              <w:rPr>
                <w:snapToGrid w:val="0"/>
                <w:lang w:eastAsia="en-US"/>
              </w:rPr>
            </w:pPr>
            <w:r w:rsidRPr="007D1918">
              <w:rPr>
                <w:snapToGrid w:val="0"/>
                <w:lang w:eastAsia="en-US"/>
              </w:rPr>
              <w:t>Moderate risk of bias</w:t>
            </w:r>
          </w:p>
        </w:tc>
        <w:tc>
          <w:tcPr>
            <w:tcW w:w="943" w:type="pct"/>
          </w:tcPr>
          <w:p w14:paraId="6D131AE0" w14:textId="77777777" w:rsidR="00EB4871" w:rsidRPr="007D1918" w:rsidRDefault="00EB4871" w:rsidP="00045F8E">
            <w:pPr>
              <w:pStyle w:val="TableText0"/>
              <w:keepLines/>
              <w:rPr>
                <w:snapToGrid w:val="0"/>
                <w:vertAlign w:val="superscript"/>
              </w:rPr>
            </w:pPr>
            <w:r w:rsidRPr="007D1918">
              <w:rPr>
                <w:snapToGrid w:val="0"/>
              </w:rPr>
              <w:t>Pyrexia &amp; rigors</w:t>
            </w:r>
            <w:r w:rsidRPr="007D1918">
              <w:rPr>
                <w:snapToGrid w:val="0"/>
                <w:vertAlign w:val="superscript"/>
              </w:rPr>
              <w:t>a</w:t>
            </w:r>
          </w:p>
          <w:p w14:paraId="10FAFDE3" w14:textId="77777777" w:rsidR="00EB4871" w:rsidRPr="007D1918" w:rsidRDefault="00EB4871" w:rsidP="00045F8E">
            <w:pPr>
              <w:pStyle w:val="TableText0"/>
              <w:keepLines/>
              <w:rPr>
                <w:snapToGrid w:val="0"/>
              </w:rPr>
            </w:pPr>
            <w:r w:rsidRPr="007D1918">
              <w:rPr>
                <w:snapToGrid w:val="0"/>
              </w:rPr>
              <w:t>Central line sepsis</w:t>
            </w:r>
            <w:r w:rsidRPr="007D1918">
              <w:rPr>
                <w:snapToGrid w:val="0"/>
                <w:vertAlign w:val="superscript"/>
              </w:rPr>
              <w:t>b</w:t>
            </w:r>
          </w:p>
        </w:tc>
        <w:tc>
          <w:tcPr>
            <w:tcW w:w="1022" w:type="pct"/>
            <w:shd w:val="clear" w:color="auto" w:fill="auto"/>
          </w:tcPr>
          <w:p w14:paraId="07EAA058" w14:textId="77777777" w:rsidR="00EB4871" w:rsidRPr="007D1918" w:rsidRDefault="00EB4871" w:rsidP="00045F8E">
            <w:pPr>
              <w:pStyle w:val="TableText0"/>
              <w:keepLines/>
              <w:rPr>
                <w:snapToGrid w:val="0"/>
              </w:rPr>
            </w:pPr>
            <w:r w:rsidRPr="007D1918">
              <w:rPr>
                <w:snapToGrid w:val="0"/>
              </w:rPr>
              <w:t>2/10 (20%)</w:t>
            </w:r>
          </w:p>
          <w:p w14:paraId="4F161042" w14:textId="77777777" w:rsidR="00EB4871" w:rsidRPr="007D1918" w:rsidRDefault="00EB4871" w:rsidP="00045F8E">
            <w:pPr>
              <w:pStyle w:val="TableText0"/>
              <w:keepLines/>
              <w:rPr>
                <w:snapToGrid w:val="0"/>
              </w:rPr>
            </w:pPr>
            <w:r w:rsidRPr="007D1918">
              <w:rPr>
                <w:snapToGrid w:val="0"/>
              </w:rPr>
              <w:t>0/10</w:t>
            </w:r>
          </w:p>
        </w:tc>
        <w:tc>
          <w:tcPr>
            <w:tcW w:w="944" w:type="pct"/>
            <w:shd w:val="clear" w:color="auto" w:fill="auto"/>
          </w:tcPr>
          <w:p w14:paraId="1C7A87F9" w14:textId="77777777" w:rsidR="00EB4871" w:rsidRPr="007D1918" w:rsidRDefault="00EB4871" w:rsidP="00045F8E">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0/7</w:t>
            </w:r>
          </w:p>
          <w:p w14:paraId="23BF26B0" w14:textId="667301E6" w:rsidR="00EB4871" w:rsidRPr="007D1918" w:rsidRDefault="00EB4871" w:rsidP="00045F8E">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1/7 (14.2%)</w:t>
            </w:r>
          </w:p>
        </w:tc>
        <w:tc>
          <w:tcPr>
            <w:tcW w:w="1088" w:type="pct"/>
            <w:shd w:val="clear" w:color="auto" w:fill="auto"/>
          </w:tcPr>
          <w:p w14:paraId="0E22DAFE" w14:textId="44F88F2F" w:rsidR="00EB4871" w:rsidRPr="007D1918" w:rsidRDefault="00EB4871" w:rsidP="00045F8E">
            <w:pPr>
              <w:pStyle w:val="TableText0"/>
              <w:keepLines/>
              <w:rPr>
                <w:snapToGrid w:val="0"/>
              </w:rPr>
            </w:pPr>
            <w:r w:rsidRPr="007D1918">
              <w:rPr>
                <w:snapToGrid w:val="0"/>
              </w:rPr>
              <w:t>P = 0.22 (-18.2%, 51.0%)</w:t>
            </w:r>
          </w:p>
          <w:p w14:paraId="515FD8DE" w14:textId="0B292837" w:rsidR="00EB4871" w:rsidRPr="007D1918" w:rsidRDefault="00EB4871" w:rsidP="00045F8E">
            <w:pPr>
              <w:pStyle w:val="TableText0"/>
              <w:keepLines/>
              <w:rPr>
                <w:snapToGrid w:val="0"/>
              </w:rPr>
            </w:pPr>
            <w:r w:rsidRPr="007D1918">
              <w:rPr>
                <w:snapToGrid w:val="0"/>
              </w:rPr>
              <w:t>P = 0.76 (-26.8%, 36.7%)</w:t>
            </w:r>
          </w:p>
        </w:tc>
      </w:tr>
    </w:tbl>
    <w:p w14:paraId="0ED6E387" w14:textId="60E70254" w:rsidR="00581A33" w:rsidRPr="007D1918" w:rsidRDefault="00581A33" w:rsidP="00467F94">
      <w:pPr>
        <w:pStyle w:val="Tablenotes0"/>
        <w:spacing w:after="80"/>
        <w:contextualSpacing w:val="0"/>
      </w:pPr>
      <w:r w:rsidRPr="007D1918">
        <w:t xml:space="preserve">IVIg = intravenous immunoglobulin; PE = </w:t>
      </w:r>
      <w:r w:rsidR="0045753E" w:rsidRPr="007D1918">
        <w:t>plasma exchange</w:t>
      </w:r>
    </w:p>
    <w:p w14:paraId="2D9C7F80" w14:textId="77777777" w:rsidR="00EB4871" w:rsidRPr="007D1918" w:rsidRDefault="00EB4871" w:rsidP="00EB4871">
      <w:pPr>
        <w:pStyle w:val="Tablenotes0"/>
      </w:pPr>
      <w:r w:rsidRPr="007D1918">
        <w:rPr>
          <w:vertAlign w:val="superscript"/>
        </w:rPr>
        <w:t>a</w:t>
      </w:r>
      <w:r w:rsidRPr="007D1918">
        <w:t xml:space="preserve"> pyrexia and rigors led to discontinuation of IVIg treatment in two patients</w:t>
      </w:r>
    </w:p>
    <w:p w14:paraId="67D41BC0" w14:textId="77777777" w:rsidR="00EB4871" w:rsidRPr="007D1918" w:rsidRDefault="00EB4871" w:rsidP="00EB4871">
      <w:pPr>
        <w:pStyle w:val="Tablenotes0"/>
      </w:pPr>
      <w:r w:rsidRPr="007D1918">
        <w:rPr>
          <w:vertAlign w:val="superscript"/>
        </w:rPr>
        <w:t>b</w:t>
      </w:r>
      <w:r w:rsidRPr="007D1918">
        <w:t xml:space="preserve"> one patient on PE developed central-line sepsis requiring hospitalisation</w:t>
      </w:r>
    </w:p>
    <w:p w14:paraId="0E99E9AD" w14:textId="1E77F3A9" w:rsidR="00EB4871" w:rsidRPr="007D1918" w:rsidRDefault="00433FCC" w:rsidP="00B44991">
      <w:pPr>
        <w:pStyle w:val="Tablenotes0"/>
        <w:spacing w:after="0"/>
      </w:pPr>
      <w:r w:rsidRPr="007D1918">
        <w:rPr>
          <w:vertAlign w:val="superscript"/>
        </w:rPr>
        <w:t>c</w:t>
      </w:r>
      <w:r w:rsidRPr="007D1918">
        <w:t xml:space="preserve"> Chi-squared test, </w:t>
      </w:r>
      <w:r w:rsidR="004D3879" w:rsidRPr="007D1918">
        <w:t>MedCalc</w:t>
      </w:r>
      <w:r w:rsidRPr="007D1918">
        <w:t xml:space="preserve"> online calculator</w:t>
      </w:r>
    </w:p>
    <w:p w14:paraId="075E7A98" w14:textId="77777777" w:rsidR="00433FCC" w:rsidRPr="007D1918" w:rsidRDefault="00433FCC" w:rsidP="00B44991">
      <w:pPr>
        <w:pStyle w:val="Tabletext1"/>
      </w:pPr>
    </w:p>
    <w:p w14:paraId="3166A04F" w14:textId="2C367816" w:rsidR="00433FCC" w:rsidRPr="007D1918" w:rsidRDefault="00433FCC" w:rsidP="00433FCC">
      <w:pPr>
        <w:pStyle w:val="Heading4"/>
      </w:pPr>
      <w:r w:rsidRPr="007D1918">
        <w:t xml:space="preserve">Adverse events for children treated with IVIg </w:t>
      </w:r>
      <w:r w:rsidR="00746E1B" w:rsidRPr="007D1918">
        <w:t xml:space="preserve">plus MPN </w:t>
      </w:r>
      <w:r w:rsidRPr="007D1918">
        <w:t xml:space="preserve">or </w:t>
      </w:r>
      <w:r w:rsidR="00746E1B" w:rsidRPr="007D1918">
        <w:t>high dose IV MPN alone</w:t>
      </w:r>
      <w:r w:rsidRPr="007D1918">
        <w:t xml:space="preserve"> </w:t>
      </w:r>
    </w:p>
    <w:p w14:paraId="735CFD63" w14:textId="2F9B7303" w:rsidR="00A436AC" w:rsidRPr="007D1918" w:rsidRDefault="00433FCC" w:rsidP="00A436AC">
      <w:pPr>
        <w:spacing w:after="0"/>
        <w:jc w:val="both"/>
      </w:pPr>
      <w:r w:rsidRPr="007D1918">
        <w:t xml:space="preserve">A second study in children </w:t>
      </w:r>
      <w:r w:rsidR="003736AC" w:rsidRPr="007D1918">
        <w:fldChar w:fldCharType="begin"/>
      </w:r>
      <w:r w:rsidR="003736AC" w:rsidRPr="007D1918">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003736AC" w:rsidRPr="007D1918">
        <w:fldChar w:fldCharType="separate"/>
      </w:r>
      <w:r w:rsidR="003736AC" w:rsidRPr="007D1918">
        <w:rPr>
          <w:noProof/>
        </w:rPr>
        <w:t>(</w:t>
      </w:r>
      <w:hyperlink w:anchor="_ENREF_104" w:tooltip="Wang, 2016 #43" w:history="1">
        <w:r w:rsidR="007D4948" w:rsidRPr="007D1918">
          <w:rPr>
            <w:noProof/>
          </w:rPr>
          <w:t>Wang et al. 2016</w:t>
        </w:r>
      </w:hyperlink>
      <w:r w:rsidR="003736AC" w:rsidRPr="007D1918">
        <w:rPr>
          <w:noProof/>
        </w:rPr>
        <w:t>)</w:t>
      </w:r>
      <w:r w:rsidR="003736AC" w:rsidRPr="007D1918">
        <w:fldChar w:fldCharType="end"/>
      </w:r>
      <w:r w:rsidRPr="007D1918">
        <w:t xml:space="preserve"> compared those treated with IVI</w:t>
      </w:r>
      <w:r w:rsidR="0045753E" w:rsidRPr="007D1918">
        <w:t>g</w:t>
      </w:r>
      <w:r w:rsidRPr="007D1918">
        <w:t xml:space="preserve"> plus MPN with an observation group who received </w:t>
      </w:r>
      <w:r w:rsidR="00746E1B" w:rsidRPr="007D1918">
        <w:t xml:space="preserve">high dose IV </w:t>
      </w:r>
      <w:r w:rsidRPr="007D1918">
        <w:t xml:space="preserve">MPN alone (n = 70). </w:t>
      </w:r>
      <w:r w:rsidR="00467F94" w:rsidRPr="007D1918">
        <w:t xml:space="preserve">This study can potentially inform the question of incremental benefit of IVIg over MPN alone in children. </w:t>
      </w:r>
      <w:r w:rsidRPr="007D1918">
        <w:t xml:space="preserve">The disease class of the patients ranged from type I to type III, but the types were not defined. It is likely that the patients were of lower severity than those </w:t>
      </w:r>
      <w:r w:rsidR="00045F8E" w:rsidRPr="007D1918">
        <w:t>defined</w:t>
      </w:r>
      <w:r w:rsidRPr="007D1918">
        <w:t xml:space="preserve"> </w:t>
      </w:r>
      <w:r w:rsidR="005049C7" w:rsidRPr="007D1918">
        <w:t xml:space="preserve">by </w:t>
      </w:r>
      <w:r w:rsidRPr="007D1918">
        <w:t xml:space="preserve">the </w:t>
      </w:r>
      <w:r w:rsidR="00EC09DA" w:rsidRPr="007D1918">
        <w:rPr>
          <w:i/>
        </w:rPr>
        <w:t>Criteria V3</w:t>
      </w:r>
      <w:r w:rsidR="005049C7" w:rsidRPr="007D1918">
        <w:t xml:space="preserve"> for </w:t>
      </w:r>
      <w:r w:rsidRPr="007D1918">
        <w:t xml:space="preserve">Indication 3. The authors did not </w:t>
      </w:r>
      <w:r w:rsidR="00F26C8C" w:rsidRPr="007D1918">
        <w:t>state</w:t>
      </w:r>
      <w:r w:rsidR="00467F94" w:rsidRPr="007D1918">
        <w:t xml:space="preserve"> </w:t>
      </w:r>
      <w:r w:rsidRPr="007D1918">
        <w:t>separate AE</w:t>
      </w:r>
      <w:r w:rsidR="00F26C8C" w:rsidRPr="007D1918">
        <w:t>s</w:t>
      </w:r>
      <w:r w:rsidRPr="007D1918">
        <w:t xml:space="preserve"> for treatment groups, but reported </w:t>
      </w:r>
      <w:r w:rsidR="00F26C8C" w:rsidRPr="007D1918">
        <w:t xml:space="preserve">that there was no difference in AE incidence between </w:t>
      </w:r>
      <w:r w:rsidR="00F26C8C" w:rsidRPr="007D1918">
        <w:lastRenderedPageBreak/>
        <w:t>groups on analysis (p = 0.666). Across both groups</w:t>
      </w:r>
      <w:r w:rsidRPr="007D1918">
        <w:t xml:space="preserve"> two patients experienced numbness of respiratory muscle, seven developed more sever</w:t>
      </w:r>
      <w:r w:rsidR="005608AE" w:rsidRPr="007D1918">
        <w:t>e</w:t>
      </w:r>
      <w:r w:rsidRPr="007D1918">
        <w:t xml:space="preserve"> myasthenia, and three suffered respiratory paralysis. </w:t>
      </w:r>
    </w:p>
    <w:p w14:paraId="41862A24" w14:textId="77777777" w:rsidR="00A436AC" w:rsidRPr="007D1918" w:rsidRDefault="00A436AC" w:rsidP="00B44991">
      <w:pPr>
        <w:jc w:val="both"/>
      </w:pPr>
    </w:p>
    <w:p w14:paraId="71E5F470" w14:textId="1EFDB0C1" w:rsidR="00C66AA8" w:rsidRPr="007D1918" w:rsidRDefault="00C66AA8" w:rsidP="00A436AC">
      <w:pPr>
        <w:pStyle w:val="Heading3"/>
      </w:pPr>
      <w:bookmarkStart w:id="243" w:name="_Toc23766969"/>
      <w:r w:rsidRPr="007D1918">
        <w:t>Indication 3: Patients undergoing SCIg maintenance therapy</w:t>
      </w:r>
      <w:bookmarkEnd w:id="243"/>
    </w:p>
    <w:p w14:paraId="11F3F2A8" w14:textId="07CD329D" w:rsidR="00C66AA8" w:rsidRPr="007D1918" w:rsidRDefault="00C66AA8" w:rsidP="00C66AA8">
      <w:pPr>
        <w:pStyle w:val="Heading4"/>
      </w:pPr>
      <w:r w:rsidRPr="007D1918">
        <w:t xml:space="preserve">Adverse effects for </w:t>
      </w:r>
      <w:r w:rsidR="005049C7" w:rsidRPr="007D1918">
        <w:t xml:space="preserve">patients receiving </w:t>
      </w:r>
      <w:r w:rsidRPr="007D1918">
        <w:t xml:space="preserve">SCIg </w:t>
      </w:r>
      <w:r w:rsidR="00FE619D" w:rsidRPr="007D1918">
        <w:t>maintenance</w:t>
      </w:r>
    </w:p>
    <w:p w14:paraId="56B0E209" w14:textId="7B13A68A" w:rsidR="00C66AA8" w:rsidRPr="007D1918" w:rsidRDefault="00C66AA8" w:rsidP="00C66AA8">
      <w:pPr>
        <w:jc w:val="both"/>
      </w:pPr>
      <w:r w:rsidRPr="007D1918">
        <w:t xml:space="preserve">Two case series, both from Canada, reported AEs occurring with SCIg maintenance treatment. The patients were of mild to moderate disease </w:t>
      </w:r>
      <w:r w:rsidR="00467F94" w:rsidRPr="007D1918">
        <w:t>severity</w:t>
      </w:r>
      <w:r w:rsidRPr="007D1918">
        <w:t xml:space="preserve">, </w:t>
      </w:r>
      <w:r w:rsidR="00467F94" w:rsidRPr="007D1918">
        <w:t>(</w:t>
      </w:r>
      <w:r w:rsidRPr="007D1918">
        <w:t>MGFA class II or III,</w:t>
      </w:r>
      <w:r w:rsidR="00467F94" w:rsidRPr="007D1918">
        <w:t xml:space="preserve"> see </w:t>
      </w:r>
      <w:r w:rsidR="005049C7" w:rsidRPr="007D1918">
        <w:fldChar w:fldCharType="begin"/>
      </w:r>
      <w:r w:rsidR="005049C7" w:rsidRPr="007D1918">
        <w:instrText xml:space="preserve"> REF _Ref8980759 \h </w:instrText>
      </w:r>
      <w:r w:rsidR="00E07567" w:rsidRPr="007D1918">
        <w:instrText xml:space="preserve"> \* MERGEFORMAT </w:instrText>
      </w:r>
      <w:r w:rsidR="005049C7" w:rsidRPr="007D1918">
        <w:fldChar w:fldCharType="separate"/>
      </w:r>
      <w:r w:rsidR="00153384" w:rsidRPr="007D1918">
        <w:t xml:space="preserve">Table </w:t>
      </w:r>
      <w:r w:rsidR="00153384" w:rsidRPr="007D1918">
        <w:rPr>
          <w:noProof/>
        </w:rPr>
        <w:t>13</w:t>
      </w:r>
      <w:r w:rsidR="005049C7" w:rsidRPr="007D1918">
        <w:fldChar w:fldCharType="end"/>
      </w:r>
      <w:r w:rsidR="005049C7" w:rsidRPr="007D1918">
        <w:t xml:space="preserve"> </w:t>
      </w:r>
      <w:r w:rsidR="00467F94" w:rsidRPr="007D1918">
        <w:t>for information on disease severity)</w:t>
      </w:r>
      <w:r w:rsidRPr="007D1918">
        <w:t xml:space="preserve"> so are not as serious as those that meet the </w:t>
      </w:r>
      <w:r w:rsidR="00EC09DA" w:rsidRPr="007D1918">
        <w:rPr>
          <w:i/>
        </w:rPr>
        <w:t>Criteria V3</w:t>
      </w:r>
      <w:r w:rsidR="005049C7" w:rsidRPr="007D1918">
        <w:t xml:space="preserve"> for </w:t>
      </w:r>
      <w:r w:rsidRPr="007D1918">
        <w:t xml:space="preserve">Indication 3 (moderate to severe MG). However, </w:t>
      </w:r>
      <w:r w:rsidR="00FE619D" w:rsidRPr="007D1918">
        <w:t>it is probable that sub</w:t>
      </w:r>
      <w:r w:rsidR="00F26C8C" w:rsidRPr="007D1918">
        <w:t>-</w:t>
      </w:r>
      <w:r w:rsidR="00FE619D" w:rsidRPr="007D1918">
        <w:t xml:space="preserve">cutaneous delivery is more likely to be used in less severe cases </w:t>
      </w:r>
      <w:r w:rsidR="00F26C8C" w:rsidRPr="007D1918">
        <w:t>where patients</w:t>
      </w:r>
      <w:r w:rsidR="00FE619D" w:rsidRPr="007D1918">
        <w:t xml:space="preserve"> have not been hospitalised. T</w:t>
      </w:r>
      <w:r w:rsidRPr="007D1918">
        <w:t xml:space="preserve">he studies were the only relevant ones identified for SCIg </w:t>
      </w:r>
      <w:r w:rsidR="00FE619D" w:rsidRPr="007D1918">
        <w:t xml:space="preserve">so </w:t>
      </w:r>
      <w:r w:rsidRPr="007D1918">
        <w:t>they have been included in this assessment.</w:t>
      </w:r>
      <w:r w:rsidR="00FE619D" w:rsidRPr="007D1918">
        <w:t xml:space="preserve"> </w:t>
      </w:r>
    </w:p>
    <w:p w14:paraId="5ADC464A" w14:textId="2EC2F69F" w:rsidR="00C66AA8" w:rsidRPr="007D1918" w:rsidRDefault="00C66AA8" w:rsidP="00C66AA8">
      <w:pPr>
        <w:jc w:val="both"/>
      </w:pPr>
      <w:r w:rsidRPr="007D1918">
        <w:t xml:space="preserve">One series was a prospective open label phase 3 trial that included 22 adult MG patients with mild to moderate worsening of myasthenic symptoms (defined as a change from MGFA class I to II/III or class II to III) </w:t>
      </w:r>
      <w:r w:rsidR="0075212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 </w:instrText>
      </w:r>
      <w:r w:rsidR="00C437B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9" w:tooltip="Beecher, 2017 #49" w:history="1">
        <w:r w:rsidR="007D4948" w:rsidRPr="007D1918">
          <w:rPr>
            <w:noProof/>
          </w:rPr>
          <w:t>Beecher, Anderson &amp; Siddiqi 2017</w:t>
        </w:r>
      </w:hyperlink>
      <w:r w:rsidR="0075212A" w:rsidRPr="007D1918">
        <w:rPr>
          <w:noProof/>
        </w:rPr>
        <w:t>)</w:t>
      </w:r>
      <w:r w:rsidR="0075212A" w:rsidRPr="007D1918">
        <w:fldChar w:fldCharType="end"/>
      </w:r>
      <w:r w:rsidRPr="007D1918">
        <w:t xml:space="preserve">. Patients received 2g/kg of Ig at weekly intervals over 4 weeks, in a dose escalating manner. The second was a retrospective </w:t>
      </w:r>
      <w:r w:rsidR="0045753E" w:rsidRPr="007D1918">
        <w:t>case series</w:t>
      </w:r>
      <w:r w:rsidRPr="007D1918">
        <w:t xml:space="preserve"> of patients with MG treated with SCIg in a single institution (n = 9) </w:t>
      </w:r>
      <w:r w:rsidR="0075212A"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instrText xml:space="preserve"> ADDIN EN.CITE </w:instrText>
      </w:r>
      <w:r w:rsidR="00C437BA"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12" w:tooltip="Bourque, 2016 #50" w:history="1">
        <w:r w:rsidR="007D4948" w:rsidRPr="007D1918">
          <w:rPr>
            <w:noProof/>
          </w:rPr>
          <w:t>Bourque et al. 2016</w:t>
        </w:r>
      </w:hyperlink>
      <w:r w:rsidR="0075212A" w:rsidRPr="007D1918">
        <w:rPr>
          <w:noProof/>
        </w:rPr>
        <w:t>)</w:t>
      </w:r>
      <w:r w:rsidR="0075212A" w:rsidRPr="007D1918">
        <w:fldChar w:fldCharType="end"/>
      </w:r>
      <w:r w:rsidRPr="007D1918">
        <w:t>. The nine patients included were all of MGFA class II or II prior to SCIg, and six were already receiving IVIg maintenance and agreed to transfer to SCIg. Their initial target weekly do</w:t>
      </w:r>
      <w:r w:rsidR="00F26C8C" w:rsidRPr="007D1918">
        <w:t>se</w:t>
      </w:r>
      <w:r w:rsidRPr="007D1918">
        <w:t xml:space="preserve"> was calculated at 120% of their IVIg dose. Three other patients were start</w:t>
      </w:r>
      <w:r w:rsidR="00F26C8C" w:rsidRPr="007D1918">
        <w:t>ed</w:t>
      </w:r>
      <w:r w:rsidRPr="007D1918">
        <w:t xml:space="preserve"> on SCIg at 20g per week, with subsequent doses based on clinical response. The mean dose for all ni</w:t>
      </w:r>
      <w:r w:rsidR="0045753E" w:rsidRPr="007D1918">
        <w:t xml:space="preserve">ne patients was 25.1 g weekly. </w:t>
      </w:r>
    </w:p>
    <w:p w14:paraId="4F81689D" w14:textId="3BE90447" w:rsidR="00C66AA8" w:rsidRPr="007D1918" w:rsidRDefault="00C66AA8" w:rsidP="00C66AA8">
      <w:pPr>
        <w:jc w:val="both"/>
      </w:pPr>
      <w:r w:rsidRPr="007D1918">
        <w:t>Across both studies AEs were</w:t>
      </w:r>
      <w:r w:rsidR="00F26C8C" w:rsidRPr="007D1918">
        <w:t>,</w:t>
      </w:r>
      <w:r w:rsidRPr="007D1918">
        <w:t xml:space="preserve"> on the whole</w:t>
      </w:r>
      <w:r w:rsidR="00F26C8C" w:rsidRPr="007D1918">
        <w:t>,</w:t>
      </w:r>
      <w:r w:rsidRPr="007D1918">
        <w:t xml:space="preserve"> minor</w:t>
      </w:r>
      <w:r w:rsidR="006341C8" w:rsidRPr="007D1918">
        <w:t xml:space="preserve"> (</w:t>
      </w:r>
      <w:r w:rsidR="006341C8" w:rsidRPr="007D1918">
        <w:fldChar w:fldCharType="begin"/>
      </w:r>
      <w:r w:rsidR="006341C8" w:rsidRPr="007D1918">
        <w:instrText xml:space="preserve"> REF _Ref9343894 \h </w:instrText>
      </w:r>
      <w:r w:rsidR="00E07567" w:rsidRPr="007D1918">
        <w:instrText xml:space="preserve"> \* MERGEFORMAT </w:instrText>
      </w:r>
      <w:r w:rsidR="006341C8" w:rsidRPr="007D1918">
        <w:fldChar w:fldCharType="separate"/>
      </w:r>
      <w:r w:rsidR="00153384" w:rsidRPr="007D1918">
        <w:t xml:space="preserve">Table </w:t>
      </w:r>
      <w:r w:rsidR="00153384" w:rsidRPr="007D1918">
        <w:rPr>
          <w:noProof/>
        </w:rPr>
        <w:t>25</w:t>
      </w:r>
      <w:r w:rsidR="006341C8" w:rsidRPr="007D1918">
        <w:fldChar w:fldCharType="end"/>
      </w:r>
      <w:r w:rsidR="006341C8" w:rsidRPr="007D1918">
        <w:t>)</w:t>
      </w:r>
      <w:r w:rsidRPr="007D1918">
        <w:t>. In the study by Beecher</w:t>
      </w:r>
      <w:r w:rsidR="0075378B" w:rsidRPr="007D1918">
        <w:t>, Anderson and Siddiqi</w:t>
      </w:r>
      <w:r w:rsidRPr="007D1918">
        <w:t xml:space="preserve"> headache was common to the majority of SCIg recipients (77.3%). The authors commented that SCIg was likely to have fewer serious AEs than IVIg, due to slower rate of infusion and lower peak IgG concentration following infusion. Bourque et al also </w:t>
      </w:r>
      <w:r w:rsidR="00F26C8C" w:rsidRPr="007D1918">
        <w:t>no</w:t>
      </w:r>
      <w:r w:rsidRPr="007D1918">
        <w:t xml:space="preserve">ted no systemic symptoms that could be attributed to SCIg, although most patients experienced mild subcutaneous tenderness or pruritus on the day of infusion with ‘frequent circumscribed bruising’ (numbers not reported). One patient experienced more serious bruising and ecchymosis which was of concern. There were no emergency department attendances or ICU admissions among the nine patients. </w:t>
      </w:r>
    </w:p>
    <w:p w14:paraId="32971FCF" w14:textId="69F060B5" w:rsidR="00C66AA8" w:rsidRPr="007D1918" w:rsidRDefault="00C66AA8" w:rsidP="00C66AA8">
      <w:pPr>
        <w:pStyle w:val="Caption"/>
        <w:keepNext/>
        <w:jc w:val="both"/>
        <w:rPr>
          <w:rFonts w:cs="Arial"/>
          <w:snapToGrid w:val="0"/>
          <w:szCs w:val="16"/>
          <w:lang w:eastAsia="en-US"/>
        </w:rPr>
      </w:pPr>
      <w:bookmarkStart w:id="244" w:name="_Ref9343894"/>
      <w:bookmarkStart w:id="245" w:name="_Toc23769512"/>
      <w:r w:rsidRPr="007D1918">
        <w:lastRenderedPageBreak/>
        <w:t xml:space="preserve">Table </w:t>
      </w:r>
      <w:r w:rsidR="0050102B" w:rsidRPr="007D1918">
        <w:rPr>
          <w:noProof/>
        </w:rPr>
        <w:fldChar w:fldCharType="begin"/>
      </w:r>
      <w:r w:rsidR="0050102B" w:rsidRPr="007D1918">
        <w:rPr>
          <w:noProof/>
        </w:rPr>
        <w:instrText xml:space="preserve"> SEQ Table \* ARABIC </w:instrText>
      </w:r>
      <w:r w:rsidR="0050102B" w:rsidRPr="007D1918">
        <w:rPr>
          <w:noProof/>
        </w:rPr>
        <w:fldChar w:fldCharType="separate"/>
      </w:r>
      <w:r w:rsidR="007C33AD" w:rsidRPr="007D1918">
        <w:rPr>
          <w:noProof/>
        </w:rPr>
        <w:t>25</w:t>
      </w:r>
      <w:r w:rsidR="0050102B" w:rsidRPr="007D1918">
        <w:rPr>
          <w:noProof/>
        </w:rPr>
        <w:fldChar w:fldCharType="end"/>
      </w:r>
      <w:bookmarkEnd w:id="244"/>
      <w:r w:rsidRPr="007D1918">
        <w:tab/>
      </w:r>
      <w:r w:rsidRPr="007D1918">
        <w:rPr>
          <w:rFonts w:cs="Arial"/>
          <w:snapToGrid w:val="0"/>
          <w:szCs w:val="16"/>
          <w:lang w:eastAsia="en-US"/>
        </w:rPr>
        <w:t>Adverse events for patients</w:t>
      </w:r>
      <w:r w:rsidR="00FB3E3F" w:rsidRPr="007D1918">
        <w:rPr>
          <w:rFonts w:cs="Arial"/>
          <w:snapToGrid w:val="0"/>
          <w:szCs w:val="16"/>
          <w:lang w:eastAsia="en-US"/>
        </w:rPr>
        <w:t xml:space="preserve"> receiving SCIg maintenance therapy</w:t>
      </w:r>
      <w:bookmarkEnd w:id="245"/>
    </w:p>
    <w:tbl>
      <w:tblPr>
        <w:tblW w:w="4148"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3 Adverse events for patients receiving SCIg maintenance therapy"/>
        <w:tblDescription w:val="Ferequency of adverse events in MG patienst (Indication 3) receiving SCIg maintenane therapy."/>
      </w:tblPr>
      <w:tblGrid>
        <w:gridCol w:w="2519"/>
        <w:gridCol w:w="2551"/>
        <w:gridCol w:w="2410"/>
      </w:tblGrid>
      <w:tr w:rsidR="00C66AA8" w:rsidRPr="007D1918" w14:paraId="4D676694" w14:textId="77777777" w:rsidTr="00C66AA8">
        <w:tc>
          <w:tcPr>
            <w:tcW w:w="1684" w:type="pct"/>
            <w:shd w:val="clear" w:color="auto" w:fill="auto"/>
          </w:tcPr>
          <w:p w14:paraId="6788F7FA" w14:textId="013DA6EC" w:rsidR="00C66AA8" w:rsidRPr="007D1918" w:rsidRDefault="00C66AA8" w:rsidP="006341C8">
            <w:pPr>
              <w:pStyle w:val="TableHeading"/>
              <w:rPr>
                <w:snapToGrid w:val="0"/>
                <w:lang w:eastAsia="en-US"/>
              </w:rPr>
            </w:pPr>
            <w:r w:rsidRPr="007D1918">
              <w:rPr>
                <w:snapToGrid w:val="0"/>
                <w:lang w:eastAsia="en-US"/>
              </w:rPr>
              <w:t>Study ID, Country</w:t>
            </w:r>
          </w:p>
          <w:p w14:paraId="0C9E1F72" w14:textId="77777777" w:rsidR="00C66AA8" w:rsidRPr="007D1918" w:rsidRDefault="00C66AA8" w:rsidP="006341C8">
            <w:pPr>
              <w:pStyle w:val="TableHeading"/>
              <w:rPr>
                <w:snapToGrid w:val="0"/>
                <w:lang w:eastAsia="en-US"/>
              </w:rPr>
            </w:pPr>
            <w:r w:rsidRPr="007D1918">
              <w:rPr>
                <w:snapToGrid w:val="0"/>
                <w:lang w:eastAsia="en-US"/>
              </w:rPr>
              <w:t>Level of evidence</w:t>
            </w:r>
          </w:p>
          <w:p w14:paraId="292901ED" w14:textId="61B1CF1B" w:rsidR="00C66AA8" w:rsidRPr="007D1918" w:rsidRDefault="00C66AA8" w:rsidP="006341C8">
            <w:pPr>
              <w:pStyle w:val="TableHeading"/>
              <w:rPr>
                <w:snapToGrid w:val="0"/>
                <w:lang w:eastAsia="en-US"/>
              </w:rPr>
            </w:pPr>
            <w:r w:rsidRPr="007D1918">
              <w:rPr>
                <w:snapToGrid w:val="0"/>
                <w:lang w:eastAsia="en-US"/>
              </w:rPr>
              <w:t>Quality</w:t>
            </w:r>
          </w:p>
        </w:tc>
        <w:tc>
          <w:tcPr>
            <w:tcW w:w="1705" w:type="pct"/>
          </w:tcPr>
          <w:p w14:paraId="7B8AEC15" w14:textId="77777777" w:rsidR="00C66AA8" w:rsidRPr="007D1918" w:rsidRDefault="00C66AA8" w:rsidP="006341C8">
            <w:pPr>
              <w:pStyle w:val="TableHeading"/>
              <w:ind w:left="111" w:right="117"/>
              <w:rPr>
                <w:snapToGrid w:val="0"/>
                <w:lang w:eastAsia="en-US"/>
              </w:rPr>
            </w:pPr>
            <w:r w:rsidRPr="007D1918">
              <w:rPr>
                <w:snapToGrid w:val="0"/>
                <w:lang w:eastAsia="en-US"/>
              </w:rPr>
              <w:t xml:space="preserve">Event </w:t>
            </w:r>
          </w:p>
        </w:tc>
        <w:tc>
          <w:tcPr>
            <w:tcW w:w="1611" w:type="pct"/>
            <w:shd w:val="clear" w:color="auto" w:fill="auto"/>
          </w:tcPr>
          <w:p w14:paraId="1B8FDBD7" w14:textId="6D14ACBD" w:rsidR="00C66AA8" w:rsidRPr="007D1918" w:rsidRDefault="00C66AA8" w:rsidP="006341C8">
            <w:pPr>
              <w:pStyle w:val="TableHeading"/>
              <w:ind w:left="111" w:right="117"/>
              <w:rPr>
                <w:snapToGrid w:val="0"/>
                <w:lang w:eastAsia="en-US"/>
              </w:rPr>
            </w:pPr>
            <w:r w:rsidRPr="007D1918">
              <w:rPr>
                <w:snapToGrid w:val="0"/>
                <w:lang w:eastAsia="en-US"/>
              </w:rPr>
              <w:t>Frequency</w:t>
            </w:r>
          </w:p>
          <w:p w14:paraId="6473E6BA" w14:textId="3D30423B" w:rsidR="00C66AA8" w:rsidRPr="007D1918" w:rsidRDefault="00C66AA8" w:rsidP="00C66AA8">
            <w:pPr>
              <w:pStyle w:val="TableHeading"/>
              <w:ind w:left="111" w:right="117"/>
              <w:rPr>
                <w:snapToGrid w:val="0"/>
                <w:lang w:eastAsia="en-US"/>
              </w:rPr>
            </w:pPr>
            <w:r w:rsidRPr="007D1918">
              <w:rPr>
                <w:snapToGrid w:val="0"/>
                <w:lang w:eastAsia="en-US"/>
              </w:rPr>
              <w:t xml:space="preserve">n with event (%) </w:t>
            </w:r>
          </w:p>
        </w:tc>
      </w:tr>
      <w:tr w:rsidR="00C66AA8" w:rsidRPr="007D1918" w14:paraId="101915DD" w14:textId="77777777" w:rsidTr="00C66AA8">
        <w:tc>
          <w:tcPr>
            <w:tcW w:w="1684" w:type="pct"/>
            <w:shd w:val="clear" w:color="auto" w:fill="auto"/>
          </w:tcPr>
          <w:p w14:paraId="626735D4" w14:textId="7733AC52" w:rsidR="00C66AA8" w:rsidRPr="007D1918" w:rsidRDefault="0075212A" w:rsidP="006341C8">
            <w:pPr>
              <w:pStyle w:val="TableText0"/>
              <w:rPr>
                <w:snapToGrid w:val="0"/>
              </w:rPr>
            </w:pPr>
            <w:r w:rsidRPr="007D1918">
              <w:rPr>
                <w:snapToGrid w:val="0"/>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9" w:tooltip="Beecher, 2017 #49" w:history="1">
              <w:r w:rsidR="007D4948" w:rsidRPr="007D1918">
                <w:rPr>
                  <w:noProof/>
                  <w:snapToGrid w:val="0"/>
                </w:rPr>
                <w:t>Beecher, Anderson &amp; Siddiqi 2017</w:t>
              </w:r>
            </w:hyperlink>
            <w:r w:rsidRPr="007D1918">
              <w:rPr>
                <w:noProof/>
                <w:snapToGrid w:val="0"/>
              </w:rPr>
              <w:t>)</w:t>
            </w:r>
            <w:r w:rsidRPr="007D1918">
              <w:rPr>
                <w:snapToGrid w:val="0"/>
              </w:rPr>
              <w:fldChar w:fldCharType="end"/>
            </w:r>
            <w:r w:rsidR="00FB3E3F" w:rsidRPr="007D1918">
              <w:rPr>
                <w:snapToGrid w:val="0"/>
              </w:rPr>
              <w:t xml:space="preserve">, </w:t>
            </w:r>
            <w:r w:rsidR="00C66AA8" w:rsidRPr="007D1918">
              <w:rPr>
                <w:snapToGrid w:val="0"/>
              </w:rPr>
              <w:t>Canada</w:t>
            </w:r>
          </w:p>
          <w:p w14:paraId="35394C7B" w14:textId="77777777" w:rsidR="00C66AA8" w:rsidRPr="007D1918" w:rsidRDefault="00C66AA8" w:rsidP="006341C8">
            <w:pPr>
              <w:pStyle w:val="TableText0"/>
              <w:rPr>
                <w:snapToGrid w:val="0"/>
              </w:rPr>
            </w:pPr>
            <w:r w:rsidRPr="007D1918">
              <w:rPr>
                <w:snapToGrid w:val="0"/>
              </w:rPr>
              <w:t>Level IV</w:t>
            </w:r>
          </w:p>
          <w:p w14:paraId="2C88FD01" w14:textId="7D633138" w:rsidR="00C66AA8" w:rsidRPr="007D1918" w:rsidRDefault="00C66AA8" w:rsidP="006341C8">
            <w:pPr>
              <w:pStyle w:val="TableText0"/>
              <w:rPr>
                <w:snapToGrid w:val="0"/>
              </w:rPr>
            </w:pPr>
            <w:r w:rsidRPr="007D1918">
              <w:rPr>
                <w:snapToGrid w:val="0"/>
              </w:rPr>
              <w:t>Low risk of bias</w:t>
            </w:r>
          </w:p>
        </w:tc>
        <w:tc>
          <w:tcPr>
            <w:tcW w:w="1705" w:type="pct"/>
          </w:tcPr>
          <w:p w14:paraId="6C3391C0" w14:textId="77777777" w:rsidR="00C66AA8" w:rsidRPr="007D1918" w:rsidRDefault="00C66AA8" w:rsidP="006341C8">
            <w:pPr>
              <w:pStyle w:val="TableText0"/>
              <w:rPr>
                <w:snapToGrid w:val="0"/>
              </w:rPr>
            </w:pPr>
            <w:r w:rsidRPr="007D1918">
              <w:rPr>
                <w:snapToGrid w:val="0"/>
              </w:rPr>
              <w:t>Headache</w:t>
            </w:r>
          </w:p>
          <w:p w14:paraId="116B7009" w14:textId="77777777" w:rsidR="00C66AA8" w:rsidRPr="007D1918" w:rsidRDefault="00C66AA8" w:rsidP="006341C8">
            <w:pPr>
              <w:pStyle w:val="TableText0"/>
              <w:rPr>
                <w:snapToGrid w:val="0"/>
              </w:rPr>
            </w:pPr>
            <w:r w:rsidRPr="007D1918">
              <w:rPr>
                <w:snapToGrid w:val="0"/>
              </w:rPr>
              <w:t>Injection site reaction</w:t>
            </w:r>
          </w:p>
          <w:p w14:paraId="61B5B15B" w14:textId="77777777" w:rsidR="00C66AA8" w:rsidRPr="007D1918" w:rsidRDefault="00C66AA8" w:rsidP="006341C8">
            <w:pPr>
              <w:pStyle w:val="TableText0"/>
              <w:rPr>
                <w:snapToGrid w:val="0"/>
              </w:rPr>
            </w:pPr>
            <w:r w:rsidRPr="007D1918">
              <w:rPr>
                <w:snapToGrid w:val="0"/>
              </w:rPr>
              <w:t>Nausea</w:t>
            </w:r>
          </w:p>
          <w:p w14:paraId="1261D0B8" w14:textId="77777777" w:rsidR="00C66AA8" w:rsidRPr="007D1918" w:rsidRDefault="00C66AA8" w:rsidP="006341C8">
            <w:pPr>
              <w:pStyle w:val="TableText0"/>
              <w:rPr>
                <w:snapToGrid w:val="0"/>
              </w:rPr>
            </w:pPr>
            <w:r w:rsidRPr="007D1918">
              <w:rPr>
                <w:snapToGrid w:val="0"/>
              </w:rPr>
              <w:t>Joint pain</w:t>
            </w:r>
          </w:p>
          <w:p w14:paraId="4D90E275" w14:textId="56A7C0FF" w:rsidR="00C66AA8" w:rsidRPr="007D1918" w:rsidRDefault="00E403A6" w:rsidP="006341C8">
            <w:pPr>
              <w:pStyle w:val="TableText0"/>
              <w:rPr>
                <w:snapToGrid w:val="0"/>
              </w:rPr>
            </w:pPr>
            <w:r w:rsidRPr="007D1918">
              <w:rPr>
                <w:snapToGrid w:val="0"/>
              </w:rPr>
              <w:t>Diarrhoea</w:t>
            </w:r>
          </w:p>
          <w:p w14:paraId="4A4C8483" w14:textId="77777777" w:rsidR="00C66AA8" w:rsidRPr="007D1918" w:rsidRDefault="00C66AA8" w:rsidP="006341C8">
            <w:pPr>
              <w:pStyle w:val="TableText0"/>
              <w:rPr>
                <w:snapToGrid w:val="0"/>
              </w:rPr>
            </w:pPr>
            <w:r w:rsidRPr="007D1918">
              <w:rPr>
                <w:snapToGrid w:val="0"/>
              </w:rPr>
              <w:t>Emesis</w:t>
            </w:r>
          </w:p>
          <w:p w14:paraId="74845F8B" w14:textId="77777777" w:rsidR="00C66AA8" w:rsidRPr="007D1918" w:rsidRDefault="00C66AA8" w:rsidP="006341C8">
            <w:pPr>
              <w:pStyle w:val="TableText0"/>
              <w:rPr>
                <w:snapToGrid w:val="0"/>
              </w:rPr>
            </w:pPr>
            <w:r w:rsidRPr="007D1918">
              <w:rPr>
                <w:snapToGrid w:val="0"/>
              </w:rPr>
              <w:t>Abdominal pain</w:t>
            </w:r>
          </w:p>
          <w:p w14:paraId="15523C0E" w14:textId="77777777" w:rsidR="00C66AA8" w:rsidRPr="007D1918" w:rsidRDefault="00C66AA8" w:rsidP="006341C8">
            <w:pPr>
              <w:pStyle w:val="TableText0"/>
              <w:rPr>
                <w:snapToGrid w:val="0"/>
              </w:rPr>
            </w:pPr>
            <w:r w:rsidRPr="007D1918">
              <w:rPr>
                <w:snapToGrid w:val="0"/>
              </w:rPr>
              <w:t>Dry cough</w:t>
            </w:r>
          </w:p>
          <w:p w14:paraId="0ED68F93" w14:textId="77777777" w:rsidR="00C66AA8" w:rsidRPr="007D1918" w:rsidRDefault="00C66AA8" w:rsidP="006341C8">
            <w:pPr>
              <w:pStyle w:val="TableText0"/>
              <w:rPr>
                <w:snapToGrid w:val="0"/>
              </w:rPr>
            </w:pPr>
            <w:r w:rsidRPr="007D1918">
              <w:rPr>
                <w:snapToGrid w:val="0"/>
              </w:rPr>
              <w:t>Parasthesias</w:t>
            </w:r>
          </w:p>
          <w:p w14:paraId="584EAD81" w14:textId="77777777" w:rsidR="00C66AA8" w:rsidRPr="007D1918" w:rsidRDefault="00C66AA8" w:rsidP="006341C8">
            <w:pPr>
              <w:pStyle w:val="TableText0"/>
              <w:rPr>
                <w:snapToGrid w:val="0"/>
              </w:rPr>
            </w:pPr>
            <w:r w:rsidRPr="007D1918">
              <w:rPr>
                <w:snapToGrid w:val="0"/>
              </w:rPr>
              <w:t>Tinnitus</w:t>
            </w:r>
          </w:p>
          <w:p w14:paraId="5D63030E" w14:textId="77777777" w:rsidR="00C66AA8" w:rsidRPr="007D1918" w:rsidRDefault="00C66AA8" w:rsidP="006341C8">
            <w:pPr>
              <w:pStyle w:val="TableText0"/>
              <w:rPr>
                <w:snapToGrid w:val="0"/>
              </w:rPr>
            </w:pPr>
            <w:r w:rsidRPr="007D1918">
              <w:rPr>
                <w:snapToGrid w:val="0"/>
              </w:rPr>
              <w:t>Fatigue</w:t>
            </w:r>
          </w:p>
        </w:tc>
        <w:tc>
          <w:tcPr>
            <w:tcW w:w="1611" w:type="pct"/>
            <w:shd w:val="clear" w:color="auto" w:fill="auto"/>
          </w:tcPr>
          <w:p w14:paraId="3A791E15" w14:textId="4D33C499" w:rsidR="00C66AA8" w:rsidRPr="007D1918" w:rsidRDefault="00C66AA8" w:rsidP="006341C8">
            <w:pPr>
              <w:pStyle w:val="TableText0"/>
              <w:rPr>
                <w:snapToGrid w:val="0"/>
              </w:rPr>
            </w:pPr>
            <w:r w:rsidRPr="007D1918">
              <w:rPr>
                <w:snapToGrid w:val="0"/>
              </w:rPr>
              <w:t>17/22 (77.3%)</w:t>
            </w:r>
          </w:p>
          <w:p w14:paraId="5383D7FB" w14:textId="5609F7D3" w:rsidR="00C66AA8" w:rsidRPr="007D1918" w:rsidRDefault="00C66AA8" w:rsidP="006341C8">
            <w:pPr>
              <w:pStyle w:val="TableText0"/>
              <w:rPr>
                <w:snapToGrid w:val="0"/>
              </w:rPr>
            </w:pPr>
            <w:r w:rsidRPr="007D1918">
              <w:rPr>
                <w:snapToGrid w:val="0"/>
              </w:rPr>
              <w:t>14/22 (63.6%)</w:t>
            </w:r>
          </w:p>
          <w:p w14:paraId="0401958C" w14:textId="5775361D" w:rsidR="00C66AA8" w:rsidRPr="007D1918" w:rsidRDefault="00C66AA8" w:rsidP="006341C8">
            <w:pPr>
              <w:pStyle w:val="TableText0"/>
              <w:rPr>
                <w:snapToGrid w:val="0"/>
              </w:rPr>
            </w:pPr>
            <w:r w:rsidRPr="007D1918">
              <w:rPr>
                <w:snapToGrid w:val="0"/>
              </w:rPr>
              <w:t>6/22 (27.3%)</w:t>
            </w:r>
          </w:p>
          <w:p w14:paraId="4BD2DBC6" w14:textId="46A9D5EB" w:rsidR="00C66AA8" w:rsidRPr="007D1918" w:rsidRDefault="00C66AA8" w:rsidP="006341C8">
            <w:pPr>
              <w:pStyle w:val="TableText0"/>
              <w:rPr>
                <w:snapToGrid w:val="0"/>
              </w:rPr>
            </w:pPr>
            <w:r w:rsidRPr="007D1918">
              <w:rPr>
                <w:snapToGrid w:val="0"/>
              </w:rPr>
              <w:t>4/22 (18.2%)</w:t>
            </w:r>
          </w:p>
          <w:p w14:paraId="73461271" w14:textId="7C807AF9" w:rsidR="00C66AA8" w:rsidRPr="007D1918" w:rsidRDefault="00C66AA8" w:rsidP="006341C8">
            <w:pPr>
              <w:pStyle w:val="TableText0"/>
              <w:rPr>
                <w:snapToGrid w:val="0"/>
              </w:rPr>
            </w:pPr>
            <w:r w:rsidRPr="007D1918">
              <w:rPr>
                <w:snapToGrid w:val="0"/>
              </w:rPr>
              <w:t>4/22 (18.2%)</w:t>
            </w:r>
          </w:p>
          <w:p w14:paraId="623E7F3F" w14:textId="67FAA428" w:rsidR="00C66AA8" w:rsidRPr="007D1918" w:rsidRDefault="00C66AA8" w:rsidP="006341C8">
            <w:pPr>
              <w:pStyle w:val="TableText0"/>
              <w:rPr>
                <w:snapToGrid w:val="0"/>
              </w:rPr>
            </w:pPr>
            <w:r w:rsidRPr="007D1918">
              <w:rPr>
                <w:snapToGrid w:val="0"/>
              </w:rPr>
              <w:t>3/22 (13.6%)</w:t>
            </w:r>
          </w:p>
          <w:p w14:paraId="12A47A04" w14:textId="5AAE1ED8" w:rsidR="00C66AA8" w:rsidRPr="007D1918" w:rsidRDefault="00C66AA8" w:rsidP="006341C8">
            <w:pPr>
              <w:pStyle w:val="TableText0"/>
              <w:rPr>
                <w:snapToGrid w:val="0"/>
              </w:rPr>
            </w:pPr>
            <w:r w:rsidRPr="007D1918">
              <w:rPr>
                <w:snapToGrid w:val="0"/>
              </w:rPr>
              <w:t>2/22 (9.1%)</w:t>
            </w:r>
          </w:p>
          <w:p w14:paraId="4AE9B508" w14:textId="64E23D40" w:rsidR="00C66AA8" w:rsidRPr="007D1918" w:rsidRDefault="00C66AA8" w:rsidP="006341C8">
            <w:pPr>
              <w:pStyle w:val="TableText0"/>
              <w:rPr>
                <w:snapToGrid w:val="0"/>
              </w:rPr>
            </w:pPr>
            <w:r w:rsidRPr="007D1918">
              <w:rPr>
                <w:snapToGrid w:val="0"/>
              </w:rPr>
              <w:t>1/22 (4.5%)</w:t>
            </w:r>
          </w:p>
          <w:p w14:paraId="02D2DBFC" w14:textId="5654B8F5" w:rsidR="00C66AA8" w:rsidRPr="007D1918" w:rsidRDefault="00C66AA8" w:rsidP="006341C8">
            <w:pPr>
              <w:pStyle w:val="TableText0"/>
              <w:rPr>
                <w:snapToGrid w:val="0"/>
              </w:rPr>
            </w:pPr>
            <w:r w:rsidRPr="007D1918">
              <w:rPr>
                <w:snapToGrid w:val="0"/>
              </w:rPr>
              <w:t>1/22 (4.5%)</w:t>
            </w:r>
          </w:p>
          <w:p w14:paraId="6E4E117C" w14:textId="0B4880C0" w:rsidR="00C66AA8" w:rsidRPr="007D1918" w:rsidRDefault="00C66AA8" w:rsidP="006341C8">
            <w:pPr>
              <w:pStyle w:val="TableText0"/>
              <w:rPr>
                <w:snapToGrid w:val="0"/>
              </w:rPr>
            </w:pPr>
            <w:r w:rsidRPr="007D1918">
              <w:rPr>
                <w:snapToGrid w:val="0"/>
              </w:rPr>
              <w:t>1/22 (4.5%)</w:t>
            </w:r>
          </w:p>
          <w:p w14:paraId="4401B211" w14:textId="777FEEE2" w:rsidR="00C66AA8" w:rsidRPr="007D1918" w:rsidRDefault="00C66AA8" w:rsidP="006341C8">
            <w:pPr>
              <w:pStyle w:val="TableText0"/>
              <w:rPr>
                <w:snapToGrid w:val="0"/>
              </w:rPr>
            </w:pPr>
            <w:r w:rsidRPr="007D1918">
              <w:rPr>
                <w:snapToGrid w:val="0"/>
              </w:rPr>
              <w:t>1/22 (4.5%)</w:t>
            </w:r>
          </w:p>
        </w:tc>
      </w:tr>
      <w:tr w:rsidR="00C66AA8" w:rsidRPr="007D1918" w14:paraId="2D033B2C" w14:textId="77777777" w:rsidTr="00C66AA8">
        <w:tc>
          <w:tcPr>
            <w:tcW w:w="1684" w:type="pct"/>
            <w:shd w:val="clear" w:color="auto" w:fill="auto"/>
          </w:tcPr>
          <w:p w14:paraId="1AC5577D" w14:textId="130C6EE3" w:rsidR="00C66AA8" w:rsidRPr="007D1918" w:rsidRDefault="0075212A" w:rsidP="006341C8">
            <w:pPr>
              <w:pStyle w:val="TableText0"/>
              <w:rPr>
                <w:snapToGrid w:val="0"/>
              </w:rPr>
            </w:pPr>
            <w:r w:rsidRPr="007D1918">
              <w:rPr>
                <w:snapToGrid w:val="0"/>
              </w:rPr>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12" w:tooltip="Bourque, 2016 #50" w:history="1">
              <w:r w:rsidR="007D4948" w:rsidRPr="007D1918">
                <w:rPr>
                  <w:noProof/>
                  <w:snapToGrid w:val="0"/>
                </w:rPr>
                <w:t>Bourque et al. 2016</w:t>
              </w:r>
            </w:hyperlink>
            <w:r w:rsidRPr="007D1918">
              <w:rPr>
                <w:noProof/>
                <w:snapToGrid w:val="0"/>
              </w:rPr>
              <w:t>)</w:t>
            </w:r>
            <w:r w:rsidRPr="007D1918">
              <w:rPr>
                <w:snapToGrid w:val="0"/>
              </w:rPr>
              <w:fldChar w:fldCharType="end"/>
            </w:r>
            <w:r w:rsidR="00FB3E3F" w:rsidRPr="007D1918">
              <w:rPr>
                <w:snapToGrid w:val="0"/>
              </w:rPr>
              <w:t xml:space="preserve">, </w:t>
            </w:r>
            <w:r w:rsidR="00C66AA8" w:rsidRPr="007D1918">
              <w:rPr>
                <w:snapToGrid w:val="0"/>
              </w:rPr>
              <w:t>Canada</w:t>
            </w:r>
          </w:p>
          <w:p w14:paraId="61643F8E" w14:textId="77777777" w:rsidR="00C66AA8" w:rsidRPr="007D1918" w:rsidRDefault="00C66AA8" w:rsidP="006341C8">
            <w:pPr>
              <w:pStyle w:val="TableText0"/>
              <w:rPr>
                <w:snapToGrid w:val="0"/>
              </w:rPr>
            </w:pPr>
            <w:r w:rsidRPr="007D1918">
              <w:rPr>
                <w:snapToGrid w:val="0"/>
              </w:rPr>
              <w:t>Level IV</w:t>
            </w:r>
          </w:p>
          <w:p w14:paraId="1FBA1B7F" w14:textId="68A60866" w:rsidR="00C66AA8" w:rsidRPr="007D1918" w:rsidRDefault="00C66AA8" w:rsidP="006341C8">
            <w:pPr>
              <w:pStyle w:val="TableText0"/>
              <w:rPr>
                <w:snapToGrid w:val="0"/>
              </w:rPr>
            </w:pPr>
            <w:r w:rsidRPr="007D1918">
              <w:rPr>
                <w:snapToGrid w:val="0"/>
              </w:rPr>
              <w:t>Low risk of bias</w:t>
            </w:r>
          </w:p>
        </w:tc>
        <w:tc>
          <w:tcPr>
            <w:tcW w:w="1705" w:type="pct"/>
          </w:tcPr>
          <w:p w14:paraId="1DAF64B0" w14:textId="77777777" w:rsidR="00C66AA8" w:rsidRPr="007D1918" w:rsidRDefault="00C66AA8" w:rsidP="006341C8">
            <w:pPr>
              <w:pStyle w:val="TableText0"/>
              <w:rPr>
                <w:snapToGrid w:val="0"/>
              </w:rPr>
            </w:pPr>
            <w:r w:rsidRPr="007D1918">
              <w:rPr>
                <w:snapToGrid w:val="0"/>
              </w:rPr>
              <w:t>Prominent ecchymosis</w:t>
            </w:r>
          </w:p>
        </w:tc>
        <w:tc>
          <w:tcPr>
            <w:tcW w:w="1611" w:type="pct"/>
            <w:shd w:val="clear" w:color="auto" w:fill="auto"/>
          </w:tcPr>
          <w:p w14:paraId="6CB669BC" w14:textId="01FC4998" w:rsidR="00C66AA8" w:rsidRPr="007D1918" w:rsidRDefault="00C66AA8" w:rsidP="006341C8">
            <w:pPr>
              <w:pStyle w:val="TableText0"/>
              <w:rPr>
                <w:snapToGrid w:val="0"/>
              </w:rPr>
            </w:pPr>
            <w:r w:rsidRPr="007D1918">
              <w:rPr>
                <w:snapToGrid w:val="0"/>
              </w:rPr>
              <w:t>1/9 (11.1%)</w:t>
            </w:r>
          </w:p>
        </w:tc>
      </w:tr>
    </w:tbl>
    <w:p w14:paraId="7001D3C9" w14:textId="77777777" w:rsidR="00C66AA8" w:rsidRPr="007D1918" w:rsidRDefault="00C66AA8" w:rsidP="00C66AA8">
      <w:pPr>
        <w:pStyle w:val="Tablenotes0"/>
      </w:pPr>
      <w:r w:rsidRPr="007D1918">
        <w:t>SCIg = subcutaneous immunoglobulin therapy</w:t>
      </w:r>
    </w:p>
    <w:p w14:paraId="23552BC5" w14:textId="77777777" w:rsidR="00D311A0" w:rsidRPr="007D1918" w:rsidRDefault="00D311A0" w:rsidP="00DF343F">
      <w:pPr>
        <w:jc w:val="both"/>
      </w:pPr>
    </w:p>
    <w:p w14:paraId="157CFA10" w14:textId="77777777" w:rsidR="00096AAE" w:rsidRPr="007D1918" w:rsidRDefault="00096AAE" w:rsidP="00DF343F">
      <w:pPr>
        <w:jc w:val="both"/>
        <w:sectPr w:rsidR="00096AAE" w:rsidRPr="007D1918" w:rsidSect="00945DB8">
          <w:type w:val="oddPage"/>
          <w:pgSz w:w="11906" w:h="16838"/>
          <w:pgMar w:top="1440" w:right="1440" w:bottom="1440" w:left="1440" w:header="720" w:footer="720" w:gutter="0"/>
          <w:paperSrc w:first="2" w:other="2"/>
          <w:cols w:space="720"/>
        </w:sectPr>
      </w:pPr>
    </w:p>
    <w:p w14:paraId="7691F4F3" w14:textId="77777777" w:rsidR="008F59A8" w:rsidRPr="007D1918" w:rsidRDefault="008F59A8" w:rsidP="00DF343F">
      <w:pPr>
        <w:pStyle w:val="Heading2"/>
        <w:jc w:val="both"/>
      </w:pPr>
      <w:bookmarkStart w:id="246" w:name="_Toc379118084"/>
      <w:bookmarkStart w:id="247" w:name="_Toc381796469"/>
      <w:bookmarkStart w:id="248" w:name="_Toc23766970"/>
      <w:r w:rsidRPr="007D1918">
        <w:lastRenderedPageBreak/>
        <w:t>Is it effective?</w:t>
      </w:r>
      <w:bookmarkEnd w:id="246"/>
      <w:bookmarkEnd w:id="247"/>
      <w:bookmarkEnd w:id="248"/>
      <w:r w:rsidRPr="007D1918">
        <w:t xml:space="preserve"> </w:t>
      </w:r>
    </w:p>
    <w:p w14:paraId="3D9A2FF0" w14:textId="645DB127" w:rsidR="004C1D35" w:rsidRPr="007D1918" w:rsidRDefault="004C1D35" w:rsidP="004C1D35">
      <w:pPr>
        <w:pStyle w:val="Summaryboxheading"/>
        <w:pBdr>
          <w:top w:val="single" w:sz="4" w:space="1" w:color="auto"/>
          <w:left w:val="single" w:sz="4" w:space="4" w:color="auto"/>
          <w:bottom w:val="single" w:sz="4" w:space="1" w:color="auto"/>
          <w:right w:val="single" w:sz="4" w:space="4" w:color="auto"/>
        </w:pBdr>
        <w:jc w:val="both"/>
      </w:pPr>
      <w:r w:rsidRPr="007D1918">
        <w:t>Summary – What is the effectiveness of IVIg compared to PE for patients with MG?</w:t>
      </w:r>
    </w:p>
    <w:p w14:paraId="5F2DDF87" w14:textId="77777777" w:rsidR="004C1D35" w:rsidRPr="007D1918" w:rsidRDefault="004C1D35" w:rsidP="004C1D35">
      <w:pPr>
        <w:pStyle w:val="Summaryboxheading"/>
        <w:pBdr>
          <w:top w:val="single" w:sz="4" w:space="1" w:color="auto"/>
          <w:left w:val="single" w:sz="4" w:space="4" w:color="auto"/>
          <w:bottom w:val="single" w:sz="4" w:space="1" w:color="auto"/>
          <w:right w:val="single" w:sz="4" w:space="4" w:color="auto"/>
        </w:pBdr>
        <w:jc w:val="both"/>
      </w:pPr>
      <w:r w:rsidRPr="007D1918">
        <w:t>Indication 1: Patients in or at risk of myasthenic crisis</w:t>
      </w:r>
    </w:p>
    <w:p w14:paraId="3EA2CFFD" w14:textId="79332C25" w:rsidR="009D27E1" w:rsidRPr="007D1918" w:rsidRDefault="009D27E1" w:rsidP="009D27E1">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In one large retrospective cohort analysis</w:t>
      </w:r>
      <w:r w:rsidR="00451342" w:rsidRPr="007D1918">
        <w:rPr>
          <w:b w:val="0"/>
        </w:rPr>
        <w:t>,</w:t>
      </w:r>
      <w:r w:rsidRPr="007D1918">
        <w:rPr>
          <w:b w:val="0"/>
        </w:rPr>
        <w:t xml:space="preserve"> mortality was significantly more frequent in the patients receiving PE compared to those receiving IVIg (P = 0.002)</w:t>
      </w:r>
      <w:r w:rsidR="0039665C" w:rsidRPr="007D1918">
        <w:rPr>
          <w:b w:val="0"/>
        </w:rPr>
        <w:t>.</w:t>
      </w:r>
      <w:r w:rsidRPr="007D1918">
        <w:rPr>
          <w:b w:val="0"/>
        </w:rPr>
        <w:t xml:space="preserve"> The difference in mortality </w:t>
      </w:r>
      <w:r w:rsidR="0039665C" w:rsidRPr="007D1918">
        <w:rPr>
          <w:b w:val="0"/>
        </w:rPr>
        <w:t xml:space="preserve">rates </w:t>
      </w:r>
      <w:r w:rsidRPr="007D1918">
        <w:rPr>
          <w:b w:val="0"/>
        </w:rPr>
        <w:t xml:space="preserve">may not be as large as indicated by the data, </w:t>
      </w:r>
      <w:r w:rsidR="0039665C" w:rsidRPr="007D1918">
        <w:rPr>
          <w:b w:val="0"/>
        </w:rPr>
        <w:t xml:space="preserve">given </w:t>
      </w:r>
      <w:r w:rsidRPr="007D1918">
        <w:rPr>
          <w:b w:val="0"/>
        </w:rPr>
        <w:t xml:space="preserve">the baseline population </w:t>
      </w:r>
      <w:r w:rsidR="0039665C" w:rsidRPr="007D1918">
        <w:rPr>
          <w:b w:val="0"/>
        </w:rPr>
        <w:t xml:space="preserve">characteristics </w:t>
      </w:r>
      <w:r w:rsidRPr="007D1918">
        <w:rPr>
          <w:b w:val="0"/>
        </w:rPr>
        <w:t xml:space="preserve">indicate </w:t>
      </w:r>
      <w:r w:rsidR="0039665C" w:rsidRPr="007D1918">
        <w:rPr>
          <w:b w:val="0"/>
        </w:rPr>
        <w:t>patients given PE are more likely to have systemic infection (p &lt; 0.0001). P</w:t>
      </w:r>
      <w:r w:rsidRPr="007D1918">
        <w:rPr>
          <w:b w:val="0"/>
        </w:rPr>
        <w:t xml:space="preserve">atients at a more critical stage, for example requiring intubation, may be more likely to be given PE as it is thought to act more quickly. Two smaller studies did not find any difference in mortality between the </w:t>
      </w:r>
      <w:r w:rsidR="00383C30" w:rsidRPr="007D1918">
        <w:rPr>
          <w:b w:val="0"/>
        </w:rPr>
        <w:t>p</w:t>
      </w:r>
      <w:r w:rsidR="0039665C" w:rsidRPr="007D1918">
        <w:rPr>
          <w:b w:val="0"/>
        </w:rPr>
        <w:t>atients treated with IVIg or PE.</w:t>
      </w:r>
      <w:r w:rsidRPr="007D1918">
        <w:rPr>
          <w:b w:val="0"/>
        </w:rPr>
        <w:t xml:space="preserve"> </w:t>
      </w:r>
    </w:p>
    <w:p w14:paraId="7BF65DD6" w14:textId="59DFF700" w:rsidR="0039665C" w:rsidRPr="007D1918" w:rsidRDefault="009D27E1" w:rsidP="009D27E1">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The MGC was not used in any studies to measure change in symptoms for the MG crisis population. For other symptom measures (MMS and MSS) there was a</w:t>
      </w:r>
      <w:r w:rsidR="0039665C" w:rsidRPr="007D1918">
        <w:rPr>
          <w:b w:val="0"/>
        </w:rPr>
        <w:t xml:space="preserve"> similar</w:t>
      </w:r>
      <w:r w:rsidRPr="007D1918">
        <w:rPr>
          <w:b w:val="0"/>
        </w:rPr>
        <w:t xml:space="preserve"> improvement from baseline </w:t>
      </w:r>
      <w:r w:rsidR="0039665C" w:rsidRPr="007D1918">
        <w:rPr>
          <w:b w:val="0"/>
        </w:rPr>
        <w:t>at 15 days</w:t>
      </w:r>
      <w:r w:rsidR="00451342" w:rsidRPr="007D1918">
        <w:rPr>
          <w:b w:val="0"/>
        </w:rPr>
        <w:t>,</w:t>
      </w:r>
      <w:r w:rsidR="0039665C" w:rsidRPr="007D1918">
        <w:rPr>
          <w:b w:val="0"/>
        </w:rPr>
        <w:t xml:space="preserve"> with</w:t>
      </w:r>
      <w:r w:rsidRPr="007D1918">
        <w:rPr>
          <w:b w:val="0"/>
        </w:rPr>
        <w:t xml:space="preserve"> no </w:t>
      </w:r>
      <w:r w:rsidR="00EE7B19" w:rsidRPr="007D1918">
        <w:rPr>
          <w:b w:val="0"/>
        </w:rPr>
        <w:t xml:space="preserve">conclusive </w:t>
      </w:r>
      <w:r w:rsidRPr="007D1918">
        <w:rPr>
          <w:b w:val="0"/>
        </w:rPr>
        <w:t>differences between groups receiving IVIg and PE</w:t>
      </w:r>
      <w:r w:rsidR="00383C30" w:rsidRPr="007D1918">
        <w:rPr>
          <w:b w:val="0"/>
        </w:rPr>
        <w:t>.</w:t>
      </w:r>
    </w:p>
    <w:p w14:paraId="5DEDEFEE" w14:textId="357AD04E" w:rsidR="004C1D35" w:rsidRPr="007D1918" w:rsidRDefault="004C1D35" w:rsidP="009D27E1">
      <w:pPr>
        <w:pStyle w:val="Summaryboxheading"/>
        <w:pBdr>
          <w:top w:val="single" w:sz="4" w:space="1" w:color="auto"/>
          <w:left w:val="single" w:sz="4" w:space="4" w:color="auto"/>
          <w:bottom w:val="single" w:sz="4" w:space="1" w:color="auto"/>
          <w:right w:val="single" w:sz="4" w:space="4" w:color="auto"/>
        </w:pBdr>
        <w:jc w:val="both"/>
      </w:pPr>
      <w:r w:rsidRPr="007D1918">
        <w:t>Indication 2: Patients with MG preparing for surgery</w:t>
      </w:r>
    </w:p>
    <w:p w14:paraId="00EAD97F" w14:textId="3F8BD471" w:rsidR="0039665C" w:rsidRPr="007D1918" w:rsidRDefault="0039665C" w:rsidP="004C1D35">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 xml:space="preserve">In patients who were preparing for surgery there was no difference in symptom change (change in Osserman grade) between IVIg and PE groups although symptoms improved in both groups following surgery. </w:t>
      </w:r>
      <w:r w:rsidR="004C6D62" w:rsidRPr="007D1918">
        <w:rPr>
          <w:b w:val="0"/>
        </w:rPr>
        <w:t>Patients</w:t>
      </w:r>
      <w:r w:rsidRPr="007D1918">
        <w:rPr>
          <w:b w:val="0"/>
        </w:rPr>
        <w:t xml:space="preserve"> had a shorter intubation period </w:t>
      </w:r>
      <w:r w:rsidR="004C6D62" w:rsidRPr="007D1918">
        <w:rPr>
          <w:b w:val="0"/>
        </w:rPr>
        <w:t>on average and fewer required intubation when randomised to IVIg compared to PE</w:t>
      </w:r>
      <w:r w:rsidRPr="007D1918">
        <w:rPr>
          <w:b w:val="0"/>
        </w:rPr>
        <w:t xml:space="preserve"> in one study. In contrast, benefit perceived by patients favoured PE over IVIg using a subjective tool in another study.</w:t>
      </w:r>
      <w:r w:rsidR="004C6D62" w:rsidRPr="007D1918">
        <w:rPr>
          <w:b w:val="0"/>
        </w:rPr>
        <w:t xml:space="preserve"> Overall there was no strong evidence favouring IVIg or PE in patients preparing for surgery.</w:t>
      </w:r>
    </w:p>
    <w:p w14:paraId="6A3AAF24" w14:textId="4CA684B3" w:rsidR="004C1D35" w:rsidRPr="007D1918" w:rsidRDefault="004C1D35" w:rsidP="004C1D35">
      <w:pPr>
        <w:pStyle w:val="Summaryboxheading"/>
        <w:pBdr>
          <w:top w:val="single" w:sz="4" w:space="1" w:color="auto"/>
          <w:left w:val="single" w:sz="4" w:space="4" w:color="auto"/>
          <w:bottom w:val="single" w:sz="4" w:space="1" w:color="auto"/>
          <w:right w:val="single" w:sz="4" w:space="4" w:color="auto"/>
        </w:pBdr>
        <w:jc w:val="both"/>
      </w:pPr>
      <w:r w:rsidRPr="007D1918">
        <w:t>Indication 3: Patients needing to change maintenance therapy for MG</w:t>
      </w:r>
    </w:p>
    <w:p w14:paraId="2DE9B700" w14:textId="1FCD9E71" w:rsidR="00686247" w:rsidRPr="007D1918" w:rsidRDefault="004C6D62" w:rsidP="00686247">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 xml:space="preserve">There were few conclusive differences between IVIg and </w:t>
      </w:r>
      <w:r w:rsidR="00686247" w:rsidRPr="007D1918">
        <w:rPr>
          <w:b w:val="0"/>
        </w:rPr>
        <w:t xml:space="preserve">other therapies </w:t>
      </w:r>
      <w:r w:rsidRPr="007D1918">
        <w:rPr>
          <w:b w:val="0"/>
        </w:rPr>
        <w:t>for adults and children receiving maintenance therapy.</w:t>
      </w:r>
      <w:r w:rsidR="00686247" w:rsidRPr="007D1918">
        <w:rPr>
          <w:b w:val="0"/>
        </w:rPr>
        <w:t xml:space="preserve"> </w:t>
      </w:r>
    </w:p>
    <w:p w14:paraId="0A3C3EC5" w14:textId="7A1E54FC" w:rsidR="00686247" w:rsidRPr="007D1918" w:rsidRDefault="00686247" w:rsidP="00686247">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There was an incremental benefit in symptom improvement (QMGS) for adult patients given IVIg on top of standard maintenance therapies which peaked at 14 days. The benefit decreased with time after that.</w:t>
      </w:r>
    </w:p>
    <w:p w14:paraId="63865AF6" w14:textId="4C4003D3" w:rsidR="004C1D35" w:rsidRPr="007D1918" w:rsidRDefault="004C6D62" w:rsidP="004C6D62">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 xml:space="preserve">There was no difference in the rate of infection between patients receiving IVIg or PE reported in the large retrospective cohort study </w:t>
      </w:r>
      <w:r w:rsidR="0075212A" w:rsidRPr="007D1918">
        <w:rPr>
          <w:b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b w:val="0"/>
        </w:rPr>
        <w:instrText xml:space="preserve"> ADDIN EN.CITE </w:instrText>
      </w:r>
      <w:r w:rsidR="007F4CDE" w:rsidRPr="007D1918">
        <w:rPr>
          <w:b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b w:val="0"/>
        </w:rPr>
        <w:instrText xml:space="preserve"> ADDIN EN.CITE.DATA </w:instrText>
      </w:r>
      <w:r w:rsidR="007F4CDE" w:rsidRPr="007D1918">
        <w:rPr>
          <w:b w:val="0"/>
        </w:rPr>
      </w:r>
      <w:r w:rsidR="007F4CDE" w:rsidRPr="007D1918">
        <w:rPr>
          <w:b w:val="0"/>
        </w:rPr>
        <w:fldChar w:fldCharType="end"/>
      </w:r>
      <w:r w:rsidR="0075212A" w:rsidRPr="007D1918">
        <w:rPr>
          <w:b w:val="0"/>
        </w:rPr>
      </w:r>
      <w:r w:rsidR="0075212A" w:rsidRPr="007D1918">
        <w:rPr>
          <w:b w:val="0"/>
        </w:rPr>
        <w:fldChar w:fldCharType="separate"/>
      </w:r>
      <w:r w:rsidR="0075212A" w:rsidRPr="007D1918">
        <w:rPr>
          <w:b w:val="0"/>
          <w:noProof/>
        </w:rPr>
        <w:t>(</w:t>
      </w:r>
      <w:hyperlink w:anchor="_ENREF_64" w:tooltip="Mandawat, 2010 #37" w:history="1">
        <w:r w:rsidR="007D4948" w:rsidRPr="007D1918">
          <w:rPr>
            <w:b w:val="0"/>
            <w:noProof/>
          </w:rPr>
          <w:t>Mandawat et al. 2010</w:t>
        </w:r>
      </w:hyperlink>
      <w:r w:rsidR="0075212A" w:rsidRPr="007D1918">
        <w:rPr>
          <w:b w:val="0"/>
          <w:noProof/>
        </w:rPr>
        <w:t>)</w:t>
      </w:r>
      <w:r w:rsidR="0075212A" w:rsidRPr="007D1918">
        <w:rPr>
          <w:b w:val="0"/>
        </w:rPr>
        <w:fldChar w:fldCharType="end"/>
      </w:r>
      <w:r w:rsidRPr="007D1918">
        <w:rPr>
          <w:b w:val="0"/>
        </w:rPr>
        <w:t xml:space="preserve">. Although it was stated that the patients were not in crisis, it was difficult to tell if they met </w:t>
      </w:r>
      <w:r w:rsidR="0088065E" w:rsidRPr="007D1918">
        <w:rPr>
          <w:b w:val="0"/>
          <w:i/>
        </w:rPr>
        <w:t>Criteria V3</w:t>
      </w:r>
      <w:r w:rsidR="0088065E" w:rsidRPr="007D1918">
        <w:rPr>
          <w:b w:val="0"/>
        </w:rPr>
        <w:t xml:space="preserve"> </w:t>
      </w:r>
      <w:r w:rsidRPr="007D1918">
        <w:rPr>
          <w:b w:val="0"/>
        </w:rPr>
        <w:t>Indication 3.</w:t>
      </w:r>
    </w:p>
    <w:p w14:paraId="364DEE13" w14:textId="77F630ED" w:rsidR="00A56D77" w:rsidRPr="007D1918" w:rsidRDefault="00686247" w:rsidP="005C061E">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There was a trend for greater improvement in patients given</w:t>
      </w:r>
      <w:r w:rsidR="004C6D62" w:rsidRPr="007D1918">
        <w:rPr>
          <w:b w:val="0"/>
        </w:rPr>
        <w:t xml:space="preserve"> PE </w:t>
      </w:r>
      <w:r w:rsidRPr="007D1918">
        <w:rPr>
          <w:b w:val="0"/>
        </w:rPr>
        <w:t>compared to IVIg</w:t>
      </w:r>
      <w:r w:rsidR="004C6D62" w:rsidRPr="007D1918">
        <w:rPr>
          <w:b w:val="0"/>
        </w:rPr>
        <w:t xml:space="preserve"> in symptoms measured using the QMGS at 28 days and 16 weeks from start of treatment</w:t>
      </w:r>
      <w:r w:rsidR="002630F7" w:rsidRPr="007D1918">
        <w:rPr>
          <w:b w:val="0"/>
        </w:rPr>
        <w:t>,</w:t>
      </w:r>
      <w:r w:rsidR="004C6D62" w:rsidRPr="007D1918">
        <w:rPr>
          <w:b w:val="0"/>
        </w:rPr>
        <w:t xml:space="preserve"> with strongest improvement in symptoms seen in the first 2 weeks (results from three studies). Only a small degree of improvement appeared to be sustained for up to 16 weeks for either IVIg or PE. Longer term comparative studies may be more informative on the degree of </w:t>
      </w:r>
      <w:r w:rsidR="004C6D62" w:rsidRPr="007D1918">
        <w:rPr>
          <w:b w:val="0"/>
        </w:rPr>
        <w:lastRenderedPageBreak/>
        <w:t xml:space="preserve">sustained symptom improvement, </w:t>
      </w:r>
      <w:r w:rsidR="001870F0" w:rsidRPr="007D1918">
        <w:rPr>
          <w:b w:val="0"/>
        </w:rPr>
        <w:t>A</w:t>
      </w:r>
      <w:r w:rsidR="004C6D62" w:rsidRPr="007D1918">
        <w:rPr>
          <w:b w:val="0"/>
        </w:rPr>
        <w:t xml:space="preserve">ccurate recording of baseline </w:t>
      </w:r>
      <w:r w:rsidR="001870F0" w:rsidRPr="007D1918">
        <w:rPr>
          <w:b w:val="0"/>
        </w:rPr>
        <w:t xml:space="preserve">severity is needed </w:t>
      </w:r>
      <w:r w:rsidR="004C6D62" w:rsidRPr="007D1918">
        <w:rPr>
          <w:b w:val="0"/>
        </w:rPr>
        <w:t>as the degree of improvement may be influenced by the severity of symptoms at baseline.</w:t>
      </w:r>
    </w:p>
    <w:p w14:paraId="66B31C9A" w14:textId="42996BC5" w:rsidR="00A56D77" w:rsidRPr="007D1918" w:rsidRDefault="004C6D62" w:rsidP="005C061E">
      <w:pPr>
        <w:pStyle w:val="Summaryboxheading"/>
        <w:pBdr>
          <w:top w:val="single" w:sz="4" w:space="1" w:color="auto"/>
          <w:left w:val="single" w:sz="4" w:space="4" w:color="auto"/>
          <w:bottom w:val="single" w:sz="4" w:space="1" w:color="auto"/>
          <w:right w:val="single" w:sz="4" w:space="4" w:color="auto"/>
        </w:pBdr>
        <w:jc w:val="both"/>
        <w:rPr>
          <w:b w:val="0"/>
        </w:rPr>
      </w:pPr>
      <w:r w:rsidRPr="007D1918">
        <w:rPr>
          <w:b w:val="0"/>
        </w:rPr>
        <w:t xml:space="preserve">For patients given SCIg, symptoms </w:t>
      </w:r>
      <w:r w:rsidR="00DB0193" w:rsidRPr="007D1918">
        <w:rPr>
          <w:b w:val="0"/>
        </w:rPr>
        <w:t>decreased for up to</w:t>
      </w:r>
      <w:r w:rsidRPr="007D1918">
        <w:rPr>
          <w:b w:val="0"/>
        </w:rPr>
        <w:t xml:space="preserve"> </w:t>
      </w:r>
      <w:r w:rsidR="001870F0" w:rsidRPr="007D1918">
        <w:rPr>
          <w:b w:val="0"/>
        </w:rPr>
        <w:t xml:space="preserve">six </w:t>
      </w:r>
      <w:r w:rsidRPr="007D1918">
        <w:rPr>
          <w:b w:val="0"/>
        </w:rPr>
        <w:t>weeks compared to baseline using the QMGS, MMT and MGC tools</w:t>
      </w:r>
      <w:r w:rsidR="00DB0193" w:rsidRPr="007D1918">
        <w:rPr>
          <w:b w:val="0"/>
        </w:rPr>
        <w:t>.</w:t>
      </w:r>
      <w:r w:rsidRPr="007D1918">
        <w:rPr>
          <w:b w:val="0"/>
        </w:rPr>
        <w:t xml:space="preserve"> QoL measured by MG-ADL, MG-QoL and a VAS scale </w:t>
      </w:r>
      <w:r w:rsidR="00DB0193" w:rsidRPr="007D1918">
        <w:rPr>
          <w:b w:val="0"/>
        </w:rPr>
        <w:t xml:space="preserve">also improved. </w:t>
      </w:r>
      <w:r w:rsidRPr="007D1918">
        <w:rPr>
          <w:b w:val="0"/>
        </w:rPr>
        <w:t xml:space="preserve">There was no valid comparator in these studies so conclusions </w:t>
      </w:r>
      <w:r w:rsidR="00451342" w:rsidRPr="007D1918">
        <w:rPr>
          <w:b w:val="0"/>
        </w:rPr>
        <w:t>cannot be drawn</w:t>
      </w:r>
      <w:r w:rsidRPr="007D1918">
        <w:rPr>
          <w:b w:val="0"/>
        </w:rPr>
        <w:t xml:space="preserve"> from the data.</w:t>
      </w:r>
    </w:p>
    <w:p w14:paraId="1B5A1E08" w14:textId="45388815" w:rsidR="00211701" w:rsidRPr="007D1918" w:rsidRDefault="00FE619D" w:rsidP="00870577">
      <w:pPr>
        <w:widowControl w:val="0"/>
        <w:jc w:val="both"/>
      </w:pPr>
      <w:r w:rsidRPr="007D1918">
        <w:t xml:space="preserve">A summary of the evidence included for effectiveness of IVIg for </w:t>
      </w:r>
      <w:r w:rsidR="0088065E" w:rsidRPr="007D1918">
        <w:rPr>
          <w:i/>
        </w:rPr>
        <w:t>Criteria V3</w:t>
      </w:r>
      <w:r w:rsidRPr="007D1918">
        <w:t xml:space="preserve"> Indications 1 and 2 and IVIg or SCIg for NBA Indication 3 is provided in </w:t>
      </w:r>
      <w:r w:rsidR="00451342" w:rsidRPr="007D1918">
        <w:fldChar w:fldCharType="begin"/>
      </w:r>
      <w:r w:rsidR="00451342" w:rsidRPr="007D1918">
        <w:instrText xml:space="preserve"> REF _Ref399236533 \h </w:instrText>
      </w:r>
      <w:r w:rsidR="00870577" w:rsidRPr="007D1918">
        <w:instrText xml:space="preserve"> \* MERGEFORMAT </w:instrText>
      </w:r>
      <w:r w:rsidR="00451342" w:rsidRPr="007D1918">
        <w:fldChar w:fldCharType="separate"/>
      </w:r>
      <w:r w:rsidR="00153384" w:rsidRPr="007D1918">
        <w:t xml:space="preserve">Table </w:t>
      </w:r>
      <w:r w:rsidR="00153384" w:rsidRPr="007D1918">
        <w:rPr>
          <w:noProof/>
        </w:rPr>
        <w:t>11</w:t>
      </w:r>
      <w:r w:rsidR="00451342" w:rsidRPr="007D1918">
        <w:fldChar w:fldCharType="end"/>
      </w:r>
      <w:r w:rsidRPr="007D1918">
        <w:t xml:space="preserve"> (</w:t>
      </w:r>
      <w:r w:rsidR="00E64369" w:rsidRPr="007D1918">
        <w:t>SR</w:t>
      </w:r>
      <w:r w:rsidRPr="007D1918">
        <w:t xml:space="preserve">s) and </w:t>
      </w:r>
      <w:r w:rsidR="00E6595E" w:rsidRPr="007D1918">
        <w:fldChar w:fldCharType="begin"/>
      </w:r>
      <w:r w:rsidR="00E6595E" w:rsidRPr="007D1918">
        <w:instrText xml:space="preserve"> REF _Ref13486693 \h </w:instrText>
      </w:r>
      <w:r w:rsidR="00870577" w:rsidRPr="007D1918">
        <w:instrText xml:space="preserve"> \* MERGEFORMAT </w:instrText>
      </w:r>
      <w:r w:rsidR="00E6595E" w:rsidRPr="007D1918">
        <w:fldChar w:fldCharType="separate"/>
      </w:r>
      <w:r w:rsidR="00153384" w:rsidRPr="007D1918">
        <w:t xml:space="preserve">Table </w:t>
      </w:r>
      <w:r w:rsidR="00153384" w:rsidRPr="007D1918">
        <w:rPr>
          <w:noProof/>
        </w:rPr>
        <w:t>12</w:t>
      </w:r>
      <w:r w:rsidR="00E6595E" w:rsidRPr="007D1918">
        <w:fldChar w:fldCharType="end"/>
      </w:r>
      <w:r w:rsidRPr="007D1918">
        <w:t xml:space="preserve"> (primary studies). The full evidence profile table (with explanatory footnotes), incorporating all critical and important outcomes, can be found in </w:t>
      </w:r>
      <w:r w:rsidRPr="007D1918">
        <w:fldChar w:fldCharType="begin"/>
      </w:r>
      <w:r w:rsidRPr="007D1918">
        <w:instrText xml:space="preserve"> REF _Ref190841600 \h </w:instrText>
      </w:r>
      <w:r w:rsidR="00FD307E" w:rsidRPr="007D1918">
        <w:instrText xml:space="preserve"> \* MERGEFORMAT </w:instrText>
      </w:r>
      <w:r w:rsidRPr="007D1918">
        <w:fldChar w:fldCharType="separate"/>
      </w:r>
      <w:r w:rsidR="00153384" w:rsidRPr="007D1918">
        <w:t xml:space="preserve">Appendix </w:t>
      </w:r>
      <w:r w:rsidR="00153384" w:rsidRPr="007D1918">
        <w:rPr>
          <w:noProof/>
        </w:rPr>
        <w:t>C</w:t>
      </w:r>
      <w:r w:rsidR="00153384" w:rsidRPr="007D1918">
        <w:tab/>
        <w:t>Studies included in the Systematic Review</w:t>
      </w:r>
      <w:r w:rsidRPr="007D1918">
        <w:fldChar w:fldCharType="end"/>
      </w:r>
      <w:r w:rsidRPr="007D1918">
        <w:t>.</w:t>
      </w:r>
      <w:r w:rsidR="008D77A9" w:rsidRPr="007D1918">
        <w:t xml:space="preserve"> </w:t>
      </w:r>
      <w:r w:rsidR="00E50E25" w:rsidRPr="007D1918">
        <w:t xml:space="preserve">A summary of the clinical benefits and harms of Ig for MG is provided in </w:t>
      </w:r>
      <w:r w:rsidR="008D77A9" w:rsidRPr="007D1918">
        <w:fldChar w:fldCharType="begin"/>
      </w:r>
      <w:r w:rsidR="008D77A9" w:rsidRPr="007D1918">
        <w:instrText xml:space="preserve"> REF _Ref12884166 \h </w:instrText>
      </w:r>
      <w:r w:rsidR="00870577" w:rsidRPr="007D1918">
        <w:instrText xml:space="preserve"> \* MERGEFORMAT </w:instrText>
      </w:r>
      <w:r w:rsidR="008D77A9" w:rsidRPr="007D1918">
        <w:fldChar w:fldCharType="separate"/>
      </w:r>
      <w:r w:rsidR="00153384" w:rsidRPr="007D1918">
        <w:t xml:space="preserve">Table </w:t>
      </w:r>
      <w:r w:rsidR="00153384" w:rsidRPr="007D1918">
        <w:rPr>
          <w:noProof/>
        </w:rPr>
        <w:t>48</w:t>
      </w:r>
      <w:r w:rsidR="008D77A9" w:rsidRPr="007D1918">
        <w:fldChar w:fldCharType="end"/>
      </w:r>
      <w:r w:rsidR="008D77A9" w:rsidRPr="007D1918">
        <w:t xml:space="preserve"> to</w:t>
      </w:r>
      <w:r w:rsidR="008D77A9" w:rsidRPr="007D1918">
        <w:fldChar w:fldCharType="begin"/>
      </w:r>
      <w:r w:rsidR="008D77A9" w:rsidRPr="007D1918">
        <w:instrText xml:space="preserve"> REF _Ref12884171 \h </w:instrText>
      </w:r>
      <w:r w:rsidR="00870577" w:rsidRPr="007D1918">
        <w:instrText xml:space="preserve"> \* MERGEFORMAT </w:instrText>
      </w:r>
      <w:r w:rsidR="008D77A9" w:rsidRPr="007D1918">
        <w:fldChar w:fldCharType="separate"/>
      </w:r>
      <w:r w:rsidR="00153384" w:rsidRPr="007D1918">
        <w:t>Table</w:t>
      </w:r>
      <w:r w:rsidR="00153384" w:rsidRPr="007D1918">
        <w:rPr>
          <w:noProof/>
        </w:rPr>
        <w:t xml:space="preserve"> 51</w:t>
      </w:r>
      <w:r w:rsidR="008D77A9" w:rsidRPr="007D1918">
        <w:fldChar w:fldCharType="end"/>
      </w:r>
      <w:r w:rsidR="00E50E25" w:rsidRPr="007D1918">
        <w:t>.</w:t>
      </w:r>
    </w:p>
    <w:p w14:paraId="495762A6" w14:textId="55BBEAE4" w:rsidR="00826C78" w:rsidRPr="007D1918" w:rsidRDefault="00826C78" w:rsidP="00101BB2">
      <w:pPr>
        <w:spacing w:after="0"/>
        <w:jc w:val="both"/>
      </w:pPr>
      <w:r w:rsidRPr="007D1918">
        <w:t xml:space="preserve">Three </w:t>
      </w:r>
      <w:r w:rsidR="00E64369" w:rsidRPr="007D1918">
        <w:t>SR</w:t>
      </w:r>
      <w:r w:rsidRPr="007D1918">
        <w:t xml:space="preserve">s compared IVIg </w:t>
      </w:r>
      <w:r w:rsidR="00815BBB" w:rsidRPr="007D1918">
        <w:t xml:space="preserve">and </w:t>
      </w:r>
      <w:r w:rsidRPr="007D1918">
        <w:t xml:space="preserve">PE for </w:t>
      </w:r>
      <w:r w:rsidR="00815BBB" w:rsidRPr="007D1918">
        <w:t xml:space="preserve">effectiveness in </w:t>
      </w:r>
      <w:r w:rsidRPr="007D1918">
        <w:t xml:space="preserve">the management of MG. </w:t>
      </w:r>
      <w:r w:rsidR="00815BBB" w:rsidRPr="007D1918">
        <w:t>The SRs were pearled for relevant individual studies providing evidence of effectiveness. In all, evidence was provided by eight RCTs, eight comparative cohort studies and seven case series with before and after treatment data. O</w:t>
      </w:r>
      <w:r w:rsidRPr="007D1918">
        <w:t xml:space="preserve">ne </w:t>
      </w:r>
      <w:r w:rsidR="00815BBB" w:rsidRPr="007D1918">
        <w:t xml:space="preserve">of the RCTs </w:t>
      </w:r>
      <w:r w:rsidRPr="007D1918">
        <w:t>(</w:t>
      </w:r>
      <w:hyperlink r:id="rId48" w:history="1">
        <w:r w:rsidRPr="007D1918">
          <w:rPr>
            <w:rStyle w:val="Hyperlink"/>
          </w:rPr>
          <w:t>NCT02473952</w:t>
        </w:r>
      </w:hyperlink>
      <w:r w:rsidRPr="007D1918">
        <w:t xml:space="preserve">) </w:t>
      </w:r>
      <w:r w:rsidR="00815BBB" w:rsidRPr="007D1918">
        <w:t>was</w:t>
      </w:r>
      <w:r w:rsidRPr="007D1918">
        <w:t xml:space="preserve"> identified </w:t>
      </w:r>
      <w:r w:rsidR="00E83E12" w:rsidRPr="007D1918">
        <w:t xml:space="preserve">through a meeting abstract </w:t>
      </w:r>
      <w:r w:rsidR="003736AC"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 </w:instrText>
      </w:r>
      <w:r w:rsidR="00C437BA"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EN.CITE.DATA </w:instrText>
      </w:r>
      <w:r w:rsidR="00C437BA" w:rsidRPr="007D1918">
        <w:fldChar w:fldCharType="end"/>
      </w:r>
      <w:r w:rsidR="003736AC" w:rsidRPr="007D1918">
        <w:fldChar w:fldCharType="separate"/>
      </w:r>
      <w:r w:rsidR="003736AC" w:rsidRPr="007D1918">
        <w:rPr>
          <w:noProof/>
        </w:rPr>
        <w:t>(</w:t>
      </w:r>
      <w:hyperlink w:anchor="_ENREF_40" w:tooltip="Griffin, 2017 #62" w:history="1">
        <w:r w:rsidR="007D4948" w:rsidRPr="007D1918">
          <w:rPr>
            <w:noProof/>
          </w:rPr>
          <w:t>Griffin et al. 2017b</w:t>
        </w:r>
      </w:hyperlink>
      <w:r w:rsidR="003736AC" w:rsidRPr="007D1918">
        <w:rPr>
          <w:noProof/>
        </w:rPr>
        <w:t>)</w:t>
      </w:r>
      <w:r w:rsidR="003736AC" w:rsidRPr="007D1918">
        <w:fldChar w:fldCharType="end"/>
      </w:r>
      <w:r w:rsidR="00E83E12" w:rsidRPr="007D1918">
        <w:t xml:space="preserve"> and mortality data </w:t>
      </w:r>
      <w:r w:rsidRPr="007D1918">
        <w:t>o</w:t>
      </w:r>
      <w:r w:rsidR="00E83E12" w:rsidRPr="007D1918">
        <w:t>n the clinicaltrial.gov website</w:t>
      </w:r>
      <w:r w:rsidRPr="007D1918">
        <w:t xml:space="preserve"> </w:t>
      </w:r>
      <w:r w:rsidR="00E83E12" w:rsidRPr="007D1918">
        <w:t>were</w:t>
      </w:r>
      <w:r w:rsidRPr="007D1918">
        <w:t xml:space="preserve"> included </w:t>
      </w:r>
      <w:r w:rsidR="00E83E12" w:rsidRPr="007D1918">
        <w:t>for effectiveness evidence</w:t>
      </w:r>
      <w:r w:rsidRPr="007D1918">
        <w:t xml:space="preserve">. </w:t>
      </w:r>
      <w:r w:rsidR="00E83E12" w:rsidRPr="007D1918">
        <w:t xml:space="preserve">This trial and a second RCT that </w:t>
      </w:r>
      <w:r w:rsidRPr="007D1918">
        <w:t>did not strictly meet the PICO criteria as the comparator was placebo</w:t>
      </w:r>
      <w:r w:rsidR="00E83E12" w:rsidRPr="007D1918">
        <w:t>, were</w:t>
      </w:r>
      <w:r w:rsidRPr="007D1918">
        <w:t xml:space="preserve"> included </w:t>
      </w:r>
      <w:r w:rsidR="00E83E12" w:rsidRPr="007D1918">
        <w:t>as they</w:t>
      </w:r>
      <w:r w:rsidRPr="007D1918">
        <w:t xml:space="preserve"> had the potential to show incremental benefit of IVIg over </w:t>
      </w:r>
      <w:r w:rsidR="00E83E12" w:rsidRPr="007D1918">
        <w:t xml:space="preserve">standard maintenance therapies listed as comparators for Indication 3 (IS, IM, PN) </w:t>
      </w:r>
      <w:hyperlink r:id="rId49" w:history="1">
        <w:r w:rsidR="00E83E12" w:rsidRPr="007D1918">
          <w:rPr>
            <w:rStyle w:val="Hyperlink"/>
          </w:rPr>
          <w:t>NCT02473952</w:t>
        </w:r>
      </w:hyperlink>
      <w:r w:rsidRPr="007D1918">
        <w:t>.</w:t>
      </w:r>
    </w:p>
    <w:p w14:paraId="38AB2F2B" w14:textId="77777777" w:rsidR="00101BB2" w:rsidRPr="007D1918" w:rsidRDefault="00101BB2" w:rsidP="00151AF9">
      <w:pPr>
        <w:jc w:val="both"/>
      </w:pPr>
    </w:p>
    <w:p w14:paraId="410E574B" w14:textId="77777777" w:rsidR="006B7DCE" w:rsidRPr="007D1918" w:rsidRDefault="006B7DCE" w:rsidP="00B44991">
      <w:pPr>
        <w:pStyle w:val="Heading3"/>
      </w:pPr>
      <w:bookmarkStart w:id="249" w:name="_Toc23766971"/>
      <w:bookmarkStart w:id="250" w:name="_Toc395200782"/>
      <w:r w:rsidRPr="007D1918">
        <w:t>Indication 1:  Patients in or at risk of myasthenic crisis</w:t>
      </w:r>
      <w:bookmarkEnd w:id="249"/>
    </w:p>
    <w:bookmarkEnd w:id="250"/>
    <w:p w14:paraId="1BCB8FBE" w14:textId="4FC999C1" w:rsidR="006B7DCE" w:rsidRPr="007D1918" w:rsidRDefault="006B7DCE" w:rsidP="006B7DCE">
      <w:pPr>
        <w:pStyle w:val="Heading4"/>
      </w:pPr>
      <w:r w:rsidRPr="007D1918">
        <w:t>Mortality</w:t>
      </w:r>
      <w:r w:rsidR="00210033" w:rsidRPr="007D1918">
        <w:t xml:space="preserve"> for patients receiving IVIg or PE therapy</w:t>
      </w:r>
    </w:p>
    <w:p w14:paraId="69B40E4F" w14:textId="1470132C" w:rsidR="002630F7" w:rsidRPr="007D1918" w:rsidRDefault="002630F7" w:rsidP="002630F7">
      <w:pPr>
        <w:jc w:val="both"/>
      </w:pPr>
      <w:r w:rsidRPr="007D1918">
        <w:t>Three retrospective cohort studies (level III-2) compared the rate of mortality between patients treated with IVIg and PE</w:t>
      </w:r>
      <w:r w:rsidR="00E50E25" w:rsidRPr="007D1918">
        <w:t xml:space="preserve"> </w:t>
      </w:r>
      <w:r w:rsidR="003736AC" w:rsidRPr="007D1918">
        <w:fldChar w:fldCharType="begin">
          <w:fldData xml:space="preserve">PEVuZE5vdGU+PENpdGU+PEF1dGhvcj5NYW5kYXdhdDwvQXV0aG9yPjxZZWFyPjIwMTA8L1llYXI+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PFJlY051bT4zNzwvUmVjTnVtPjxEaXNwbGF5VGV4dD4oTWFuZGF3YXQgZXQgYWwuIDIwMTA7IE11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</w:fldData>
        </w:fldChar>
      </w:r>
      <w:r w:rsidR="007F4CDE" w:rsidRPr="007D1918">
        <w:instrText xml:space="preserve"> ADDIN EN.CITE.DATA </w:instrText>
      </w:r>
      <w:r w:rsidR="007F4CDE" w:rsidRPr="007D1918">
        <w:fldChar w:fldCharType="end"/>
      </w:r>
      <w:r w:rsidR="003736AC" w:rsidRPr="007D1918">
        <w:fldChar w:fldCharType="separate"/>
      </w:r>
      <w:r w:rsidR="003736AC" w:rsidRPr="007D1918">
        <w:rPr>
          <w:noProof/>
        </w:rPr>
        <w:t>(</w:t>
      </w:r>
      <w:hyperlink w:anchor="_ENREF_64" w:tooltip="Mandawat, 2010 #37" w:history="1">
        <w:r w:rsidR="007D4948" w:rsidRPr="007D1918">
          <w:rPr>
            <w:noProof/>
          </w:rPr>
          <w:t>Mandawat et al. 2010</w:t>
        </w:r>
      </w:hyperlink>
      <w:r w:rsidR="003736AC" w:rsidRPr="007D1918">
        <w:rPr>
          <w:noProof/>
        </w:rPr>
        <w:t xml:space="preserve">; </w:t>
      </w:r>
      <w:hyperlink w:anchor="_ENREF_68" w:tooltip="Murthy, 2005 #38" w:history="1">
        <w:r w:rsidR="007D4948" w:rsidRPr="007D1918">
          <w:rPr>
            <w:noProof/>
          </w:rPr>
          <w:t>Murthy et al. 2005</w:t>
        </w:r>
      </w:hyperlink>
      <w:r w:rsidR="003736AC" w:rsidRPr="007D1918">
        <w:rPr>
          <w:noProof/>
        </w:rPr>
        <w:t xml:space="preserve">; </w:t>
      </w:r>
      <w:hyperlink w:anchor="_ENREF_80" w:tooltip="Qureshi, 1999 #40" w:history="1">
        <w:r w:rsidR="007D4948" w:rsidRPr="007D1918">
          <w:rPr>
            <w:noProof/>
          </w:rPr>
          <w:t>Qureshi et al. 1999</w:t>
        </w:r>
      </w:hyperlink>
      <w:r w:rsidR="003736AC" w:rsidRPr="007D1918">
        <w:rPr>
          <w:noProof/>
        </w:rPr>
        <w:t>)</w:t>
      </w:r>
      <w:r w:rsidR="003736AC" w:rsidRPr="007D1918">
        <w:fldChar w:fldCharType="end"/>
      </w:r>
      <w:r w:rsidRPr="007D1918">
        <w:t xml:space="preserve">. Mandawat et al </w:t>
      </w:r>
      <w:r w:rsidR="00BC2187" w:rsidRPr="007D1918">
        <w:t>(</w:t>
      </w:r>
      <w:r w:rsidRPr="007D1918">
        <w:t>2010</w:t>
      </w:r>
      <w:r w:rsidR="00BC2187" w:rsidRPr="007D1918">
        <w:t>)</w:t>
      </w:r>
      <w:r w:rsidRPr="007D1918">
        <w:t>, rated moderate</w:t>
      </w:r>
      <w:r w:rsidR="00E50E25" w:rsidRPr="007D1918">
        <w:t xml:space="preserve"> for</w:t>
      </w:r>
      <w:r w:rsidRPr="007D1918">
        <w:t xml:space="preserve"> quality, performed a retrospective analysis of 1,606 hospitalised patients with MG with data from an administrative database. Patients included those undergoing maintenance therapy and in MG crisis; this latter group were considered to meet </w:t>
      </w:r>
      <w:r w:rsidR="0088065E" w:rsidRPr="007D1918">
        <w:rPr>
          <w:i/>
        </w:rPr>
        <w:t>Criteria V3</w:t>
      </w:r>
      <w:r w:rsidR="0088065E" w:rsidRPr="007D1918">
        <w:t xml:space="preserve"> for </w:t>
      </w:r>
      <w:r w:rsidRPr="007D1918">
        <w:t>Indication 1</w:t>
      </w:r>
      <w:r w:rsidRPr="007D1918">
        <w:rPr>
          <w:rStyle w:val="FootnoteReference"/>
        </w:rPr>
        <w:footnoteReference w:id="7"/>
      </w:r>
      <w:r w:rsidR="00451342" w:rsidRPr="007D1918">
        <w:t xml:space="preserve">. Patients who underwent either </w:t>
      </w:r>
      <w:r w:rsidR="00E403A6" w:rsidRPr="007D1918">
        <w:t>IVIg or</w:t>
      </w:r>
      <w:r w:rsidR="00451342" w:rsidRPr="007D1918">
        <w:t xml:space="preserve"> PE treatments</w:t>
      </w:r>
      <w:r w:rsidRPr="007D1918">
        <w:t xml:space="preserve"> (n = 698), were included and analysed separately. </w:t>
      </w:r>
    </w:p>
    <w:p w14:paraId="0C1B6CC3" w14:textId="09B83D1E" w:rsidR="002630F7" w:rsidRPr="007D1918" w:rsidRDefault="002630F7" w:rsidP="002630F7">
      <w:pPr>
        <w:jc w:val="both"/>
      </w:pPr>
      <w:r w:rsidRPr="007D1918">
        <w:lastRenderedPageBreak/>
        <w:t xml:space="preserve">In a bivariate analysis, unadjusted mortality rates were significantly higher in the PE group compared to the IVIg group (5.67% versus 0.59%; p = 0.002) amongst patients in crisis. </w:t>
      </w:r>
      <w:r w:rsidR="00BC5A8B" w:rsidRPr="007D1918">
        <w:t>A</w:t>
      </w:r>
      <w:r w:rsidRPr="007D1918">
        <w:t>n analysis of patient demographic and clinical differences between IVIg and PE groups in crisis patients</w:t>
      </w:r>
      <w:r w:rsidR="00BC5A8B" w:rsidRPr="007D1918">
        <w:t xml:space="preserve"> was</w:t>
      </w:r>
      <w:r w:rsidRPr="007D1918">
        <w:t xml:space="preserve"> not </w:t>
      </w:r>
      <w:r w:rsidR="00BC5A8B" w:rsidRPr="007D1918">
        <w:t>able to determine any underlying differences related to the difference in mortality rates.</w:t>
      </w:r>
      <w:r w:rsidRPr="007D1918">
        <w:t xml:space="preserve"> </w:t>
      </w:r>
    </w:p>
    <w:p w14:paraId="13283701" w14:textId="2911E107" w:rsidR="002630F7" w:rsidRPr="007D1918" w:rsidRDefault="002630F7" w:rsidP="002630F7">
      <w:pPr>
        <w:jc w:val="both"/>
      </w:pPr>
      <w:r w:rsidRPr="007D1918">
        <w:t>No multivariate analyses were conducted on the crisis patients alone, however a multivariate analysis of all crisis and maintenance patients in the cohort was undertaken and found no significant difference in mortality rates, when adjusted for significant co-variates (OR IVIg versus PE = 0.39; 95% CI 0.096, 1.72; p = 0.21). In a further analysis of the total patient population, PE, older age, more severe comorbidities, and hospital admission through the emergency department were variables associated with higher mortality (p &lt; 0.05 for all variables) (</w:t>
      </w:r>
      <w:r w:rsidRPr="007D1918">
        <w:fldChar w:fldCharType="begin"/>
      </w:r>
      <w:r w:rsidRPr="007D1918">
        <w:instrText xml:space="preserve"> REF _Ref8304967 \h </w:instrText>
      </w:r>
      <w:r w:rsidR="00E07567" w:rsidRPr="007D1918">
        <w:instrText xml:space="preserve"> \* MERGEFORMAT </w:instrText>
      </w:r>
      <w:r w:rsidRPr="007D1918">
        <w:fldChar w:fldCharType="separate"/>
      </w:r>
      <w:r w:rsidR="00153384" w:rsidRPr="007D1918">
        <w:t xml:space="preserve">Table </w:t>
      </w:r>
      <w:r w:rsidR="00153384" w:rsidRPr="007D1918">
        <w:rPr>
          <w:noProof/>
        </w:rPr>
        <w:t>26</w:t>
      </w:r>
      <w:r w:rsidRPr="007D1918">
        <w:fldChar w:fldCharType="end"/>
      </w:r>
      <w:r w:rsidRPr="007D1918">
        <w:t xml:space="preserve">). </w:t>
      </w:r>
      <w:r w:rsidR="00BC5A8B" w:rsidRPr="007D1918">
        <w:t xml:space="preserve">These data support the suggestion that PE is given in favour to IVIg for patients in serious crisis and requiring intubation </w:t>
      </w:r>
      <w:r w:rsidR="0075212A" w:rsidRPr="007D1918">
        <w:fldChar w:fldCharType="begin">
          <w:fldData xml:space="preserve">PEVuZE5vdGU+PENpdGU+PEF1dGhvcj5RdXJlc2hpPC9BdXRob3I+PFllYXI+MTk5OTwvWWVhcj48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</w:fldData>
        </w:fldChar>
      </w:r>
      <w:r w:rsidR="00C437BA" w:rsidRPr="007D1918">
        <w:instrText xml:space="preserve"> ADDIN EN.CITE </w:instrText>
      </w:r>
      <w:r w:rsidR="00C437BA" w:rsidRPr="007D1918">
        <w:fldChar w:fldCharType="begin">
          <w:fldData xml:space="preserve">PEVuZE5vdGU+PENpdGU+PEF1dGhvcj5RdXJlc2hpPC9BdXRob3I+PFllYXI+MTk5OTwvWWVhcj48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80" w:tooltip="Qureshi, 1999 #40" w:history="1">
        <w:r w:rsidR="007D4948" w:rsidRPr="007D1918">
          <w:rPr>
            <w:noProof/>
          </w:rPr>
          <w:t>Qureshi et al. 1999</w:t>
        </w:r>
      </w:hyperlink>
      <w:r w:rsidR="0075212A" w:rsidRPr="007D1918">
        <w:rPr>
          <w:noProof/>
        </w:rPr>
        <w:t xml:space="preserve">; </w:t>
      </w:r>
      <w:hyperlink w:anchor="_ENREF_89" w:tooltip="Sharma, 2013 #20" w:history="1">
        <w:r w:rsidR="007D4948" w:rsidRPr="007D1918">
          <w:rPr>
            <w:noProof/>
          </w:rPr>
          <w:t>Sharma et al. 2013</w:t>
        </w:r>
      </w:hyperlink>
      <w:r w:rsidR="0075212A" w:rsidRPr="007D1918">
        <w:rPr>
          <w:noProof/>
        </w:rPr>
        <w:t>)</w:t>
      </w:r>
      <w:r w:rsidR="0075212A" w:rsidRPr="007D1918">
        <w:fldChar w:fldCharType="end"/>
      </w:r>
      <w:r w:rsidR="00BC5A8B" w:rsidRPr="007D1918">
        <w:t>.</w:t>
      </w:r>
    </w:p>
    <w:p w14:paraId="2EFFAE22" w14:textId="6D5A6B20" w:rsidR="004D6FD9" w:rsidRPr="007D1918" w:rsidRDefault="004D6FD9" w:rsidP="006B7DCE">
      <w:pPr>
        <w:jc w:val="both"/>
      </w:pPr>
      <w:r w:rsidRPr="007D1918">
        <w:t xml:space="preserve">In two smaller retrospective cohorts the number of deaths were not statistically different between IVIg and PE treated groups </w:t>
      </w:r>
      <w:r w:rsidR="0075212A" w:rsidRPr="007D1918">
        <w:fldChar w:fldCharType="begin">
          <w:fldData xml:space="preserve">PEVuZE5vdGU+PENpdGU+PEF1dGhvcj5NdXJ0aHk8L0F1dGhvcj48WWVhcj4yMDA1PC9ZZWFyPjxS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=
</w:fldData>
        </w:fldChar>
      </w:r>
      <w:r w:rsidR="00C437BA" w:rsidRPr="007D1918">
        <w:instrText xml:space="preserve"> ADDIN EN.CITE </w:instrText>
      </w:r>
      <w:r w:rsidR="00C437BA" w:rsidRPr="007D1918">
        <w:fldChar w:fldCharType="begin">
          <w:fldData xml:space="preserve">PEVuZE5vdGU+PENpdGU+PEF1dGhvcj5NdXJ0aHk8L0F1dGhvcj48WWVhcj4yMDA1PC9ZZWFyPjxS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=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8" w:tooltip="Murthy, 2005 #38" w:history="1">
        <w:r w:rsidR="007D4948" w:rsidRPr="007D1918">
          <w:rPr>
            <w:noProof/>
          </w:rPr>
          <w:t>Murthy et al. 2005</w:t>
        </w:r>
      </w:hyperlink>
      <w:r w:rsidR="0075212A" w:rsidRPr="007D1918">
        <w:rPr>
          <w:noProof/>
        </w:rPr>
        <w:t xml:space="preserve">; </w:t>
      </w:r>
      <w:hyperlink w:anchor="_ENREF_80" w:tooltip="Qureshi, 1999 #40" w:history="1">
        <w:r w:rsidR="007D4948" w:rsidRPr="007D1918">
          <w:rPr>
            <w:noProof/>
          </w:rPr>
          <w:t>Qureshi et al. 1999</w:t>
        </w:r>
      </w:hyperlink>
      <w:r w:rsidR="0075212A" w:rsidRPr="007D1918">
        <w:rPr>
          <w:noProof/>
        </w:rPr>
        <w:t>)</w:t>
      </w:r>
      <w:r w:rsidR="0075212A" w:rsidRPr="007D1918">
        <w:fldChar w:fldCharType="end"/>
      </w:r>
      <w:r w:rsidRPr="007D1918">
        <w:t xml:space="preserve"> (</w:t>
      </w:r>
      <w:r w:rsidRPr="007D1918">
        <w:fldChar w:fldCharType="begin"/>
      </w:r>
      <w:r w:rsidRPr="007D1918">
        <w:instrText xml:space="preserve"> REF _Ref8304967 \h </w:instrText>
      </w:r>
      <w:r w:rsidR="00E07567" w:rsidRPr="007D1918">
        <w:instrText xml:space="preserve"> \* MERGEFORMAT </w:instrText>
      </w:r>
      <w:r w:rsidRPr="007D1918">
        <w:fldChar w:fldCharType="separate"/>
      </w:r>
      <w:r w:rsidR="007C33AD" w:rsidRPr="007D1918">
        <w:t xml:space="preserve">Table </w:t>
      </w:r>
      <w:r w:rsidR="007C33AD" w:rsidRPr="007D1918">
        <w:rPr>
          <w:noProof/>
        </w:rPr>
        <w:t>26</w:t>
      </w:r>
      <w:r w:rsidRPr="007D1918">
        <w:fldChar w:fldCharType="end"/>
      </w:r>
      <w:r w:rsidRPr="007D1918">
        <w:t xml:space="preserve">). Of the two deaths in the PE groups one was due to ventilator related infection and one due to cardiac arrest. In the IVIg groups one death was the result of sepsis, one due to withdrawal of care and one patient could not be stabilised or revived in crisis. </w:t>
      </w:r>
    </w:p>
    <w:p w14:paraId="709134EE" w14:textId="76E48E68" w:rsidR="006B7DCE" w:rsidRPr="007D1918" w:rsidRDefault="006B7DCE" w:rsidP="006B7DCE">
      <w:pPr>
        <w:pStyle w:val="Caption"/>
        <w:keepNext/>
        <w:keepLines/>
        <w:jc w:val="both"/>
        <w:rPr>
          <w:rFonts w:cs="Arial"/>
          <w:snapToGrid w:val="0"/>
          <w:szCs w:val="16"/>
          <w:lang w:eastAsia="en-US"/>
        </w:rPr>
      </w:pPr>
      <w:bookmarkStart w:id="251" w:name="_Ref8304967"/>
      <w:bookmarkStart w:id="252" w:name="_Toc23769513"/>
      <w:r w:rsidRPr="007D1918">
        <w:t xml:space="preserve">Table </w:t>
      </w:r>
      <w:r w:rsidR="007C1C3D" w:rsidRPr="007D1918">
        <w:rPr>
          <w:noProof/>
        </w:rPr>
        <w:fldChar w:fldCharType="begin"/>
      </w:r>
      <w:r w:rsidR="007C1C3D" w:rsidRPr="007D1918">
        <w:rPr>
          <w:noProof/>
        </w:rPr>
        <w:instrText xml:space="preserve"> SEQ Table \* ARABIC </w:instrText>
      </w:r>
      <w:r w:rsidR="007C1C3D" w:rsidRPr="007D1918">
        <w:rPr>
          <w:noProof/>
        </w:rPr>
        <w:fldChar w:fldCharType="separate"/>
      </w:r>
      <w:r w:rsidR="007C33AD" w:rsidRPr="007D1918">
        <w:rPr>
          <w:noProof/>
        </w:rPr>
        <w:t>26</w:t>
      </w:r>
      <w:r w:rsidR="007C1C3D" w:rsidRPr="007D1918">
        <w:rPr>
          <w:noProof/>
        </w:rPr>
        <w:fldChar w:fldCharType="end"/>
      </w:r>
      <w:bookmarkEnd w:id="251"/>
      <w:r w:rsidRPr="007D1918">
        <w:tab/>
      </w:r>
      <w:r w:rsidRPr="007D1918">
        <w:rPr>
          <w:rFonts w:cs="Arial"/>
          <w:snapToGrid w:val="0"/>
          <w:szCs w:val="16"/>
          <w:lang w:eastAsia="en-US"/>
        </w:rPr>
        <w:t>Mortality in MG patients treated with IVIg compared to PE</w:t>
      </w:r>
      <w:bookmarkEnd w:id="252"/>
      <w:r w:rsidRPr="007D1918">
        <w:rPr>
          <w:rFonts w:cs="Arial"/>
          <w:snapToGrid w:val="0"/>
          <w:szCs w:val="16"/>
          <w:lang w:eastAsia="en-US"/>
        </w:rPr>
        <w:t xml:space="preserve"> </w:t>
      </w:r>
    </w:p>
    <w:tbl>
      <w:tblPr>
        <w:tblW w:w="498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4 Mortality in MG patients treated with IVIg compared to PE "/>
        <w:tblDescription w:val="Martality rates across studies comapring between MG patients (Indication 1) who received IVIg and those who received PE."/>
      </w:tblPr>
      <w:tblGrid>
        <w:gridCol w:w="1813"/>
        <w:gridCol w:w="2833"/>
        <w:gridCol w:w="1416"/>
        <w:gridCol w:w="1422"/>
        <w:gridCol w:w="1503"/>
      </w:tblGrid>
      <w:tr w:rsidR="006B7DCE" w:rsidRPr="007D1918" w14:paraId="586292B1" w14:textId="77777777" w:rsidTr="00BD29D9">
        <w:tc>
          <w:tcPr>
            <w:tcW w:w="1009" w:type="pct"/>
          </w:tcPr>
          <w:p w14:paraId="1716DA44" w14:textId="7CBD4F34" w:rsidR="006B7DCE" w:rsidRPr="007D1918" w:rsidRDefault="006B7DCE" w:rsidP="001B1AD5">
            <w:pPr>
              <w:pStyle w:val="TableHeading"/>
              <w:keepLines/>
              <w:ind w:left="16" w:right="117"/>
              <w:rPr>
                <w:snapToGrid w:val="0"/>
                <w:lang w:eastAsia="en-US"/>
              </w:rPr>
            </w:pPr>
            <w:r w:rsidRPr="007D1918">
              <w:rPr>
                <w:snapToGrid w:val="0"/>
                <w:lang w:eastAsia="en-US"/>
              </w:rPr>
              <w:t>Study ID</w:t>
            </w:r>
            <w:r w:rsidR="00FD644B" w:rsidRPr="007D1918">
              <w:rPr>
                <w:snapToGrid w:val="0"/>
                <w:lang w:eastAsia="en-US"/>
              </w:rPr>
              <w:t xml:space="preserve">, </w:t>
            </w:r>
            <w:r w:rsidRPr="007D1918">
              <w:rPr>
                <w:snapToGrid w:val="0"/>
                <w:lang w:eastAsia="en-US"/>
              </w:rPr>
              <w:t>Country</w:t>
            </w:r>
          </w:p>
          <w:p w14:paraId="08A7FE9B" w14:textId="657B926A" w:rsidR="00FD644B" w:rsidRPr="007D1918" w:rsidRDefault="00FD644B" w:rsidP="001B1AD5">
            <w:pPr>
              <w:pStyle w:val="TableHeading"/>
              <w:keepLines/>
              <w:ind w:left="16" w:right="117"/>
              <w:rPr>
                <w:snapToGrid w:val="0"/>
                <w:lang w:eastAsia="en-US"/>
              </w:rPr>
            </w:pPr>
            <w:r w:rsidRPr="007D1918">
              <w:rPr>
                <w:snapToGrid w:val="0"/>
                <w:lang w:eastAsia="en-US"/>
              </w:rPr>
              <w:t>Level of evidence</w:t>
            </w:r>
          </w:p>
          <w:p w14:paraId="62C01C19" w14:textId="77777777" w:rsidR="006B7DCE" w:rsidRPr="007D1918" w:rsidRDefault="006B7DCE" w:rsidP="001B1AD5">
            <w:pPr>
              <w:pStyle w:val="TableHeading"/>
              <w:keepLines/>
              <w:ind w:left="16" w:right="117"/>
              <w:rPr>
                <w:snapToGrid w:val="0"/>
                <w:lang w:eastAsia="en-US"/>
              </w:rPr>
            </w:pPr>
            <w:r w:rsidRPr="007D1918">
              <w:rPr>
                <w:snapToGrid w:val="0"/>
                <w:lang w:eastAsia="en-US"/>
              </w:rPr>
              <w:t>Quality</w:t>
            </w:r>
          </w:p>
        </w:tc>
        <w:tc>
          <w:tcPr>
            <w:tcW w:w="1576" w:type="pct"/>
          </w:tcPr>
          <w:p w14:paraId="7F02CA2A" w14:textId="77777777" w:rsidR="006B7DCE" w:rsidRPr="007D1918" w:rsidRDefault="006B7DCE" w:rsidP="001B1AD5">
            <w:pPr>
              <w:pStyle w:val="TableHeading"/>
              <w:keepLines/>
              <w:ind w:left="16" w:right="117"/>
              <w:rPr>
                <w:snapToGrid w:val="0"/>
                <w:lang w:eastAsia="en-US"/>
              </w:rPr>
            </w:pPr>
            <w:r w:rsidRPr="007D1918">
              <w:rPr>
                <w:snapToGrid w:val="0"/>
                <w:lang w:eastAsia="en-US"/>
              </w:rPr>
              <w:t xml:space="preserve">Population </w:t>
            </w:r>
          </w:p>
        </w:tc>
        <w:tc>
          <w:tcPr>
            <w:tcW w:w="788" w:type="pct"/>
            <w:shd w:val="clear" w:color="auto" w:fill="auto"/>
          </w:tcPr>
          <w:p w14:paraId="29129A5B" w14:textId="77777777" w:rsidR="006B7DCE" w:rsidRPr="007D1918" w:rsidRDefault="006B7DCE" w:rsidP="001B1AD5">
            <w:pPr>
              <w:pStyle w:val="TableHeading"/>
              <w:keepLines/>
              <w:ind w:left="111" w:right="117"/>
              <w:rPr>
                <w:snapToGrid w:val="0"/>
                <w:lang w:eastAsia="en-US"/>
              </w:rPr>
            </w:pPr>
            <w:r w:rsidRPr="007D1918">
              <w:rPr>
                <w:snapToGrid w:val="0"/>
                <w:lang w:eastAsia="en-US"/>
              </w:rPr>
              <w:t>IVIg</w:t>
            </w:r>
          </w:p>
          <w:p w14:paraId="49B85A84" w14:textId="77777777" w:rsidR="006B7DCE" w:rsidRPr="007D1918" w:rsidRDefault="006B7DCE" w:rsidP="001B1AD5">
            <w:pPr>
              <w:pStyle w:val="TableHeading"/>
              <w:keepLines/>
              <w:ind w:left="111" w:right="117"/>
              <w:rPr>
                <w:snapToGrid w:val="0"/>
                <w:lang w:eastAsia="en-US"/>
              </w:rPr>
            </w:pPr>
            <w:r w:rsidRPr="007D1918">
              <w:rPr>
                <w:snapToGrid w:val="0"/>
                <w:lang w:eastAsia="en-US"/>
              </w:rPr>
              <w:t xml:space="preserve">n with event/N (%)  </w:t>
            </w:r>
          </w:p>
        </w:tc>
        <w:tc>
          <w:tcPr>
            <w:tcW w:w="791" w:type="pct"/>
            <w:shd w:val="clear" w:color="auto" w:fill="auto"/>
          </w:tcPr>
          <w:p w14:paraId="40756267" w14:textId="77777777" w:rsidR="006B7DCE" w:rsidRPr="007D1918" w:rsidRDefault="006B7DCE" w:rsidP="001B1AD5">
            <w:pPr>
              <w:pStyle w:val="TableHeading"/>
              <w:keepLines/>
              <w:ind w:left="77" w:right="117"/>
              <w:rPr>
                <w:snapToGrid w:val="0"/>
                <w:lang w:eastAsia="en-US"/>
              </w:rPr>
            </w:pPr>
            <w:r w:rsidRPr="007D1918">
              <w:rPr>
                <w:snapToGrid w:val="0"/>
                <w:lang w:eastAsia="en-US"/>
              </w:rPr>
              <w:t>PE</w:t>
            </w:r>
          </w:p>
          <w:p w14:paraId="724CEB32" w14:textId="77777777" w:rsidR="006B7DCE" w:rsidRPr="007D1918" w:rsidRDefault="006B7DCE" w:rsidP="001B1AD5">
            <w:pPr>
              <w:pStyle w:val="TableHeading"/>
              <w:keepLines/>
              <w:ind w:left="77" w:right="117"/>
              <w:rPr>
                <w:snapToGrid w:val="0"/>
                <w:lang w:eastAsia="en-US"/>
              </w:rPr>
            </w:pPr>
            <w:r w:rsidRPr="007D1918">
              <w:rPr>
                <w:snapToGrid w:val="0"/>
                <w:lang w:eastAsia="en-US"/>
              </w:rPr>
              <w:t>n with event/N (%)</w:t>
            </w:r>
          </w:p>
        </w:tc>
        <w:tc>
          <w:tcPr>
            <w:tcW w:w="836" w:type="pct"/>
            <w:shd w:val="clear" w:color="auto" w:fill="auto"/>
          </w:tcPr>
          <w:p w14:paraId="0BE7DEF2" w14:textId="37D82F35" w:rsidR="006B7DCE" w:rsidRPr="007D1918" w:rsidRDefault="00451342" w:rsidP="001B1AD5">
            <w:pPr>
              <w:pStyle w:val="TableHeading"/>
              <w:keepLines/>
              <w:ind w:right="117"/>
              <w:rPr>
                <w:snapToGrid w:val="0"/>
                <w:lang w:eastAsia="en-US"/>
              </w:rPr>
            </w:pPr>
            <w:r w:rsidRPr="007D1918">
              <w:rPr>
                <w:snapToGrid w:val="0"/>
                <w:lang w:eastAsia="en-US"/>
              </w:rPr>
              <w:t>D</w:t>
            </w:r>
            <w:r w:rsidR="006B7DCE" w:rsidRPr="007D1918">
              <w:rPr>
                <w:snapToGrid w:val="0"/>
                <w:lang w:eastAsia="en-US"/>
              </w:rPr>
              <w:t>ifference</w:t>
            </w:r>
          </w:p>
          <w:p w14:paraId="68387161" w14:textId="76213078" w:rsidR="006B7DCE" w:rsidRPr="007D1918" w:rsidRDefault="006B7DCE" w:rsidP="00FD644B">
            <w:pPr>
              <w:pStyle w:val="TableHeading"/>
              <w:keepLines/>
              <w:ind w:right="117"/>
              <w:rPr>
                <w:snapToGrid w:val="0"/>
                <w:lang w:eastAsia="en-US"/>
              </w:rPr>
            </w:pPr>
            <w:r w:rsidRPr="007D1918">
              <w:rPr>
                <w:snapToGrid w:val="0"/>
                <w:lang w:eastAsia="en-US"/>
              </w:rPr>
              <w:t xml:space="preserve">p-value </w:t>
            </w:r>
            <w:r w:rsidR="00FD644B" w:rsidRPr="007D1918">
              <w:rPr>
                <w:snapToGrid w:val="0"/>
                <w:lang w:eastAsia="en-US"/>
              </w:rPr>
              <w:t>(95% CI)</w:t>
            </w:r>
          </w:p>
        </w:tc>
      </w:tr>
      <w:tr w:rsidR="006B7DCE" w:rsidRPr="007D1918" w14:paraId="00EE9C69" w14:textId="77777777" w:rsidTr="00BD29D9">
        <w:tc>
          <w:tcPr>
            <w:tcW w:w="1009" w:type="pct"/>
          </w:tcPr>
          <w:p w14:paraId="6DDC6A10" w14:textId="2C8FA9E1" w:rsidR="006B7DCE" w:rsidRPr="007D1918" w:rsidRDefault="0075212A" w:rsidP="001B1AD5">
            <w:pPr>
              <w:pStyle w:val="TableText0"/>
              <w:keepLines/>
              <w:rPr>
                <w:snapToGrid w:val="0"/>
              </w:rPr>
            </w:pPr>
            <w:r w:rsidRPr="007D1918">
              <w:rPr>
                <w:snapToGrid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rPr>
              <w:instrText xml:space="preserve"> ADDIN EN.CITE </w:instrText>
            </w:r>
            <w:r w:rsidR="007F4CDE" w:rsidRPr="007D1918">
              <w:rPr>
                <w:snapToGrid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rPr>
              <w:instrText xml:space="preserve"> ADDIN EN.CITE.DATA </w:instrText>
            </w:r>
            <w:r w:rsidR="007F4CDE" w:rsidRPr="007D1918">
              <w:rPr>
                <w:snapToGrid w:val="0"/>
              </w:rPr>
            </w:r>
            <w:r w:rsidR="007F4CDE"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64" w:tooltip="Mandawat, 2010 #37" w:history="1">
              <w:r w:rsidR="007D4948" w:rsidRPr="007D1918">
                <w:rPr>
                  <w:noProof/>
                  <w:snapToGrid w:val="0"/>
                </w:rPr>
                <w:t>Mandawat et al. 2010</w:t>
              </w:r>
            </w:hyperlink>
            <w:r w:rsidRPr="007D1918">
              <w:rPr>
                <w:noProof/>
                <w:snapToGrid w:val="0"/>
              </w:rPr>
              <w:t>)</w:t>
            </w:r>
            <w:r w:rsidRPr="007D1918">
              <w:rPr>
                <w:snapToGrid w:val="0"/>
              </w:rPr>
              <w:fldChar w:fldCharType="end"/>
            </w:r>
            <w:r w:rsidR="00FD644B" w:rsidRPr="007D1918">
              <w:rPr>
                <w:snapToGrid w:val="0"/>
              </w:rPr>
              <w:t xml:space="preserve">, </w:t>
            </w:r>
            <w:r w:rsidR="006B7DCE" w:rsidRPr="007D1918">
              <w:rPr>
                <w:snapToGrid w:val="0"/>
              </w:rPr>
              <w:t>USA</w:t>
            </w:r>
          </w:p>
          <w:p w14:paraId="1240B965" w14:textId="78A84144" w:rsidR="00FD644B" w:rsidRPr="007D1918" w:rsidRDefault="00FD644B" w:rsidP="001B1AD5">
            <w:pPr>
              <w:pStyle w:val="TableText0"/>
              <w:keepLines/>
              <w:rPr>
                <w:snapToGrid w:val="0"/>
              </w:rPr>
            </w:pPr>
            <w:r w:rsidRPr="007D1918">
              <w:rPr>
                <w:snapToGrid w:val="0"/>
              </w:rPr>
              <w:t>Level III-2</w:t>
            </w:r>
          </w:p>
          <w:p w14:paraId="3BDDC9AB" w14:textId="77777777" w:rsidR="006B7DCE" w:rsidRPr="007D1918" w:rsidRDefault="006B7DCE" w:rsidP="001B1AD5">
            <w:pPr>
              <w:pStyle w:val="TableText0"/>
              <w:keepLines/>
              <w:rPr>
                <w:snapToGrid w:val="0"/>
              </w:rPr>
            </w:pPr>
            <w:r w:rsidRPr="007D1918">
              <w:rPr>
                <w:snapToGrid w:val="0"/>
              </w:rPr>
              <w:t>Moderate risk of bias</w:t>
            </w:r>
          </w:p>
        </w:tc>
        <w:tc>
          <w:tcPr>
            <w:tcW w:w="1576" w:type="pct"/>
          </w:tcPr>
          <w:p w14:paraId="468E87A7" w14:textId="4A30BC8B" w:rsidR="006B7DCE" w:rsidRPr="007D1918" w:rsidRDefault="006B7DCE" w:rsidP="00426C2F">
            <w:pPr>
              <w:pStyle w:val="TableText0"/>
              <w:keepLines/>
              <w:rPr>
                <w:snapToGrid w:val="0"/>
              </w:rPr>
            </w:pPr>
            <w:r w:rsidRPr="007D1918">
              <w:rPr>
                <w:snapToGrid w:val="0"/>
              </w:rPr>
              <w:t>MG patients in crisis identified through a multicentre database</w:t>
            </w:r>
            <w:r w:rsidR="00426C2F" w:rsidRPr="007D1918">
              <w:rPr>
                <w:snapToGrid w:val="0"/>
              </w:rPr>
              <w:t xml:space="preserve"> (bivariate analysis)</w:t>
            </w:r>
          </w:p>
        </w:tc>
        <w:tc>
          <w:tcPr>
            <w:tcW w:w="788" w:type="pct"/>
            <w:shd w:val="clear" w:color="auto" w:fill="auto"/>
          </w:tcPr>
          <w:p w14:paraId="64F6E609" w14:textId="77777777" w:rsidR="006B7DCE" w:rsidRPr="007D1918" w:rsidRDefault="006B7DCE" w:rsidP="001B1AD5">
            <w:pPr>
              <w:pStyle w:val="TableText0"/>
              <w:keepLines/>
              <w:jc w:val="center"/>
              <w:rPr>
                <w:snapToGrid w:val="0"/>
              </w:rPr>
            </w:pPr>
            <w:r w:rsidRPr="007D1918">
              <w:rPr>
                <w:snapToGrid w:val="0"/>
              </w:rPr>
              <w:t xml:space="preserve">1/169 </w:t>
            </w:r>
            <w:r w:rsidRPr="007D1918">
              <w:rPr>
                <w:snapToGrid w:val="0"/>
              </w:rPr>
              <w:br/>
              <w:t>(0.59%)</w:t>
            </w:r>
          </w:p>
          <w:p w14:paraId="6EE3D556" w14:textId="77777777" w:rsidR="006B7DCE" w:rsidRPr="007D1918" w:rsidRDefault="006B7DCE" w:rsidP="001B1AD5">
            <w:pPr>
              <w:pStyle w:val="TableText0"/>
              <w:keepLines/>
              <w:jc w:val="center"/>
              <w:rPr>
                <w:snapToGrid w:val="0"/>
              </w:rPr>
            </w:pPr>
          </w:p>
        </w:tc>
        <w:tc>
          <w:tcPr>
            <w:tcW w:w="791" w:type="pct"/>
            <w:shd w:val="clear" w:color="auto" w:fill="auto"/>
          </w:tcPr>
          <w:p w14:paraId="357C3DED" w14:textId="77777777" w:rsidR="006B7DCE" w:rsidRPr="007D1918" w:rsidRDefault="006B7DCE" w:rsidP="001B1AD5">
            <w:pPr>
              <w:pStyle w:val="TableText0"/>
              <w:keepLines/>
              <w:jc w:val="center"/>
              <w:rPr>
                <w:snapToGrid w:val="0"/>
              </w:rPr>
            </w:pPr>
            <w:r w:rsidRPr="007D1918">
              <w:rPr>
                <w:snapToGrid w:val="0"/>
              </w:rPr>
              <w:t>30/529</w:t>
            </w:r>
            <w:r w:rsidRPr="007D1918">
              <w:rPr>
                <w:snapToGrid w:val="0"/>
              </w:rPr>
              <w:br/>
              <w:t xml:space="preserve"> (5.67%)</w:t>
            </w:r>
          </w:p>
          <w:p w14:paraId="7A608656" w14:textId="77777777" w:rsidR="006B7DCE" w:rsidRPr="007D1918" w:rsidRDefault="006B7DCE" w:rsidP="001B1AD5">
            <w:pPr>
              <w:pStyle w:val="TableText0"/>
              <w:keepLines/>
              <w:jc w:val="center"/>
              <w:rPr>
                <w:snapToGrid w:val="0"/>
              </w:rPr>
            </w:pPr>
          </w:p>
        </w:tc>
        <w:tc>
          <w:tcPr>
            <w:tcW w:w="836" w:type="pct"/>
            <w:shd w:val="clear" w:color="auto" w:fill="auto"/>
          </w:tcPr>
          <w:p w14:paraId="640E77E4" w14:textId="39874460" w:rsidR="006B7DCE" w:rsidRPr="007D1918" w:rsidRDefault="006B7DCE" w:rsidP="001B1AD5">
            <w:pPr>
              <w:pStyle w:val="TableText0"/>
              <w:keepLines/>
              <w:jc w:val="center"/>
              <w:rPr>
                <w:snapToGrid w:val="0"/>
              </w:rPr>
            </w:pPr>
            <w:r w:rsidRPr="007D1918">
              <w:rPr>
                <w:snapToGrid w:val="0"/>
              </w:rPr>
              <w:t>P = 0.002</w:t>
            </w:r>
            <w:r w:rsidR="00FD644B" w:rsidRPr="007D1918">
              <w:rPr>
                <w:snapToGrid w:val="0"/>
                <w:vertAlign w:val="superscript"/>
              </w:rPr>
              <w:t>a</w:t>
            </w:r>
          </w:p>
          <w:p w14:paraId="1A1A6057" w14:textId="77777777" w:rsidR="006B7DCE" w:rsidRPr="007D1918" w:rsidRDefault="006B7DCE" w:rsidP="001B1AD5">
            <w:pPr>
              <w:pStyle w:val="TableText0"/>
              <w:keepLines/>
              <w:jc w:val="center"/>
              <w:rPr>
                <w:snapToGrid w:val="0"/>
              </w:rPr>
            </w:pPr>
          </w:p>
        </w:tc>
      </w:tr>
      <w:tr w:rsidR="006B7DCE" w:rsidRPr="007D1918" w14:paraId="03F12FD6" w14:textId="77777777" w:rsidTr="00BD29D9">
        <w:tc>
          <w:tcPr>
            <w:tcW w:w="1009" w:type="pct"/>
          </w:tcPr>
          <w:p w14:paraId="7657AA58" w14:textId="60C1E0A9" w:rsidR="006B7DCE" w:rsidRPr="007D1918" w:rsidRDefault="0075212A" w:rsidP="001B1AD5">
            <w:pPr>
              <w:pStyle w:val="TableText0"/>
              <w:rPr>
                <w:snapToGrid w:val="0"/>
              </w:rPr>
            </w:pPr>
            <w:r w:rsidRPr="007D1918">
              <w:rPr>
                <w:snapToGrid w:val="0"/>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68" w:tooltip="Murthy, 2005 #38" w:history="1">
              <w:r w:rsidR="007D4948" w:rsidRPr="007D1918">
                <w:rPr>
                  <w:noProof/>
                  <w:snapToGrid w:val="0"/>
                </w:rPr>
                <w:t>Murthy et al. 2005</w:t>
              </w:r>
            </w:hyperlink>
            <w:r w:rsidRPr="007D1918">
              <w:rPr>
                <w:noProof/>
                <w:snapToGrid w:val="0"/>
              </w:rPr>
              <w:t>)</w:t>
            </w:r>
            <w:r w:rsidRPr="007D1918">
              <w:rPr>
                <w:snapToGrid w:val="0"/>
              </w:rPr>
              <w:fldChar w:fldCharType="end"/>
            </w:r>
            <w:r w:rsidR="00FD644B" w:rsidRPr="007D1918">
              <w:rPr>
                <w:snapToGrid w:val="0"/>
              </w:rPr>
              <w:t xml:space="preserve">, </w:t>
            </w:r>
            <w:r w:rsidR="006B7DCE" w:rsidRPr="007D1918">
              <w:rPr>
                <w:snapToGrid w:val="0"/>
              </w:rPr>
              <w:t>India</w:t>
            </w:r>
          </w:p>
          <w:p w14:paraId="0DFD90CA" w14:textId="0AC052D4" w:rsidR="00FD644B" w:rsidRPr="007D1918" w:rsidRDefault="00FD644B" w:rsidP="001B1AD5">
            <w:pPr>
              <w:pStyle w:val="TableText0"/>
              <w:rPr>
                <w:snapToGrid w:val="0"/>
              </w:rPr>
            </w:pPr>
            <w:r w:rsidRPr="007D1918">
              <w:rPr>
                <w:snapToGrid w:val="0"/>
              </w:rPr>
              <w:t>Level III-2</w:t>
            </w:r>
          </w:p>
          <w:p w14:paraId="1C2EEEA7" w14:textId="77777777" w:rsidR="006B7DCE" w:rsidRPr="007D1918" w:rsidRDefault="006B7DCE" w:rsidP="001B1AD5">
            <w:pPr>
              <w:pStyle w:val="TableText0"/>
              <w:rPr>
                <w:snapToGrid w:val="0"/>
              </w:rPr>
            </w:pPr>
            <w:r w:rsidRPr="007D1918">
              <w:rPr>
                <w:snapToGrid w:val="0"/>
              </w:rPr>
              <w:t>High risk of bias</w:t>
            </w:r>
          </w:p>
        </w:tc>
        <w:tc>
          <w:tcPr>
            <w:tcW w:w="1576" w:type="pct"/>
          </w:tcPr>
          <w:p w14:paraId="4F8639BC" w14:textId="77777777" w:rsidR="006B7DCE" w:rsidRPr="007D1918" w:rsidRDefault="006B7DCE" w:rsidP="001B1AD5">
            <w:pPr>
              <w:pStyle w:val="TableText0"/>
              <w:rPr>
                <w:snapToGrid w:val="0"/>
              </w:rPr>
            </w:pPr>
            <w:r w:rsidRPr="007D1918">
              <w:rPr>
                <w:rFonts w:cs="Arial"/>
                <w:snapToGrid w:val="0"/>
                <w:szCs w:val="20"/>
              </w:rPr>
              <w:t>All patients with episodes of MG crisis identified from the MG case records of the senior author (there were 23 crises in 21 patients)</w:t>
            </w:r>
          </w:p>
        </w:tc>
        <w:tc>
          <w:tcPr>
            <w:tcW w:w="788" w:type="pct"/>
            <w:shd w:val="clear" w:color="auto" w:fill="auto"/>
          </w:tcPr>
          <w:p w14:paraId="6B61BC8F" w14:textId="77777777" w:rsidR="006B7DCE" w:rsidRPr="007D1918" w:rsidRDefault="006B7DCE" w:rsidP="001B1AD5">
            <w:pPr>
              <w:pStyle w:val="TableText0"/>
              <w:jc w:val="center"/>
              <w:rPr>
                <w:snapToGrid w:val="0"/>
              </w:rPr>
            </w:pPr>
            <w:r w:rsidRPr="007D1918">
              <w:rPr>
                <w:snapToGrid w:val="0"/>
              </w:rPr>
              <w:t>1/8</w:t>
            </w:r>
            <w:r w:rsidRPr="007D1918">
              <w:rPr>
                <w:snapToGrid w:val="0"/>
              </w:rPr>
              <w:br/>
              <w:t>(12.5%)</w:t>
            </w:r>
          </w:p>
          <w:p w14:paraId="1F8B9CEF" w14:textId="77777777" w:rsidR="006B7DCE" w:rsidRPr="007D1918" w:rsidRDefault="006B7DCE" w:rsidP="001B1AD5">
            <w:pPr>
              <w:pStyle w:val="TableText0"/>
              <w:jc w:val="center"/>
              <w:rPr>
                <w:snapToGrid w:val="0"/>
              </w:rPr>
            </w:pPr>
          </w:p>
        </w:tc>
        <w:tc>
          <w:tcPr>
            <w:tcW w:w="791" w:type="pct"/>
            <w:shd w:val="clear" w:color="auto" w:fill="auto"/>
          </w:tcPr>
          <w:p w14:paraId="4A102E5A" w14:textId="77777777" w:rsidR="006B7DCE" w:rsidRPr="007D1918" w:rsidRDefault="006B7DCE" w:rsidP="001B1AD5">
            <w:pPr>
              <w:pStyle w:val="TableText0"/>
              <w:jc w:val="center"/>
              <w:rPr>
                <w:snapToGrid w:val="0"/>
              </w:rPr>
            </w:pPr>
            <w:r w:rsidRPr="007D1918">
              <w:rPr>
                <w:snapToGrid w:val="0"/>
              </w:rPr>
              <w:t>1/15</w:t>
            </w:r>
            <w:r w:rsidRPr="007D1918">
              <w:rPr>
                <w:snapToGrid w:val="0"/>
              </w:rPr>
              <w:br/>
              <w:t>(6.7%)</w:t>
            </w:r>
          </w:p>
          <w:p w14:paraId="69CF0F01" w14:textId="77777777" w:rsidR="006B7DCE" w:rsidRPr="007D1918" w:rsidRDefault="006B7DCE" w:rsidP="001B1AD5">
            <w:pPr>
              <w:pStyle w:val="TableText0"/>
              <w:jc w:val="center"/>
              <w:rPr>
                <w:snapToGrid w:val="0"/>
              </w:rPr>
            </w:pPr>
          </w:p>
        </w:tc>
        <w:tc>
          <w:tcPr>
            <w:tcW w:w="836" w:type="pct"/>
            <w:shd w:val="clear" w:color="auto" w:fill="auto"/>
          </w:tcPr>
          <w:p w14:paraId="477F912C" w14:textId="30670BED" w:rsidR="006B7DCE" w:rsidRPr="007D1918" w:rsidRDefault="00BD29D9" w:rsidP="001B1AD5">
            <w:pPr>
              <w:pStyle w:val="TableText0"/>
              <w:jc w:val="center"/>
              <w:rPr>
                <w:snapToGrid w:val="0"/>
              </w:rPr>
            </w:pPr>
            <w:r w:rsidRPr="007D1918">
              <w:rPr>
                <w:snapToGrid w:val="0"/>
              </w:rPr>
              <w:t>P = 0.65</w:t>
            </w:r>
            <w:r w:rsidRPr="007D1918">
              <w:rPr>
                <w:snapToGrid w:val="0"/>
                <w:vertAlign w:val="superscript"/>
              </w:rPr>
              <w:t>b</w:t>
            </w:r>
            <w:r w:rsidRPr="007D1918">
              <w:rPr>
                <w:snapToGrid w:val="0"/>
              </w:rPr>
              <w:t xml:space="preserve"> </w:t>
            </w:r>
            <w:r w:rsidRPr="007D1918">
              <w:rPr>
                <w:snapToGrid w:val="0"/>
              </w:rPr>
              <w:br/>
              <w:t>(-15.5%, 40.8%)</w:t>
            </w:r>
          </w:p>
        </w:tc>
      </w:tr>
      <w:tr w:rsidR="00D2230A" w:rsidRPr="007D1918" w14:paraId="45A72E83" w14:textId="77777777" w:rsidTr="00BD29D9">
        <w:tc>
          <w:tcPr>
            <w:tcW w:w="1009" w:type="pct"/>
          </w:tcPr>
          <w:p w14:paraId="0716D52B" w14:textId="4181EB59" w:rsidR="00D2230A" w:rsidRPr="007D1918" w:rsidRDefault="0075212A" w:rsidP="001B1AD5">
            <w:pPr>
              <w:pStyle w:val="TableText0"/>
              <w:rPr>
                <w:snapToGrid w:val="0"/>
              </w:rPr>
            </w:pPr>
            <w:r w:rsidRPr="007D1918">
              <w:rPr>
                <w:snapToGrid w:val="0"/>
              </w:rPr>
              <w:fldChar w:fldCharType="begin"/>
            </w:r>
            <w:r w:rsidR="00C437BA" w:rsidRPr="007D1918">
              <w:rPr>
                <w:snapToGrid w:val="0"/>
              </w:rPr>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Pr="007D1918">
              <w:rPr>
                <w:snapToGrid w:val="0"/>
              </w:rPr>
              <w:fldChar w:fldCharType="separate"/>
            </w:r>
            <w:r w:rsidRPr="007D1918">
              <w:rPr>
                <w:noProof/>
                <w:snapToGrid w:val="0"/>
              </w:rPr>
              <w:t>(</w:t>
            </w:r>
            <w:hyperlink w:anchor="_ENREF_80" w:tooltip="Qureshi, 1999 #40" w:history="1">
              <w:r w:rsidR="007D4948" w:rsidRPr="007D1918">
                <w:rPr>
                  <w:noProof/>
                  <w:snapToGrid w:val="0"/>
                </w:rPr>
                <w:t>Qureshi et al. 1999</w:t>
              </w:r>
            </w:hyperlink>
            <w:r w:rsidRPr="007D1918">
              <w:rPr>
                <w:noProof/>
                <w:snapToGrid w:val="0"/>
              </w:rPr>
              <w:t>)</w:t>
            </w:r>
            <w:r w:rsidRPr="007D1918">
              <w:rPr>
                <w:snapToGrid w:val="0"/>
              </w:rPr>
              <w:fldChar w:fldCharType="end"/>
            </w:r>
            <w:r w:rsidR="00FD644B" w:rsidRPr="007D1918">
              <w:rPr>
                <w:snapToGrid w:val="0"/>
              </w:rPr>
              <w:t xml:space="preserve">, </w:t>
            </w:r>
            <w:r w:rsidR="00D2230A" w:rsidRPr="007D1918">
              <w:rPr>
                <w:snapToGrid w:val="0"/>
              </w:rPr>
              <w:t>USA</w:t>
            </w:r>
          </w:p>
          <w:p w14:paraId="0E97954B" w14:textId="0F36409F" w:rsidR="00FD644B" w:rsidRPr="007D1918" w:rsidRDefault="00FD644B" w:rsidP="001B1AD5">
            <w:pPr>
              <w:pStyle w:val="TableText0"/>
              <w:rPr>
                <w:snapToGrid w:val="0"/>
              </w:rPr>
            </w:pPr>
            <w:r w:rsidRPr="007D1918">
              <w:rPr>
                <w:snapToGrid w:val="0"/>
              </w:rPr>
              <w:t>Level III-2</w:t>
            </w:r>
          </w:p>
          <w:p w14:paraId="5BBDE9DE" w14:textId="1E107182" w:rsidR="00D2230A" w:rsidRPr="007D1918" w:rsidRDefault="00D2230A" w:rsidP="001B1AD5">
            <w:pPr>
              <w:pStyle w:val="TableText0"/>
              <w:rPr>
                <w:snapToGrid w:val="0"/>
              </w:rPr>
            </w:pPr>
            <w:r w:rsidRPr="007D1918">
              <w:rPr>
                <w:snapToGrid w:val="0"/>
              </w:rPr>
              <w:t>Moderate risk of bias</w:t>
            </w:r>
          </w:p>
        </w:tc>
        <w:tc>
          <w:tcPr>
            <w:tcW w:w="1576" w:type="pct"/>
          </w:tcPr>
          <w:p w14:paraId="1FC1C031" w14:textId="43E95DFF" w:rsidR="00D2230A" w:rsidRPr="007D1918" w:rsidRDefault="00D2230A" w:rsidP="001B1AD5">
            <w:pPr>
              <w:pStyle w:val="TableText0"/>
              <w:rPr>
                <w:rFonts w:cs="Arial"/>
                <w:snapToGrid w:val="0"/>
                <w:szCs w:val="20"/>
              </w:rPr>
            </w:pPr>
            <w:r w:rsidRPr="007D1918">
              <w:rPr>
                <w:rFonts w:cs="Arial"/>
                <w:snapToGrid w:val="0"/>
                <w:szCs w:val="20"/>
              </w:rPr>
              <w:t>Patients identified retrospectively who had an episode of MG crisis and treated with either IVIg or PE</w:t>
            </w:r>
          </w:p>
        </w:tc>
        <w:tc>
          <w:tcPr>
            <w:tcW w:w="788" w:type="pct"/>
            <w:shd w:val="clear" w:color="auto" w:fill="auto"/>
          </w:tcPr>
          <w:p w14:paraId="572603BD" w14:textId="77777777" w:rsidR="00D2230A" w:rsidRPr="007D1918" w:rsidRDefault="00D2230A" w:rsidP="001B1AD5">
            <w:pPr>
              <w:pStyle w:val="TableText0"/>
              <w:jc w:val="center"/>
              <w:rPr>
                <w:snapToGrid w:val="0"/>
              </w:rPr>
            </w:pPr>
            <w:r w:rsidRPr="007D1918">
              <w:rPr>
                <w:snapToGrid w:val="0"/>
              </w:rPr>
              <w:t>2/26</w:t>
            </w:r>
          </w:p>
          <w:p w14:paraId="66F6E9C5" w14:textId="48625A23" w:rsidR="00D2230A" w:rsidRPr="007D1918" w:rsidRDefault="00D2230A" w:rsidP="001B1AD5">
            <w:pPr>
              <w:pStyle w:val="TableText0"/>
              <w:jc w:val="center"/>
              <w:rPr>
                <w:snapToGrid w:val="0"/>
              </w:rPr>
            </w:pPr>
            <w:r w:rsidRPr="007D1918">
              <w:rPr>
                <w:snapToGrid w:val="0"/>
              </w:rPr>
              <w:t>(7.7%)</w:t>
            </w:r>
          </w:p>
        </w:tc>
        <w:tc>
          <w:tcPr>
            <w:tcW w:w="791" w:type="pct"/>
            <w:shd w:val="clear" w:color="auto" w:fill="auto"/>
          </w:tcPr>
          <w:p w14:paraId="0028C397" w14:textId="77777777" w:rsidR="00D2230A" w:rsidRPr="007D1918" w:rsidRDefault="00D2230A" w:rsidP="001B1AD5">
            <w:pPr>
              <w:pStyle w:val="TableText0"/>
              <w:jc w:val="center"/>
              <w:rPr>
                <w:snapToGrid w:val="0"/>
              </w:rPr>
            </w:pPr>
            <w:r w:rsidRPr="007D1918">
              <w:rPr>
                <w:snapToGrid w:val="0"/>
              </w:rPr>
              <w:t>1/28</w:t>
            </w:r>
          </w:p>
          <w:p w14:paraId="29731FD5" w14:textId="467A1FD4" w:rsidR="00D2230A" w:rsidRPr="007D1918" w:rsidRDefault="00D2230A" w:rsidP="001B1AD5">
            <w:pPr>
              <w:pStyle w:val="TableText0"/>
              <w:jc w:val="center"/>
              <w:rPr>
                <w:snapToGrid w:val="0"/>
              </w:rPr>
            </w:pPr>
            <w:r w:rsidRPr="007D1918">
              <w:rPr>
                <w:snapToGrid w:val="0"/>
              </w:rPr>
              <w:t>(3.6%)</w:t>
            </w:r>
          </w:p>
        </w:tc>
        <w:tc>
          <w:tcPr>
            <w:tcW w:w="836" w:type="pct"/>
            <w:shd w:val="clear" w:color="auto" w:fill="auto"/>
          </w:tcPr>
          <w:p w14:paraId="4098EC1F" w14:textId="7C414A34" w:rsidR="00D2230A" w:rsidRPr="007D1918" w:rsidRDefault="00FD644B" w:rsidP="00FD644B">
            <w:pPr>
              <w:pStyle w:val="TableText0"/>
              <w:jc w:val="center"/>
              <w:rPr>
                <w:snapToGrid w:val="0"/>
              </w:rPr>
            </w:pPr>
            <w:r w:rsidRPr="007D1918">
              <w:rPr>
                <w:snapToGrid w:val="0"/>
              </w:rPr>
              <w:t>P = 0.51</w:t>
            </w:r>
            <w:r w:rsidR="00BD29D9" w:rsidRPr="007D1918">
              <w:rPr>
                <w:snapToGrid w:val="0"/>
                <w:vertAlign w:val="superscript"/>
              </w:rPr>
              <w:t>b</w:t>
            </w:r>
            <w:r w:rsidRPr="007D1918">
              <w:rPr>
                <w:snapToGrid w:val="0"/>
              </w:rPr>
              <w:t xml:space="preserve"> </w:t>
            </w:r>
            <w:r w:rsidR="00BD29D9" w:rsidRPr="007D1918">
              <w:rPr>
                <w:snapToGrid w:val="0"/>
              </w:rPr>
              <w:br/>
            </w:r>
            <w:r w:rsidRPr="007D1918">
              <w:rPr>
                <w:snapToGrid w:val="0"/>
              </w:rPr>
              <w:t>(</w:t>
            </w:r>
            <w:r w:rsidR="00127356" w:rsidRPr="007D1918">
              <w:rPr>
                <w:snapToGrid w:val="0"/>
              </w:rPr>
              <w:t>-11</w:t>
            </w:r>
            <w:r w:rsidRPr="007D1918">
              <w:rPr>
                <w:snapToGrid w:val="0"/>
              </w:rPr>
              <w:t>.11%, 20.81%)</w:t>
            </w:r>
            <w:r w:rsidR="00127356" w:rsidRPr="007D1918">
              <w:rPr>
                <w:snapToGrid w:val="0"/>
              </w:rPr>
              <w:t xml:space="preserve"> </w:t>
            </w:r>
          </w:p>
        </w:tc>
      </w:tr>
    </w:tbl>
    <w:p w14:paraId="3B14FFF3" w14:textId="598AD9F6" w:rsidR="00BD29D9" w:rsidRPr="007D1918" w:rsidRDefault="00BD29D9" w:rsidP="00BD29D9">
      <w:pPr>
        <w:pStyle w:val="Tablenotes0"/>
        <w:spacing w:after="120"/>
        <w:contextualSpacing w:val="0"/>
      </w:pPr>
      <w:r w:rsidRPr="007D1918">
        <w:t xml:space="preserve">IVIg = intravenous immunoglobulin; MG = myasthenia gravis; PE = </w:t>
      </w:r>
      <w:r w:rsidR="0045753E" w:rsidRPr="007D1918">
        <w:t>plasma exchange</w:t>
      </w:r>
    </w:p>
    <w:p w14:paraId="1556DEA9" w14:textId="2753F6B2" w:rsidR="00FD644B" w:rsidRPr="007D1918" w:rsidRDefault="00FD644B" w:rsidP="006B7DCE">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a</w:t>
      </w:r>
      <w:r w:rsidRPr="007D1918">
        <w:rPr>
          <w:rFonts w:ascii="Arial Narrow" w:hAnsi="Arial Narrow" w:cs="Arial"/>
          <w:snapToGrid w:val="0"/>
          <w:sz w:val="18"/>
          <w:szCs w:val="20"/>
          <w:lang w:eastAsia="en-US"/>
        </w:rPr>
        <w:t xml:space="preserve"> Fisher’s exact test </w:t>
      </w:r>
      <w:r w:rsidR="0075212A" w:rsidRPr="007D1918">
        <w:rPr>
          <w:rFonts w:ascii="Arial Narrow" w:hAnsi="Arial Narrow" w:cs="Arial"/>
          <w:snapToGrid w:val="0"/>
          <w:sz w:val="18"/>
          <w:szCs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cs="Arial"/>
          <w:snapToGrid w:val="0"/>
          <w:sz w:val="18"/>
          <w:szCs w:val="20"/>
          <w:lang w:eastAsia="en-US"/>
        </w:rPr>
        <w:instrText xml:space="preserve"> ADDIN EN.CITE </w:instrText>
      </w:r>
      <w:r w:rsidR="007F4CDE" w:rsidRPr="007D1918">
        <w:rPr>
          <w:rFonts w:ascii="Arial Narrow" w:hAnsi="Arial Narrow" w:cs="Arial"/>
          <w:snapToGrid w:val="0"/>
          <w:sz w:val="18"/>
          <w:szCs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cs="Arial"/>
          <w:snapToGrid w:val="0"/>
          <w:sz w:val="18"/>
          <w:szCs w:val="20"/>
          <w:lang w:eastAsia="en-US"/>
        </w:rPr>
        <w:instrText xml:space="preserve"> ADDIN EN.CITE.DATA </w:instrText>
      </w:r>
      <w:r w:rsidR="007F4CDE" w:rsidRPr="007D1918">
        <w:rPr>
          <w:rFonts w:ascii="Arial Narrow" w:hAnsi="Arial Narrow" w:cs="Arial"/>
          <w:snapToGrid w:val="0"/>
          <w:sz w:val="18"/>
          <w:szCs w:val="20"/>
          <w:lang w:eastAsia="en-US"/>
        </w:rPr>
      </w:r>
      <w:r w:rsidR="007F4CDE" w:rsidRPr="007D1918">
        <w:rPr>
          <w:rFonts w:ascii="Arial Narrow" w:hAnsi="Arial Narrow" w:cs="Arial"/>
          <w:snapToGrid w:val="0"/>
          <w:sz w:val="18"/>
          <w:szCs w:val="20"/>
          <w:lang w:eastAsia="en-US"/>
        </w:rPr>
        <w:fldChar w:fldCharType="end"/>
      </w:r>
      <w:r w:rsidR="0075212A" w:rsidRPr="007D1918">
        <w:rPr>
          <w:rFonts w:ascii="Arial Narrow" w:hAnsi="Arial Narrow" w:cs="Arial"/>
          <w:snapToGrid w:val="0"/>
          <w:sz w:val="18"/>
          <w:szCs w:val="20"/>
          <w:lang w:eastAsia="en-US"/>
        </w:rPr>
      </w:r>
      <w:r w:rsidR="0075212A" w:rsidRPr="007D1918">
        <w:rPr>
          <w:rFonts w:ascii="Arial Narrow" w:hAnsi="Arial Narrow" w:cs="Arial"/>
          <w:snapToGrid w:val="0"/>
          <w:sz w:val="18"/>
          <w:szCs w:val="20"/>
          <w:lang w:eastAsia="en-US"/>
        </w:rPr>
        <w:fldChar w:fldCharType="separate"/>
      </w:r>
      <w:r w:rsidR="0075212A" w:rsidRPr="007D1918">
        <w:rPr>
          <w:rFonts w:ascii="Arial Narrow" w:hAnsi="Arial Narrow" w:cs="Arial"/>
          <w:noProof/>
          <w:snapToGrid w:val="0"/>
          <w:sz w:val="18"/>
          <w:szCs w:val="20"/>
          <w:lang w:eastAsia="en-US"/>
        </w:rPr>
        <w:t>(</w:t>
      </w:r>
      <w:hyperlink w:anchor="_ENREF_64" w:tooltip="Mandawat, 2010 #37" w:history="1">
        <w:r w:rsidR="007D4948" w:rsidRPr="007D1918">
          <w:rPr>
            <w:rFonts w:ascii="Arial Narrow" w:hAnsi="Arial Narrow" w:cs="Arial"/>
            <w:noProof/>
            <w:snapToGrid w:val="0"/>
            <w:sz w:val="18"/>
            <w:szCs w:val="20"/>
            <w:lang w:eastAsia="en-US"/>
          </w:rPr>
          <w:t>Mandawat et al. 2010</w:t>
        </w:r>
      </w:hyperlink>
      <w:r w:rsidR="0075212A" w:rsidRPr="007D1918">
        <w:rPr>
          <w:rFonts w:ascii="Arial Narrow" w:hAnsi="Arial Narrow" w:cs="Arial"/>
          <w:noProof/>
          <w:snapToGrid w:val="0"/>
          <w:sz w:val="18"/>
          <w:szCs w:val="20"/>
          <w:lang w:eastAsia="en-US"/>
        </w:rPr>
        <w:t>)</w:t>
      </w:r>
      <w:r w:rsidR="0075212A" w:rsidRPr="007D1918">
        <w:rPr>
          <w:rFonts w:ascii="Arial Narrow" w:hAnsi="Arial Narrow" w:cs="Arial"/>
          <w:snapToGrid w:val="0"/>
          <w:sz w:val="18"/>
          <w:szCs w:val="20"/>
          <w:lang w:eastAsia="en-US"/>
        </w:rPr>
        <w:fldChar w:fldCharType="end"/>
      </w:r>
    </w:p>
    <w:p w14:paraId="6FC89530" w14:textId="684E4974" w:rsidR="00BD29D9" w:rsidRPr="007D1918" w:rsidRDefault="00BD29D9" w:rsidP="006B7DCE">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b</w:t>
      </w:r>
      <w:r w:rsidRPr="007D1918">
        <w:rPr>
          <w:rFonts w:ascii="Arial Narrow" w:hAnsi="Arial Narrow" w:cs="Arial"/>
          <w:snapToGrid w:val="0"/>
          <w:sz w:val="18"/>
          <w:szCs w:val="20"/>
          <w:lang w:eastAsia="en-US"/>
        </w:rPr>
        <w:t xml:space="preserve"> Chi-squared test, </w:t>
      </w:r>
      <w:r w:rsidR="004D3879" w:rsidRPr="007D1918">
        <w:rPr>
          <w:rFonts w:ascii="Arial Narrow" w:hAnsi="Arial Narrow" w:cs="Arial"/>
          <w:snapToGrid w:val="0"/>
          <w:sz w:val="18"/>
          <w:szCs w:val="20"/>
          <w:lang w:eastAsia="en-US"/>
        </w:rPr>
        <w:t>MedCalc</w:t>
      </w:r>
      <w:r w:rsidRPr="007D1918">
        <w:rPr>
          <w:rFonts w:ascii="Arial Narrow" w:hAnsi="Arial Narrow" w:cs="Arial"/>
          <w:snapToGrid w:val="0"/>
          <w:sz w:val="18"/>
          <w:szCs w:val="20"/>
          <w:lang w:eastAsia="en-US"/>
        </w:rPr>
        <w:t xml:space="preserve"> online calculator</w:t>
      </w:r>
    </w:p>
    <w:p w14:paraId="39B7A556" w14:textId="77777777" w:rsidR="006B7DCE" w:rsidRPr="007D1918" w:rsidRDefault="006B7DCE" w:rsidP="00B44991">
      <w:pPr>
        <w:pStyle w:val="Tabletext1"/>
      </w:pPr>
    </w:p>
    <w:p w14:paraId="554EA790" w14:textId="041C5290" w:rsidR="006B7DCE" w:rsidRPr="007D1918" w:rsidRDefault="006B7DCE" w:rsidP="006B7DCE">
      <w:pPr>
        <w:pStyle w:val="Heading4"/>
      </w:pPr>
      <w:r w:rsidRPr="007D1918">
        <w:lastRenderedPageBreak/>
        <w:t>Rate of infection</w:t>
      </w:r>
      <w:r w:rsidR="00210033" w:rsidRPr="007D1918">
        <w:t xml:space="preserve"> for patients receiving IVIg or PE therapy</w:t>
      </w:r>
    </w:p>
    <w:p w14:paraId="457F188D" w14:textId="0A3BF4E9" w:rsidR="006B7DCE" w:rsidRPr="007D1918" w:rsidRDefault="006B7DCE" w:rsidP="00D53274">
      <w:pPr>
        <w:jc w:val="both"/>
      </w:pPr>
      <w:r w:rsidRPr="007D1918">
        <w:t xml:space="preserve">Infections are a common </w:t>
      </w:r>
      <w:r w:rsidR="00485D35" w:rsidRPr="007D1918">
        <w:t xml:space="preserve">risk </w:t>
      </w:r>
      <w:r w:rsidRPr="007D1918">
        <w:t xml:space="preserve">in MG </w:t>
      </w:r>
      <w:r w:rsidR="00485D35" w:rsidRPr="007D1918">
        <w:t>patients due to their immune insufficiency</w:t>
      </w:r>
      <w:r w:rsidRPr="007D1918">
        <w:t xml:space="preserve">, </w:t>
      </w:r>
      <w:r w:rsidR="00485D35" w:rsidRPr="007D1918">
        <w:t xml:space="preserve">but also in relation </w:t>
      </w:r>
      <w:r w:rsidRPr="007D1918">
        <w:t xml:space="preserve">to </w:t>
      </w:r>
      <w:r w:rsidR="00485D35" w:rsidRPr="007D1918">
        <w:t xml:space="preserve">vascular access for treatment </w:t>
      </w:r>
      <w:r w:rsidR="00E50E25" w:rsidRPr="007D1918">
        <w:t>and</w:t>
      </w:r>
      <w:r w:rsidR="00485D35" w:rsidRPr="007D1918">
        <w:t xml:space="preserve"> </w:t>
      </w:r>
      <w:r w:rsidRPr="007D1918">
        <w:t xml:space="preserve">artificial ventilation. Three level III-2 studies compared the rate of infections between IVIg and PE groups in crisis patients </w:t>
      </w:r>
      <w:r w:rsidR="0075212A" w:rsidRPr="007D1918">
        <w:fldChar w:fldCharType="begin">
          <w:fldData xml:space="preserve">PEVuZE5vdGU+PENpdGU+PEF1dGhvcj5NYW5kYXdhdDwvQXV0aG9yPjxZZWFyPjIwMTA8L1llYXI+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PFJlY051bT4zNzwvUmVjTnVtPjxEaXNwbGF5VGV4dD4oTWFuZGF3YXQgZXQgYWwuIDIwMTA7IFBp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 xml:space="preserve">; </w:t>
      </w:r>
      <w:hyperlink w:anchor="_ENREF_79" w:tooltip="Pittayanon, 2009 #86" w:history="1">
        <w:r w:rsidR="007D4948" w:rsidRPr="007D1918">
          <w:rPr>
            <w:noProof/>
          </w:rPr>
          <w:t>Pittayanon, Treeprasertsuk &amp; Phanthumchinda 2009</w:t>
        </w:r>
      </w:hyperlink>
      <w:r w:rsidR="0075212A" w:rsidRPr="007D1918">
        <w:rPr>
          <w:noProof/>
        </w:rPr>
        <w:t xml:space="preserve">; </w:t>
      </w:r>
      <w:hyperlink w:anchor="_ENREF_80" w:tooltip="Qureshi, 1999 #40" w:history="1">
        <w:r w:rsidR="007D4948" w:rsidRPr="007D1918">
          <w:rPr>
            <w:noProof/>
          </w:rPr>
          <w:t>Qureshi et al. 1999</w:t>
        </w:r>
      </w:hyperlink>
      <w:r w:rsidR="0075212A" w:rsidRPr="007D1918">
        <w:rPr>
          <w:noProof/>
        </w:rPr>
        <w:t>)</w:t>
      </w:r>
      <w:r w:rsidR="0075212A" w:rsidRPr="007D1918">
        <w:fldChar w:fldCharType="end"/>
      </w:r>
      <w:r w:rsidRPr="007D1918">
        <w:t>. Definitions of MG crisis were based on weakness of the respiratory muscles and/or the requirement for mechanical ventilation in all three studies. The types of infections reported were not exactly the same across studies: Mandawat et al reported systemic infections, Qureshi et al reported infections (not further descri</w:t>
      </w:r>
      <w:r w:rsidR="006341C8" w:rsidRPr="007D1918">
        <w:t>b</w:t>
      </w:r>
      <w:r w:rsidRPr="007D1918">
        <w:t>ed), and Pittayanon et al reported hospital acquired pneumonia (</w:t>
      </w:r>
      <w:r w:rsidRPr="007D1918">
        <w:fldChar w:fldCharType="begin"/>
      </w:r>
      <w:r w:rsidRPr="007D1918">
        <w:instrText xml:space="preserve"> REF _Ref8309271 \h </w:instrText>
      </w:r>
      <w:r w:rsidR="00D53274" w:rsidRPr="007D1918">
        <w:instrText xml:space="preserve"> \* MERGEFORMAT </w:instrText>
      </w:r>
      <w:r w:rsidRPr="007D1918">
        <w:fldChar w:fldCharType="separate"/>
      </w:r>
      <w:r w:rsidR="00153384" w:rsidRPr="007D1918">
        <w:t xml:space="preserve">Table </w:t>
      </w:r>
      <w:r w:rsidR="00153384" w:rsidRPr="007D1918">
        <w:rPr>
          <w:noProof/>
        </w:rPr>
        <w:t>27</w:t>
      </w:r>
      <w:r w:rsidRPr="007D1918">
        <w:fldChar w:fldCharType="end"/>
      </w:r>
      <w:r w:rsidRPr="007D1918">
        <w:t>).</w:t>
      </w:r>
    </w:p>
    <w:p w14:paraId="37DDBFE0" w14:textId="50D4728B" w:rsidR="006B7DCE" w:rsidRPr="007D1918" w:rsidRDefault="006B7DCE" w:rsidP="00D53274">
      <w:pPr>
        <w:jc w:val="both"/>
      </w:pPr>
      <w:r w:rsidRPr="007D1918">
        <w:t>Infections of the types reported were all more frequent in the PE group compared to the IVIg group. Only the largest study found a significant difference between IVIg and PE for the rate of systemic infections (1.18% versus 9.45%; p &lt; 0.0001). The authors also performed a multivariate logistic regression analysis, finding an odds ratio (OR) for acute respiratory failure of 4.89 (95% CI 3.51,</w:t>
      </w:r>
      <w:r w:rsidR="00BC5A8B" w:rsidRPr="007D1918">
        <w:t xml:space="preserve"> </w:t>
      </w:r>
      <w:r w:rsidRPr="007D1918">
        <w:t xml:space="preserve">6.84; p &lt; 0.0001) in favour of </w:t>
      </w:r>
      <w:r w:rsidR="004D3879" w:rsidRPr="007D1918">
        <w:t xml:space="preserve">patients undergoing </w:t>
      </w:r>
      <w:r w:rsidRPr="007D1918">
        <w:t xml:space="preserve">IVIg </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r w:rsidRPr="007D1918">
        <w:t>.</w:t>
      </w:r>
      <w:r w:rsidR="00145D45" w:rsidRPr="007D1918">
        <w:t xml:space="preserve"> This analysis, however, included both patients in the crisis and the non-crisis MG groups.</w:t>
      </w:r>
      <w:r w:rsidR="00F0360B" w:rsidRPr="007D1918">
        <w:t xml:space="preserve"> </w:t>
      </w:r>
    </w:p>
    <w:p w14:paraId="5116C85E" w14:textId="5B225689" w:rsidR="006B7DCE" w:rsidRPr="007D1918" w:rsidRDefault="006B7DCE" w:rsidP="006B7DCE">
      <w:pPr>
        <w:pStyle w:val="Caption"/>
        <w:keepNext/>
        <w:keepLines/>
      </w:pPr>
      <w:bookmarkStart w:id="253" w:name="_Ref8309271"/>
      <w:bookmarkStart w:id="254" w:name="_Toc23769514"/>
      <w:r w:rsidRPr="007D1918">
        <w:t xml:space="preserve">Table </w:t>
      </w:r>
      <w:r w:rsidR="007C1C3D" w:rsidRPr="007D1918">
        <w:rPr>
          <w:noProof/>
        </w:rPr>
        <w:fldChar w:fldCharType="begin"/>
      </w:r>
      <w:r w:rsidR="007C1C3D" w:rsidRPr="007D1918">
        <w:rPr>
          <w:noProof/>
        </w:rPr>
        <w:instrText xml:space="preserve"> SEQ Table \* ARABIC </w:instrText>
      </w:r>
      <w:r w:rsidR="007C1C3D" w:rsidRPr="007D1918">
        <w:rPr>
          <w:noProof/>
        </w:rPr>
        <w:fldChar w:fldCharType="separate"/>
      </w:r>
      <w:r w:rsidR="00942701" w:rsidRPr="007D1918">
        <w:rPr>
          <w:noProof/>
        </w:rPr>
        <w:t>27</w:t>
      </w:r>
      <w:r w:rsidR="007C1C3D" w:rsidRPr="007D1918">
        <w:rPr>
          <w:noProof/>
        </w:rPr>
        <w:fldChar w:fldCharType="end"/>
      </w:r>
      <w:bookmarkEnd w:id="253"/>
      <w:r w:rsidRPr="007D1918">
        <w:tab/>
        <w:t>Infection rates in patients given IVIg compared with PE</w:t>
      </w:r>
      <w:bookmarkEnd w:id="254"/>
    </w:p>
    <w:tbl>
      <w:tblPr>
        <w:tblW w:w="4862"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5 Infection rates in patients given IVIg compared with PE"/>
        <w:tblDescription w:val="Infection rates across studies comapared between MG patients (indication 1) who received IVIg and those who received PE."/>
      </w:tblPr>
      <w:tblGrid>
        <w:gridCol w:w="1528"/>
        <w:gridCol w:w="2395"/>
        <w:gridCol w:w="1148"/>
        <w:gridCol w:w="1133"/>
        <w:gridCol w:w="1134"/>
        <w:gridCol w:w="1429"/>
      </w:tblGrid>
      <w:tr w:rsidR="004D3879" w:rsidRPr="007D1918" w14:paraId="25CF596A" w14:textId="77777777" w:rsidTr="00A80147">
        <w:tc>
          <w:tcPr>
            <w:tcW w:w="871" w:type="pct"/>
            <w:tcBorders>
              <w:bottom w:val="single" w:sz="4" w:space="0" w:color="auto"/>
            </w:tcBorders>
          </w:tcPr>
          <w:p w14:paraId="2B8FCD96" w14:textId="5403DF79" w:rsidR="004D3879" w:rsidRPr="007D1918" w:rsidRDefault="004D3879" w:rsidP="001B1AD5">
            <w:pPr>
              <w:pStyle w:val="TableHeading"/>
              <w:rPr>
                <w:snapToGrid w:val="0"/>
                <w:lang w:eastAsia="en-US"/>
              </w:rPr>
            </w:pPr>
            <w:r w:rsidRPr="007D1918">
              <w:rPr>
                <w:snapToGrid w:val="0"/>
                <w:lang w:eastAsia="en-US"/>
              </w:rPr>
              <w:t xml:space="preserve">Study, Country </w:t>
            </w:r>
          </w:p>
          <w:p w14:paraId="46CECAEF" w14:textId="2846E7BF" w:rsidR="004D3879" w:rsidRPr="007D1918" w:rsidRDefault="004D3879" w:rsidP="001B1AD5">
            <w:pPr>
              <w:pStyle w:val="TableHeading"/>
              <w:rPr>
                <w:snapToGrid w:val="0"/>
                <w:lang w:eastAsia="en-US"/>
              </w:rPr>
            </w:pPr>
            <w:r w:rsidRPr="007D1918">
              <w:rPr>
                <w:snapToGrid w:val="0"/>
                <w:lang w:eastAsia="en-US"/>
              </w:rPr>
              <w:t>Level</w:t>
            </w:r>
            <w:r w:rsidR="00A80147" w:rsidRPr="007D1918">
              <w:rPr>
                <w:snapToGrid w:val="0"/>
                <w:lang w:eastAsia="en-US"/>
              </w:rPr>
              <w:t xml:space="preserve"> of evidence</w:t>
            </w:r>
          </w:p>
          <w:p w14:paraId="2E69491D" w14:textId="54D673B9" w:rsidR="004D3879" w:rsidRPr="007D1918" w:rsidRDefault="004D3879" w:rsidP="004D3879">
            <w:pPr>
              <w:pStyle w:val="TableHeading"/>
              <w:rPr>
                <w:snapToGrid w:val="0"/>
                <w:lang w:eastAsia="en-US"/>
              </w:rPr>
            </w:pPr>
            <w:r w:rsidRPr="007D1918">
              <w:rPr>
                <w:snapToGrid w:val="0"/>
                <w:lang w:eastAsia="en-US"/>
              </w:rPr>
              <w:t>Risk of bias</w:t>
            </w:r>
          </w:p>
        </w:tc>
        <w:tc>
          <w:tcPr>
            <w:tcW w:w="1366" w:type="pct"/>
          </w:tcPr>
          <w:p w14:paraId="18269FC6" w14:textId="77777777" w:rsidR="004D3879" w:rsidRPr="007D1918" w:rsidRDefault="004D3879" w:rsidP="001B1AD5">
            <w:pPr>
              <w:pStyle w:val="TableHeading"/>
              <w:rPr>
                <w:snapToGrid w:val="0"/>
                <w:lang w:eastAsia="en-US"/>
              </w:rPr>
            </w:pPr>
            <w:r w:rsidRPr="007D1918">
              <w:rPr>
                <w:snapToGrid w:val="0"/>
                <w:lang w:eastAsia="en-US"/>
              </w:rPr>
              <w:t>Population</w:t>
            </w:r>
          </w:p>
          <w:p w14:paraId="1CCC3849" w14:textId="77777777" w:rsidR="004D3879" w:rsidRPr="007D1918" w:rsidRDefault="004D3879" w:rsidP="001B1AD5">
            <w:pPr>
              <w:pStyle w:val="TableHeading"/>
              <w:rPr>
                <w:snapToGrid w:val="0"/>
                <w:lang w:eastAsia="en-US"/>
              </w:rPr>
            </w:pPr>
          </w:p>
        </w:tc>
        <w:tc>
          <w:tcPr>
            <w:tcW w:w="655" w:type="pct"/>
          </w:tcPr>
          <w:p w14:paraId="61981BB0" w14:textId="77777777" w:rsidR="004D3879" w:rsidRPr="007D1918" w:rsidRDefault="004D3879" w:rsidP="001B1AD5">
            <w:pPr>
              <w:pStyle w:val="TableHeading"/>
              <w:rPr>
                <w:snapToGrid w:val="0"/>
                <w:lang w:eastAsia="en-US"/>
              </w:rPr>
            </w:pPr>
            <w:r w:rsidRPr="007D1918">
              <w:rPr>
                <w:snapToGrid w:val="0"/>
                <w:lang w:eastAsia="en-US"/>
              </w:rPr>
              <w:t>Event</w:t>
            </w:r>
          </w:p>
        </w:tc>
        <w:tc>
          <w:tcPr>
            <w:tcW w:w="646" w:type="pct"/>
            <w:shd w:val="clear" w:color="auto" w:fill="auto"/>
          </w:tcPr>
          <w:p w14:paraId="236B209B" w14:textId="77777777" w:rsidR="004D3879" w:rsidRPr="007D1918" w:rsidRDefault="004D3879" w:rsidP="000D2632">
            <w:pPr>
              <w:pStyle w:val="TableHeading"/>
              <w:rPr>
                <w:snapToGrid w:val="0"/>
                <w:lang w:eastAsia="en-US"/>
              </w:rPr>
            </w:pPr>
            <w:r w:rsidRPr="007D1918">
              <w:rPr>
                <w:snapToGrid w:val="0"/>
                <w:lang w:eastAsia="en-US"/>
              </w:rPr>
              <w:t>IVIg</w:t>
            </w:r>
          </w:p>
          <w:p w14:paraId="5FCEA2D6" w14:textId="739CD160" w:rsidR="004D3879" w:rsidRPr="007D1918" w:rsidRDefault="004D3879" w:rsidP="000D2632">
            <w:pPr>
              <w:pStyle w:val="TableHeading"/>
              <w:rPr>
                <w:snapToGrid w:val="0"/>
                <w:lang w:eastAsia="en-US"/>
              </w:rPr>
            </w:pPr>
            <w:r w:rsidRPr="007D1918">
              <w:rPr>
                <w:snapToGrid w:val="0"/>
                <w:lang w:eastAsia="en-US"/>
              </w:rPr>
              <w:t>n with event/N (%)</w:t>
            </w:r>
          </w:p>
        </w:tc>
        <w:tc>
          <w:tcPr>
            <w:tcW w:w="647" w:type="pct"/>
            <w:shd w:val="clear" w:color="auto" w:fill="auto"/>
          </w:tcPr>
          <w:p w14:paraId="1549E55B" w14:textId="77777777" w:rsidR="004D3879" w:rsidRPr="007D1918" w:rsidRDefault="004D3879" w:rsidP="000D2632">
            <w:pPr>
              <w:pStyle w:val="TableHeading"/>
              <w:rPr>
                <w:snapToGrid w:val="0"/>
                <w:lang w:eastAsia="en-US"/>
              </w:rPr>
            </w:pPr>
            <w:r w:rsidRPr="007D1918">
              <w:rPr>
                <w:snapToGrid w:val="0"/>
                <w:lang w:eastAsia="en-US"/>
              </w:rPr>
              <w:t>PE</w:t>
            </w:r>
          </w:p>
          <w:p w14:paraId="4EF07FF7" w14:textId="621951A6" w:rsidR="004D3879" w:rsidRPr="007D1918" w:rsidRDefault="004D3879" w:rsidP="000D2632">
            <w:pPr>
              <w:pStyle w:val="TableHeading"/>
              <w:rPr>
                <w:snapToGrid w:val="0"/>
                <w:lang w:eastAsia="en-US"/>
              </w:rPr>
            </w:pPr>
            <w:r w:rsidRPr="007D1918">
              <w:rPr>
                <w:snapToGrid w:val="0"/>
                <w:lang w:eastAsia="en-US"/>
              </w:rPr>
              <w:t>n with event/N (%)</w:t>
            </w:r>
          </w:p>
        </w:tc>
        <w:tc>
          <w:tcPr>
            <w:tcW w:w="815" w:type="pct"/>
            <w:shd w:val="clear" w:color="auto" w:fill="auto"/>
          </w:tcPr>
          <w:p w14:paraId="49661C47" w14:textId="6F3899D2" w:rsidR="004D3879" w:rsidRPr="007D1918" w:rsidRDefault="00310E40" w:rsidP="000D2632">
            <w:pPr>
              <w:pStyle w:val="TableHeading"/>
              <w:rPr>
                <w:snapToGrid w:val="0"/>
                <w:lang w:eastAsia="en-US"/>
              </w:rPr>
            </w:pPr>
            <w:r w:rsidRPr="007D1918">
              <w:rPr>
                <w:snapToGrid w:val="0"/>
                <w:lang w:eastAsia="en-US"/>
              </w:rPr>
              <w:t>D</w:t>
            </w:r>
            <w:r w:rsidR="004D3879" w:rsidRPr="007D1918">
              <w:rPr>
                <w:snapToGrid w:val="0"/>
                <w:lang w:eastAsia="en-US"/>
              </w:rPr>
              <w:t>ifference</w:t>
            </w:r>
          </w:p>
          <w:p w14:paraId="566CC506" w14:textId="4953A188" w:rsidR="004D3879" w:rsidRPr="007D1918" w:rsidRDefault="004D3879" w:rsidP="000D2632">
            <w:pPr>
              <w:pStyle w:val="TableHeading"/>
              <w:rPr>
                <w:snapToGrid w:val="0"/>
                <w:lang w:eastAsia="en-US"/>
              </w:rPr>
            </w:pPr>
            <w:r w:rsidRPr="007D1918">
              <w:rPr>
                <w:snapToGrid w:val="0"/>
                <w:lang w:eastAsia="en-US"/>
              </w:rPr>
              <w:t>p-value (95% CI)</w:t>
            </w:r>
          </w:p>
        </w:tc>
      </w:tr>
      <w:tr w:rsidR="004D3879" w:rsidRPr="007D1918" w14:paraId="4D9C54D1" w14:textId="77777777" w:rsidTr="00A80147">
        <w:tc>
          <w:tcPr>
            <w:tcW w:w="871" w:type="pct"/>
          </w:tcPr>
          <w:p w14:paraId="5EF52E8D" w14:textId="48143A9B" w:rsidR="004D3879" w:rsidRPr="007D1918" w:rsidRDefault="0075212A" w:rsidP="001B1AD5">
            <w:pPr>
              <w:pStyle w:val="TableText0"/>
              <w:rPr>
                <w:snapToGrid w:val="0"/>
              </w:rPr>
            </w:pPr>
            <w:r w:rsidRPr="007D1918">
              <w:rPr>
                <w:snapToGrid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rPr>
              <w:instrText xml:space="preserve"> ADDIN EN.CITE </w:instrText>
            </w:r>
            <w:r w:rsidR="007F4CDE" w:rsidRPr="007D1918">
              <w:rPr>
                <w:snapToGrid w:val="0"/>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rPr>
              <w:instrText xml:space="preserve"> ADDIN EN.CITE.DATA </w:instrText>
            </w:r>
            <w:r w:rsidR="007F4CDE" w:rsidRPr="007D1918">
              <w:rPr>
                <w:snapToGrid w:val="0"/>
              </w:rPr>
            </w:r>
            <w:r w:rsidR="007F4CDE"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64" w:tooltip="Mandawat, 2010 #37" w:history="1">
              <w:r w:rsidR="007D4948" w:rsidRPr="007D1918">
                <w:rPr>
                  <w:noProof/>
                  <w:snapToGrid w:val="0"/>
                </w:rPr>
                <w:t>Mandawat et al. 2010</w:t>
              </w:r>
            </w:hyperlink>
            <w:r w:rsidRPr="007D1918">
              <w:rPr>
                <w:noProof/>
                <w:snapToGrid w:val="0"/>
              </w:rPr>
              <w:t>)</w:t>
            </w:r>
            <w:r w:rsidRPr="007D1918">
              <w:rPr>
                <w:snapToGrid w:val="0"/>
              </w:rPr>
              <w:fldChar w:fldCharType="end"/>
            </w:r>
            <w:r w:rsidR="004D3879" w:rsidRPr="007D1918">
              <w:rPr>
                <w:snapToGrid w:val="0"/>
              </w:rPr>
              <w:t>, USA</w:t>
            </w:r>
          </w:p>
          <w:p w14:paraId="7F07CF67" w14:textId="77777777" w:rsidR="004D3879" w:rsidRPr="007D1918" w:rsidRDefault="004D3879" w:rsidP="001B1AD5">
            <w:pPr>
              <w:pStyle w:val="TableText0"/>
              <w:rPr>
                <w:snapToGrid w:val="0"/>
              </w:rPr>
            </w:pPr>
            <w:r w:rsidRPr="007D1918">
              <w:rPr>
                <w:snapToGrid w:val="0"/>
              </w:rPr>
              <w:t>Level III-2</w:t>
            </w:r>
          </w:p>
          <w:p w14:paraId="69ACB01B" w14:textId="77777777" w:rsidR="004D3879" w:rsidRPr="007D1918" w:rsidRDefault="004D3879" w:rsidP="001B1AD5">
            <w:pPr>
              <w:pStyle w:val="TableText0"/>
              <w:rPr>
                <w:snapToGrid w:val="0"/>
              </w:rPr>
            </w:pPr>
            <w:r w:rsidRPr="007D1918">
              <w:rPr>
                <w:snapToGrid w:val="0"/>
              </w:rPr>
              <w:t xml:space="preserve">Moderate </w:t>
            </w:r>
          </w:p>
        </w:tc>
        <w:tc>
          <w:tcPr>
            <w:tcW w:w="1366" w:type="pct"/>
          </w:tcPr>
          <w:p w14:paraId="3B95F2E8" w14:textId="76C8ADC8" w:rsidR="004D3879" w:rsidRPr="007D1918" w:rsidRDefault="004D3879" w:rsidP="00A80147">
            <w:pPr>
              <w:pStyle w:val="TableText0"/>
              <w:rPr>
                <w:snapToGrid w:val="0"/>
              </w:rPr>
            </w:pPr>
            <w:r w:rsidRPr="007D1918">
              <w:rPr>
                <w:snapToGrid w:val="0"/>
              </w:rPr>
              <w:t>MG patients in crisis identified through a multicentre database</w:t>
            </w:r>
          </w:p>
        </w:tc>
        <w:tc>
          <w:tcPr>
            <w:tcW w:w="655" w:type="pct"/>
          </w:tcPr>
          <w:p w14:paraId="1376CA22" w14:textId="0BBFDA67" w:rsidR="004D3879" w:rsidRPr="007D1918" w:rsidRDefault="004D3879" w:rsidP="00A80147">
            <w:pPr>
              <w:pStyle w:val="TableText0"/>
              <w:rPr>
                <w:snapToGrid w:val="0"/>
              </w:rPr>
            </w:pPr>
            <w:r w:rsidRPr="007D1918">
              <w:rPr>
                <w:snapToGrid w:val="0"/>
              </w:rPr>
              <w:t>Systemic infection</w:t>
            </w:r>
          </w:p>
        </w:tc>
        <w:tc>
          <w:tcPr>
            <w:tcW w:w="646" w:type="pct"/>
            <w:shd w:val="clear" w:color="auto" w:fill="auto"/>
          </w:tcPr>
          <w:p w14:paraId="45688F7C" w14:textId="5A2A67ED" w:rsidR="004D3879" w:rsidRPr="007D1918" w:rsidRDefault="004D3879" w:rsidP="00A80147">
            <w:pPr>
              <w:pStyle w:val="TableText0"/>
              <w:rPr>
                <w:snapToGrid w:val="0"/>
              </w:rPr>
            </w:pPr>
            <w:r w:rsidRPr="007D1918">
              <w:rPr>
                <w:snapToGrid w:val="0"/>
              </w:rPr>
              <w:t>2/169</w:t>
            </w:r>
            <w:r w:rsidRPr="007D1918">
              <w:rPr>
                <w:snapToGrid w:val="0"/>
              </w:rPr>
              <w:br/>
              <w:t>(1.18%)</w:t>
            </w:r>
          </w:p>
        </w:tc>
        <w:tc>
          <w:tcPr>
            <w:tcW w:w="647" w:type="pct"/>
            <w:shd w:val="clear" w:color="auto" w:fill="auto"/>
          </w:tcPr>
          <w:p w14:paraId="01EC6F64" w14:textId="27E1C604" w:rsidR="004D3879" w:rsidRPr="007D1918" w:rsidRDefault="004D3879" w:rsidP="00A80147">
            <w:pPr>
              <w:pStyle w:val="TableText0"/>
              <w:rPr>
                <w:snapToGrid w:val="0"/>
              </w:rPr>
            </w:pPr>
            <w:r w:rsidRPr="007D1918">
              <w:rPr>
                <w:snapToGrid w:val="0"/>
              </w:rPr>
              <w:t>50/529</w:t>
            </w:r>
            <w:r w:rsidRPr="007D1918">
              <w:rPr>
                <w:snapToGrid w:val="0"/>
              </w:rPr>
              <w:br/>
              <w:t>(9.45%)</w:t>
            </w:r>
          </w:p>
        </w:tc>
        <w:tc>
          <w:tcPr>
            <w:tcW w:w="815" w:type="pct"/>
            <w:shd w:val="clear" w:color="auto" w:fill="auto"/>
          </w:tcPr>
          <w:p w14:paraId="7D840AB9" w14:textId="1B7655E8" w:rsidR="004D3879" w:rsidRPr="007D1918" w:rsidRDefault="004D3879" w:rsidP="00A80147">
            <w:pPr>
              <w:pStyle w:val="TableText0"/>
              <w:rPr>
                <w:snapToGrid w:val="0"/>
              </w:rPr>
            </w:pPr>
            <w:r w:rsidRPr="007D1918">
              <w:rPr>
                <w:snapToGrid w:val="0"/>
              </w:rPr>
              <w:t>P &lt; 0.0001</w:t>
            </w:r>
            <w:r w:rsidRPr="007D1918">
              <w:rPr>
                <w:snapToGrid w:val="0"/>
                <w:vertAlign w:val="superscript"/>
              </w:rPr>
              <w:t>a</w:t>
            </w:r>
          </w:p>
        </w:tc>
      </w:tr>
      <w:tr w:rsidR="004D3879" w:rsidRPr="007D1918" w14:paraId="4ECD5425" w14:textId="77777777" w:rsidTr="00A80147">
        <w:tc>
          <w:tcPr>
            <w:tcW w:w="871" w:type="pct"/>
          </w:tcPr>
          <w:p w14:paraId="0D3A50D0" w14:textId="1CBA2258" w:rsidR="004D3879" w:rsidRPr="007D1918" w:rsidRDefault="0075212A" w:rsidP="001B1AD5">
            <w:pPr>
              <w:pStyle w:val="TableText0"/>
              <w:rPr>
                <w:snapToGrid w:val="0"/>
              </w:rPr>
            </w:pPr>
            <w:r w:rsidRPr="007D1918">
              <w:rPr>
                <w:snapToGrid w:val="0"/>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snapToGrid w:val="0"/>
              </w:rPr>
              <w:instrText xml:space="preserve"> ADDIN EN.CITE </w:instrText>
            </w:r>
            <w:r w:rsidRPr="007D1918">
              <w:rPr>
                <w:snapToGrid w:val="0"/>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snapToGrid w:val="0"/>
              </w:rPr>
              <w:instrText xml:space="preserve"> ADDIN EN.CITE.DATA </w:instrText>
            </w:r>
            <w:r w:rsidRPr="007D1918">
              <w:rPr>
                <w:snapToGrid w:val="0"/>
              </w:rPr>
            </w:r>
            <w:r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79" w:tooltip="Pittayanon, 2009 #86" w:history="1">
              <w:r w:rsidR="007D4948" w:rsidRPr="007D1918">
                <w:rPr>
                  <w:noProof/>
                  <w:snapToGrid w:val="0"/>
                </w:rPr>
                <w:t>Pittayanon, Treeprasertsuk &amp; Phanthumchinda 2009</w:t>
              </w:r>
            </w:hyperlink>
            <w:r w:rsidRPr="007D1918">
              <w:rPr>
                <w:noProof/>
                <w:snapToGrid w:val="0"/>
              </w:rPr>
              <w:t>)</w:t>
            </w:r>
            <w:r w:rsidRPr="007D1918">
              <w:rPr>
                <w:snapToGrid w:val="0"/>
              </w:rPr>
              <w:fldChar w:fldCharType="end"/>
            </w:r>
            <w:r w:rsidR="004D3879" w:rsidRPr="007D1918">
              <w:rPr>
                <w:snapToGrid w:val="0"/>
              </w:rPr>
              <w:t>, Thailand</w:t>
            </w:r>
          </w:p>
          <w:p w14:paraId="113AE4B4" w14:textId="77777777" w:rsidR="004D3879" w:rsidRPr="007D1918" w:rsidRDefault="004D3879" w:rsidP="001B1AD5">
            <w:pPr>
              <w:pStyle w:val="TableText0"/>
              <w:rPr>
                <w:snapToGrid w:val="0"/>
              </w:rPr>
            </w:pPr>
            <w:r w:rsidRPr="007D1918">
              <w:rPr>
                <w:snapToGrid w:val="0"/>
              </w:rPr>
              <w:t>Level III-2</w:t>
            </w:r>
          </w:p>
          <w:p w14:paraId="1B6481A8" w14:textId="77777777" w:rsidR="004D3879" w:rsidRPr="007D1918" w:rsidRDefault="004D3879" w:rsidP="001B1AD5">
            <w:pPr>
              <w:pStyle w:val="TableText0"/>
              <w:rPr>
                <w:snapToGrid w:val="0"/>
              </w:rPr>
            </w:pPr>
            <w:r w:rsidRPr="007D1918">
              <w:rPr>
                <w:snapToGrid w:val="0"/>
              </w:rPr>
              <w:t>Moderate - high</w:t>
            </w:r>
          </w:p>
        </w:tc>
        <w:tc>
          <w:tcPr>
            <w:tcW w:w="1366" w:type="pct"/>
          </w:tcPr>
          <w:p w14:paraId="79CEC4F6" w14:textId="77777777" w:rsidR="004D3879" w:rsidRPr="007D1918" w:rsidRDefault="004D3879" w:rsidP="001B1AD5">
            <w:pPr>
              <w:pStyle w:val="TableText0"/>
              <w:rPr>
                <w:szCs w:val="20"/>
              </w:rPr>
            </w:pPr>
            <w:r w:rsidRPr="007D1918">
              <w:rPr>
                <w:szCs w:val="20"/>
              </w:rPr>
              <w:t xml:space="preserve">Episodes of MG crisis between 1 June 2001 and 30 June 2006 in the study hospital </w:t>
            </w:r>
          </w:p>
          <w:p w14:paraId="0C66F909" w14:textId="77777777" w:rsidR="004D3879" w:rsidRPr="007D1918" w:rsidRDefault="004D3879" w:rsidP="001B1AD5">
            <w:pPr>
              <w:pStyle w:val="TableText0"/>
              <w:rPr>
                <w:snapToGrid w:val="0"/>
              </w:rPr>
            </w:pPr>
            <w:r w:rsidRPr="007D1918">
              <w:rPr>
                <w:snapToGrid w:val="0"/>
              </w:rPr>
              <w:t>(there were 30 episodes treated in 26 patients)</w:t>
            </w:r>
          </w:p>
        </w:tc>
        <w:tc>
          <w:tcPr>
            <w:tcW w:w="655" w:type="pct"/>
          </w:tcPr>
          <w:p w14:paraId="656C7A1A" w14:textId="77777777" w:rsidR="004D3879" w:rsidRPr="007D1918" w:rsidRDefault="004D3879" w:rsidP="001B1AD5">
            <w:pPr>
              <w:pStyle w:val="TableText0"/>
              <w:rPr>
                <w:snapToGrid w:val="0"/>
              </w:rPr>
            </w:pPr>
            <w:r w:rsidRPr="007D1918">
              <w:rPr>
                <w:snapToGrid w:val="0"/>
              </w:rPr>
              <w:t>Hospital acquired pneumonia</w:t>
            </w:r>
          </w:p>
          <w:p w14:paraId="0D951B41" w14:textId="77777777" w:rsidR="004D3879" w:rsidRPr="007D1918" w:rsidRDefault="004D3879" w:rsidP="001B1AD5">
            <w:pPr>
              <w:pStyle w:val="TableText0"/>
              <w:rPr>
                <w:snapToGrid w:val="0"/>
              </w:rPr>
            </w:pPr>
            <w:r w:rsidRPr="007D1918">
              <w:rPr>
                <w:snapToGrid w:val="0"/>
              </w:rPr>
              <w:t>(Infections per crisis episode)</w:t>
            </w:r>
          </w:p>
        </w:tc>
        <w:tc>
          <w:tcPr>
            <w:tcW w:w="646" w:type="pct"/>
            <w:shd w:val="clear" w:color="auto" w:fill="auto"/>
          </w:tcPr>
          <w:p w14:paraId="2C433DFE" w14:textId="77777777" w:rsidR="004D3879" w:rsidRPr="007D1918" w:rsidRDefault="004D3879" w:rsidP="000D2632">
            <w:pPr>
              <w:pStyle w:val="TableText0"/>
              <w:rPr>
                <w:snapToGrid w:val="0"/>
              </w:rPr>
            </w:pPr>
            <w:r w:rsidRPr="007D1918">
              <w:rPr>
                <w:snapToGrid w:val="0"/>
              </w:rPr>
              <w:t>1/9</w:t>
            </w:r>
            <w:r w:rsidRPr="007D1918">
              <w:rPr>
                <w:snapToGrid w:val="0"/>
              </w:rPr>
              <w:br/>
              <w:t>(11.1%)</w:t>
            </w:r>
          </w:p>
        </w:tc>
        <w:tc>
          <w:tcPr>
            <w:tcW w:w="647" w:type="pct"/>
            <w:shd w:val="clear" w:color="auto" w:fill="auto"/>
          </w:tcPr>
          <w:p w14:paraId="2AAE07A6" w14:textId="77777777" w:rsidR="004D3879" w:rsidRPr="007D1918" w:rsidRDefault="004D3879" w:rsidP="000D2632">
            <w:pPr>
              <w:pStyle w:val="TableText0"/>
              <w:rPr>
                <w:snapToGrid w:val="0"/>
              </w:rPr>
            </w:pPr>
            <w:r w:rsidRPr="007D1918">
              <w:rPr>
                <w:snapToGrid w:val="0"/>
              </w:rPr>
              <w:t>4/21</w:t>
            </w:r>
            <w:r w:rsidRPr="007D1918">
              <w:rPr>
                <w:snapToGrid w:val="0"/>
              </w:rPr>
              <w:br/>
              <w:t>(18.2%)</w:t>
            </w:r>
          </w:p>
        </w:tc>
        <w:tc>
          <w:tcPr>
            <w:tcW w:w="815" w:type="pct"/>
            <w:shd w:val="clear" w:color="auto" w:fill="auto"/>
          </w:tcPr>
          <w:p w14:paraId="482BAE5F" w14:textId="566AE45E" w:rsidR="004D3879" w:rsidRPr="007D1918" w:rsidRDefault="004D3879" w:rsidP="0082507B">
            <w:pPr>
              <w:pStyle w:val="TableText0"/>
              <w:rPr>
                <w:snapToGrid w:val="0"/>
              </w:rPr>
            </w:pPr>
            <w:r w:rsidRPr="007D1918">
              <w:rPr>
                <w:snapToGrid w:val="0"/>
              </w:rPr>
              <w:t>Overall p = 0.073</w:t>
            </w:r>
            <w:r w:rsidR="0082507B" w:rsidRPr="007D1918">
              <w:rPr>
                <w:snapToGrid w:val="0"/>
                <w:vertAlign w:val="superscript"/>
              </w:rPr>
              <w:t>b</w:t>
            </w:r>
          </w:p>
        </w:tc>
      </w:tr>
      <w:tr w:rsidR="004D3879" w:rsidRPr="007D1918" w14:paraId="77A2F35A" w14:textId="77777777" w:rsidTr="00A80147">
        <w:tc>
          <w:tcPr>
            <w:tcW w:w="871" w:type="pct"/>
          </w:tcPr>
          <w:p w14:paraId="4C24F62B" w14:textId="5EA84B24" w:rsidR="004D3879" w:rsidRPr="007D1918" w:rsidRDefault="0075212A" w:rsidP="001B1AD5">
            <w:pPr>
              <w:pStyle w:val="TableText0"/>
              <w:rPr>
                <w:snapToGrid w:val="0"/>
              </w:rPr>
            </w:pPr>
            <w:r w:rsidRPr="007D1918">
              <w:rPr>
                <w:snapToGrid w:val="0"/>
              </w:rPr>
              <w:fldChar w:fldCharType="begin"/>
            </w:r>
            <w:r w:rsidR="00C437BA" w:rsidRPr="007D1918">
              <w:rPr>
                <w:snapToGrid w:val="0"/>
              </w:rPr>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Pr="007D1918">
              <w:rPr>
                <w:snapToGrid w:val="0"/>
              </w:rPr>
              <w:fldChar w:fldCharType="separate"/>
            </w:r>
            <w:r w:rsidRPr="007D1918">
              <w:rPr>
                <w:noProof/>
                <w:snapToGrid w:val="0"/>
              </w:rPr>
              <w:t>(</w:t>
            </w:r>
            <w:hyperlink w:anchor="_ENREF_80" w:tooltip="Qureshi, 1999 #40" w:history="1">
              <w:r w:rsidR="007D4948" w:rsidRPr="007D1918">
                <w:rPr>
                  <w:noProof/>
                  <w:snapToGrid w:val="0"/>
                </w:rPr>
                <w:t>Qureshi et al. 1999</w:t>
              </w:r>
            </w:hyperlink>
            <w:r w:rsidRPr="007D1918">
              <w:rPr>
                <w:noProof/>
                <w:snapToGrid w:val="0"/>
              </w:rPr>
              <w:t>)</w:t>
            </w:r>
            <w:r w:rsidRPr="007D1918">
              <w:rPr>
                <w:snapToGrid w:val="0"/>
              </w:rPr>
              <w:fldChar w:fldCharType="end"/>
            </w:r>
            <w:r w:rsidR="004D3879" w:rsidRPr="007D1918">
              <w:rPr>
                <w:snapToGrid w:val="0"/>
              </w:rPr>
              <w:t>, USA</w:t>
            </w:r>
          </w:p>
          <w:p w14:paraId="41049E72" w14:textId="77777777" w:rsidR="004D3879" w:rsidRPr="007D1918" w:rsidRDefault="004D3879" w:rsidP="001B1AD5">
            <w:pPr>
              <w:pStyle w:val="TableText0"/>
              <w:rPr>
                <w:snapToGrid w:val="0"/>
              </w:rPr>
            </w:pPr>
            <w:r w:rsidRPr="007D1918">
              <w:rPr>
                <w:snapToGrid w:val="0"/>
              </w:rPr>
              <w:t>Level III-2</w:t>
            </w:r>
          </w:p>
          <w:p w14:paraId="693F588C" w14:textId="77777777" w:rsidR="004D3879" w:rsidRPr="007D1918" w:rsidRDefault="004D3879" w:rsidP="001B1AD5">
            <w:pPr>
              <w:pStyle w:val="TableText0"/>
              <w:rPr>
                <w:snapToGrid w:val="0"/>
              </w:rPr>
            </w:pPr>
            <w:r w:rsidRPr="007D1918">
              <w:rPr>
                <w:snapToGrid w:val="0"/>
              </w:rPr>
              <w:t>Moderate</w:t>
            </w:r>
          </w:p>
        </w:tc>
        <w:tc>
          <w:tcPr>
            <w:tcW w:w="1366" w:type="pct"/>
          </w:tcPr>
          <w:p w14:paraId="3E34EA98" w14:textId="77777777" w:rsidR="004D3879" w:rsidRPr="007D1918" w:rsidRDefault="004D3879" w:rsidP="001B1AD5">
            <w:pPr>
              <w:pStyle w:val="TableText0"/>
              <w:rPr>
                <w:snapToGrid w:val="0"/>
                <w:szCs w:val="20"/>
              </w:rPr>
            </w:pPr>
            <w:r w:rsidRPr="007D1918">
              <w:rPr>
                <w:rFonts w:cs="Times New Roman"/>
                <w:szCs w:val="20"/>
              </w:rPr>
              <w:t>Patients with MG crisis who were treated with PE or IVIg in 4 university hospitals from Jan 1990 through Dec 1997</w:t>
            </w:r>
          </w:p>
        </w:tc>
        <w:tc>
          <w:tcPr>
            <w:tcW w:w="655" w:type="pct"/>
          </w:tcPr>
          <w:p w14:paraId="0F18AD1A" w14:textId="77777777" w:rsidR="004D3879" w:rsidRPr="007D1918" w:rsidRDefault="004D3879" w:rsidP="001B1AD5">
            <w:pPr>
              <w:pStyle w:val="TableText0"/>
              <w:rPr>
                <w:snapToGrid w:val="0"/>
              </w:rPr>
            </w:pPr>
            <w:r w:rsidRPr="007D1918">
              <w:rPr>
                <w:snapToGrid w:val="0"/>
              </w:rPr>
              <w:t>Infections</w:t>
            </w:r>
          </w:p>
        </w:tc>
        <w:tc>
          <w:tcPr>
            <w:tcW w:w="646" w:type="pct"/>
            <w:shd w:val="clear" w:color="auto" w:fill="auto"/>
          </w:tcPr>
          <w:p w14:paraId="40B576CB" w14:textId="77777777" w:rsidR="004D3879" w:rsidRPr="007D1918" w:rsidRDefault="004D3879" w:rsidP="000D2632">
            <w:pPr>
              <w:pStyle w:val="TableText0"/>
              <w:rPr>
                <w:snapToGrid w:val="0"/>
              </w:rPr>
            </w:pPr>
            <w:r w:rsidRPr="007D1918">
              <w:rPr>
                <w:snapToGrid w:val="0"/>
              </w:rPr>
              <w:t>2/26</w:t>
            </w:r>
            <w:r w:rsidRPr="007D1918">
              <w:rPr>
                <w:snapToGrid w:val="0"/>
              </w:rPr>
              <w:br/>
              <w:t>(7.7%)</w:t>
            </w:r>
          </w:p>
        </w:tc>
        <w:tc>
          <w:tcPr>
            <w:tcW w:w="647" w:type="pct"/>
            <w:shd w:val="clear" w:color="auto" w:fill="auto"/>
          </w:tcPr>
          <w:p w14:paraId="0C9B1401" w14:textId="77777777" w:rsidR="004D3879" w:rsidRPr="007D1918" w:rsidRDefault="004D3879" w:rsidP="000D2632">
            <w:pPr>
              <w:pStyle w:val="TableText0"/>
              <w:rPr>
                <w:snapToGrid w:val="0"/>
              </w:rPr>
            </w:pPr>
            <w:r w:rsidRPr="007D1918">
              <w:rPr>
                <w:snapToGrid w:val="0"/>
              </w:rPr>
              <w:t>6/28</w:t>
            </w:r>
            <w:r w:rsidRPr="007D1918">
              <w:rPr>
                <w:snapToGrid w:val="0"/>
              </w:rPr>
              <w:br/>
              <w:t>(21.4%)</w:t>
            </w:r>
          </w:p>
        </w:tc>
        <w:tc>
          <w:tcPr>
            <w:tcW w:w="815" w:type="pct"/>
            <w:shd w:val="clear" w:color="auto" w:fill="auto"/>
          </w:tcPr>
          <w:p w14:paraId="269D3264" w14:textId="005E3E3A" w:rsidR="004D3879" w:rsidRPr="007D1918" w:rsidRDefault="004D3879" w:rsidP="000D2632">
            <w:pPr>
              <w:pStyle w:val="TableText0"/>
              <w:rPr>
                <w:snapToGrid w:val="0"/>
              </w:rPr>
            </w:pPr>
            <w:r w:rsidRPr="007D1918">
              <w:rPr>
                <w:snapToGrid w:val="0"/>
              </w:rPr>
              <w:t>P = 16</w:t>
            </w:r>
            <w:r w:rsidRPr="007D1918">
              <w:rPr>
                <w:snapToGrid w:val="0"/>
                <w:vertAlign w:val="superscript"/>
              </w:rPr>
              <w:t>c</w:t>
            </w:r>
            <w:r w:rsidRPr="007D1918">
              <w:rPr>
                <w:snapToGrid w:val="0"/>
              </w:rPr>
              <w:t xml:space="preserve"> </w:t>
            </w:r>
            <w:r w:rsidRPr="007D1918">
              <w:rPr>
                <w:snapToGrid w:val="0"/>
              </w:rPr>
              <w:br/>
              <w:t>(-6.21%, 32.6%)</w:t>
            </w:r>
          </w:p>
        </w:tc>
      </w:tr>
    </w:tbl>
    <w:p w14:paraId="415EB968" w14:textId="41CA36D4" w:rsidR="006B7DCE" w:rsidRPr="007D1918" w:rsidRDefault="00E9699E" w:rsidP="00A80147">
      <w:pPr>
        <w:pStyle w:val="Tablenotes0"/>
        <w:spacing w:after="80"/>
      </w:pPr>
      <w:r w:rsidRPr="007D1918">
        <w:t xml:space="preserve">IVIg = intravenous immunoglobulin therapy; </w:t>
      </w:r>
      <w:r w:rsidR="0082507B" w:rsidRPr="007D1918">
        <w:t xml:space="preserve">MG = myasthenia gravis; </w:t>
      </w:r>
      <w:r w:rsidRPr="007D1918">
        <w:t xml:space="preserve">PE = plasma exchange </w:t>
      </w:r>
    </w:p>
    <w:p w14:paraId="64FA595F" w14:textId="5C9CF56A" w:rsidR="004D3879" w:rsidRPr="007D1918" w:rsidRDefault="004D3879" w:rsidP="00A80147">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vertAlign w:val="superscript"/>
          <w:lang w:eastAsia="en-US"/>
        </w:rPr>
        <w:t>a</w:t>
      </w:r>
      <w:r w:rsidRPr="007D1918">
        <w:rPr>
          <w:rFonts w:ascii="Arial Narrow" w:hAnsi="Arial Narrow" w:cs="Arial"/>
          <w:snapToGrid w:val="0"/>
          <w:sz w:val="18"/>
          <w:szCs w:val="20"/>
          <w:lang w:eastAsia="en-US"/>
        </w:rPr>
        <w:t xml:space="preserve"> Fisher’s exact test </w:t>
      </w:r>
      <w:r w:rsidR="0075212A" w:rsidRPr="007D1918">
        <w:rPr>
          <w:rFonts w:ascii="Arial Narrow" w:hAnsi="Arial Narrow" w:cs="Arial"/>
          <w:snapToGrid w:val="0"/>
          <w:sz w:val="18"/>
          <w:szCs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cs="Arial"/>
          <w:snapToGrid w:val="0"/>
          <w:sz w:val="18"/>
          <w:szCs w:val="20"/>
          <w:lang w:eastAsia="en-US"/>
        </w:rPr>
        <w:instrText xml:space="preserve"> ADDIN EN.CITE </w:instrText>
      </w:r>
      <w:r w:rsidR="007F4CDE" w:rsidRPr="007D1918">
        <w:rPr>
          <w:rFonts w:ascii="Arial Narrow" w:hAnsi="Arial Narrow" w:cs="Arial"/>
          <w:snapToGrid w:val="0"/>
          <w:sz w:val="18"/>
          <w:szCs w:val="2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hAnsi="Arial Narrow" w:cs="Arial"/>
          <w:snapToGrid w:val="0"/>
          <w:sz w:val="18"/>
          <w:szCs w:val="20"/>
          <w:lang w:eastAsia="en-US"/>
        </w:rPr>
        <w:instrText xml:space="preserve"> ADDIN EN.CITE.DATA </w:instrText>
      </w:r>
      <w:r w:rsidR="007F4CDE" w:rsidRPr="007D1918">
        <w:rPr>
          <w:rFonts w:ascii="Arial Narrow" w:hAnsi="Arial Narrow" w:cs="Arial"/>
          <w:snapToGrid w:val="0"/>
          <w:sz w:val="18"/>
          <w:szCs w:val="20"/>
          <w:lang w:eastAsia="en-US"/>
        </w:rPr>
      </w:r>
      <w:r w:rsidR="007F4CDE" w:rsidRPr="007D1918">
        <w:rPr>
          <w:rFonts w:ascii="Arial Narrow" w:hAnsi="Arial Narrow" w:cs="Arial"/>
          <w:snapToGrid w:val="0"/>
          <w:sz w:val="18"/>
          <w:szCs w:val="20"/>
          <w:lang w:eastAsia="en-US"/>
        </w:rPr>
        <w:fldChar w:fldCharType="end"/>
      </w:r>
      <w:r w:rsidR="0075212A" w:rsidRPr="007D1918">
        <w:rPr>
          <w:rFonts w:ascii="Arial Narrow" w:hAnsi="Arial Narrow" w:cs="Arial"/>
          <w:snapToGrid w:val="0"/>
          <w:sz w:val="18"/>
          <w:szCs w:val="20"/>
          <w:lang w:eastAsia="en-US"/>
        </w:rPr>
      </w:r>
      <w:r w:rsidR="0075212A" w:rsidRPr="007D1918">
        <w:rPr>
          <w:rFonts w:ascii="Arial Narrow" w:hAnsi="Arial Narrow" w:cs="Arial"/>
          <w:snapToGrid w:val="0"/>
          <w:sz w:val="18"/>
          <w:szCs w:val="20"/>
          <w:lang w:eastAsia="en-US"/>
        </w:rPr>
        <w:fldChar w:fldCharType="separate"/>
      </w:r>
      <w:r w:rsidR="0075212A" w:rsidRPr="007D1918">
        <w:rPr>
          <w:rFonts w:ascii="Arial Narrow" w:hAnsi="Arial Narrow" w:cs="Arial"/>
          <w:noProof/>
          <w:snapToGrid w:val="0"/>
          <w:sz w:val="18"/>
          <w:szCs w:val="20"/>
          <w:lang w:eastAsia="en-US"/>
        </w:rPr>
        <w:t>(</w:t>
      </w:r>
      <w:hyperlink w:anchor="_ENREF_64" w:tooltip="Mandawat, 2010 #37" w:history="1">
        <w:r w:rsidR="007D4948" w:rsidRPr="007D1918">
          <w:rPr>
            <w:rFonts w:ascii="Arial Narrow" w:hAnsi="Arial Narrow" w:cs="Arial"/>
            <w:noProof/>
            <w:snapToGrid w:val="0"/>
            <w:sz w:val="18"/>
            <w:szCs w:val="20"/>
            <w:lang w:eastAsia="en-US"/>
          </w:rPr>
          <w:t>Mandawat et al. 2010</w:t>
        </w:r>
      </w:hyperlink>
      <w:r w:rsidR="0075212A" w:rsidRPr="007D1918">
        <w:rPr>
          <w:rFonts w:ascii="Arial Narrow" w:hAnsi="Arial Narrow" w:cs="Arial"/>
          <w:noProof/>
          <w:snapToGrid w:val="0"/>
          <w:sz w:val="18"/>
          <w:szCs w:val="20"/>
          <w:lang w:eastAsia="en-US"/>
        </w:rPr>
        <w:t>)</w:t>
      </w:r>
      <w:r w:rsidR="0075212A" w:rsidRPr="007D1918">
        <w:rPr>
          <w:rFonts w:ascii="Arial Narrow" w:hAnsi="Arial Narrow" w:cs="Arial"/>
          <w:snapToGrid w:val="0"/>
          <w:sz w:val="18"/>
          <w:szCs w:val="20"/>
          <w:lang w:eastAsia="en-US"/>
        </w:rPr>
        <w:fldChar w:fldCharType="end"/>
      </w:r>
    </w:p>
    <w:p w14:paraId="69FBB268" w14:textId="7115EDCD" w:rsidR="006B7DCE" w:rsidRPr="007D1918" w:rsidRDefault="004D3879" w:rsidP="00A80147">
      <w:pPr>
        <w:pStyle w:val="Tablenotes0"/>
        <w:spacing w:before="0" w:after="0"/>
        <w:contextualSpacing w:val="0"/>
      </w:pPr>
      <w:r w:rsidRPr="007D1918">
        <w:rPr>
          <w:vertAlign w:val="superscript"/>
        </w:rPr>
        <w:t>b</w:t>
      </w:r>
      <w:r w:rsidRPr="007D1918">
        <w:t xml:space="preserve"> </w:t>
      </w:r>
      <w:r w:rsidR="006B7DCE" w:rsidRPr="007D1918">
        <w:t xml:space="preserve">There was no statistical </w:t>
      </w:r>
      <w:r w:rsidRPr="007D1918">
        <w:t>difference found between groups</w:t>
      </w:r>
      <w:r w:rsidR="006B7DCE" w:rsidRPr="007D1918">
        <w:t>. The</w:t>
      </w:r>
      <w:r w:rsidRPr="007D1918">
        <w:t xml:space="preserve"> overall</w:t>
      </w:r>
      <w:r w:rsidR="006B7DCE" w:rsidRPr="007D1918">
        <w:t xml:space="preserve"> p value</w:t>
      </w:r>
      <w:r w:rsidRPr="007D1918">
        <w:t xml:space="preserve"> was reported for all</w:t>
      </w:r>
      <w:r w:rsidR="006B7DCE" w:rsidRPr="007D1918">
        <w:t xml:space="preserve"> for all AEs </w:t>
      </w:r>
      <w:r w:rsidR="0075212A" w:rsidRPr="007D1918">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0075212A" w:rsidRPr="007D1918">
        <w:instrText xml:space="preserve"> ADDIN EN.CITE </w:instrText>
      </w:r>
      <w:r w:rsidR="0075212A" w:rsidRPr="007D1918">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0075212A" w:rsidRPr="007D1918">
        <w:instrText xml:space="preserve"> ADDIN EN.CITE.DATA </w:instrText>
      </w:r>
      <w:r w:rsidR="0075212A" w:rsidRPr="007D1918">
        <w:fldChar w:fldCharType="end"/>
      </w:r>
      <w:r w:rsidR="0075212A" w:rsidRPr="007D1918">
        <w:fldChar w:fldCharType="separate"/>
      </w:r>
      <w:r w:rsidR="0075212A" w:rsidRPr="007D1918">
        <w:rPr>
          <w:noProof/>
        </w:rPr>
        <w:t>(</w:t>
      </w:r>
      <w:hyperlink w:anchor="_ENREF_79" w:tooltip="Pittayanon, 2009 #86" w:history="1">
        <w:r w:rsidR="007D4948" w:rsidRPr="007D1918">
          <w:rPr>
            <w:noProof/>
          </w:rPr>
          <w:t>Pittayanon, Treeprasertsuk &amp; Phanthumchinda 2009</w:t>
        </w:r>
      </w:hyperlink>
      <w:r w:rsidR="0075212A" w:rsidRPr="007D1918">
        <w:rPr>
          <w:noProof/>
        </w:rPr>
        <w:t>)</w:t>
      </w:r>
      <w:r w:rsidR="0075212A" w:rsidRPr="007D1918">
        <w:fldChar w:fldCharType="end"/>
      </w:r>
      <w:r w:rsidR="003E6CBD" w:rsidRPr="007D1918">
        <w:t>.</w:t>
      </w:r>
    </w:p>
    <w:p w14:paraId="77F821A2" w14:textId="7EAE89D2" w:rsidR="006B7DCE" w:rsidRPr="007D1918" w:rsidRDefault="004D3879" w:rsidP="00A80147">
      <w:pPr>
        <w:pStyle w:val="Tablenotes0"/>
        <w:spacing w:after="80"/>
      </w:pPr>
      <w:r w:rsidRPr="007D1918">
        <w:t>c Chi-squared test, MedCalc online calculator</w:t>
      </w:r>
    </w:p>
    <w:p w14:paraId="201AE250" w14:textId="77777777" w:rsidR="004D3879" w:rsidRPr="007D1918" w:rsidRDefault="004D3879" w:rsidP="00B44991">
      <w:pPr>
        <w:pStyle w:val="Tabletext1"/>
      </w:pPr>
    </w:p>
    <w:p w14:paraId="052F4C9A" w14:textId="62D0E8F1" w:rsidR="006B7DCE" w:rsidRPr="007D1918" w:rsidRDefault="006B7DCE" w:rsidP="006B7DCE">
      <w:pPr>
        <w:pStyle w:val="Heading4"/>
      </w:pPr>
      <w:r w:rsidRPr="007D1918">
        <w:lastRenderedPageBreak/>
        <w:t>Change in symptoms (myasthenic muscle score)</w:t>
      </w:r>
      <w:r w:rsidR="00CA2DC7" w:rsidRPr="007D1918">
        <w:t xml:space="preserve"> following IVIg or PE </w:t>
      </w:r>
    </w:p>
    <w:p w14:paraId="6971F450" w14:textId="6D3794CC" w:rsidR="00310E40" w:rsidRPr="007D1918" w:rsidRDefault="00CA2DC7" w:rsidP="001B7D4E">
      <w:pPr>
        <w:jc w:val="both"/>
      </w:pPr>
      <w:r w:rsidRPr="007D1918">
        <w:t>There were no studies identified that measured the improvement of symptoms using the MGC score</w:t>
      </w:r>
      <w:r w:rsidR="003E6CBD" w:rsidRPr="007D1918">
        <w:t xml:space="preserve"> for patients classified as Indication 1. </w:t>
      </w:r>
      <w:r w:rsidR="00310E40" w:rsidRPr="007D1918">
        <w:t>One RCT</w:t>
      </w:r>
      <w:r w:rsidR="006B7DCE" w:rsidRPr="007D1918">
        <w:t xml:space="preserve"> </w:t>
      </w:r>
      <w:r w:rsidR="007C1C3D" w:rsidRPr="007D1918">
        <w:t>used the</w:t>
      </w:r>
      <w:r w:rsidRPr="007D1918">
        <w:t xml:space="preserve"> myasthenia muscle score </w:t>
      </w:r>
      <w:r w:rsidR="007C1C3D" w:rsidRPr="007D1918">
        <w:t xml:space="preserve">(MMS) </w:t>
      </w:r>
      <w:r w:rsidRPr="007D1918">
        <w:t xml:space="preserve">to </w:t>
      </w:r>
      <w:r w:rsidR="00310E40" w:rsidRPr="007D1918">
        <w:t xml:space="preserve">compare </w:t>
      </w:r>
      <w:r w:rsidRPr="007D1918">
        <w:t>symptom improvement</w:t>
      </w:r>
      <w:r w:rsidR="007C1C3D" w:rsidRPr="007D1918">
        <w:t xml:space="preserve"> </w:t>
      </w:r>
      <w:r w:rsidR="00310E40" w:rsidRPr="007D1918">
        <w:t xml:space="preserve">between patients given IVIg or PE </w:t>
      </w:r>
      <w:r w:rsidR="0075212A" w:rsidRPr="007D1918">
        <w:fldChar w:fldCharType="begin">
          <w:fldData xml:space="preserve">PEVuZE5vdGU+PENpdGU+PEF1dGhvcj5HYWpkb3M8L0F1dGhvcj48WWVhcj4xOTk3PC9ZZWFyPjxS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ZWNOdW0+NDU8L1JlY051bT48RGlzcGxheVRleHQ+KEdhamRvcyBldCBhbC4gMTk5NzsgR2FqZG9z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</w:fldData>
        </w:fldChar>
      </w:r>
      <w:r w:rsidR="00C437BA" w:rsidRPr="007D1918">
        <w:instrText xml:space="preserve"> ADDIN EN.CITE.DATA </w:instrText>
      </w:r>
      <w:r w:rsidR="00C437BA" w:rsidRPr="007D1918">
        <w:fldChar w:fldCharType="end"/>
      </w:r>
      <w:r w:rsidR="0075212A" w:rsidRPr="007D1918">
        <w:fldChar w:fldCharType="separate"/>
      </w:r>
      <w:r w:rsidR="003736AC" w:rsidRPr="007D1918">
        <w:rPr>
          <w:noProof/>
        </w:rPr>
        <w:t>(</w:t>
      </w:r>
      <w:hyperlink w:anchor="_ENREF_28" w:tooltip="Gajdos, 1997 #45" w:history="1">
        <w:r w:rsidR="007D4948" w:rsidRPr="007D1918">
          <w:rPr>
            <w:noProof/>
          </w:rPr>
          <w:t>Gajdos et al. 1997</w:t>
        </w:r>
      </w:hyperlink>
      <w:r w:rsidR="003736AC" w:rsidRPr="007D1918">
        <w:rPr>
          <w:noProof/>
        </w:rPr>
        <w:t xml:space="preserve">; </w:t>
      </w:r>
      <w:hyperlink w:anchor="_ENREF_35" w:tooltip="Gajdos, 2005 #14" w:history="1">
        <w:r w:rsidR="007D4948" w:rsidRPr="007D1918">
          <w:rPr>
            <w:noProof/>
          </w:rPr>
          <w:t>Gajdos et al. 2005</w:t>
        </w:r>
      </w:hyperlink>
      <w:r w:rsidR="003736AC" w:rsidRPr="007D1918">
        <w:rPr>
          <w:noProof/>
        </w:rPr>
        <w:t>)</w:t>
      </w:r>
      <w:r w:rsidR="0075212A" w:rsidRPr="007D1918">
        <w:fldChar w:fldCharType="end"/>
      </w:r>
      <w:r w:rsidRPr="007D1918">
        <w:t xml:space="preserve">. The MMS </w:t>
      </w:r>
      <w:r w:rsidR="00D652A0" w:rsidRPr="007D1918">
        <w:t xml:space="preserve">described by the authors </w:t>
      </w:r>
      <w:r w:rsidR="00BC5A8B" w:rsidRPr="007D1918">
        <w:t>is calculated from ni</w:t>
      </w:r>
      <w:r w:rsidRPr="007D1918">
        <w:t xml:space="preserve">ne independent measurements of the trunk, limbs, neck and cranial muscles which are added to give </w:t>
      </w:r>
      <w:r w:rsidR="00E9699E" w:rsidRPr="007D1918">
        <w:t>a</w:t>
      </w:r>
      <w:r w:rsidRPr="007D1918">
        <w:t xml:space="preserve"> score </w:t>
      </w:r>
      <w:r w:rsidR="00E9699E" w:rsidRPr="007D1918">
        <w:t xml:space="preserve">of </w:t>
      </w:r>
      <w:r w:rsidRPr="007D1918">
        <w:t>0 (least strength)</w:t>
      </w:r>
      <w:r w:rsidR="00310E40" w:rsidRPr="007D1918">
        <w:t xml:space="preserve">, 5 </w:t>
      </w:r>
      <w:r w:rsidR="00E9699E" w:rsidRPr="007D1918">
        <w:t>or</w:t>
      </w:r>
      <w:r w:rsidRPr="007D1918">
        <w:t xml:space="preserve"> 10 (maximum strength).</w:t>
      </w:r>
      <w:r w:rsidR="00D652A0" w:rsidRPr="007D1918">
        <w:t xml:space="preserve"> </w:t>
      </w:r>
      <w:r w:rsidR="007762B4" w:rsidRPr="007D1918">
        <w:t xml:space="preserve">The MGC rates strength for a similar range of movements albeit with a different scoring system. </w:t>
      </w:r>
      <w:r w:rsidR="00D652A0" w:rsidRPr="007D1918">
        <w:t xml:space="preserve">Myasthenic strength scores are described </w:t>
      </w:r>
      <w:r w:rsidR="003E6CBD" w:rsidRPr="007D1918">
        <w:t xml:space="preserve">and compared </w:t>
      </w:r>
      <w:r w:rsidR="00D652A0" w:rsidRPr="007D1918">
        <w:t xml:space="preserve">in </w:t>
      </w:r>
      <w:r w:rsidR="00D652A0" w:rsidRPr="007D1918">
        <w:rPr>
          <w:i/>
        </w:rPr>
        <w:t>Section B.5</w:t>
      </w:r>
      <w:r w:rsidR="000240E5" w:rsidRPr="007D1918">
        <w:t xml:space="preserve">, </w:t>
      </w:r>
      <w:r w:rsidR="000240E5" w:rsidRPr="007D1918">
        <w:fldChar w:fldCharType="begin"/>
      </w:r>
      <w:r w:rsidR="000240E5" w:rsidRPr="007D1918">
        <w:instrText xml:space="preserve"> REF _Ref8996979 \h </w:instrText>
      </w:r>
      <w:r w:rsidR="00E07567" w:rsidRPr="007D1918">
        <w:instrText xml:space="preserve"> \* MERGEFORMAT </w:instrText>
      </w:r>
      <w:r w:rsidR="000240E5" w:rsidRPr="007D1918">
        <w:fldChar w:fldCharType="separate"/>
      </w:r>
      <w:r w:rsidR="00153384" w:rsidRPr="007D1918">
        <w:t xml:space="preserve">Table </w:t>
      </w:r>
      <w:r w:rsidR="00153384" w:rsidRPr="007D1918">
        <w:rPr>
          <w:noProof/>
        </w:rPr>
        <w:t>15</w:t>
      </w:r>
      <w:r w:rsidR="000240E5" w:rsidRPr="007D1918">
        <w:fldChar w:fldCharType="end"/>
      </w:r>
      <w:r w:rsidR="00D652A0" w:rsidRPr="007D1918">
        <w:t>.</w:t>
      </w:r>
      <w:r w:rsidRPr="007D1918">
        <w:t xml:space="preserve"> </w:t>
      </w:r>
    </w:p>
    <w:p w14:paraId="1860A4A5" w14:textId="2BAA8191" w:rsidR="00CA2DC7" w:rsidRPr="007D1918" w:rsidRDefault="00CA2DC7" w:rsidP="001B7D4E">
      <w:pPr>
        <w:jc w:val="both"/>
      </w:pPr>
      <w:r w:rsidRPr="007D1918">
        <w:t xml:space="preserve">The study </w:t>
      </w:r>
      <w:r w:rsidR="0075212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8" w:tooltip="Gajdos, 1997 #45" w:history="1">
        <w:r w:rsidR="007D4948" w:rsidRPr="007D1918">
          <w:rPr>
            <w:noProof/>
          </w:rPr>
          <w:t>Gajdos et al. 1997</w:t>
        </w:r>
      </w:hyperlink>
      <w:r w:rsidR="0075212A" w:rsidRPr="007D1918">
        <w:rPr>
          <w:noProof/>
        </w:rPr>
        <w:t>)</w:t>
      </w:r>
      <w:r w:rsidR="0075212A" w:rsidRPr="007D1918">
        <w:fldChar w:fldCharType="end"/>
      </w:r>
      <w:r w:rsidRPr="007D1918">
        <w:t xml:space="preserve"> randomised 87 patients in MG crisis </w:t>
      </w:r>
      <w:r w:rsidR="00D652A0" w:rsidRPr="007D1918">
        <w:t xml:space="preserve">(criteria: the development in the last month of at least one of swallowing difficulty, acute respiratory failure, or major functional disability responsible for the discontinuation of physical activity) </w:t>
      </w:r>
      <w:r w:rsidRPr="007D1918">
        <w:t>to either IVIg or PE.</w:t>
      </w:r>
      <w:r w:rsidR="00D652A0" w:rsidRPr="007D1918">
        <w:t xml:space="preserve"> Prior to exacerbation the majority of patients in both treatment groups were rated for clinical status as level 4 (major disability requiring discontinuation of occupational activity) or 5 (major disability requiring continuous help or mechanical ventilation). </w:t>
      </w:r>
      <w:r w:rsidR="001B7D4E" w:rsidRPr="007D1918">
        <w:t>The randomised groups were well balanced for baseline characteristics.</w:t>
      </w:r>
    </w:p>
    <w:p w14:paraId="5A20E6CA" w14:textId="4EB6684D" w:rsidR="00CF0A12" w:rsidRPr="007D1918" w:rsidRDefault="00CF0A12" w:rsidP="001B7D4E">
      <w:pPr>
        <w:jc w:val="both"/>
      </w:pPr>
      <w:r w:rsidRPr="007D1918">
        <w:t>Patients receiving either IVIg or PE improved in MMS score (p &lt; 0.05 after 2 days in both groups) but there was no significant difference between groups after 15 days (mean difference in MMS:  -1.00, 95%</w:t>
      </w:r>
      <w:r w:rsidR="00870577" w:rsidRPr="007D1918">
        <w:t xml:space="preserve"> </w:t>
      </w:r>
      <w:r w:rsidRPr="007D1918">
        <w:t>CI -7.72, 5.72)</w:t>
      </w:r>
      <w:r w:rsidR="00A75831" w:rsidRPr="007D1918">
        <w:t>. This outcome was sourced from the SR by Gajdos, Chevret and Toyka, 2012</w:t>
      </w:r>
      <w:r w:rsidR="00DF1EEA" w:rsidRPr="007D1918">
        <w:t xml:space="preserve"> (</w:t>
      </w:r>
      <w:r w:rsidR="00DF1EEA" w:rsidRPr="007D1918">
        <w:fldChar w:fldCharType="begin"/>
      </w:r>
      <w:r w:rsidR="00DF1EEA" w:rsidRPr="007D1918">
        <w:instrText xml:space="preserve"> REF _Ref8643051 \h </w:instrText>
      </w:r>
      <w:r w:rsidR="00E07567" w:rsidRPr="007D1918">
        <w:instrText xml:space="preserve"> \* MERGEFORMAT </w:instrText>
      </w:r>
      <w:r w:rsidR="00DF1EEA" w:rsidRPr="007D1918">
        <w:fldChar w:fldCharType="separate"/>
      </w:r>
      <w:r w:rsidR="00153384" w:rsidRPr="007D1918">
        <w:t xml:space="preserve">Table </w:t>
      </w:r>
      <w:r w:rsidR="00153384" w:rsidRPr="007D1918">
        <w:rPr>
          <w:noProof/>
        </w:rPr>
        <w:t>28</w:t>
      </w:r>
      <w:r w:rsidR="00DF1EEA" w:rsidRPr="007D1918">
        <w:fldChar w:fldCharType="end"/>
      </w:r>
      <w:r w:rsidR="00DF1EEA" w:rsidRPr="007D1918">
        <w:t>)</w:t>
      </w:r>
      <w:r w:rsidRPr="007D1918">
        <w:t>.</w:t>
      </w:r>
      <w:r w:rsidR="00944447" w:rsidRPr="007D1918">
        <w:t xml:space="preserve"> </w:t>
      </w:r>
    </w:p>
    <w:p w14:paraId="0385404B" w14:textId="1198DF55" w:rsidR="00CA2DC7" w:rsidRPr="007D1918" w:rsidRDefault="00CF0A12" w:rsidP="00310E40">
      <w:pPr>
        <w:pStyle w:val="Caption"/>
        <w:keepNext/>
        <w:keepLines/>
        <w:ind w:left="1134" w:hanging="1134"/>
      </w:pPr>
      <w:bookmarkStart w:id="255" w:name="_Ref8643051"/>
      <w:bookmarkStart w:id="256" w:name="_Toc23769515"/>
      <w:r w:rsidRPr="007D1918">
        <w:t xml:space="preserve">Table </w:t>
      </w:r>
      <w:r w:rsidR="007C1C3D" w:rsidRPr="007D1918">
        <w:rPr>
          <w:noProof/>
        </w:rPr>
        <w:fldChar w:fldCharType="begin"/>
      </w:r>
      <w:r w:rsidR="007C1C3D" w:rsidRPr="007D1918">
        <w:rPr>
          <w:noProof/>
        </w:rPr>
        <w:instrText xml:space="preserve"> SEQ Table \* ARABIC </w:instrText>
      </w:r>
      <w:r w:rsidR="007C1C3D" w:rsidRPr="007D1918">
        <w:rPr>
          <w:noProof/>
        </w:rPr>
        <w:fldChar w:fldCharType="separate"/>
      </w:r>
      <w:r w:rsidR="00942701" w:rsidRPr="007D1918">
        <w:rPr>
          <w:noProof/>
        </w:rPr>
        <w:t>28</w:t>
      </w:r>
      <w:r w:rsidR="007C1C3D" w:rsidRPr="007D1918">
        <w:rPr>
          <w:noProof/>
        </w:rPr>
        <w:fldChar w:fldCharType="end"/>
      </w:r>
      <w:bookmarkEnd w:id="255"/>
      <w:r w:rsidRPr="007D1918">
        <w:tab/>
        <w:t>Change in MMS after 15 days for MG patients treated with IVIg compared to PE</w:t>
      </w:r>
      <w:r w:rsidR="00870577" w:rsidRPr="007D1918">
        <w:t xml:space="preserve"> </w:t>
      </w:r>
      <w:r w:rsidR="00702BE6" w:rsidRPr="007D1918">
        <w:fldChar w:fldCharType="begin"/>
      </w:r>
      <w:r w:rsidR="007F4CDE" w:rsidRPr="007D1918">
        <w:instrText xml:space="preserve"> ADDIN EN.CITE &lt;EndNote&gt;&lt;Cite&gt;&lt;Author&gt;Gajdos&lt;/Author&gt;&lt;Year&gt;2012&lt;/Year&gt;&lt;RecNum&gt;3&lt;/RecNum&gt;&lt;DisplayText&gt;(Gajdos, Chevret &amp;amp; Toyka 2012)&lt;/DisplayText&gt;&lt;record&gt;&lt;rec-number&gt;3&lt;/rec-number&gt;&lt;foreign-keys&gt;&lt;key app="EN" db-id="2aevrx2slsts5ve9sdavatf125dsx0av2v9d" timestamp="1556505895"&gt;3&lt;/key&gt;&lt;/foreign-keys&gt;&lt;ref-type name="Journal Article"&gt;17&lt;/ref-type&gt;&lt;contributors&gt;&lt;authors&gt;&lt;author&gt;Gajdos, P.&lt;/author&gt;&lt;author&gt;Chevret, S.&lt;/author&gt;&lt;author&gt;Toyka, K. V.&lt;/author&gt;&lt;/authors&gt;&lt;/contributors&gt;&lt;titles&gt;&lt;title&gt;Intravenous immunoglobulin for myasthenia gravis&lt;/title&gt;&lt;secondary-title&gt;Cochrane Database of Systematic Reviews&lt;/secondary-title&gt;&lt;/titles&gt;&lt;periodical&gt;&lt;full-title&gt;Cochrane Database of Systematic Reviews&lt;/full-title&gt;&lt;/periodical&gt;&lt;number&gt;12&lt;/number&gt;&lt;keywords&gt;&lt;keyword&gt;Chronic Disease&lt;/keyword&gt;&lt;keyword&gt;Disease Progression&lt;/keyword&gt;&lt;keyword&gt;Humans&lt;/keyword&gt;&lt;keyword&gt;Immunoglobulins, Intravenous [*therapeutic use]&lt;/keyword&gt;&lt;keyword&gt;Methylprednisolone [therapeutic use]&lt;/keyword&gt;&lt;keyword&gt;Myasthenia Gravis [*therapy]&lt;/keyword&gt;&lt;keyword&gt;Neuroprotective Agents [therapeutic use]&lt;/keyword&gt;&lt;keyword&gt;Plasma Exchange&lt;/keyword&gt;&lt;keyword&gt;Randomized Controlled Trials as Topic&lt;/keyword&gt;&lt;/keywords&gt;&lt;dates&gt;&lt;year&gt;2012&lt;/year&gt;&lt;/dates&gt;&lt;publisher&gt;John Wiley &amp;amp; Sons, Ltd&lt;/publisher&gt;&lt;isbn&gt;1465-1858&lt;/isbn&gt;&lt;accession-num&gt;CD002277&lt;/accession-num&gt;&lt;urls&gt;&lt;related-urls&gt;&lt;url&gt;http://dx.doi.org/10.1002/14651858.CD002277.pub4&lt;/url&gt;&lt;/related-urls&gt;&lt;/urls&gt;&lt;electronic-resource-num&gt;10.1002/14651858.CD002277.pub4&lt;/electronic-resource-num&gt;&lt;/record&gt;&lt;/Cite&gt;&lt;/EndNote&gt;</w:instrText>
      </w:r>
      <w:r w:rsidR="00702BE6" w:rsidRPr="007D1918">
        <w:fldChar w:fldCharType="separate"/>
      </w:r>
      <w:r w:rsidR="00702BE6" w:rsidRPr="007D1918">
        <w:rPr>
          <w:noProof/>
        </w:rPr>
        <w:t>(</w:t>
      </w:r>
      <w:hyperlink w:anchor="_ENREF_33" w:tooltip="Gajdos, 2012 #3" w:history="1">
        <w:r w:rsidR="007D4948" w:rsidRPr="007D1918">
          <w:rPr>
            <w:noProof/>
          </w:rPr>
          <w:t>Gajdos, Chevret &amp; Toyka 2012</w:t>
        </w:r>
      </w:hyperlink>
      <w:r w:rsidR="00702BE6" w:rsidRPr="007D1918">
        <w:rPr>
          <w:noProof/>
        </w:rPr>
        <w:t>)</w:t>
      </w:r>
      <w:bookmarkEnd w:id="256"/>
      <w:r w:rsidR="00702BE6" w:rsidRPr="007D1918">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6 Change in MMS after 15 days for MG patients treated with IVIg compared to PE (Gajdos et al. 1997)"/>
        <w:tblDescription w:val="Change in symptoms (MMS) for patients receiving IVIg comared to those receiving PE (Indication1)."/>
      </w:tblPr>
      <w:tblGrid>
        <w:gridCol w:w="1420"/>
        <w:gridCol w:w="1808"/>
        <w:gridCol w:w="1842"/>
        <w:gridCol w:w="2129"/>
        <w:gridCol w:w="1700"/>
      </w:tblGrid>
      <w:tr w:rsidR="00807B7B" w:rsidRPr="007D1918" w14:paraId="4993488F" w14:textId="77777777" w:rsidTr="003E6CBD">
        <w:tc>
          <w:tcPr>
            <w:tcW w:w="798" w:type="pct"/>
          </w:tcPr>
          <w:p w14:paraId="332660BE" w14:textId="25C43DB6" w:rsidR="001B7D4E" w:rsidRPr="007D1918" w:rsidRDefault="001B7D4E" w:rsidP="00CF0A12">
            <w:pPr>
              <w:pStyle w:val="TableHeading"/>
              <w:keepLines/>
              <w:rPr>
                <w:snapToGrid w:val="0"/>
                <w:lang w:eastAsia="en-US"/>
              </w:rPr>
            </w:pPr>
            <w:r w:rsidRPr="007D1918">
              <w:rPr>
                <w:snapToGrid w:val="0"/>
                <w:lang w:eastAsia="en-US"/>
              </w:rPr>
              <w:t>Measure</w:t>
            </w:r>
          </w:p>
        </w:tc>
        <w:tc>
          <w:tcPr>
            <w:tcW w:w="1016" w:type="pct"/>
            <w:shd w:val="clear" w:color="auto" w:fill="auto"/>
          </w:tcPr>
          <w:p w14:paraId="625A1CFB" w14:textId="77777777" w:rsidR="001B7D4E" w:rsidRPr="007D1918" w:rsidRDefault="001B7D4E" w:rsidP="00CF0A12">
            <w:pPr>
              <w:pStyle w:val="TableHeading"/>
              <w:keepLines/>
              <w:rPr>
                <w:snapToGrid w:val="0"/>
                <w:lang w:eastAsia="en-US"/>
              </w:rPr>
            </w:pPr>
            <w:r w:rsidRPr="007D1918">
              <w:rPr>
                <w:snapToGrid w:val="0"/>
                <w:lang w:eastAsia="en-US"/>
              </w:rPr>
              <w:t>IVIg</w:t>
            </w:r>
          </w:p>
          <w:p w14:paraId="680FFC8A" w14:textId="5D4B928C" w:rsidR="001B7D4E" w:rsidRPr="007D1918" w:rsidRDefault="001B7D4E" w:rsidP="00CF0A12">
            <w:pPr>
              <w:pStyle w:val="TableHeading"/>
              <w:keepLines/>
              <w:rPr>
                <w:snapToGrid w:val="0"/>
                <w:lang w:eastAsia="en-US"/>
              </w:rPr>
            </w:pPr>
            <w:r w:rsidRPr="007D1918">
              <w:rPr>
                <w:snapToGrid w:val="0"/>
                <w:lang w:eastAsia="en-US"/>
              </w:rPr>
              <w:t>N = 46</w:t>
            </w:r>
          </w:p>
          <w:p w14:paraId="3616BFB9" w14:textId="72A708EF" w:rsidR="001B7D4E" w:rsidRPr="007D1918" w:rsidRDefault="00807B7B" w:rsidP="00807B7B">
            <w:pPr>
              <w:pStyle w:val="TableHeading"/>
              <w:keepLines/>
              <w:rPr>
                <w:snapToGrid w:val="0"/>
                <w:lang w:eastAsia="en-US"/>
              </w:rPr>
            </w:pPr>
            <w:r w:rsidRPr="007D1918">
              <w:rPr>
                <w:snapToGrid w:val="0"/>
                <w:lang w:eastAsia="en-US"/>
              </w:rPr>
              <w:t>Mean (SD)</w:t>
            </w:r>
          </w:p>
        </w:tc>
        <w:tc>
          <w:tcPr>
            <w:tcW w:w="1035" w:type="pct"/>
            <w:shd w:val="clear" w:color="auto" w:fill="auto"/>
          </w:tcPr>
          <w:p w14:paraId="21C5DD52" w14:textId="77777777" w:rsidR="001B7D4E" w:rsidRPr="007D1918" w:rsidRDefault="001B7D4E" w:rsidP="00CF0A12">
            <w:pPr>
              <w:pStyle w:val="TableHeading"/>
              <w:keepLines/>
              <w:rPr>
                <w:snapToGrid w:val="0"/>
                <w:lang w:eastAsia="en-US"/>
              </w:rPr>
            </w:pPr>
            <w:r w:rsidRPr="007D1918">
              <w:rPr>
                <w:snapToGrid w:val="0"/>
                <w:lang w:eastAsia="en-US"/>
              </w:rPr>
              <w:t>PE</w:t>
            </w:r>
          </w:p>
          <w:p w14:paraId="0DA2D77B" w14:textId="66DCDCDD" w:rsidR="001B7D4E" w:rsidRPr="007D1918" w:rsidRDefault="001B7D4E" w:rsidP="00CF0A12">
            <w:pPr>
              <w:pStyle w:val="TableHeading"/>
              <w:keepLines/>
              <w:rPr>
                <w:snapToGrid w:val="0"/>
                <w:lang w:eastAsia="en-US"/>
              </w:rPr>
            </w:pPr>
            <w:r w:rsidRPr="007D1918">
              <w:rPr>
                <w:snapToGrid w:val="0"/>
                <w:lang w:eastAsia="en-US"/>
              </w:rPr>
              <w:t>N = 41</w:t>
            </w:r>
          </w:p>
          <w:p w14:paraId="3EC866B6" w14:textId="4D7DF3E3" w:rsidR="001B7D4E" w:rsidRPr="007D1918" w:rsidRDefault="00807B7B" w:rsidP="00CF0A12">
            <w:pPr>
              <w:pStyle w:val="TableHeading"/>
              <w:keepLines/>
              <w:rPr>
                <w:snapToGrid w:val="0"/>
                <w:lang w:eastAsia="en-US"/>
              </w:rPr>
            </w:pPr>
            <w:r w:rsidRPr="007D1918">
              <w:rPr>
                <w:snapToGrid w:val="0"/>
                <w:lang w:eastAsia="en-US"/>
              </w:rPr>
              <w:t>Mean (SD)</w:t>
            </w:r>
            <w:r w:rsidR="001B7D4E" w:rsidRPr="007D1918">
              <w:rPr>
                <w:snapToGrid w:val="0"/>
                <w:lang w:eastAsia="en-US"/>
              </w:rPr>
              <w:t xml:space="preserve">  </w:t>
            </w:r>
          </w:p>
        </w:tc>
        <w:tc>
          <w:tcPr>
            <w:tcW w:w="1196" w:type="pct"/>
            <w:shd w:val="clear" w:color="auto" w:fill="auto"/>
          </w:tcPr>
          <w:p w14:paraId="351B62BA" w14:textId="6372FB46" w:rsidR="001B7D4E" w:rsidRPr="007D1918" w:rsidRDefault="001B7D4E" w:rsidP="003E6CBD">
            <w:pPr>
              <w:pStyle w:val="TableHeading"/>
              <w:keepLines/>
              <w:rPr>
                <w:snapToGrid w:val="0"/>
                <w:lang w:eastAsia="en-US"/>
              </w:rPr>
            </w:pPr>
            <w:r w:rsidRPr="007D1918">
              <w:rPr>
                <w:snapToGrid w:val="0"/>
                <w:lang w:eastAsia="en-US"/>
              </w:rPr>
              <w:t xml:space="preserve">Mean difference </w:t>
            </w:r>
            <w:r w:rsidR="003E6CBD" w:rsidRPr="007D1918">
              <w:rPr>
                <w:snapToGrid w:val="0"/>
                <w:lang w:eastAsia="en-US"/>
              </w:rPr>
              <w:t>(</w:t>
            </w:r>
            <w:r w:rsidRPr="007D1918">
              <w:rPr>
                <w:snapToGrid w:val="0"/>
                <w:lang w:eastAsia="en-US"/>
              </w:rPr>
              <w:t>95%</w:t>
            </w:r>
            <w:r w:rsidR="003E6CBD" w:rsidRPr="007D1918">
              <w:rPr>
                <w:snapToGrid w:val="0"/>
                <w:lang w:eastAsia="en-US"/>
              </w:rPr>
              <w:t xml:space="preserve"> </w:t>
            </w:r>
            <w:r w:rsidRPr="007D1918">
              <w:rPr>
                <w:snapToGrid w:val="0"/>
                <w:lang w:eastAsia="en-US"/>
              </w:rPr>
              <w:t>CI</w:t>
            </w:r>
            <w:r w:rsidR="003E6CBD" w:rsidRPr="007D1918">
              <w:rPr>
                <w:snapToGrid w:val="0"/>
                <w:lang w:eastAsia="en-US"/>
              </w:rPr>
              <w:t>)</w:t>
            </w:r>
          </w:p>
        </w:tc>
        <w:tc>
          <w:tcPr>
            <w:tcW w:w="955" w:type="pct"/>
            <w:shd w:val="clear" w:color="auto" w:fill="auto"/>
          </w:tcPr>
          <w:p w14:paraId="65E627D7" w14:textId="746DA1E8" w:rsidR="001B7D4E" w:rsidRPr="007D1918" w:rsidRDefault="001B7D4E" w:rsidP="00CF0A12">
            <w:pPr>
              <w:pStyle w:val="TableHeading"/>
              <w:keepLines/>
              <w:rPr>
                <w:snapToGrid w:val="0"/>
                <w:lang w:eastAsia="en-US"/>
              </w:rPr>
            </w:pPr>
            <w:r w:rsidRPr="007D1918">
              <w:rPr>
                <w:snapToGrid w:val="0"/>
                <w:lang w:eastAsia="en-US"/>
              </w:rPr>
              <w:t>Overall effect</w:t>
            </w:r>
          </w:p>
        </w:tc>
      </w:tr>
      <w:tr w:rsidR="00807B7B" w:rsidRPr="007D1918" w14:paraId="1A7CCAFD" w14:textId="77777777" w:rsidTr="003E6CBD">
        <w:tc>
          <w:tcPr>
            <w:tcW w:w="798" w:type="pct"/>
          </w:tcPr>
          <w:p w14:paraId="2D716B49" w14:textId="5A22E2EA" w:rsidR="001B7D4E" w:rsidRPr="007D1918" w:rsidRDefault="001B7D4E" w:rsidP="00807B7B">
            <w:pPr>
              <w:pStyle w:val="TableText0"/>
              <w:keepLines/>
              <w:rPr>
                <w:snapToGrid w:val="0"/>
              </w:rPr>
            </w:pPr>
            <w:r w:rsidRPr="007D1918">
              <w:rPr>
                <w:snapToGrid w:val="0"/>
              </w:rPr>
              <w:t>Change in MMS</w:t>
            </w:r>
          </w:p>
        </w:tc>
        <w:tc>
          <w:tcPr>
            <w:tcW w:w="1016" w:type="pct"/>
            <w:shd w:val="clear" w:color="auto" w:fill="auto"/>
          </w:tcPr>
          <w:p w14:paraId="36A7F26F" w14:textId="1F5BABFB" w:rsidR="001B7D4E" w:rsidRPr="007D1918" w:rsidRDefault="001B7D4E" w:rsidP="00807B7B">
            <w:pPr>
              <w:pStyle w:val="TableText0"/>
              <w:keepLines/>
              <w:rPr>
                <w:snapToGrid w:val="0"/>
              </w:rPr>
            </w:pPr>
            <w:r w:rsidRPr="007D1918">
              <w:rPr>
                <w:snapToGrid w:val="0"/>
              </w:rPr>
              <w:t xml:space="preserve">15.6 </w:t>
            </w:r>
            <w:r w:rsidR="00807B7B" w:rsidRPr="007D1918">
              <w:rPr>
                <w:snapToGrid w:val="0"/>
              </w:rPr>
              <w:t>(15.96)</w:t>
            </w:r>
          </w:p>
        </w:tc>
        <w:tc>
          <w:tcPr>
            <w:tcW w:w="1035" w:type="pct"/>
            <w:shd w:val="clear" w:color="auto" w:fill="auto"/>
          </w:tcPr>
          <w:p w14:paraId="4925BD09" w14:textId="1AE18E75" w:rsidR="001B7D4E" w:rsidRPr="007D1918" w:rsidRDefault="001B7D4E" w:rsidP="00807B7B">
            <w:pPr>
              <w:pStyle w:val="TableText0"/>
              <w:keepLines/>
              <w:rPr>
                <w:snapToGrid w:val="0"/>
              </w:rPr>
            </w:pPr>
            <w:r w:rsidRPr="007D1918">
              <w:rPr>
                <w:snapToGrid w:val="0"/>
              </w:rPr>
              <w:t xml:space="preserve">16.6 </w:t>
            </w:r>
            <w:r w:rsidR="00807B7B" w:rsidRPr="007D1918">
              <w:rPr>
                <w:snapToGrid w:val="0"/>
              </w:rPr>
              <w:t>(16)</w:t>
            </w:r>
          </w:p>
        </w:tc>
        <w:tc>
          <w:tcPr>
            <w:tcW w:w="1196" w:type="pct"/>
            <w:shd w:val="clear" w:color="auto" w:fill="auto"/>
          </w:tcPr>
          <w:p w14:paraId="47D1DD28" w14:textId="7D7207E7" w:rsidR="001B7D4E" w:rsidRPr="007D1918" w:rsidRDefault="001B7D4E" w:rsidP="003E6CBD">
            <w:pPr>
              <w:pStyle w:val="TableText0"/>
              <w:keepLines/>
              <w:rPr>
                <w:snapToGrid w:val="0"/>
              </w:rPr>
            </w:pPr>
            <w:r w:rsidRPr="007D1918">
              <w:rPr>
                <w:snapToGrid w:val="0"/>
              </w:rPr>
              <w:t xml:space="preserve">-1.00 </w:t>
            </w:r>
            <w:r w:rsidR="003E6CBD" w:rsidRPr="007D1918">
              <w:rPr>
                <w:snapToGrid w:val="0"/>
              </w:rPr>
              <w:t>(</w:t>
            </w:r>
            <w:r w:rsidR="00CF0A12" w:rsidRPr="007D1918">
              <w:rPr>
                <w:snapToGrid w:val="0"/>
              </w:rPr>
              <w:t>-7.72, 5.72</w:t>
            </w:r>
            <w:r w:rsidR="003E6CBD" w:rsidRPr="007D1918">
              <w:rPr>
                <w:snapToGrid w:val="0"/>
              </w:rPr>
              <w:t>)</w:t>
            </w:r>
          </w:p>
        </w:tc>
        <w:tc>
          <w:tcPr>
            <w:tcW w:w="955" w:type="pct"/>
            <w:shd w:val="clear" w:color="auto" w:fill="auto"/>
          </w:tcPr>
          <w:p w14:paraId="75D8D553" w14:textId="4045610E" w:rsidR="001B7D4E" w:rsidRPr="007D1918" w:rsidRDefault="001B7D4E" w:rsidP="00CF0A12">
            <w:pPr>
              <w:pStyle w:val="TableText0"/>
              <w:keepLines/>
              <w:rPr>
                <w:snapToGrid w:val="0"/>
              </w:rPr>
            </w:pPr>
            <w:r w:rsidRPr="007D1918">
              <w:rPr>
                <w:snapToGrid w:val="0"/>
              </w:rPr>
              <w:t>P = 0.77</w:t>
            </w:r>
            <w:r w:rsidR="00A71EF1" w:rsidRPr="007D1918">
              <w:rPr>
                <w:snapToGrid w:val="0"/>
                <w:vertAlign w:val="superscript"/>
              </w:rPr>
              <w:t>a</w:t>
            </w:r>
          </w:p>
        </w:tc>
      </w:tr>
    </w:tbl>
    <w:p w14:paraId="64291D13" w14:textId="64C0C8C1" w:rsidR="00CA2DC7" w:rsidRPr="007D1918" w:rsidRDefault="00CF0A12" w:rsidP="00A80147">
      <w:pPr>
        <w:pStyle w:val="Tablenotes0"/>
        <w:spacing w:after="80"/>
      </w:pPr>
      <w:r w:rsidRPr="007D1918">
        <w:t>IVIg = intravenous immunoglobulin therapy; MG = myasthenia gravis; MMS myasthenia muscle score; PE = plasma exchange therapy</w:t>
      </w:r>
      <w:r w:rsidR="00DF1EEA" w:rsidRPr="007D1918">
        <w:t xml:space="preserve">; SD = standard deviation; </w:t>
      </w:r>
    </w:p>
    <w:p w14:paraId="4EA5E1B5" w14:textId="14768C8A" w:rsidR="00807B7B" w:rsidRPr="007D1918" w:rsidRDefault="00A71EF1" w:rsidP="00A80147">
      <w:pPr>
        <w:pStyle w:val="Tablenotes0"/>
        <w:spacing w:after="80"/>
      </w:pPr>
      <w:r w:rsidRPr="007D1918">
        <w:rPr>
          <w:vertAlign w:val="superscript"/>
        </w:rPr>
        <w:t>a</w:t>
      </w:r>
      <w:r w:rsidRPr="007D1918">
        <w:t xml:space="preserve"> </w:t>
      </w:r>
      <w:r w:rsidR="0059298C" w:rsidRPr="007D1918">
        <w:t xml:space="preserve">Analysis </w:t>
      </w:r>
      <w:r w:rsidRPr="007D1918">
        <w:t>reported in Gajdos</w:t>
      </w:r>
      <w:r w:rsidR="0075378B" w:rsidRPr="007D1918">
        <w:t>,</w:t>
      </w:r>
      <w:r w:rsidRPr="007D1918">
        <w:t xml:space="preserve"> </w:t>
      </w:r>
      <w:r w:rsidR="0075378B" w:rsidRPr="007D1918">
        <w:t>Chevret and Toyka</w:t>
      </w:r>
      <w:r w:rsidRPr="007D1918">
        <w:t>, 2012</w:t>
      </w:r>
    </w:p>
    <w:p w14:paraId="70979E0F" w14:textId="77777777" w:rsidR="00A71EF1" w:rsidRPr="007D1918" w:rsidRDefault="00A71EF1" w:rsidP="00B44991">
      <w:pPr>
        <w:pStyle w:val="Tabletext1"/>
      </w:pPr>
    </w:p>
    <w:p w14:paraId="0C273B55" w14:textId="52EA0CB2" w:rsidR="00807B7B" w:rsidRPr="007D1918" w:rsidRDefault="00807B7B" w:rsidP="00807B7B">
      <w:pPr>
        <w:pStyle w:val="Heading4"/>
      </w:pPr>
      <w:r w:rsidRPr="007D1918">
        <w:t>Change in symptoms (myasthenic muscle score) following IVIg (1 g/kg) or IVIg (2 g/kg) (dose comparison)</w:t>
      </w:r>
    </w:p>
    <w:p w14:paraId="5B4DB1AB" w14:textId="5D4CA38C" w:rsidR="00807B7B" w:rsidRPr="007D1918" w:rsidRDefault="00807B7B" w:rsidP="002B4CCB">
      <w:pPr>
        <w:jc w:val="both"/>
      </w:pPr>
      <w:r w:rsidRPr="007D1918">
        <w:t xml:space="preserve">One RCT </w:t>
      </w:r>
      <w:r w:rsidR="0075212A"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instrText xml:space="preserve"> ADDIN EN.CITE </w:instrText>
      </w:r>
      <w:r w:rsidR="00C437BA"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35" w:tooltip="Gajdos, 2005 #14" w:history="1">
        <w:r w:rsidR="007D4948" w:rsidRPr="007D1918">
          <w:rPr>
            <w:noProof/>
          </w:rPr>
          <w:t>Gajdos et al. 2005</w:t>
        </w:r>
      </w:hyperlink>
      <w:r w:rsidR="0075212A" w:rsidRPr="007D1918">
        <w:rPr>
          <w:noProof/>
        </w:rPr>
        <w:t>)</w:t>
      </w:r>
      <w:r w:rsidR="0075212A" w:rsidRPr="007D1918">
        <w:fldChar w:fldCharType="end"/>
      </w:r>
      <w:r w:rsidRPr="007D1918">
        <w:t xml:space="preserve"> compared the change in MMS between patients randomised in an IVIg dose comparison.</w:t>
      </w:r>
      <w:r w:rsidR="002B4CCB" w:rsidRPr="007D1918">
        <w:t xml:space="preserve"> The comparison was made in a multicentre double-blind trial in which 168 </w:t>
      </w:r>
      <w:r w:rsidR="00310E40" w:rsidRPr="007D1918">
        <w:t>patients received e</w:t>
      </w:r>
      <w:r w:rsidR="002B4CCB" w:rsidRPr="007D1918">
        <w:t>ither 1 g/kg IVIg on day 1 and placebo on day 2, or 1 g/kg IVIg on day 1 and day 2. Patients met the same inclusion criteria as for those in the 1997 Gajdos et al study.</w:t>
      </w:r>
    </w:p>
    <w:p w14:paraId="2CE24CB8" w14:textId="3290C2E8" w:rsidR="002B4CCB" w:rsidRPr="007D1918" w:rsidRDefault="002B4CCB" w:rsidP="00944447">
      <w:pPr>
        <w:jc w:val="both"/>
      </w:pPr>
      <w:r w:rsidRPr="007D1918">
        <w:lastRenderedPageBreak/>
        <w:t xml:space="preserve">Mean improvement in MMS was higher in the group receiving the higher IVIg dose but the difference did not reach statistical </w:t>
      </w:r>
      <w:r w:rsidR="00A42630" w:rsidRPr="007D1918">
        <w:t>significance</w:t>
      </w:r>
      <w:r w:rsidRPr="007D1918">
        <w:t xml:space="preserve">. The author’s conclusion was that a dose of 1 g/kg may be the best dose in clinical practice, as the higher dose showed no </w:t>
      </w:r>
      <w:r w:rsidR="00A42630" w:rsidRPr="007D1918">
        <w:t xml:space="preserve">additional </w:t>
      </w:r>
      <w:r w:rsidRPr="007D1918">
        <w:t>benefit</w:t>
      </w:r>
      <w:r w:rsidR="00A42630" w:rsidRPr="007D1918">
        <w:t xml:space="preserve"> and there</w:t>
      </w:r>
      <w:r w:rsidRPr="007D1918">
        <w:t xml:space="preserve"> </w:t>
      </w:r>
      <w:r w:rsidR="00A42630" w:rsidRPr="007D1918">
        <w:t>may be</w:t>
      </w:r>
      <w:r w:rsidRPr="007D1918">
        <w:t xml:space="preserve"> cost benefits in using the smaller dose</w:t>
      </w:r>
      <w:r w:rsidR="00A71EF1" w:rsidRPr="007D1918">
        <w:t xml:space="preserve"> (</w:t>
      </w:r>
      <w:r w:rsidR="00A71EF1" w:rsidRPr="007D1918">
        <w:fldChar w:fldCharType="begin"/>
      </w:r>
      <w:r w:rsidR="00A71EF1" w:rsidRPr="007D1918">
        <w:instrText xml:space="preserve"> REF _Ref9345676 \h </w:instrText>
      </w:r>
      <w:r w:rsidR="00E07567" w:rsidRPr="007D1918">
        <w:instrText xml:space="preserve"> \* MERGEFORMAT </w:instrText>
      </w:r>
      <w:r w:rsidR="00A71EF1" w:rsidRPr="007D1918">
        <w:fldChar w:fldCharType="separate"/>
      </w:r>
      <w:r w:rsidR="00153384" w:rsidRPr="007D1918">
        <w:t xml:space="preserve">Table </w:t>
      </w:r>
      <w:r w:rsidR="00153384" w:rsidRPr="007D1918">
        <w:rPr>
          <w:noProof/>
        </w:rPr>
        <w:t>29</w:t>
      </w:r>
      <w:r w:rsidR="00A71EF1" w:rsidRPr="007D1918">
        <w:fldChar w:fldCharType="end"/>
      </w:r>
      <w:r w:rsidR="00A71EF1" w:rsidRPr="007D1918">
        <w:t>)</w:t>
      </w:r>
      <w:r w:rsidRPr="007D1918">
        <w:t>.</w:t>
      </w:r>
      <w:r w:rsidR="00DC1DD2" w:rsidRPr="007D1918">
        <w:t xml:space="preserve"> Results were sourced from the SR by </w:t>
      </w:r>
      <w:r w:rsidR="00827FB0" w:rsidRPr="007D1918">
        <w:t xml:space="preserve">Gajdos et al </w:t>
      </w:r>
      <w:r w:rsidR="003736AC" w:rsidRPr="007D1918">
        <w:fldChar w:fldCharType="begin"/>
      </w:r>
      <w:r w:rsidR="003736AC" w:rsidRPr="007D1918">
        <w:instrText xml:space="preserve"> ADDIN EN.CITE &lt;EndNote&gt;&lt;Cite&gt;&lt;Author&gt;Gajdos&lt;/Author&gt;&lt;Year&gt;2012&lt;/Year&gt;&lt;RecNum&gt;3&lt;/RecNum&gt;&lt;DisplayText&gt;(Gajdos, Chevret &amp;amp; Toyka 2012)&lt;/DisplayText&gt;&lt;record&gt;&lt;rec-number&gt;3&lt;/rec-number&gt;&lt;foreign-keys&gt;&lt;key app="EN" db-id="2aevrx2slsts5ve9sdavatf125dsx0av2v9d" timestamp="1556505895"&gt;3&lt;/key&gt;&lt;/foreign-keys&gt;&lt;ref-type name="Journal Article"&gt;17&lt;/ref-type&gt;&lt;contributors&gt;&lt;authors&gt;&lt;author&gt;Gajdos, P.&lt;/author&gt;&lt;author&gt;Chevret, S.&lt;/author&gt;&lt;author&gt;Toyka, K. V.&lt;/author&gt;&lt;/authors&gt;&lt;/contributors&gt;&lt;titles&gt;&lt;title&gt;Intravenous immunoglobulin for myasthenia gravis&lt;/title&gt;&lt;secondary-title&gt;Cochrane Database of Systematic Reviews&lt;/secondary-title&gt;&lt;/titles&gt;&lt;periodical&gt;&lt;full-title&gt;Cochrane Database of Systematic Reviews&lt;/full-title&gt;&lt;/periodical&gt;&lt;number&gt;12&lt;/number&gt;&lt;keywords&gt;&lt;keyword&gt;Chronic Disease&lt;/keyword&gt;&lt;keyword&gt;Disease Progression&lt;/keyword&gt;&lt;keyword&gt;Humans&lt;/keyword&gt;&lt;keyword&gt;Immunoglobulins, Intravenous [*therapeutic use]&lt;/keyword&gt;&lt;keyword&gt;Methylprednisolone [therapeutic use]&lt;/keyword&gt;&lt;keyword&gt;Myasthenia Gravis [*therapy]&lt;/keyword&gt;&lt;keyword&gt;Neuroprotective Agents [therapeutic use]&lt;/keyword&gt;&lt;keyword&gt;Plasma Exchange&lt;/keyword&gt;&lt;keyword&gt;Randomized Controlled Trials as Topic&lt;/keyword&gt;&lt;/keywords&gt;&lt;dates&gt;&lt;year&gt;2012&lt;/year&gt;&lt;/dates&gt;&lt;publisher&gt;John Wiley &amp;amp; Sons, Ltd&lt;/publisher&gt;&lt;isbn&gt;1465-1858&lt;/isbn&gt;&lt;accession-num&gt;CD002277&lt;/accession-num&gt;&lt;urls&gt;&lt;related-urls&gt;&lt;url&gt;http://dx.doi.org/10.1002/14651858.CD002277.pub4&lt;/url&gt;&lt;/related-urls&gt;&lt;/urls&gt;&lt;electronic-resource-num&gt;10.1002/14651858.CD002277.pub4&lt;/electronic-resource-num&gt;&lt;/record&gt;&lt;/Cite&gt;&lt;/EndNote&gt;</w:instrText>
      </w:r>
      <w:r w:rsidR="003736AC" w:rsidRPr="007D1918">
        <w:fldChar w:fldCharType="separate"/>
      </w:r>
      <w:r w:rsidR="003736AC" w:rsidRPr="007D1918">
        <w:rPr>
          <w:noProof/>
        </w:rPr>
        <w:t>(</w:t>
      </w:r>
      <w:hyperlink w:anchor="_ENREF_33" w:tooltip="Gajdos, 2012 #3" w:history="1">
        <w:r w:rsidR="007D4948" w:rsidRPr="007D1918">
          <w:rPr>
            <w:noProof/>
          </w:rPr>
          <w:t>Gajdos, Chevret &amp; Toyka 2012</w:t>
        </w:r>
      </w:hyperlink>
      <w:r w:rsidR="003736AC" w:rsidRPr="007D1918">
        <w:rPr>
          <w:noProof/>
        </w:rPr>
        <w:t>)</w:t>
      </w:r>
      <w:r w:rsidR="003736AC" w:rsidRPr="007D1918">
        <w:fldChar w:fldCharType="end"/>
      </w:r>
      <w:r w:rsidR="00827FB0" w:rsidRPr="007D1918">
        <w:t>.</w:t>
      </w:r>
    </w:p>
    <w:p w14:paraId="67BD270A" w14:textId="042F2464" w:rsidR="00807B7B" w:rsidRPr="007D1918" w:rsidRDefault="00807B7B" w:rsidP="002E7AD7">
      <w:pPr>
        <w:pStyle w:val="Caption"/>
        <w:keepNext/>
        <w:keepLines/>
        <w:ind w:left="1134" w:hanging="1134"/>
      </w:pPr>
      <w:bookmarkStart w:id="257" w:name="_Ref9345676"/>
      <w:bookmarkStart w:id="258" w:name="_Toc23769516"/>
      <w:r w:rsidRPr="007D1918">
        <w:t xml:space="preserve">Table </w:t>
      </w:r>
      <w:r w:rsidR="007C1C3D" w:rsidRPr="007D1918">
        <w:rPr>
          <w:noProof/>
        </w:rPr>
        <w:fldChar w:fldCharType="begin"/>
      </w:r>
      <w:r w:rsidR="007C1C3D" w:rsidRPr="007D1918">
        <w:rPr>
          <w:noProof/>
        </w:rPr>
        <w:instrText xml:space="preserve"> SEQ Table \* ARABIC </w:instrText>
      </w:r>
      <w:r w:rsidR="007C1C3D" w:rsidRPr="007D1918">
        <w:rPr>
          <w:noProof/>
        </w:rPr>
        <w:fldChar w:fldCharType="separate"/>
      </w:r>
      <w:r w:rsidR="00942701" w:rsidRPr="007D1918">
        <w:rPr>
          <w:noProof/>
        </w:rPr>
        <w:t>29</w:t>
      </w:r>
      <w:r w:rsidR="007C1C3D" w:rsidRPr="007D1918">
        <w:rPr>
          <w:noProof/>
        </w:rPr>
        <w:fldChar w:fldCharType="end"/>
      </w:r>
      <w:bookmarkEnd w:id="257"/>
      <w:r w:rsidRPr="007D1918">
        <w:tab/>
        <w:t xml:space="preserve">Change in MMS after 15 days for MG patients treated with IVIg </w:t>
      </w:r>
      <w:r w:rsidR="00DF1EEA" w:rsidRPr="007D1918">
        <w:t>(dose comparison)</w:t>
      </w:r>
      <w:r w:rsidR="00A80147" w:rsidRPr="007D1918">
        <w:t xml:space="preserve"> </w:t>
      </w:r>
      <w:r w:rsidR="0075212A" w:rsidRPr="007D1918">
        <w:fldChar w:fldCharType="begin"/>
      </w:r>
      <w:r w:rsidR="0075212A" w:rsidRPr="007D1918">
        <w:instrText xml:space="preserve"> ADDIN EN.CITE &lt;EndNote&gt;&lt;Cite&gt;&lt;Author&gt;Gajdos&lt;/Author&gt;&lt;Year&gt;2012&lt;/Year&gt;&lt;RecNum&gt;3&lt;/RecNum&gt;&lt;DisplayText&gt;(Gajdos, Chevret &amp;amp; Toyka 2012)&lt;/DisplayText&gt;&lt;record&gt;&lt;rec-number&gt;3&lt;/rec-number&gt;&lt;foreign-keys&gt;&lt;key app="EN" db-id="2aevrx2slsts5ve9sdavatf125dsx0av2v9d" timestamp="1556505895"&gt;3&lt;/key&gt;&lt;/foreign-keys&gt;&lt;ref-type name="Journal Article"&gt;17&lt;/ref-type&gt;&lt;contributors&gt;&lt;authors&gt;&lt;author&gt;Gajdos, P.&lt;/author&gt;&lt;author&gt;Chevret, S.&lt;/author&gt;&lt;author&gt;Toyka, K. V.&lt;/author&gt;&lt;/authors&gt;&lt;/contributors&gt;&lt;titles&gt;&lt;title&gt;Intravenous immunoglobulin for myasthenia gravis&lt;/title&gt;&lt;secondary-title&gt;Cochrane Database of Systematic Reviews&lt;/secondary-title&gt;&lt;/titles&gt;&lt;periodical&gt;&lt;full-title&gt;Cochrane Database of Systematic Reviews&lt;/full-title&gt;&lt;/periodical&gt;&lt;number&gt;12&lt;/number&gt;&lt;keywords&gt;&lt;keyword&gt;Chronic Disease&lt;/keyword&gt;&lt;keyword&gt;Disease Progression&lt;/keyword&gt;&lt;keyword&gt;Humans&lt;/keyword&gt;&lt;keyword&gt;Immunoglobulins, Intravenous [*therapeutic use]&lt;/keyword&gt;&lt;keyword&gt;Methylprednisolone [therapeutic use]&lt;/keyword&gt;&lt;keyword&gt;Myasthenia Gravis [*therapy]&lt;/keyword&gt;&lt;keyword&gt;Neuroprotective Agents [therapeutic use]&lt;/keyword&gt;&lt;keyword&gt;Plasma Exchange&lt;/keyword&gt;&lt;keyword&gt;Randomized Controlled Trials as Topic&lt;/keyword&gt;&lt;/keywords&gt;&lt;dates&gt;&lt;year&gt;2012&lt;/year&gt;&lt;/dates&gt;&lt;publisher&gt;John Wiley &amp;amp; Sons, Ltd&lt;/publisher&gt;&lt;isbn&gt;1465-1858&lt;/isbn&gt;&lt;accession-num&gt;CD002277&lt;/accession-num&gt;&lt;urls&gt;&lt;related-urls&gt;&lt;url&gt;http://dx.doi.org/10.1002/14651858.CD002277.pub4&lt;/url&gt;&lt;/related-urls&gt;&lt;/urls&gt;&lt;electronic-resource-num&gt;10.1002/14651858.CD002277.pub4&lt;/electronic-resource-num&gt;&lt;/record&gt;&lt;/Cite&gt;&lt;/EndNote&gt;</w:instrText>
      </w:r>
      <w:r w:rsidR="0075212A" w:rsidRPr="007D1918">
        <w:fldChar w:fldCharType="separate"/>
      </w:r>
      <w:r w:rsidR="0075212A" w:rsidRPr="007D1918">
        <w:rPr>
          <w:noProof/>
        </w:rPr>
        <w:t>(</w:t>
      </w:r>
      <w:hyperlink w:anchor="_ENREF_33" w:tooltip="Gajdos, 2012 #3" w:history="1">
        <w:r w:rsidR="007D4948" w:rsidRPr="007D1918">
          <w:rPr>
            <w:noProof/>
          </w:rPr>
          <w:t>Gajdos, Chevret &amp; Toyka 2012</w:t>
        </w:r>
      </w:hyperlink>
      <w:r w:rsidR="0075212A" w:rsidRPr="007D1918">
        <w:rPr>
          <w:noProof/>
        </w:rPr>
        <w:t>)</w:t>
      </w:r>
      <w:bookmarkEnd w:id="258"/>
      <w:r w:rsidR="0075212A" w:rsidRPr="007D1918">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7 Change in MMS after 15 days for MG crisis patients treated with IVIg (dose comparison) (Gajdos, Chevret &amp; Toyka 2012)"/>
        <w:tblDescription w:val="Change in symptoms (MMS) for patients receiving 1 g/kg IVIg comared to those receiving 2 g/kg IVIg (Indication1)."/>
      </w:tblPr>
      <w:tblGrid>
        <w:gridCol w:w="1527"/>
        <w:gridCol w:w="2127"/>
        <w:gridCol w:w="1844"/>
        <w:gridCol w:w="1701"/>
        <w:gridCol w:w="1700"/>
      </w:tblGrid>
      <w:tr w:rsidR="00807B7B" w:rsidRPr="007D1918" w14:paraId="53CDE96E" w14:textId="77777777" w:rsidTr="00A80147">
        <w:tc>
          <w:tcPr>
            <w:tcW w:w="858" w:type="pct"/>
          </w:tcPr>
          <w:p w14:paraId="5E8F8632" w14:textId="77777777" w:rsidR="00807B7B" w:rsidRPr="007D1918" w:rsidRDefault="00807B7B" w:rsidP="001B1AD5">
            <w:pPr>
              <w:pStyle w:val="TableHeading"/>
              <w:keepLines/>
              <w:rPr>
                <w:snapToGrid w:val="0"/>
                <w:lang w:eastAsia="en-US"/>
              </w:rPr>
            </w:pPr>
            <w:r w:rsidRPr="007D1918">
              <w:rPr>
                <w:snapToGrid w:val="0"/>
                <w:lang w:eastAsia="en-US"/>
              </w:rPr>
              <w:t>Measure</w:t>
            </w:r>
          </w:p>
        </w:tc>
        <w:tc>
          <w:tcPr>
            <w:tcW w:w="1195" w:type="pct"/>
            <w:shd w:val="clear" w:color="auto" w:fill="auto"/>
          </w:tcPr>
          <w:p w14:paraId="431C04A8" w14:textId="07039588" w:rsidR="00807B7B" w:rsidRPr="007D1918" w:rsidRDefault="00807B7B" w:rsidP="001B1AD5">
            <w:pPr>
              <w:pStyle w:val="TableHeading"/>
              <w:keepLines/>
              <w:rPr>
                <w:snapToGrid w:val="0"/>
                <w:lang w:eastAsia="en-US"/>
              </w:rPr>
            </w:pPr>
            <w:r w:rsidRPr="007D1918">
              <w:rPr>
                <w:snapToGrid w:val="0"/>
                <w:lang w:eastAsia="en-US"/>
              </w:rPr>
              <w:t>IVIg</w:t>
            </w:r>
            <w:r w:rsidR="00DF1EEA" w:rsidRPr="007D1918">
              <w:rPr>
                <w:snapToGrid w:val="0"/>
                <w:lang w:eastAsia="en-US"/>
              </w:rPr>
              <w:t xml:space="preserve"> (2 g/kg)</w:t>
            </w:r>
          </w:p>
          <w:p w14:paraId="24EB685D" w14:textId="3CC3241F" w:rsidR="00807B7B" w:rsidRPr="007D1918" w:rsidRDefault="00807B7B" w:rsidP="001B1AD5">
            <w:pPr>
              <w:pStyle w:val="TableHeading"/>
              <w:keepLines/>
              <w:rPr>
                <w:snapToGrid w:val="0"/>
                <w:lang w:eastAsia="en-US"/>
              </w:rPr>
            </w:pPr>
            <w:r w:rsidRPr="007D1918">
              <w:rPr>
                <w:snapToGrid w:val="0"/>
                <w:lang w:eastAsia="en-US"/>
              </w:rPr>
              <w:t xml:space="preserve">N = </w:t>
            </w:r>
            <w:r w:rsidR="002B4CCB" w:rsidRPr="007D1918">
              <w:rPr>
                <w:snapToGrid w:val="0"/>
                <w:lang w:eastAsia="en-US"/>
              </w:rPr>
              <w:t>87</w:t>
            </w:r>
          </w:p>
          <w:p w14:paraId="760F8EA0" w14:textId="77777777" w:rsidR="00807B7B" w:rsidRPr="007D1918" w:rsidRDefault="00807B7B" w:rsidP="001B1AD5">
            <w:pPr>
              <w:pStyle w:val="TableHeading"/>
              <w:keepLines/>
              <w:rPr>
                <w:snapToGrid w:val="0"/>
                <w:lang w:eastAsia="en-US"/>
              </w:rPr>
            </w:pPr>
            <w:r w:rsidRPr="007D1918">
              <w:rPr>
                <w:snapToGrid w:val="0"/>
                <w:lang w:eastAsia="en-US"/>
              </w:rPr>
              <w:t>Mean (SD)</w:t>
            </w:r>
          </w:p>
        </w:tc>
        <w:tc>
          <w:tcPr>
            <w:tcW w:w="1036" w:type="pct"/>
            <w:shd w:val="clear" w:color="auto" w:fill="auto"/>
          </w:tcPr>
          <w:p w14:paraId="4DDF7DF8" w14:textId="16E5B8C8" w:rsidR="00807B7B" w:rsidRPr="007D1918" w:rsidRDefault="00DF1EEA" w:rsidP="001B1AD5">
            <w:pPr>
              <w:pStyle w:val="TableHeading"/>
              <w:keepLines/>
              <w:rPr>
                <w:snapToGrid w:val="0"/>
                <w:lang w:eastAsia="en-US"/>
              </w:rPr>
            </w:pPr>
            <w:r w:rsidRPr="007D1918">
              <w:rPr>
                <w:snapToGrid w:val="0"/>
                <w:lang w:eastAsia="en-US"/>
              </w:rPr>
              <w:t>IVIg (1g/kg)</w:t>
            </w:r>
          </w:p>
          <w:p w14:paraId="11F07806" w14:textId="5B2239A8" w:rsidR="00807B7B" w:rsidRPr="007D1918" w:rsidRDefault="00807B7B" w:rsidP="001B1AD5">
            <w:pPr>
              <w:pStyle w:val="TableHeading"/>
              <w:keepLines/>
              <w:rPr>
                <w:snapToGrid w:val="0"/>
                <w:lang w:eastAsia="en-US"/>
              </w:rPr>
            </w:pPr>
            <w:r w:rsidRPr="007D1918">
              <w:rPr>
                <w:snapToGrid w:val="0"/>
                <w:lang w:eastAsia="en-US"/>
              </w:rPr>
              <w:t xml:space="preserve">N = </w:t>
            </w:r>
            <w:r w:rsidR="002B4CCB" w:rsidRPr="007D1918">
              <w:rPr>
                <w:snapToGrid w:val="0"/>
                <w:lang w:eastAsia="en-US"/>
              </w:rPr>
              <w:t>81</w:t>
            </w:r>
          </w:p>
          <w:p w14:paraId="51394B5B" w14:textId="77777777" w:rsidR="00807B7B" w:rsidRPr="007D1918" w:rsidRDefault="00807B7B" w:rsidP="001B1AD5">
            <w:pPr>
              <w:pStyle w:val="TableHeading"/>
              <w:keepLines/>
              <w:rPr>
                <w:snapToGrid w:val="0"/>
                <w:lang w:eastAsia="en-US"/>
              </w:rPr>
            </w:pPr>
            <w:r w:rsidRPr="007D1918">
              <w:rPr>
                <w:snapToGrid w:val="0"/>
                <w:lang w:eastAsia="en-US"/>
              </w:rPr>
              <w:t xml:space="preserve">Mean (SD)  </w:t>
            </w:r>
          </w:p>
        </w:tc>
        <w:tc>
          <w:tcPr>
            <w:tcW w:w="956" w:type="pct"/>
            <w:shd w:val="clear" w:color="auto" w:fill="auto"/>
          </w:tcPr>
          <w:p w14:paraId="1E0CBF59" w14:textId="75A0A38C" w:rsidR="00807B7B" w:rsidRPr="007D1918" w:rsidRDefault="00807B7B" w:rsidP="00A80147">
            <w:pPr>
              <w:pStyle w:val="TableHeading"/>
              <w:keepLines/>
              <w:rPr>
                <w:snapToGrid w:val="0"/>
                <w:lang w:eastAsia="en-US"/>
              </w:rPr>
            </w:pPr>
            <w:r w:rsidRPr="007D1918">
              <w:rPr>
                <w:snapToGrid w:val="0"/>
                <w:lang w:eastAsia="en-US"/>
              </w:rPr>
              <w:t xml:space="preserve">Mean difference </w:t>
            </w:r>
            <w:r w:rsidR="00A80147" w:rsidRPr="007D1918">
              <w:rPr>
                <w:snapToGrid w:val="0"/>
                <w:lang w:eastAsia="en-US"/>
              </w:rPr>
              <w:t>(</w:t>
            </w:r>
            <w:r w:rsidR="00781376" w:rsidRPr="007D1918">
              <w:rPr>
                <w:snapToGrid w:val="0"/>
                <w:lang w:eastAsia="en-US"/>
              </w:rPr>
              <w:t>95% CI</w:t>
            </w:r>
            <w:r w:rsidR="00A80147" w:rsidRPr="007D1918">
              <w:rPr>
                <w:snapToGrid w:val="0"/>
                <w:lang w:eastAsia="en-US"/>
              </w:rPr>
              <w:t>)</w:t>
            </w:r>
          </w:p>
        </w:tc>
        <w:tc>
          <w:tcPr>
            <w:tcW w:w="956" w:type="pct"/>
            <w:shd w:val="clear" w:color="auto" w:fill="auto"/>
          </w:tcPr>
          <w:p w14:paraId="6A157246" w14:textId="77777777" w:rsidR="00807B7B" w:rsidRPr="007D1918" w:rsidRDefault="00807B7B" w:rsidP="001B1AD5">
            <w:pPr>
              <w:pStyle w:val="TableHeading"/>
              <w:keepLines/>
              <w:rPr>
                <w:snapToGrid w:val="0"/>
                <w:lang w:eastAsia="en-US"/>
              </w:rPr>
            </w:pPr>
            <w:r w:rsidRPr="007D1918">
              <w:rPr>
                <w:snapToGrid w:val="0"/>
                <w:lang w:eastAsia="en-US"/>
              </w:rPr>
              <w:t>Overall effect</w:t>
            </w:r>
          </w:p>
        </w:tc>
      </w:tr>
      <w:tr w:rsidR="00807B7B" w:rsidRPr="007D1918" w14:paraId="10CD2198" w14:textId="77777777" w:rsidTr="00A80147">
        <w:tc>
          <w:tcPr>
            <w:tcW w:w="858" w:type="pct"/>
          </w:tcPr>
          <w:p w14:paraId="1D81006C" w14:textId="77777777" w:rsidR="00807B7B" w:rsidRPr="007D1918" w:rsidRDefault="00807B7B" w:rsidP="001B1AD5">
            <w:pPr>
              <w:pStyle w:val="TableText0"/>
              <w:keepLines/>
              <w:rPr>
                <w:snapToGrid w:val="0"/>
              </w:rPr>
            </w:pPr>
            <w:r w:rsidRPr="007D1918">
              <w:rPr>
                <w:snapToGrid w:val="0"/>
              </w:rPr>
              <w:t>Change in MMS</w:t>
            </w:r>
          </w:p>
        </w:tc>
        <w:tc>
          <w:tcPr>
            <w:tcW w:w="1195" w:type="pct"/>
            <w:shd w:val="clear" w:color="auto" w:fill="auto"/>
          </w:tcPr>
          <w:p w14:paraId="78F9F271" w14:textId="5F1C9471" w:rsidR="00807B7B" w:rsidRPr="007D1918" w:rsidRDefault="002B4CCB" w:rsidP="002B4CCB">
            <w:pPr>
              <w:pStyle w:val="TableText0"/>
              <w:keepLines/>
              <w:rPr>
                <w:snapToGrid w:val="0"/>
              </w:rPr>
            </w:pPr>
            <w:r w:rsidRPr="007D1918">
              <w:rPr>
                <w:snapToGrid w:val="0"/>
              </w:rPr>
              <w:t xml:space="preserve">19.33 </w:t>
            </w:r>
            <w:r w:rsidR="00807B7B" w:rsidRPr="007D1918">
              <w:rPr>
                <w:snapToGrid w:val="0"/>
              </w:rPr>
              <w:t>(</w:t>
            </w:r>
            <w:r w:rsidRPr="007D1918">
              <w:rPr>
                <w:snapToGrid w:val="0"/>
              </w:rPr>
              <w:t>16</w:t>
            </w:r>
            <w:r w:rsidR="00807B7B" w:rsidRPr="007D1918">
              <w:rPr>
                <w:snapToGrid w:val="0"/>
              </w:rPr>
              <w:t>.</w:t>
            </w:r>
            <w:r w:rsidRPr="007D1918">
              <w:rPr>
                <w:snapToGrid w:val="0"/>
              </w:rPr>
              <w:t>48</w:t>
            </w:r>
            <w:r w:rsidR="00807B7B" w:rsidRPr="007D1918">
              <w:rPr>
                <w:snapToGrid w:val="0"/>
              </w:rPr>
              <w:t>)</w:t>
            </w:r>
          </w:p>
        </w:tc>
        <w:tc>
          <w:tcPr>
            <w:tcW w:w="1036" w:type="pct"/>
            <w:shd w:val="clear" w:color="auto" w:fill="auto"/>
          </w:tcPr>
          <w:p w14:paraId="27D6D6A2" w14:textId="54AF2B4A" w:rsidR="00807B7B" w:rsidRPr="007D1918" w:rsidRDefault="002B4CCB" w:rsidP="002B4CCB">
            <w:pPr>
              <w:pStyle w:val="TableText0"/>
              <w:keepLines/>
              <w:rPr>
                <w:snapToGrid w:val="0"/>
              </w:rPr>
            </w:pPr>
            <w:r w:rsidRPr="007D1918">
              <w:rPr>
                <w:snapToGrid w:val="0"/>
              </w:rPr>
              <w:t>15</w:t>
            </w:r>
            <w:r w:rsidR="00807B7B" w:rsidRPr="007D1918">
              <w:rPr>
                <w:snapToGrid w:val="0"/>
              </w:rPr>
              <w:t>.</w:t>
            </w:r>
            <w:r w:rsidRPr="007D1918">
              <w:rPr>
                <w:snapToGrid w:val="0"/>
              </w:rPr>
              <w:t>49</w:t>
            </w:r>
            <w:r w:rsidR="00807B7B" w:rsidRPr="007D1918">
              <w:rPr>
                <w:snapToGrid w:val="0"/>
              </w:rPr>
              <w:t xml:space="preserve"> (</w:t>
            </w:r>
            <w:r w:rsidRPr="007D1918">
              <w:rPr>
                <w:snapToGrid w:val="0"/>
              </w:rPr>
              <w:t>15.4</w:t>
            </w:r>
            <w:r w:rsidR="00807B7B" w:rsidRPr="007D1918">
              <w:rPr>
                <w:snapToGrid w:val="0"/>
              </w:rPr>
              <w:t>)</w:t>
            </w:r>
          </w:p>
        </w:tc>
        <w:tc>
          <w:tcPr>
            <w:tcW w:w="956" w:type="pct"/>
            <w:shd w:val="clear" w:color="auto" w:fill="auto"/>
          </w:tcPr>
          <w:p w14:paraId="77F4C8CF" w14:textId="3AD142C9" w:rsidR="00807B7B" w:rsidRPr="007D1918" w:rsidRDefault="002B4CCB" w:rsidP="00A80147">
            <w:pPr>
              <w:pStyle w:val="TableText0"/>
              <w:keepLines/>
              <w:rPr>
                <w:snapToGrid w:val="0"/>
              </w:rPr>
            </w:pPr>
            <w:r w:rsidRPr="007D1918">
              <w:rPr>
                <w:snapToGrid w:val="0"/>
              </w:rPr>
              <w:t>3.84</w:t>
            </w:r>
            <w:r w:rsidR="00A80147" w:rsidRPr="007D1918">
              <w:rPr>
                <w:snapToGrid w:val="0"/>
              </w:rPr>
              <w:t xml:space="preserve"> (</w:t>
            </w:r>
            <w:r w:rsidR="00807B7B" w:rsidRPr="007D1918">
              <w:rPr>
                <w:snapToGrid w:val="0"/>
              </w:rPr>
              <w:t>-</w:t>
            </w:r>
            <w:r w:rsidRPr="007D1918">
              <w:rPr>
                <w:snapToGrid w:val="0"/>
              </w:rPr>
              <w:t>0.98</w:t>
            </w:r>
            <w:r w:rsidR="00807B7B" w:rsidRPr="007D1918">
              <w:rPr>
                <w:snapToGrid w:val="0"/>
              </w:rPr>
              <w:t xml:space="preserve">, </w:t>
            </w:r>
            <w:r w:rsidRPr="007D1918">
              <w:rPr>
                <w:snapToGrid w:val="0"/>
              </w:rPr>
              <w:t>8.66</w:t>
            </w:r>
            <w:r w:rsidR="00A80147" w:rsidRPr="007D1918">
              <w:rPr>
                <w:snapToGrid w:val="0"/>
              </w:rPr>
              <w:t>)</w:t>
            </w:r>
          </w:p>
        </w:tc>
        <w:tc>
          <w:tcPr>
            <w:tcW w:w="956" w:type="pct"/>
            <w:shd w:val="clear" w:color="auto" w:fill="auto"/>
          </w:tcPr>
          <w:p w14:paraId="203E4AED" w14:textId="325E75AF" w:rsidR="00807B7B" w:rsidRPr="007D1918" w:rsidRDefault="00807B7B" w:rsidP="002B4CCB">
            <w:pPr>
              <w:pStyle w:val="TableText0"/>
              <w:keepLines/>
              <w:rPr>
                <w:snapToGrid w:val="0"/>
                <w:vertAlign w:val="superscript"/>
              </w:rPr>
            </w:pPr>
            <w:r w:rsidRPr="007D1918">
              <w:rPr>
                <w:snapToGrid w:val="0"/>
              </w:rPr>
              <w:t xml:space="preserve">P = </w:t>
            </w:r>
            <w:r w:rsidR="002B4CCB" w:rsidRPr="007D1918">
              <w:rPr>
                <w:snapToGrid w:val="0"/>
              </w:rPr>
              <w:t>0.12</w:t>
            </w:r>
            <w:r w:rsidR="00A71EF1" w:rsidRPr="007D1918">
              <w:rPr>
                <w:snapToGrid w:val="0"/>
                <w:vertAlign w:val="superscript"/>
              </w:rPr>
              <w:t>a</w:t>
            </w:r>
          </w:p>
        </w:tc>
      </w:tr>
    </w:tbl>
    <w:p w14:paraId="288E803D" w14:textId="0C0CB437" w:rsidR="00807B7B" w:rsidRPr="007D1918" w:rsidRDefault="00807B7B" w:rsidP="00A80147">
      <w:pPr>
        <w:pStyle w:val="Tablenotes0"/>
        <w:spacing w:after="80"/>
        <w:contextualSpacing w:val="0"/>
      </w:pPr>
      <w:r w:rsidRPr="007D1918">
        <w:t>IVIg = intravenous immunoglobulin therapy; MG = myasthenia gravis; MMS myasthenia muscle score;</w:t>
      </w:r>
      <w:r w:rsidR="00DF1EEA" w:rsidRPr="007D1918">
        <w:t xml:space="preserve"> SD = standard deviation</w:t>
      </w:r>
    </w:p>
    <w:p w14:paraId="0D2F4088" w14:textId="2D644C80" w:rsidR="00A71EF1" w:rsidRPr="007D1918" w:rsidRDefault="00A71EF1" w:rsidP="00A80147">
      <w:pPr>
        <w:pStyle w:val="Tablenotes0"/>
        <w:spacing w:after="80"/>
      </w:pPr>
      <w:r w:rsidRPr="007D1918">
        <w:rPr>
          <w:vertAlign w:val="superscript"/>
        </w:rPr>
        <w:t>a</w:t>
      </w:r>
      <w:r w:rsidRPr="007D1918">
        <w:t xml:space="preserve"> </w:t>
      </w:r>
      <w:r w:rsidR="00A80147" w:rsidRPr="007D1918">
        <w:t xml:space="preserve">Result reported in </w:t>
      </w:r>
      <w:r w:rsidRPr="007D1918">
        <w:t>Gajdos</w:t>
      </w:r>
      <w:r w:rsidR="0075378B" w:rsidRPr="007D1918">
        <w:t>,</w:t>
      </w:r>
      <w:r w:rsidRPr="007D1918">
        <w:t xml:space="preserve"> </w:t>
      </w:r>
      <w:r w:rsidR="0075378B" w:rsidRPr="007D1918">
        <w:t>Chevret and Toyka</w:t>
      </w:r>
      <w:r w:rsidRPr="007D1918">
        <w:t>, 2012</w:t>
      </w:r>
    </w:p>
    <w:p w14:paraId="45EC4FCD" w14:textId="77777777" w:rsidR="00A80147" w:rsidRPr="007D1918" w:rsidRDefault="00A80147" w:rsidP="00B44991">
      <w:pPr>
        <w:pStyle w:val="Tabletext1"/>
        <w:rPr>
          <w:sz w:val="16"/>
          <w:szCs w:val="16"/>
        </w:rPr>
      </w:pPr>
    </w:p>
    <w:p w14:paraId="6A983D6D" w14:textId="0FC0A607" w:rsidR="00807B7B" w:rsidRPr="007D1918" w:rsidRDefault="002B4CCB" w:rsidP="002B4CCB">
      <w:pPr>
        <w:pStyle w:val="Heading4"/>
      </w:pPr>
      <w:r w:rsidRPr="007D1918">
        <w:t>Change in symptoms (myasthenia severity scale) following IVIg or PE</w:t>
      </w:r>
    </w:p>
    <w:p w14:paraId="27BDB5F0" w14:textId="6BCA431E" w:rsidR="0087070E" w:rsidRPr="007D1918" w:rsidRDefault="002B4CCB" w:rsidP="002E0A14">
      <w:pPr>
        <w:jc w:val="both"/>
      </w:pPr>
      <w:r w:rsidRPr="007D1918">
        <w:t xml:space="preserve">One </w:t>
      </w:r>
      <w:r w:rsidR="00DF1EEA" w:rsidRPr="007D1918">
        <w:t xml:space="preserve">retrospective cohort study (level III-2) used the </w:t>
      </w:r>
      <w:r w:rsidR="00244DB9" w:rsidRPr="007D1918">
        <w:t>myasthenia severity scale (</w:t>
      </w:r>
      <w:r w:rsidR="00456CD2" w:rsidRPr="007D1918">
        <w:t>MSS</w:t>
      </w:r>
      <w:r w:rsidR="00244DB9" w:rsidRPr="007D1918">
        <w:t>)</w:t>
      </w:r>
      <w:r w:rsidR="00456CD2" w:rsidRPr="007D1918">
        <w:t xml:space="preserve"> </w:t>
      </w:r>
      <w:r w:rsidR="00DF1EEA" w:rsidRPr="007D1918">
        <w:t xml:space="preserve">to measure improvement in patients given either IVIg or PE </w:t>
      </w:r>
      <w:r w:rsidR="0075212A" w:rsidRPr="007D1918">
        <w:fldChar w:fldCharType="begin"/>
      </w:r>
      <w:r w:rsidR="00C437BA" w:rsidRPr="007D1918">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0075212A" w:rsidRPr="007D1918">
        <w:fldChar w:fldCharType="separate"/>
      </w:r>
      <w:r w:rsidR="0075212A" w:rsidRPr="007D1918">
        <w:rPr>
          <w:noProof/>
        </w:rPr>
        <w:t>(</w:t>
      </w:r>
      <w:hyperlink w:anchor="_ENREF_80" w:tooltip="Qureshi, 1999 #40" w:history="1">
        <w:r w:rsidR="007D4948" w:rsidRPr="007D1918">
          <w:rPr>
            <w:noProof/>
          </w:rPr>
          <w:t>Qureshi et al. 1999</w:t>
        </w:r>
      </w:hyperlink>
      <w:r w:rsidR="0075212A" w:rsidRPr="007D1918">
        <w:rPr>
          <w:noProof/>
        </w:rPr>
        <w:t>)</w:t>
      </w:r>
      <w:r w:rsidR="0075212A" w:rsidRPr="007D1918">
        <w:fldChar w:fldCharType="end"/>
      </w:r>
      <w:r w:rsidR="00DF1EEA" w:rsidRPr="007D1918">
        <w:t>.</w:t>
      </w:r>
      <w:r w:rsidR="0087070E" w:rsidRPr="007D1918">
        <w:t xml:space="preserve"> The MSS will give </w:t>
      </w:r>
      <w:r w:rsidR="001B7D3C" w:rsidRPr="007D1918">
        <w:t>a</w:t>
      </w:r>
      <w:r w:rsidR="0087070E" w:rsidRPr="007D1918">
        <w:t xml:space="preserve"> score of 1 to 3 in three categories of patients function (cough, ocular and bulbar symptoms) and 1 to 4 for the category of </w:t>
      </w:r>
      <w:r w:rsidR="000E673C" w:rsidRPr="007D1918">
        <w:t>dyspnoea</w:t>
      </w:r>
      <w:r w:rsidR="0087070E" w:rsidRPr="007D1918">
        <w:t xml:space="preserve">. A score of 1 is given for the least strength and </w:t>
      </w:r>
      <w:r w:rsidR="00A71EF1" w:rsidRPr="007D1918">
        <w:t xml:space="preserve">3 or </w:t>
      </w:r>
      <w:r w:rsidR="0087070E" w:rsidRPr="007D1918">
        <w:t xml:space="preserve">4 for normal strength. </w:t>
      </w:r>
      <w:r w:rsidR="00456CD2" w:rsidRPr="007D1918">
        <w:t xml:space="preserve">The MGC rates strength for a broader range of functions than the MSS. </w:t>
      </w:r>
      <w:r w:rsidR="0087070E" w:rsidRPr="007D1918">
        <w:t xml:space="preserve">Myasthenic symptoms scores are discussed further in </w:t>
      </w:r>
      <w:r w:rsidR="0087070E" w:rsidRPr="007D1918">
        <w:rPr>
          <w:i/>
        </w:rPr>
        <w:t>Section B.5</w:t>
      </w:r>
      <w:r w:rsidR="0087070E" w:rsidRPr="007D1918">
        <w:t xml:space="preserve">. In this study MG crisis was described as an acute episode of respiratory muscle weakness defined by </w:t>
      </w:r>
      <w:r w:rsidR="00DC64B5" w:rsidRPr="007D1918">
        <w:t xml:space="preserve">forced vital capacity of </w:t>
      </w:r>
      <w:r w:rsidR="00DC64B5" w:rsidRPr="007D1918">
        <w:rPr>
          <w:rFonts w:cs="Calibri"/>
        </w:rPr>
        <w:t>≤</w:t>
      </w:r>
      <w:r w:rsidR="00DC64B5" w:rsidRPr="007D1918">
        <w:t xml:space="preserve"> 1.0 L, negative inspiratory for</w:t>
      </w:r>
      <w:r w:rsidR="00310E40" w:rsidRPr="007D1918">
        <w:t>ce</w:t>
      </w:r>
      <w:r w:rsidR="00DC64B5" w:rsidRPr="007D1918">
        <w:t xml:space="preserve"> of </w:t>
      </w:r>
      <w:r w:rsidR="00DC64B5" w:rsidRPr="007D1918">
        <w:rPr>
          <w:rFonts w:cs="Calibri"/>
        </w:rPr>
        <w:t>≤</w:t>
      </w:r>
      <w:r w:rsidR="00DC64B5" w:rsidRPr="007D1918">
        <w:t xml:space="preserve"> 20 cm H</w:t>
      </w:r>
      <w:r w:rsidR="00DC64B5" w:rsidRPr="007D1918">
        <w:rPr>
          <w:vertAlign w:val="subscript"/>
        </w:rPr>
        <w:t>2</w:t>
      </w:r>
      <w:r w:rsidR="00DC64B5" w:rsidRPr="007D1918">
        <w:t>O, or requirement of mechanical ventilation.</w:t>
      </w:r>
    </w:p>
    <w:p w14:paraId="23369604" w14:textId="2A3D01A8" w:rsidR="00DC64B5" w:rsidRPr="007D1918" w:rsidRDefault="00A7167D" w:rsidP="002E0A14">
      <w:pPr>
        <w:jc w:val="both"/>
      </w:pPr>
      <w:r w:rsidRPr="007D1918">
        <w:t xml:space="preserve">There was an improvement of MSS in both groups at </w:t>
      </w:r>
      <w:r w:rsidR="001B7D3C" w:rsidRPr="007D1918">
        <w:t>two</w:t>
      </w:r>
      <w:r w:rsidRPr="007D1918">
        <w:t xml:space="preserve"> weeks post treatment, however the improvement was only statistically significant in the PE group (p = 0.009). Between IVIg and PE groups, </w:t>
      </w:r>
      <w:r w:rsidR="00D2230A" w:rsidRPr="007D1918">
        <w:t xml:space="preserve">there was better improvement in the PE group </w:t>
      </w:r>
      <w:r w:rsidR="002E0A14" w:rsidRPr="007D1918">
        <w:t xml:space="preserve">at two weeks following start of treatment </w:t>
      </w:r>
      <w:r w:rsidR="00A42630" w:rsidRPr="007D1918">
        <w:t xml:space="preserve">but the significance of this result </w:t>
      </w:r>
      <w:r w:rsidR="00D17FA1" w:rsidRPr="007D1918">
        <w:t>was</w:t>
      </w:r>
      <w:r w:rsidR="00A42630" w:rsidRPr="007D1918">
        <w:t xml:space="preserve"> not determined</w:t>
      </w:r>
      <w:r w:rsidR="002E0A14" w:rsidRPr="007D1918">
        <w:t xml:space="preserve"> (</w:t>
      </w:r>
      <w:r w:rsidR="002E0A14" w:rsidRPr="007D1918">
        <w:fldChar w:fldCharType="begin"/>
      </w:r>
      <w:r w:rsidR="002E0A14" w:rsidRPr="007D1918">
        <w:instrText xml:space="preserve"> REF _Ref8648675 \h  \* MERGEFORMAT </w:instrText>
      </w:r>
      <w:r w:rsidR="002E0A14" w:rsidRPr="007D1918">
        <w:fldChar w:fldCharType="separate"/>
      </w:r>
      <w:r w:rsidR="00153384" w:rsidRPr="007D1918">
        <w:t xml:space="preserve">Table </w:t>
      </w:r>
      <w:r w:rsidR="00153384" w:rsidRPr="007D1918">
        <w:rPr>
          <w:noProof/>
        </w:rPr>
        <w:t>30</w:t>
      </w:r>
      <w:r w:rsidR="002E0A14" w:rsidRPr="007D1918">
        <w:fldChar w:fldCharType="end"/>
      </w:r>
      <w:r w:rsidR="002E0A14" w:rsidRPr="007D1918">
        <w:t>)</w:t>
      </w:r>
      <w:r w:rsidR="00D2230A" w:rsidRPr="007D1918">
        <w:t xml:space="preserve">. </w:t>
      </w:r>
      <w:r w:rsidR="00A42630" w:rsidRPr="007D1918">
        <w:t>T</w:t>
      </w:r>
      <w:r w:rsidR="00EB4CEB" w:rsidRPr="007D1918">
        <w:t>he study size and quality prevents a strong conclusion being made about clinical differences between groups.</w:t>
      </w:r>
    </w:p>
    <w:p w14:paraId="198B6462" w14:textId="1B67C412" w:rsidR="00DC64B5" w:rsidRPr="007D1918" w:rsidRDefault="00DC64B5" w:rsidP="00DC64B5">
      <w:pPr>
        <w:pStyle w:val="Caption"/>
        <w:keepNext/>
        <w:keepLines/>
      </w:pPr>
      <w:bookmarkStart w:id="259" w:name="_Ref8648675"/>
      <w:bookmarkStart w:id="260" w:name="_Toc23769517"/>
      <w:r w:rsidRPr="007D1918">
        <w:t xml:space="preserve">Table </w:t>
      </w:r>
      <w:r w:rsidR="007C1C3D" w:rsidRPr="007D1918">
        <w:rPr>
          <w:noProof/>
        </w:rPr>
        <w:fldChar w:fldCharType="begin"/>
      </w:r>
      <w:r w:rsidR="007C1C3D" w:rsidRPr="007D1918">
        <w:rPr>
          <w:noProof/>
        </w:rPr>
        <w:instrText xml:space="preserve"> SEQ Table \* ARABIC </w:instrText>
      </w:r>
      <w:r w:rsidR="007C1C3D" w:rsidRPr="007D1918">
        <w:rPr>
          <w:noProof/>
        </w:rPr>
        <w:fldChar w:fldCharType="separate"/>
      </w:r>
      <w:r w:rsidR="00942701" w:rsidRPr="007D1918">
        <w:rPr>
          <w:noProof/>
        </w:rPr>
        <w:t>30</w:t>
      </w:r>
      <w:r w:rsidR="007C1C3D" w:rsidRPr="007D1918">
        <w:rPr>
          <w:noProof/>
        </w:rPr>
        <w:fldChar w:fldCharType="end"/>
      </w:r>
      <w:bookmarkEnd w:id="259"/>
      <w:r w:rsidRPr="007D1918">
        <w:tab/>
        <w:t>Change in MSS after 15 days for MG crisis patients treated with IVIg or PE</w:t>
      </w:r>
      <w:r w:rsidR="00A71EF1" w:rsidRPr="007D1918">
        <w:t xml:space="preserve"> </w:t>
      </w:r>
      <w:r w:rsidR="0075212A" w:rsidRPr="007D1918">
        <w:fldChar w:fldCharType="begin"/>
      </w:r>
      <w:r w:rsidR="00C437BA" w:rsidRPr="007D1918">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0075212A" w:rsidRPr="007D1918">
        <w:fldChar w:fldCharType="separate"/>
      </w:r>
      <w:r w:rsidR="0075212A" w:rsidRPr="007D1918">
        <w:rPr>
          <w:noProof/>
        </w:rPr>
        <w:t>(</w:t>
      </w:r>
      <w:hyperlink w:anchor="_ENREF_80" w:tooltip="Qureshi, 1999 #40" w:history="1">
        <w:r w:rsidR="007D4948" w:rsidRPr="007D1918">
          <w:rPr>
            <w:noProof/>
          </w:rPr>
          <w:t>Qureshi et al. 1999</w:t>
        </w:r>
      </w:hyperlink>
      <w:r w:rsidR="0075212A" w:rsidRPr="007D1918">
        <w:rPr>
          <w:noProof/>
        </w:rPr>
        <w:t>)</w:t>
      </w:r>
      <w:bookmarkEnd w:id="260"/>
      <w:r w:rsidR="0075212A" w:rsidRPr="007D1918">
        <w:fldChar w:fldCharType="end"/>
      </w:r>
    </w:p>
    <w:tbl>
      <w:tblPr>
        <w:tblW w:w="438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8 Change in MSS after 15 days for MG crisis patients treated with IVIg or PE (Qureshi et al. 1999)"/>
        <w:tblDescription w:val="Change in symptoms measured by MSS at 15 days after start of treatment with either IVIg or PE (Indication 1)."/>
      </w:tblPr>
      <w:tblGrid>
        <w:gridCol w:w="2801"/>
        <w:gridCol w:w="2552"/>
        <w:gridCol w:w="2552"/>
      </w:tblGrid>
      <w:tr w:rsidR="00D17FA1" w:rsidRPr="007D1918" w14:paraId="34029A3F" w14:textId="77777777" w:rsidTr="00D17FA1">
        <w:tc>
          <w:tcPr>
            <w:tcW w:w="1772" w:type="pct"/>
          </w:tcPr>
          <w:p w14:paraId="1396CE88" w14:textId="77777777" w:rsidR="00D17FA1" w:rsidRPr="007D1918" w:rsidRDefault="00D17FA1" w:rsidP="001B1AD5">
            <w:pPr>
              <w:pStyle w:val="TableHeading"/>
              <w:keepLines/>
              <w:rPr>
                <w:snapToGrid w:val="0"/>
                <w:lang w:eastAsia="en-US"/>
              </w:rPr>
            </w:pPr>
            <w:r w:rsidRPr="007D1918">
              <w:rPr>
                <w:snapToGrid w:val="0"/>
                <w:lang w:eastAsia="en-US"/>
              </w:rPr>
              <w:t>Measure</w:t>
            </w:r>
          </w:p>
        </w:tc>
        <w:tc>
          <w:tcPr>
            <w:tcW w:w="1614" w:type="pct"/>
            <w:shd w:val="clear" w:color="auto" w:fill="auto"/>
          </w:tcPr>
          <w:p w14:paraId="1B7E0376" w14:textId="14A2F344" w:rsidR="00D17FA1" w:rsidRPr="007D1918" w:rsidRDefault="00D17FA1" w:rsidP="001B1AD5">
            <w:pPr>
              <w:pStyle w:val="TableHeading"/>
              <w:keepLines/>
              <w:rPr>
                <w:snapToGrid w:val="0"/>
                <w:lang w:eastAsia="en-US"/>
              </w:rPr>
            </w:pPr>
            <w:r w:rsidRPr="007D1918">
              <w:rPr>
                <w:snapToGrid w:val="0"/>
                <w:lang w:eastAsia="en-US"/>
              </w:rPr>
              <w:t xml:space="preserve">IVIg </w:t>
            </w:r>
          </w:p>
          <w:p w14:paraId="54F07E75" w14:textId="1B8D43F5" w:rsidR="00D17FA1" w:rsidRPr="007D1918" w:rsidRDefault="00D17FA1" w:rsidP="00117D2B">
            <w:pPr>
              <w:pStyle w:val="TableHeading"/>
              <w:keepLines/>
              <w:rPr>
                <w:snapToGrid w:val="0"/>
                <w:lang w:eastAsia="en-US"/>
              </w:rPr>
            </w:pPr>
            <w:r w:rsidRPr="007D1918">
              <w:rPr>
                <w:snapToGrid w:val="0"/>
                <w:lang w:eastAsia="en-US"/>
              </w:rPr>
              <w:t>N = 26</w:t>
            </w:r>
            <w:r w:rsidR="00117D2B" w:rsidRPr="007D1918">
              <w:rPr>
                <w:snapToGrid w:val="0"/>
                <w:lang w:eastAsia="en-US"/>
              </w:rPr>
              <w:t xml:space="preserve">; </w:t>
            </w:r>
            <w:r w:rsidRPr="007D1918">
              <w:rPr>
                <w:snapToGrid w:val="0"/>
                <w:lang w:eastAsia="en-US"/>
              </w:rPr>
              <w:t>Mean (SD)</w:t>
            </w:r>
          </w:p>
        </w:tc>
        <w:tc>
          <w:tcPr>
            <w:tcW w:w="1614" w:type="pct"/>
            <w:shd w:val="clear" w:color="auto" w:fill="auto"/>
          </w:tcPr>
          <w:p w14:paraId="29302486" w14:textId="5CD24C75" w:rsidR="00D17FA1" w:rsidRPr="007D1918" w:rsidRDefault="00D17FA1" w:rsidP="001B1AD5">
            <w:pPr>
              <w:pStyle w:val="TableHeading"/>
              <w:keepLines/>
              <w:rPr>
                <w:snapToGrid w:val="0"/>
                <w:lang w:eastAsia="en-US"/>
              </w:rPr>
            </w:pPr>
            <w:r w:rsidRPr="007D1918">
              <w:rPr>
                <w:snapToGrid w:val="0"/>
                <w:lang w:eastAsia="en-US"/>
              </w:rPr>
              <w:t>PE</w:t>
            </w:r>
          </w:p>
          <w:p w14:paraId="140E198C" w14:textId="62441E25" w:rsidR="00D17FA1" w:rsidRPr="007D1918" w:rsidRDefault="00D17FA1" w:rsidP="00117D2B">
            <w:pPr>
              <w:pStyle w:val="TableHeading"/>
              <w:keepLines/>
              <w:rPr>
                <w:snapToGrid w:val="0"/>
                <w:lang w:eastAsia="en-US"/>
              </w:rPr>
            </w:pPr>
            <w:r w:rsidRPr="007D1918">
              <w:rPr>
                <w:snapToGrid w:val="0"/>
                <w:lang w:eastAsia="en-US"/>
              </w:rPr>
              <w:t>N = 28</w:t>
            </w:r>
            <w:r w:rsidR="00117D2B" w:rsidRPr="007D1918">
              <w:rPr>
                <w:snapToGrid w:val="0"/>
                <w:lang w:eastAsia="en-US"/>
              </w:rPr>
              <w:t xml:space="preserve">; </w:t>
            </w:r>
            <w:r w:rsidRPr="007D1918">
              <w:rPr>
                <w:snapToGrid w:val="0"/>
                <w:lang w:eastAsia="en-US"/>
              </w:rPr>
              <w:t xml:space="preserve">Mean (SD)  </w:t>
            </w:r>
          </w:p>
        </w:tc>
      </w:tr>
      <w:tr w:rsidR="00D17FA1" w:rsidRPr="007D1918" w14:paraId="227B5B55" w14:textId="77777777" w:rsidTr="00D17FA1">
        <w:tc>
          <w:tcPr>
            <w:tcW w:w="1772" w:type="pct"/>
          </w:tcPr>
          <w:p w14:paraId="4E020DE6" w14:textId="7B5D966B" w:rsidR="00D17FA1" w:rsidRPr="007D1918" w:rsidRDefault="00D17FA1" w:rsidP="00AF3B22">
            <w:pPr>
              <w:pStyle w:val="TableText0"/>
              <w:keepLines/>
              <w:rPr>
                <w:snapToGrid w:val="0"/>
              </w:rPr>
            </w:pPr>
            <w:r w:rsidRPr="007D1918">
              <w:rPr>
                <w:snapToGrid w:val="0"/>
              </w:rPr>
              <w:t>Baseline MSS</w:t>
            </w:r>
          </w:p>
        </w:tc>
        <w:tc>
          <w:tcPr>
            <w:tcW w:w="1614" w:type="pct"/>
            <w:shd w:val="clear" w:color="auto" w:fill="auto"/>
          </w:tcPr>
          <w:p w14:paraId="3FDC170F" w14:textId="69DFC3AD" w:rsidR="00D17FA1" w:rsidRPr="007D1918" w:rsidRDefault="00D17FA1" w:rsidP="001B1AD5">
            <w:pPr>
              <w:pStyle w:val="TableText0"/>
              <w:keepLines/>
              <w:rPr>
                <w:snapToGrid w:val="0"/>
              </w:rPr>
            </w:pPr>
            <w:r w:rsidRPr="007D1918">
              <w:rPr>
                <w:snapToGrid w:val="0"/>
              </w:rPr>
              <w:t>7.5 (1.7)</w:t>
            </w:r>
          </w:p>
        </w:tc>
        <w:tc>
          <w:tcPr>
            <w:tcW w:w="1614" w:type="pct"/>
            <w:shd w:val="clear" w:color="auto" w:fill="auto"/>
          </w:tcPr>
          <w:p w14:paraId="796D6081" w14:textId="4862A6E7" w:rsidR="00D17FA1" w:rsidRPr="007D1918" w:rsidRDefault="00D17FA1" w:rsidP="001B1AD5">
            <w:pPr>
              <w:pStyle w:val="TableText0"/>
              <w:keepLines/>
              <w:rPr>
                <w:snapToGrid w:val="0"/>
              </w:rPr>
            </w:pPr>
            <w:r w:rsidRPr="007D1918">
              <w:rPr>
                <w:snapToGrid w:val="0"/>
              </w:rPr>
              <w:t>6.9 (1.7)</w:t>
            </w:r>
          </w:p>
        </w:tc>
      </w:tr>
      <w:tr w:rsidR="00D17FA1" w:rsidRPr="007D1918" w14:paraId="2F925D72" w14:textId="77777777" w:rsidTr="00D17FA1">
        <w:tc>
          <w:tcPr>
            <w:tcW w:w="1772" w:type="pct"/>
          </w:tcPr>
          <w:p w14:paraId="68A4AEE1" w14:textId="50608D84" w:rsidR="00D17FA1" w:rsidRPr="007D1918" w:rsidRDefault="00D17FA1" w:rsidP="00AF3B22">
            <w:pPr>
              <w:pStyle w:val="TableText0"/>
              <w:keepLines/>
              <w:rPr>
                <w:snapToGrid w:val="0"/>
              </w:rPr>
            </w:pPr>
            <w:r w:rsidRPr="007D1918">
              <w:rPr>
                <w:snapToGrid w:val="0"/>
              </w:rPr>
              <w:t>MSS at 2 weeks</w:t>
            </w:r>
          </w:p>
        </w:tc>
        <w:tc>
          <w:tcPr>
            <w:tcW w:w="1614" w:type="pct"/>
            <w:shd w:val="clear" w:color="auto" w:fill="auto"/>
          </w:tcPr>
          <w:p w14:paraId="10D5CB07" w14:textId="0BA9CAB5" w:rsidR="00D17FA1" w:rsidRPr="007D1918" w:rsidRDefault="00D17FA1" w:rsidP="001B1AD5">
            <w:pPr>
              <w:pStyle w:val="TableText0"/>
              <w:keepLines/>
              <w:rPr>
                <w:snapToGrid w:val="0"/>
              </w:rPr>
            </w:pPr>
            <w:r w:rsidRPr="007D1918">
              <w:rPr>
                <w:snapToGrid w:val="0"/>
              </w:rPr>
              <w:t>10.3 (3.2)</w:t>
            </w:r>
          </w:p>
        </w:tc>
        <w:tc>
          <w:tcPr>
            <w:tcW w:w="1614" w:type="pct"/>
            <w:shd w:val="clear" w:color="auto" w:fill="auto"/>
          </w:tcPr>
          <w:p w14:paraId="74DA847C" w14:textId="0BD22C9E" w:rsidR="00D17FA1" w:rsidRPr="007D1918" w:rsidRDefault="00D17FA1" w:rsidP="001B1AD5">
            <w:pPr>
              <w:pStyle w:val="TableText0"/>
              <w:keepLines/>
              <w:rPr>
                <w:snapToGrid w:val="0"/>
              </w:rPr>
            </w:pPr>
            <w:r w:rsidRPr="007D1918">
              <w:rPr>
                <w:snapToGrid w:val="0"/>
              </w:rPr>
              <w:t>11.1 (2.5)</w:t>
            </w:r>
          </w:p>
        </w:tc>
      </w:tr>
      <w:tr w:rsidR="00D17FA1" w:rsidRPr="007D1918" w14:paraId="0E5C3E2A" w14:textId="77777777" w:rsidTr="00D17FA1">
        <w:tc>
          <w:tcPr>
            <w:tcW w:w="1772" w:type="pct"/>
          </w:tcPr>
          <w:p w14:paraId="62E430F6" w14:textId="2321EA87" w:rsidR="00D17FA1" w:rsidRPr="007D1918" w:rsidRDefault="00D17FA1" w:rsidP="00AF3B22">
            <w:pPr>
              <w:pStyle w:val="TableText0"/>
              <w:keepLines/>
              <w:rPr>
                <w:snapToGrid w:val="0"/>
              </w:rPr>
            </w:pPr>
            <w:r w:rsidRPr="007D1918">
              <w:rPr>
                <w:snapToGrid w:val="0"/>
              </w:rPr>
              <w:t>Change in MSS</w:t>
            </w:r>
          </w:p>
        </w:tc>
        <w:tc>
          <w:tcPr>
            <w:tcW w:w="1614" w:type="pct"/>
            <w:shd w:val="clear" w:color="auto" w:fill="auto"/>
          </w:tcPr>
          <w:p w14:paraId="38C98549" w14:textId="0C05E84C" w:rsidR="00D17FA1" w:rsidRPr="007D1918" w:rsidRDefault="00D17FA1" w:rsidP="001B1AD5">
            <w:pPr>
              <w:pStyle w:val="TableText0"/>
              <w:keepLines/>
              <w:rPr>
                <w:snapToGrid w:val="0"/>
              </w:rPr>
            </w:pPr>
            <w:r w:rsidRPr="007D1918">
              <w:rPr>
                <w:snapToGrid w:val="0"/>
              </w:rPr>
              <w:t>2.8 (0.711)</w:t>
            </w:r>
          </w:p>
          <w:p w14:paraId="6737318B" w14:textId="7569F114" w:rsidR="00D17FA1" w:rsidRPr="007D1918" w:rsidRDefault="00D17FA1" w:rsidP="001B1AD5">
            <w:pPr>
              <w:pStyle w:val="TableText0"/>
              <w:keepLines/>
              <w:rPr>
                <w:snapToGrid w:val="0"/>
                <w:vertAlign w:val="superscript"/>
              </w:rPr>
            </w:pPr>
            <w:r w:rsidRPr="007D1918">
              <w:rPr>
                <w:snapToGrid w:val="0"/>
              </w:rPr>
              <w:t>P = 0.054</w:t>
            </w:r>
            <w:r w:rsidRPr="007D1918">
              <w:rPr>
                <w:snapToGrid w:val="0"/>
                <w:vertAlign w:val="superscript"/>
              </w:rPr>
              <w:t>a</w:t>
            </w:r>
          </w:p>
        </w:tc>
        <w:tc>
          <w:tcPr>
            <w:tcW w:w="1614" w:type="pct"/>
            <w:shd w:val="clear" w:color="auto" w:fill="auto"/>
          </w:tcPr>
          <w:p w14:paraId="113F9FF4" w14:textId="77E003D5" w:rsidR="00D17FA1" w:rsidRPr="007D1918" w:rsidRDefault="00D17FA1" w:rsidP="001B1AD5">
            <w:pPr>
              <w:pStyle w:val="TableText0"/>
              <w:keepLines/>
              <w:rPr>
                <w:snapToGrid w:val="0"/>
              </w:rPr>
            </w:pPr>
            <w:r w:rsidRPr="007D1918">
              <w:rPr>
                <w:snapToGrid w:val="0"/>
              </w:rPr>
              <w:t>4.2 (0.571)</w:t>
            </w:r>
          </w:p>
          <w:p w14:paraId="4B749C14" w14:textId="7C527A8F" w:rsidR="00D17FA1" w:rsidRPr="007D1918" w:rsidRDefault="00D17FA1" w:rsidP="001B1AD5">
            <w:pPr>
              <w:pStyle w:val="TableText0"/>
              <w:keepLines/>
              <w:rPr>
                <w:snapToGrid w:val="0"/>
                <w:vertAlign w:val="superscript"/>
              </w:rPr>
            </w:pPr>
            <w:r w:rsidRPr="007D1918">
              <w:rPr>
                <w:snapToGrid w:val="0"/>
              </w:rPr>
              <w:t>P = 0.009</w:t>
            </w:r>
            <w:r w:rsidRPr="007D1918">
              <w:rPr>
                <w:snapToGrid w:val="0"/>
                <w:vertAlign w:val="superscript"/>
              </w:rPr>
              <w:t>a</w:t>
            </w:r>
          </w:p>
        </w:tc>
      </w:tr>
    </w:tbl>
    <w:p w14:paraId="03C981BE" w14:textId="14FEC9A6" w:rsidR="00DC64B5" w:rsidRPr="007D1918" w:rsidRDefault="00DC64B5" w:rsidP="00AF3B22">
      <w:pPr>
        <w:pStyle w:val="Tablenotes0"/>
        <w:spacing w:after="80"/>
        <w:contextualSpacing w:val="0"/>
      </w:pPr>
      <w:r w:rsidRPr="007D1918">
        <w:t>IVIg = intravenous immunoglobulin therapy; MG = myasthenia gravis; MSS myasthenia severity score; PE = plasma exchange therapy; SD = standard deviation</w:t>
      </w:r>
    </w:p>
    <w:p w14:paraId="0334A82E" w14:textId="7F0591E4" w:rsidR="00A71EF1" w:rsidRPr="007D1918" w:rsidRDefault="00A71EF1" w:rsidP="00B44991">
      <w:pPr>
        <w:pStyle w:val="Tablenotes0"/>
        <w:spacing w:after="0"/>
      </w:pPr>
      <w:r w:rsidRPr="007D1918">
        <w:rPr>
          <w:vertAlign w:val="superscript"/>
        </w:rPr>
        <w:t xml:space="preserve">a </w:t>
      </w:r>
      <w:r w:rsidRPr="007D1918">
        <w:t>Univariate analyses were performed using Epil</w:t>
      </w:r>
      <w:r w:rsidR="00E96FF6" w:rsidRPr="007D1918">
        <w:t xml:space="preserve">nfo 6.6 </w:t>
      </w:r>
    </w:p>
    <w:p w14:paraId="2DC2C570" w14:textId="77777777" w:rsidR="00E96FF6" w:rsidRPr="007D1918" w:rsidRDefault="00E96FF6" w:rsidP="00B44991">
      <w:pPr>
        <w:pStyle w:val="Tabletext1"/>
      </w:pPr>
    </w:p>
    <w:p w14:paraId="01D77CA5" w14:textId="77777777" w:rsidR="006B7DCE" w:rsidRPr="007D1918" w:rsidRDefault="006B7DCE" w:rsidP="006B7DCE">
      <w:pPr>
        <w:pStyle w:val="Heading4"/>
      </w:pPr>
      <w:r w:rsidRPr="007D1918">
        <w:t>Change in Quality of Life</w:t>
      </w:r>
    </w:p>
    <w:p w14:paraId="42D565A3" w14:textId="703ED156" w:rsidR="006B7DCE" w:rsidRPr="007D1918" w:rsidRDefault="00944447" w:rsidP="00B44991">
      <w:r w:rsidRPr="007D1918">
        <w:t>Quality of life was not reported in any of the studies assessing IVIg and PE for MG patients in or at risk of crisis.</w:t>
      </w:r>
    </w:p>
    <w:p w14:paraId="5F4CC4C0" w14:textId="77777777" w:rsidR="006B7DCE" w:rsidRPr="007D1918" w:rsidRDefault="006B7DCE" w:rsidP="00B44991">
      <w:pPr>
        <w:pStyle w:val="Heading4"/>
        <w:spacing w:before="0"/>
      </w:pPr>
      <w:r w:rsidRPr="007D1918">
        <w:t>Rate of remission</w:t>
      </w:r>
    </w:p>
    <w:p w14:paraId="1F24F575" w14:textId="393E44A5" w:rsidR="006B7DCE" w:rsidRPr="007D1918" w:rsidRDefault="00642AD8" w:rsidP="006B7DCE">
      <w:r w:rsidRPr="007D1918">
        <w:t>None of the</w:t>
      </w:r>
      <w:r w:rsidR="006B7DCE" w:rsidRPr="007D1918">
        <w:t xml:space="preserve"> studies</w:t>
      </w:r>
      <w:r w:rsidRPr="007D1918">
        <w:t xml:space="preserve"> comparing IVIg and PE in patients in or at risk of MG crisis reported on the rate of remission.</w:t>
      </w:r>
    </w:p>
    <w:p w14:paraId="7EF12002" w14:textId="4D9822CC" w:rsidR="006B7DCE" w:rsidRPr="007D1918" w:rsidRDefault="006B7DCE" w:rsidP="006B7DCE">
      <w:pPr>
        <w:pStyle w:val="Heading4"/>
      </w:pPr>
      <w:r w:rsidRPr="007D1918">
        <w:t>Disease stability</w:t>
      </w:r>
      <w:r w:rsidR="00210033" w:rsidRPr="007D1918">
        <w:t xml:space="preserve"> for patients receiving IVIg or PE therapy</w:t>
      </w:r>
    </w:p>
    <w:p w14:paraId="774C0BF7" w14:textId="79F64CDE" w:rsidR="001B1AD5" w:rsidRPr="007D1918" w:rsidRDefault="00C46DCF" w:rsidP="00C568A2">
      <w:pPr>
        <w:jc w:val="both"/>
      </w:pPr>
      <w:r w:rsidRPr="007D1918">
        <w:t xml:space="preserve">One </w:t>
      </w:r>
      <w:r w:rsidR="00596F77" w:rsidRPr="007D1918">
        <w:t xml:space="preserve">retrospective cohort </w:t>
      </w:r>
      <w:r w:rsidRPr="007D1918">
        <w:t xml:space="preserve">study </w:t>
      </w:r>
      <w:r w:rsidR="001B7D3C" w:rsidRPr="007D1918">
        <w:t xml:space="preserve">(level III-2) </w:t>
      </w:r>
      <w:r w:rsidRPr="007D1918">
        <w:t xml:space="preserve">reported on </w:t>
      </w:r>
      <w:r w:rsidR="00596F77" w:rsidRPr="007D1918">
        <w:t xml:space="preserve">the time taken for the disease to stabilise, which was described as the median number of days for extubation </w:t>
      </w:r>
      <w:r w:rsidR="0075212A" w:rsidRPr="007D1918">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instrText xml:space="preserve"> ADDIN EN.CITE </w:instrText>
      </w:r>
      <w:r w:rsidR="00C437BA" w:rsidRPr="007D1918">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8" w:tooltip="Murthy, 2005 #38" w:history="1">
        <w:r w:rsidR="007D4948" w:rsidRPr="007D1918">
          <w:rPr>
            <w:noProof/>
          </w:rPr>
          <w:t>Murthy et al. 2005</w:t>
        </w:r>
      </w:hyperlink>
      <w:r w:rsidR="0075212A" w:rsidRPr="007D1918">
        <w:rPr>
          <w:noProof/>
        </w:rPr>
        <w:t>)</w:t>
      </w:r>
      <w:r w:rsidR="0075212A" w:rsidRPr="007D1918">
        <w:fldChar w:fldCharType="end"/>
      </w:r>
      <w:r w:rsidRPr="007D1918">
        <w:t>. The population was made up of patients of the primary author of the study who had been treated in MG crisis either with IVIg or PE</w:t>
      </w:r>
      <w:r w:rsidR="00C568A2" w:rsidRPr="007D1918">
        <w:t xml:space="preserve">. </w:t>
      </w:r>
      <w:r w:rsidR="000F2C00" w:rsidRPr="007D1918">
        <w:t xml:space="preserve">A second </w:t>
      </w:r>
      <w:r w:rsidR="00596F77" w:rsidRPr="007D1918">
        <w:t>retrospective cohort stud</w:t>
      </w:r>
      <w:r w:rsidR="00E96FF6" w:rsidRPr="007D1918">
        <w:t>y</w:t>
      </w:r>
      <w:r w:rsidR="00596F77" w:rsidRPr="007D1918">
        <w:t xml:space="preserve"> </w:t>
      </w:r>
      <w:r w:rsidR="001B7D3C" w:rsidRPr="007D1918">
        <w:t xml:space="preserve">(level III-2) </w:t>
      </w:r>
      <w:r w:rsidR="00596F77" w:rsidRPr="007D1918">
        <w:t>also reported on the duration of intubation</w:t>
      </w:r>
      <w:r w:rsidR="001B1AD5" w:rsidRPr="007D1918">
        <w:t xml:space="preserve"> </w:t>
      </w:r>
      <w:r w:rsidR="0075212A" w:rsidRPr="007D1918">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0075212A" w:rsidRPr="007D1918">
        <w:instrText xml:space="preserve"> ADDIN EN.CITE </w:instrText>
      </w:r>
      <w:r w:rsidR="0075212A" w:rsidRPr="007D1918">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0075212A" w:rsidRPr="007D1918">
        <w:instrText xml:space="preserve"> ADDIN EN.CITE.DATA </w:instrText>
      </w:r>
      <w:r w:rsidR="0075212A" w:rsidRPr="007D1918">
        <w:fldChar w:fldCharType="end"/>
      </w:r>
      <w:r w:rsidR="0075212A" w:rsidRPr="007D1918">
        <w:fldChar w:fldCharType="separate"/>
      </w:r>
      <w:r w:rsidR="0075212A" w:rsidRPr="007D1918">
        <w:rPr>
          <w:noProof/>
        </w:rPr>
        <w:t>(</w:t>
      </w:r>
      <w:hyperlink w:anchor="_ENREF_79" w:tooltip="Pittayanon, 2009 #86" w:history="1">
        <w:r w:rsidR="007D4948" w:rsidRPr="007D1918">
          <w:rPr>
            <w:noProof/>
          </w:rPr>
          <w:t>Pittayanon, Treeprasertsuk &amp; Phanthumchinda 2009</w:t>
        </w:r>
      </w:hyperlink>
      <w:r w:rsidR="0075212A" w:rsidRPr="007D1918">
        <w:rPr>
          <w:noProof/>
        </w:rPr>
        <w:t>)</w:t>
      </w:r>
      <w:r w:rsidR="0075212A" w:rsidRPr="007D1918">
        <w:fldChar w:fldCharType="end"/>
      </w:r>
      <w:r w:rsidR="00596F77" w:rsidRPr="007D1918">
        <w:t>,</w:t>
      </w:r>
      <w:r w:rsidR="000F2C00" w:rsidRPr="007D1918">
        <w:t xml:space="preserve"> with data collected from a hospital’s records</w:t>
      </w:r>
      <w:r w:rsidR="00C568A2" w:rsidRPr="007D1918">
        <w:t xml:space="preserve"> over </w:t>
      </w:r>
      <w:r w:rsidR="00F32053" w:rsidRPr="007D1918">
        <w:t xml:space="preserve">5 </w:t>
      </w:r>
      <w:r w:rsidR="00C568A2" w:rsidRPr="007D1918">
        <w:t>years</w:t>
      </w:r>
      <w:r w:rsidR="00596F77" w:rsidRPr="007D1918">
        <w:t xml:space="preserve">. </w:t>
      </w:r>
      <w:r w:rsidR="004C74F4" w:rsidRPr="007D1918">
        <w:t>I</w:t>
      </w:r>
      <w:r w:rsidR="00426C2F" w:rsidRPr="007D1918">
        <w:t>n</w:t>
      </w:r>
      <w:r w:rsidR="004C74F4" w:rsidRPr="007D1918">
        <w:t xml:space="preserve"> both studies about twice as many patients w</w:t>
      </w:r>
      <w:r w:rsidR="00F84A82" w:rsidRPr="007D1918">
        <w:t>ere given PE as were given IVIg.</w:t>
      </w:r>
      <w:r w:rsidR="004C74F4" w:rsidRPr="007D1918">
        <w:t xml:space="preserve"> </w:t>
      </w:r>
      <w:r w:rsidR="00E96FF6" w:rsidRPr="007D1918">
        <w:t>The reason f</w:t>
      </w:r>
      <w:r w:rsidR="00F84A82" w:rsidRPr="007D1918">
        <w:t>or</w:t>
      </w:r>
      <w:r w:rsidR="00E96FF6" w:rsidRPr="007D1918">
        <w:t xml:space="preserve"> this was not stated, but was possibly because </w:t>
      </w:r>
      <w:r w:rsidR="004C74F4" w:rsidRPr="007D1918">
        <w:t>PE</w:t>
      </w:r>
      <w:r w:rsidR="00F84A82" w:rsidRPr="007D1918">
        <w:t xml:space="preserve"> is cheaper than I</w:t>
      </w:r>
      <w:r w:rsidR="00310E40" w:rsidRPr="007D1918">
        <w:t xml:space="preserve">VIg to supply, or because IVIg </w:t>
      </w:r>
      <w:r w:rsidR="00F84A82" w:rsidRPr="007D1918">
        <w:t>was established as a therapy for MG later than PE</w:t>
      </w:r>
      <w:r w:rsidR="004C74F4" w:rsidRPr="007D1918">
        <w:t xml:space="preserve">. </w:t>
      </w:r>
      <w:r w:rsidR="00F84A82" w:rsidRPr="007D1918">
        <w:t>Another possibility is that clinicians feel that PE is faster acting in critical intubated patients than IVIg</w:t>
      </w:r>
      <w:r w:rsidR="001B7D3C" w:rsidRPr="007D1918">
        <w:t xml:space="preserve"> </w:t>
      </w:r>
      <w:r w:rsidR="0075212A" w:rsidRPr="007D1918">
        <w:fldChar w:fldCharType="begin">
          <w:fldData xml:space="preserve">PEVuZE5vdGU+PENpdGU+PEF1dGhvcj5CYXJ0aDwvQXV0aG9yPjxZZWFyPjIwMTE8L1llYXI+PFJl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eS5jb20vY2VudHJhbC9kb2kvMTAuMTAwMi9jZW50cmFsL0NOLTAwODAwMDg0L2Z1bGw8L3VybD48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</w:fldData>
        </w:fldChar>
      </w:r>
      <w:r w:rsidR="001A0E53" w:rsidRPr="007D1918">
        <w:instrText xml:space="preserve"> ADDIN EN.CITE </w:instrText>
      </w:r>
      <w:r w:rsidR="001A0E53" w:rsidRPr="007D1918">
        <w:fldChar w:fldCharType="begin">
          <w:fldData xml:space="preserve">PEVuZE5vdGU+PENpdGU+PEF1dGhvcj5CYXJ0aDwvQXV0aG9yPjxZZWFyPjIwMTE8L1llYXI+PFJl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</w:fldData>
        </w:fldChar>
      </w:r>
      <w:r w:rsidR="001A0E53" w:rsidRPr="007D1918">
        <w:instrText xml:space="preserve"> ADDIN EN.CITE.DATA </w:instrText>
      </w:r>
      <w:r w:rsidR="001A0E53" w:rsidRPr="007D1918">
        <w:fldChar w:fldCharType="end"/>
      </w:r>
      <w:r w:rsidR="0075212A"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80" w:tooltip="Qureshi, 1999 #40" w:history="1">
        <w:r w:rsidR="007D4948" w:rsidRPr="007D1918">
          <w:rPr>
            <w:noProof/>
          </w:rPr>
          <w:t>Qureshi et al. 1999</w:t>
        </w:r>
      </w:hyperlink>
      <w:r w:rsidR="001A0E53" w:rsidRPr="007D1918">
        <w:rPr>
          <w:noProof/>
        </w:rPr>
        <w:t>)</w:t>
      </w:r>
      <w:r w:rsidR="0075212A" w:rsidRPr="007D1918">
        <w:fldChar w:fldCharType="end"/>
      </w:r>
      <w:r w:rsidR="00F84A82" w:rsidRPr="007D1918">
        <w:t xml:space="preserve">. </w:t>
      </w:r>
      <w:r w:rsidR="000F2C00" w:rsidRPr="007D1918">
        <w:t>The</w:t>
      </w:r>
      <w:r w:rsidR="00596F77" w:rsidRPr="007D1918">
        <w:t xml:space="preserve"> studies were set in India and Thailand, and </w:t>
      </w:r>
      <w:r w:rsidR="001B7D3C" w:rsidRPr="007D1918">
        <w:t>participant</w:t>
      </w:r>
      <w:r w:rsidR="00596F77" w:rsidRPr="007D1918">
        <w:t xml:space="preserve"> </w:t>
      </w:r>
      <w:r w:rsidR="001B1AD5" w:rsidRPr="007D1918">
        <w:t xml:space="preserve">numbers were low </w:t>
      </w:r>
      <w:r w:rsidR="000F2C00" w:rsidRPr="007D1918">
        <w:t>(n = 21</w:t>
      </w:r>
      <w:r w:rsidR="001B1AD5" w:rsidRPr="007D1918">
        <w:t xml:space="preserve"> and 33</w:t>
      </w:r>
      <w:r w:rsidR="000F2C00" w:rsidRPr="007D1918">
        <w:t>)</w:t>
      </w:r>
      <w:r w:rsidR="001B1AD5" w:rsidRPr="007D1918">
        <w:t xml:space="preserve">. </w:t>
      </w:r>
      <w:r w:rsidR="00C568A2" w:rsidRPr="007D1918">
        <w:t>Results were found to be similar between treatment groups (</w:t>
      </w:r>
      <w:r w:rsidR="00C568A2" w:rsidRPr="007D1918">
        <w:fldChar w:fldCharType="begin"/>
      </w:r>
      <w:r w:rsidR="00C568A2" w:rsidRPr="007D1918">
        <w:instrText xml:space="preserve"> REF _Ref8654411 \h  \* MERGEFORMAT </w:instrText>
      </w:r>
      <w:r w:rsidR="00C568A2" w:rsidRPr="007D1918">
        <w:fldChar w:fldCharType="separate"/>
      </w:r>
      <w:r w:rsidR="00153384" w:rsidRPr="007D1918">
        <w:t xml:space="preserve">Table </w:t>
      </w:r>
      <w:r w:rsidR="00153384" w:rsidRPr="007D1918">
        <w:rPr>
          <w:noProof/>
        </w:rPr>
        <w:t>31</w:t>
      </w:r>
      <w:r w:rsidR="00C568A2" w:rsidRPr="007D1918">
        <w:fldChar w:fldCharType="end"/>
      </w:r>
      <w:r w:rsidR="00C568A2" w:rsidRPr="007D1918">
        <w:t>).</w:t>
      </w:r>
    </w:p>
    <w:p w14:paraId="58B98C4A" w14:textId="06AFE426" w:rsidR="001B1AD5" w:rsidRPr="007D1918" w:rsidRDefault="001B1AD5" w:rsidP="001B1AD5">
      <w:pPr>
        <w:pStyle w:val="Caption"/>
        <w:keepNext/>
        <w:keepLines/>
      </w:pPr>
      <w:bookmarkStart w:id="261" w:name="_Ref8654411"/>
      <w:bookmarkStart w:id="262" w:name="_Toc23769518"/>
      <w:r w:rsidRPr="007D1918">
        <w:t xml:space="preserve">Table </w:t>
      </w:r>
      <w:r w:rsidR="007C1C3D" w:rsidRPr="007D1918">
        <w:rPr>
          <w:noProof/>
        </w:rPr>
        <w:fldChar w:fldCharType="begin"/>
      </w:r>
      <w:r w:rsidR="007C1C3D" w:rsidRPr="007D1918">
        <w:rPr>
          <w:noProof/>
        </w:rPr>
        <w:instrText xml:space="preserve"> SEQ Table \* ARABIC </w:instrText>
      </w:r>
      <w:r w:rsidR="007C1C3D" w:rsidRPr="007D1918">
        <w:rPr>
          <w:noProof/>
        </w:rPr>
        <w:fldChar w:fldCharType="separate"/>
      </w:r>
      <w:r w:rsidR="00942701" w:rsidRPr="007D1918">
        <w:rPr>
          <w:noProof/>
        </w:rPr>
        <w:t>31</w:t>
      </w:r>
      <w:r w:rsidR="007C1C3D" w:rsidRPr="007D1918">
        <w:rPr>
          <w:noProof/>
        </w:rPr>
        <w:fldChar w:fldCharType="end"/>
      </w:r>
      <w:bookmarkEnd w:id="261"/>
      <w:r w:rsidRPr="007D1918">
        <w:tab/>
      </w:r>
      <w:r w:rsidR="00C568A2" w:rsidRPr="007D1918">
        <w:t>Disease stability</w:t>
      </w:r>
      <w:r w:rsidRPr="007D1918">
        <w:t xml:space="preserve"> for MG crisis patients treated with IVIg or PE</w:t>
      </w:r>
      <w:bookmarkEnd w:id="262"/>
    </w:p>
    <w:tbl>
      <w:tblPr>
        <w:tblW w:w="4777"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29 Disease stability for MG crisis patients treated with IVIg or PE"/>
        <w:tblDescription w:val="Disease stability measured by the duration of intubation in patients treated wwith IVIg compared to PE (Indication1)."/>
      </w:tblPr>
      <w:tblGrid>
        <w:gridCol w:w="2235"/>
        <w:gridCol w:w="1986"/>
        <w:gridCol w:w="1416"/>
        <w:gridCol w:w="1278"/>
        <w:gridCol w:w="1699"/>
      </w:tblGrid>
      <w:tr w:rsidR="00F84A82" w:rsidRPr="007D1918" w14:paraId="0AEC5BAE" w14:textId="77777777" w:rsidTr="000D2632">
        <w:tc>
          <w:tcPr>
            <w:tcW w:w="1297" w:type="pct"/>
          </w:tcPr>
          <w:p w14:paraId="686A533B" w14:textId="7976E4B4" w:rsidR="00F84A82" w:rsidRPr="007D1918" w:rsidRDefault="00F84A82" w:rsidP="001B1AD5">
            <w:pPr>
              <w:pStyle w:val="TableHeading"/>
              <w:keepLines/>
              <w:rPr>
                <w:snapToGrid w:val="0"/>
                <w:lang w:eastAsia="en-US"/>
              </w:rPr>
            </w:pPr>
            <w:r w:rsidRPr="007D1918">
              <w:rPr>
                <w:snapToGrid w:val="0"/>
                <w:lang w:eastAsia="en-US"/>
              </w:rPr>
              <w:t>Study ID, Country</w:t>
            </w:r>
          </w:p>
          <w:p w14:paraId="6130D29D" w14:textId="290CA961" w:rsidR="00F84A82" w:rsidRPr="007D1918" w:rsidRDefault="00F84A82" w:rsidP="001B1AD5">
            <w:pPr>
              <w:pStyle w:val="TableHeading"/>
              <w:keepLines/>
              <w:rPr>
                <w:snapToGrid w:val="0"/>
                <w:lang w:eastAsia="en-US"/>
              </w:rPr>
            </w:pPr>
            <w:r w:rsidRPr="007D1918">
              <w:rPr>
                <w:snapToGrid w:val="0"/>
                <w:lang w:eastAsia="en-US"/>
              </w:rPr>
              <w:t>Level of evidence</w:t>
            </w:r>
          </w:p>
          <w:p w14:paraId="6147DEC7" w14:textId="63427DDB" w:rsidR="00F84A82" w:rsidRPr="007D1918" w:rsidRDefault="00F84A82" w:rsidP="001B1AD5">
            <w:pPr>
              <w:pStyle w:val="TableHeading"/>
              <w:keepLines/>
              <w:rPr>
                <w:snapToGrid w:val="0"/>
                <w:lang w:eastAsia="en-US"/>
              </w:rPr>
            </w:pPr>
            <w:r w:rsidRPr="007D1918">
              <w:rPr>
                <w:snapToGrid w:val="0"/>
                <w:lang w:eastAsia="en-US"/>
              </w:rPr>
              <w:t>Quality</w:t>
            </w:r>
          </w:p>
        </w:tc>
        <w:tc>
          <w:tcPr>
            <w:tcW w:w="1153" w:type="pct"/>
          </w:tcPr>
          <w:p w14:paraId="0F5A05B2" w14:textId="072581BE" w:rsidR="00F84A82" w:rsidRPr="007D1918" w:rsidRDefault="00F84A82" w:rsidP="001B1AD5">
            <w:pPr>
              <w:pStyle w:val="TableHeading"/>
              <w:keepLines/>
              <w:rPr>
                <w:snapToGrid w:val="0"/>
                <w:lang w:eastAsia="en-US"/>
              </w:rPr>
            </w:pPr>
            <w:r w:rsidRPr="007D1918">
              <w:rPr>
                <w:snapToGrid w:val="0"/>
                <w:lang w:eastAsia="en-US"/>
              </w:rPr>
              <w:t xml:space="preserve">Measure </w:t>
            </w:r>
          </w:p>
          <w:p w14:paraId="45E1DB36" w14:textId="0B9942C0" w:rsidR="00F84A82" w:rsidRPr="007D1918" w:rsidRDefault="00F84A82" w:rsidP="001B1AD5">
            <w:pPr>
              <w:pStyle w:val="TableHeading"/>
              <w:keepLines/>
              <w:rPr>
                <w:snapToGrid w:val="0"/>
                <w:lang w:eastAsia="en-US"/>
              </w:rPr>
            </w:pPr>
            <w:r w:rsidRPr="007D1918">
              <w:rPr>
                <w:snapToGrid w:val="0"/>
                <w:lang w:eastAsia="en-US"/>
              </w:rPr>
              <w:t>N</w:t>
            </w:r>
          </w:p>
        </w:tc>
        <w:tc>
          <w:tcPr>
            <w:tcW w:w="822" w:type="pct"/>
            <w:shd w:val="clear" w:color="auto" w:fill="auto"/>
          </w:tcPr>
          <w:p w14:paraId="1D3A67B7" w14:textId="73E2263D" w:rsidR="00F84A82" w:rsidRPr="007D1918" w:rsidRDefault="00F84A82" w:rsidP="001B1AD5">
            <w:pPr>
              <w:pStyle w:val="TableHeading"/>
              <w:keepLines/>
              <w:rPr>
                <w:snapToGrid w:val="0"/>
                <w:lang w:eastAsia="en-US"/>
              </w:rPr>
            </w:pPr>
            <w:r w:rsidRPr="007D1918">
              <w:rPr>
                <w:snapToGrid w:val="0"/>
                <w:lang w:eastAsia="en-US"/>
              </w:rPr>
              <w:t xml:space="preserve">IVIg </w:t>
            </w:r>
          </w:p>
          <w:p w14:paraId="57D74414" w14:textId="6BD01009" w:rsidR="00F84A82" w:rsidRPr="007D1918" w:rsidRDefault="00F84A82" w:rsidP="000F2C00">
            <w:pPr>
              <w:pStyle w:val="TableHeading"/>
              <w:keepLines/>
              <w:rPr>
                <w:snapToGrid w:val="0"/>
                <w:lang w:eastAsia="en-US"/>
              </w:rPr>
            </w:pPr>
          </w:p>
        </w:tc>
        <w:tc>
          <w:tcPr>
            <w:tcW w:w="742" w:type="pct"/>
            <w:shd w:val="clear" w:color="auto" w:fill="auto"/>
          </w:tcPr>
          <w:p w14:paraId="785BA0A8" w14:textId="77777777" w:rsidR="00F84A82" w:rsidRPr="007D1918" w:rsidRDefault="00F84A82" w:rsidP="001B1AD5">
            <w:pPr>
              <w:pStyle w:val="TableHeading"/>
              <w:keepLines/>
              <w:rPr>
                <w:snapToGrid w:val="0"/>
                <w:lang w:eastAsia="en-US"/>
              </w:rPr>
            </w:pPr>
            <w:r w:rsidRPr="007D1918">
              <w:rPr>
                <w:snapToGrid w:val="0"/>
                <w:lang w:eastAsia="en-US"/>
              </w:rPr>
              <w:t>PE</w:t>
            </w:r>
          </w:p>
          <w:p w14:paraId="28D23B9D" w14:textId="28041A0A" w:rsidR="00F84A82" w:rsidRPr="007D1918" w:rsidRDefault="00F84A82" w:rsidP="000F2C00">
            <w:pPr>
              <w:pStyle w:val="TableHeading"/>
              <w:keepLines/>
              <w:rPr>
                <w:snapToGrid w:val="0"/>
                <w:lang w:eastAsia="en-US"/>
              </w:rPr>
            </w:pPr>
            <w:r w:rsidRPr="007D1918">
              <w:rPr>
                <w:snapToGrid w:val="0"/>
                <w:lang w:eastAsia="en-US"/>
              </w:rPr>
              <w:t xml:space="preserve"> </w:t>
            </w:r>
          </w:p>
        </w:tc>
        <w:tc>
          <w:tcPr>
            <w:tcW w:w="986" w:type="pct"/>
            <w:shd w:val="clear" w:color="auto" w:fill="auto"/>
          </w:tcPr>
          <w:p w14:paraId="32DC3821" w14:textId="77777777" w:rsidR="00F84A82" w:rsidRPr="007D1918" w:rsidRDefault="00F84A82" w:rsidP="001F360D">
            <w:pPr>
              <w:pStyle w:val="TableHeading"/>
              <w:keepLines/>
              <w:rPr>
                <w:snapToGrid w:val="0"/>
                <w:lang w:eastAsia="en-US"/>
              </w:rPr>
            </w:pPr>
            <w:r w:rsidRPr="007D1918">
              <w:rPr>
                <w:snapToGrid w:val="0"/>
                <w:lang w:eastAsia="en-US"/>
              </w:rPr>
              <w:t xml:space="preserve">Mean difference </w:t>
            </w:r>
          </w:p>
          <w:p w14:paraId="096C31A2" w14:textId="77777777" w:rsidR="00F84A82" w:rsidRPr="007D1918" w:rsidRDefault="00F84A82" w:rsidP="00000B93">
            <w:pPr>
              <w:pStyle w:val="TableHeading"/>
              <w:keepLines/>
              <w:rPr>
                <w:snapToGrid w:val="0"/>
                <w:lang w:eastAsia="en-US"/>
              </w:rPr>
            </w:pPr>
            <w:r w:rsidRPr="007D1918">
              <w:rPr>
                <w:snapToGrid w:val="0"/>
                <w:lang w:eastAsia="en-US"/>
              </w:rPr>
              <w:t>Days ± SD</w:t>
            </w:r>
          </w:p>
          <w:p w14:paraId="2445B9FF" w14:textId="16B8BF50" w:rsidR="00F84A82" w:rsidRPr="007D1918" w:rsidRDefault="00F84A82" w:rsidP="00000B93">
            <w:pPr>
              <w:pStyle w:val="TableHeading"/>
              <w:keepLines/>
              <w:rPr>
                <w:snapToGrid w:val="0"/>
                <w:lang w:eastAsia="en-US"/>
              </w:rPr>
            </w:pPr>
            <w:r w:rsidRPr="007D1918">
              <w:rPr>
                <w:snapToGrid w:val="0"/>
                <w:lang w:eastAsia="en-US"/>
              </w:rPr>
              <w:t>(95% CI), p</w:t>
            </w:r>
          </w:p>
        </w:tc>
      </w:tr>
      <w:tr w:rsidR="00F84A82" w:rsidRPr="007D1918" w14:paraId="40416355" w14:textId="77777777" w:rsidTr="000D2632">
        <w:tc>
          <w:tcPr>
            <w:tcW w:w="1297" w:type="pct"/>
          </w:tcPr>
          <w:p w14:paraId="08E31410" w14:textId="1932EBBE" w:rsidR="00F84A82" w:rsidRPr="007D1918" w:rsidRDefault="0075212A" w:rsidP="001B1AD5">
            <w:pPr>
              <w:pStyle w:val="TableText0"/>
              <w:keepLines/>
              <w:rPr>
                <w:snapToGrid w:val="0"/>
              </w:rPr>
            </w:pPr>
            <w:r w:rsidRPr="007D1918">
              <w:rPr>
                <w:snapToGrid w:val="0"/>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68" w:tooltip="Murthy, 2005 #38" w:history="1">
              <w:r w:rsidR="007D4948" w:rsidRPr="007D1918">
                <w:rPr>
                  <w:noProof/>
                  <w:snapToGrid w:val="0"/>
                </w:rPr>
                <w:t>Murthy et al. 2005</w:t>
              </w:r>
            </w:hyperlink>
            <w:r w:rsidRPr="007D1918">
              <w:rPr>
                <w:noProof/>
                <w:snapToGrid w:val="0"/>
              </w:rPr>
              <w:t>)</w:t>
            </w:r>
            <w:r w:rsidRPr="007D1918">
              <w:rPr>
                <w:snapToGrid w:val="0"/>
              </w:rPr>
              <w:fldChar w:fldCharType="end"/>
            </w:r>
            <w:r w:rsidR="00F84A82" w:rsidRPr="007D1918">
              <w:rPr>
                <w:snapToGrid w:val="0"/>
              </w:rPr>
              <w:t>, India</w:t>
            </w:r>
          </w:p>
          <w:p w14:paraId="21A6B509" w14:textId="137BCF52" w:rsidR="00F84A82" w:rsidRPr="007D1918" w:rsidRDefault="00F84A82" w:rsidP="001B1AD5">
            <w:pPr>
              <w:pStyle w:val="TableText0"/>
              <w:keepLines/>
              <w:rPr>
                <w:snapToGrid w:val="0"/>
              </w:rPr>
            </w:pPr>
            <w:r w:rsidRPr="007D1918">
              <w:rPr>
                <w:snapToGrid w:val="0"/>
              </w:rPr>
              <w:t>Level III-2</w:t>
            </w:r>
          </w:p>
          <w:p w14:paraId="2885CFC5" w14:textId="0A856F59" w:rsidR="00F84A82" w:rsidRPr="007D1918" w:rsidRDefault="00F84A82" w:rsidP="001B1AD5">
            <w:pPr>
              <w:pStyle w:val="TableText0"/>
              <w:keepLines/>
              <w:rPr>
                <w:snapToGrid w:val="0"/>
              </w:rPr>
            </w:pPr>
            <w:r w:rsidRPr="007D1918">
              <w:rPr>
                <w:snapToGrid w:val="0"/>
              </w:rPr>
              <w:t>High risk of bias</w:t>
            </w:r>
          </w:p>
        </w:tc>
        <w:tc>
          <w:tcPr>
            <w:tcW w:w="1153" w:type="pct"/>
          </w:tcPr>
          <w:p w14:paraId="2B7E168A" w14:textId="77777777" w:rsidR="00F84A82" w:rsidRPr="007D1918" w:rsidRDefault="00F84A82" w:rsidP="001B1AD5">
            <w:pPr>
              <w:pStyle w:val="TableText0"/>
              <w:keepLines/>
              <w:rPr>
                <w:snapToGrid w:val="0"/>
              </w:rPr>
            </w:pPr>
            <w:r w:rsidRPr="007D1918">
              <w:rPr>
                <w:snapToGrid w:val="0"/>
              </w:rPr>
              <w:t>Median days for extubation (range)</w:t>
            </w:r>
          </w:p>
          <w:p w14:paraId="0D95706C" w14:textId="0B878BAE" w:rsidR="00F84A82" w:rsidRPr="007D1918" w:rsidRDefault="00F84A82" w:rsidP="001B1AD5">
            <w:pPr>
              <w:pStyle w:val="TableText0"/>
              <w:keepLines/>
              <w:rPr>
                <w:snapToGrid w:val="0"/>
              </w:rPr>
            </w:pPr>
            <w:r w:rsidRPr="007D1918">
              <w:rPr>
                <w:snapToGrid w:val="0"/>
              </w:rPr>
              <w:t xml:space="preserve">N = 21 </w:t>
            </w:r>
          </w:p>
        </w:tc>
        <w:tc>
          <w:tcPr>
            <w:tcW w:w="822" w:type="pct"/>
            <w:shd w:val="clear" w:color="auto" w:fill="auto"/>
          </w:tcPr>
          <w:p w14:paraId="30807CD4" w14:textId="1A5704FF" w:rsidR="00F84A82" w:rsidRPr="007D1918" w:rsidRDefault="00F84A82" w:rsidP="000F2C00">
            <w:pPr>
              <w:pStyle w:val="TableText0"/>
              <w:keepLines/>
              <w:rPr>
                <w:snapToGrid w:val="0"/>
              </w:rPr>
            </w:pPr>
            <w:r w:rsidRPr="007D1918">
              <w:rPr>
                <w:snapToGrid w:val="0"/>
              </w:rPr>
              <w:t>10 (7-39)</w:t>
            </w:r>
          </w:p>
        </w:tc>
        <w:tc>
          <w:tcPr>
            <w:tcW w:w="742" w:type="pct"/>
            <w:shd w:val="clear" w:color="auto" w:fill="auto"/>
          </w:tcPr>
          <w:p w14:paraId="4C4196B3" w14:textId="1F60EFE6" w:rsidR="00F84A82" w:rsidRPr="007D1918" w:rsidRDefault="00F84A82" w:rsidP="000F2C00">
            <w:pPr>
              <w:pStyle w:val="TableText0"/>
              <w:keepLines/>
              <w:rPr>
                <w:snapToGrid w:val="0"/>
              </w:rPr>
            </w:pPr>
            <w:r w:rsidRPr="007D1918">
              <w:rPr>
                <w:snapToGrid w:val="0"/>
              </w:rPr>
              <w:t>8 (7-12)</w:t>
            </w:r>
          </w:p>
        </w:tc>
        <w:tc>
          <w:tcPr>
            <w:tcW w:w="986" w:type="pct"/>
            <w:shd w:val="clear" w:color="auto" w:fill="auto"/>
          </w:tcPr>
          <w:p w14:paraId="0B3F2806" w14:textId="11F8A737" w:rsidR="00F84A82" w:rsidRPr="007D1918" w:rsidRDefault="00F84A82" w:rsidP="001B1AD5">
            <w:pPr>
              <w:pStyle w:val="TableText0"/>
              <w:keepLines/>
              <w:rPr>
                <w:snapToGrid w:val="0"/>
              </w:rPr>
            </w:pPr>
            <w:r w:rsidRPr="007D1918">
              <w:rPr>
                <w:snapToGrid w:val="0"/>
              </w:rPr>
              <w:t>NA</w:t>
            </w:r>
          </w:p>
        </w:tc>
      </w:tr>
      <w:tr w:rsidR="00F84A82" w:rsidRPr="007D1918" w14:paraId="7FDC3204" w14:textId="77777777" w:rsidTr="000D2632">
        <w:tc>
          <w:tcPr>
            <w:tcW w:w="1297" w:type="pct"/>
          </w:tcPr>
          <w:p w14:paraId="3C0D7263" w14:textId="445BCD0D" w:rsidR="00F84A82" w:rsidRPr="007D1918" w:rsidRDefault="0075212A" w:rsidP="001B1AD5">
            <w:pPr>
              <w:pStyle w:val="TableText0"/>
              <w:keepLines/>
              <w:rPr>
                <w:snapToGrid w:val="0"/>
              </w:rPr>
            </w:pPr>
            <w:r w:rsidRPr="007D1918">
              <w:rPr>
                <w:snapToGrid w:val="0"/>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snapToGrid w:val="0"/>
              </w:rPr>
              <w:instrText xml:space="preserve"> ADDIN EN.CITE </w:instrText>
            </w:r>
            <w:r w:rsidRPr="007D1918">
              <w:rPr>
                <w:snapToGrid w:val="0"/>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snapToGrid w:val="0"/>
              </w:rPr>
              <w:instrText xml:space="preserve"> ADDIN EN.CITE.DATA </w:instrText>
            </w:r>
            <w:r w:rsidRPr="007D1918">
              <w:rPr>
                <w:snapToGrid w:val="0"/>
              </w:rPr>
            </w:r>
            <w:r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79" w:tooltip="Pittayanon, 2009 #86" w:history="1">
              <w:r w:rsidR="007D4948" w:rsidRPr="007D1918">
                <w:rPr>
                  <w:noProof/>
                  <w:snapToGrid w:val="0"/>
                </w:rPr>
                <w:t>Pittayanon, Treeprasertsuk &amp; Phanthumchinda 2009</w:t>
              </w:r>
            </w:hyperlink>
            <w:r w:rsidRPr="007D1918">
              <w:rPr>
                <w:noProof/>
                <w:snapToGrid w:val="0"/>
              </w:rPr>
              <w:t>)</w:t>
            </w:r>
            <w:r w:rsidRPr="007D1918">
              <w:rPr>
                <w:snapToGrid w:val="0"/>
              </w:rPr>
              <w:fldChar w:fldCharType="end"/>
            </w:r>
            <w:r w:rsidR="00F84A82" w:rsidRPr="007D1918">
              <w:rPr>
                <w:snapToGrid w:val="0"/>
              </w:rPr>
              <w:t>, Thailand</w:t>
            </w:r>
          </w:p>
          <w:p w14:paraId="07D56C41" w14:textId="0FCD4759" w:rsidR="00F84A82" w:rsidRPr="007D1918" w:rsidRDefault="00F84A82" w:rsidP="001B1AD5">
            <w:pPr>
              <w:pStyle w:val="TableText0"/>
              <w:keepLines/>
              <w:rPr>
                <w:snapToGrid w:val="0"/>
              </w:rPr>
            </w:pPr>
            <w:r w:rsidRPr="007D1918">
              <w:rPr>
                <w:snapToGrid w:val="0"/>
              </w:rPr>
              <w:t>Level III-2</w:t>
            </w:r>
          </w:p>
          <w:p w14:paraId="351A308A" w14:textId="327F5EEA" w:rsidR="00F84A82" w:rsidRPr="007D1918" w:rsidRDefault="00F84A82" w:rsidP="001B1AD5">
            <w:pPr>
              <w:pStyle w:val="TableText0"/>
              <w:keepLines/>
              <w:rPr>
                <w:snapToGrid w:val="0"/>
              </w:rPr>
            </w:pPr>
            <w:r w:rsidRPr="007D1918">
              <w:rPr>
                <w:snapToGrid w:val="0"/>
              </w:rPr>
              <w:t>Moderate to high risk of bias</w:t>
            </w:r>
          </w:p>
        </w:tc>
        <w:tc>
          <w:tcPr>
            <w:tcW w:w="1153" w:type="pct"/>
          </w:tcPr>
          <w:p w14:paraId="1A4DD487" w14:textId="67509CCD" w:rsidR="00F84A82" w:rsidRPr="007D1918" w:rsidRDefault="00F84A82" w:rsidP="001B1AD5">
            <w:pPr>
              <w:pStyle w:val="TableText0"/>
              <w:keepLines/>
            </w:pPr>
            <w:r w:rsidRPr="007D1918">
              <w:t>Mean duration of intubation (days ± SD)</w:t>
            </w:r>
          </w:p>
          <w:p w14:paraId="1AE0D96A" w14:textId="65ABEAC2" w:rsidR="00F84A82" w:rsidRPr="007D1918" w:rsidRDefault="00F84A82" w:rsidP="001B1AD5">
            <w:pPr>
              <w:pStyle w:val="TableText0"/>
              <w:keepLines/>
              <w:rPr>
                <w:snapToGrid w:val="0"/>
              </w:rPr>
            </w:pPr>
            <w:r w:rsidRPr="007D1918">
              <w:t>N = 33</w:t>
            </w:r>
          </w:p>
        </w:tc>
        <w:tc>
          <w:tcPr>
            <w:tcW w:w="822" w:type="pct"/>
            <w:shd w:val="clear" w:color="auto" w:fill="auto"/>
          </w:tcPr>
          <w:p w14:paraId="43480CB9" w14:textId="5F5D73A7" w:rsidR="00F84A82" w:rsidRPr="007D1918" w:rsidRDefault="00F84A82" w:rsidP="000F2C00">
            <w:pPr>
              <w:pStyle w:val="TableText0"/>
              <w:keepLines/>
              <w:rPr>
                <w:snapToGrid w:val="0"/>
              </w:rPr>
            </w:pPr>
            <w:r w:rsidRPr="007D1918">
              <w:rPr>
                <w:snapToGrid w:val="0"/>
              </w:rPr>
              <w:t>10.3 ± 4.6</w:t>
            </w:r>
          </w:p>
        </w:tc>
        <w:tc>
          <w:tcPr>
            <w:tcW w:w="742" w:type="pct"/>
            <w:shd w:val="clear" w:color="auto" w:fill="auto"/>
          </w:tcPr>
          <w:p w14:paraId="744850D8" w14:textId="7F391136" w:rsidR="00F84A82" w:rsidRPr="007D1918" w:rsidRDefault="00F84A82" w:rsidP="000F2C00">
            <w:pPr>
              <w:pStyle w:val="TableText0"/>
              <w:keepLines/>
              <w:rPr>
                <w:snapToGrid w:val="0"/>
              </w:rPr>
            </w:pPr>
            <w:r w:rsidRPr="007D1918">
              <w:rPr>
                <w:snapToGrid w:val="0"/>
              </w:rPr>
              <w:t>12 ± 11.1</w:t>
            </w:r>
          </w:p>
        </w:tc>
        <w:tc>
          <w:tcPr>
            <w:tcW w:w="986" w:type="pct"/>
            <w:shd w:val="clear" w:color="auto" w:fill="auto"/>
          </w:tcPr>
          <w:p w14:paraId="252836C8" w14:textId="77777777" w:rsidR="00F84A82" w:rsidRPr="007D1918" w:rsidRDefault="00F84A82" w:rsidP="00F84A82">
            <w:pPr>
              <w:pStyle w:val="TableText0"/>
              <w:keepLines/>
              <w:rPr>
                <w:snapToGrid w:val="0"/>
              </w:rPr>
            </w:pPr>
            <w:r w:rsidRPr="007D1918">
              <w:rPr>
                <w:snapToGrid w:val="0"/>
              </w:rPr>
              <w:t>1.7 ± 3.86</w:t>
            </w:r>
          </w:p>
          <w:p w14:paraId="11E7C73E" w14:textId="69CEF3E2" w:rsidR="00F84A82" w:rsidRPr="007D1918" w:rsidRDefault="00F84A82" w:rsidP="00F84A82">
            <w:pPr>
              <w:pStyle w:val="TableText0"/>
              <w:keepLines/>
              <w:rPr>
                <w:snapToGrid w:val="0"/>
              </w:rPr>
            </w:pPr>
            <w:r w:rsidRPr="007D1918">
              <w:rPr>
                <w:snapToGrid w:val="0"/>
              </w:rPr>
              <w:t>(-6.21, 9.61)</w:t>
            </w:r>
          </w:p>
          <w:p w14:paraId="15525832" w14:textId="120563AB" w:rsidR="00F84A82" w:rsidRPr="007D1918" w:rsidRDefault="00F84A82" w:rsidP="00F84A82">
            <w:pPr>
              <w:pStyle w:val="TableText0"/>
              <w:keepLines/>
              <w:rPr>
                <w:snapToGrid w:val="0"/>
                <w:vertAlign w:val="superscript"/>
              </w:rPr>
            </w:pPr>
            <w:r w:rsidRPr="007D1918">
              <w:rPr>
                <w:snapToGrid w:val="0"/>
              </w:rPr>
              <w:t>P = 0.66</w:t>
            </w:r>
            <w:r w:rsidR="000D2632" w:rsidRPr="007D1918">
              <w:rPr>
                <w:snapToGrid w:val="0"/>
                <w:vertAlign w:val="superscript"/>
              </w:rPr>
              <w:t>a</w:t>
            </w:r>
          </w:p>
        </w:tc>
      </w:tr>
    </w:tbl>
    <w:p w14:paraId="3D77CAA0" w14:textId="34A7D1CB" w:rsidR="001B1AD5" w:rsidRPr="007D1918" w:rsidRDefault="001B1AD5" w:rsidP="000240E5">
      <w:pPr>
        <w:pStyle w:val="Tablenotes0"/>
        <w:spacing w:after="80"/>
        <w:contextualSpacing w:val="0"/>
      </w:pPr>
      <w:r w:rsidRPr="007D1918">
        <w:t xml:space="preserve">IVIg = intravenous immunoglobulin therapy; MG = myasthenia gravis; MSS myasthenia severity score; </w:t>
      </w:r>
      <w:r w:rsidR="00000B93" w:rsidRPr="007D1918">
        <w:t xml:space="preserve">NA = not applicable; </w:t>
      </w:r>
      <w:r w:rsidRPr="007D1918">
        <w:t>PE = plasma exchange therapy; SD = standard deviation</w:t>
      </w:r>
    </w:p>
    <w:p w14:paraId="0CE9A37D" w14:textId="78B505D2" w:rsidR="00B869A8" w:rsidRPr="007D1918" w:rsidRDefault="000D2632" w:rsidP="005A2FC5">
      <w:pPr>
        <w:pStyle w:val="Tablenotes0"/>
        <w:spacing w:after="0"/>
      </w:pPr>
      <w:r w:rsidRPr="007D1918">
        <w:rPr>
          <w:vertAlign w:val="superscript"/>
        </w:rPr>
        <w:t>a</w:t>
      </w:r>
      <w:r w:rsidRPr="007D1918">
        <w:t xml:space="preserve"> Comparison of means test, MedCalc online calculator</w:t>
      </w:r>
    </w:p>
    <w:p w14:paraId="71941F5C" w14:textId="77777777" w:rsidR="008F629D" w:rsidRPr="007D1918" w:rsidRDefault="008F629D" w:rsidP="005A2FC5">
      <w:pPr>
        <w:pStyle w:val="Tabletext1"/>
      </w:pPr>
    </w:p>
    <w:p w14:paraId="5A83FF23" w14:textId="607BC6B2" w:rsidR="008F629D" w:rsidRPr="007D1918" w:rsidRDefault="008F629D" w:rsidP="008F629D">
      <w:pPr>
        <w:pStyle w:val="Heading4"/>
      </w:pPr>
      <w:r w:rsidRPr="007D1918">
        <w:lastRenderedPageBreak/>
        <w:t>Time to treatment response</w:t>
      </w:r>
      <w:r w:rsidR="00210033" w:rsidRPr="007D1918">
        <w:t xml:space="preserve"> for patients receiving IVIg or PE therapy</w:t>
      </w:r>
    </w:p>
    <w:p w14:paraId="78E310C2" w14:textId="70B11B98" w:rsidR="006B7DCE" w:rsidRPr="007D1918" w:rsidRDefault="00827FB0" w:rsidP="008F629D">
      <w:pPr>
        <w:jc w:val="both"/>
      </w:pPr>
      <w:r w:rsidRPr="007D1918">
        <w:t xml:space="preserve">Gajdos et al </w:t>
      </w:r>
      <w:r w:rsidR="003736AC"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7D4948" w:rsidRPr="007D1918">
        <w:instrText xml:space="preserve"> ADDIN EN.CITE </w:instrText>
      </w:r>
      <w:r w:rsidR="007D4948"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28" w:tooltip="Gajdos, 1997 #45" w:history="1">
        <w:r w:rsidR="007D4948" w:rsidRPr="007D1918">
          <w:rPr>
            <w:noProof/>
          </w:rPr>
          <w:t>Gajdos et al. 1997</w:t>
        </w:r>
      </w:hyperlink>
      <w:r w:rsidR="007D4948" w:rsidRPr="007D1918">
        <w:rPr>
          <w:noProof/>
        </w:rPr>
        <w:t>)</w:t>
      </w:r>
      <w:r w:rsidR="003736AC" w:rsidRPr="007D1918">
        <w:fldChar w:fldCharType="end"/>
      </w:r>
      <w:r w:rsidR="00B869A8" w:rsidRPr="007D1918">
        <w:t xml:space="preserve"> reported the estimated time to treatment response</w:t>
      </w:r>
      <w:r w:rsidR="001B7D3C" w:rsidRPr="007D1918">
        <w:t xml:space="preserve"> in their RCT</w:t>
      </w:r>
      <w:r w:rsidR="00B869A8" w:rsidRPr="007D1918">
        <w:t xml:space="preserve">, where </w:t>
      </w:r>
      <w:r w:rsidR="00310E40" w:rsidRPr="007D1918">
        <w:t>t</w:t>
      </w:r>
      <w:r w:rsidR="00B869A8" w:rsidRPr="007D1918">
        <w:t>reatment response was d</w:t>
      </w:r>
      <w:r w:rsidR="00310E40" w:rsidRPr="007D1918">
        <w:t>efined as a 20 point gain in MMS</w:t>
      </w:r>
      <w:r w:rsidR="00B869A8" w:rsidRPr="007D1918">
        <w:t>. I</w:t>
      </w:r>
      <w:r w:rsidR="00E55DE9" w:rsidRPr="007D1918">
        <w:t>n</w:t>
      </w:r>
      <w:r w:rsidR="00B869A8" w:rsidRPr="007D1918">
        <w:t xml:space="preserve"> the study, treatment response was recorded for the first 15 days following treatment for randomised IVIg and PE groups. </w:t>
      </w:r>
      <w:r w:rsidR="00E91AA5" w:rsidRPr="007D1918">
        <w:t>Of the 87 patien</w:t>
      </w:r>
      <w:r w:rsidR="00B869A8" w:rsidRPr="007D1918">
        <w:t>ts randomised, treatment response</w:t>
      </w:r>
      <w:r w:rsidR="00310E40" w:rsidRPr="007D1918">
        <w:t xml:space="preserve"> was</w:t>
      </w:r>
      <w:r w:rsidR="00B869A8" w:rsidRPr="007D1918">
        <w:t xml:space="preserve"> observed in 48 (55%) at the 15 day follow-up.</w:t>
      </w:r>
      <w:r w:rsidR="00E91AA5" w:rsidRPr="007D1918">
        <w:t xml:space="preserve"> </w:t>
      </w:r>
      <w:r w:rsidR="00310E40" w:rsidRPr="007D1918">
        <w:t>Responders and m</w:t>
      </w:r>
      <w:r w:rsidR="00E91AA5" w:rsidRPr="007D1918">
        <w:t>edian response times per treatment group are shown in</w:t>
      </w:r>
      <w:r w:rsidR="00E55DE9" w:rsidRPr="007D1918">
        <w:t xml:space="preserve"> </w:t>
      </w:r>
      <w:r w:rsidR="00E55DE9" w:rsidRPr="007D1918">
        <w:fldChar w:fldCharType="begin"/>
      </w:r>
      <w:r w:rsidR="00E55DE9" w:rsidRPr="007D1918">
        <w:instrText xml:space="preserve"> REF _Ref8657840 \h </w:instrText>
      </w:r>
      <w:r w:rsidR="008F629D" w:rsidRPr="007D1918">
        <w:instrText xml:space="preserve"> \* MERGEFORMAT </w:instrText>
      </w:r>
      <w:r w:rsidR="00E55DE9" w:rsidRPr="007D1918">
        <w:fldChar w:fldCharType="separate"/>
      </w:r>
      <w:r w:rsidR="007C33AD" w:rsidRPr="007D1918">
        <w:t xml:space="preserve">Table </w:t>
      </w:r>
      <w:r w:rsidR="007C33AD" w:rsidRPr="007D1918">
        <w:rPr>
          <w:noProof/>
        </w:rPr>
        <w:t>32</w:t>
      </w:r>
      <w:r w:rsidR="00E55DE9" w:rsidRPr="007D1918">
        <w:fldChar w:fldCharType="end"/>
      </w:r>
      <w:r w:rsidR="001B7D3C" w:rsidRPr="007D1918">
        <w:t>.</w:t>
      </w:r>
      <w:r w:rsidR="00E91AA5" w:rsidRPr="007D1918">
        <w:t xml:space="preserve"> </w:t>
      </w:r>
      <w:r w:rsidR="001B7D3C" w:rsidRPr="007D1918">
        <w:t>A</w:t>
      </w:r>
      <w:r w:rsidR="00E55DE9" w:rsidRPr="007D1918">
        <w:t xml:space="preserve">lthough both outcomes favoured PE, </w:t>
      </w:r>
      <w:r w:rsidR="00E91AA5" w:rsidRPr="007D1918">
        <w:t>there was no statistical</w:t>
      </w:r>
      <w:r w:rsidR="001B7D3C" w:rsidRPr="007D1918">
        <w:t>ly significant</w:t>
      </w:r>
      <w:r w:rsidR="00E91AA5" w:rsidRPr="007D1918">
        <w:t xml:space="preserve"> difference between patients treated with IVIg and PE.</w:t>
      </w:r>
    </w:p>
    <w:p w14:paraId="5B12F746" w14:textId="13E45497" w:rsidR="00E55DE9" w:rsidRPr="007D1918" w:rsidRDefault="00E55DE9" w:rsidP="008F629D">
      <w:pPr>
        <w:jc w:val="both"/>
      </w:pPr>
      <w:r w:rsidRPr="007D1918">
        <w:t>In a dose comp</w:t>
      </w:r>
      <w:r w:rsidR="00827FB0" w:rsidRPr="007D1918">
        <w:t xml:space="preserve">arison assessment Gajdos et al </w:t>
      </w:r>
      <w:r w:rsidR="00F91F48"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7D4948" w:rsidRPr="007D1918">
        <w:instrText xml:space="preserve"> ADDIN EN.CITE </w:instrText>
      </w:r>
      <w:r w:rsidR="007D4948" w:rsidRPr="007D1918">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7D4948" w:rsidRPr="007D1918">
        <w:instrText xml:space="preserve"> ADDIN EN.CITE.DATA </w:instrText>
      </w:r>
      <w:r w:rsidR="007D4948" w:rsidRPr="007D1918">
        <w:fldChar w:fldCharType="end"/>
      </w:r>
      <w:r w:rsidR="00F91F48" w:rsidRPr="007D1918">
        <w:fldChar w:fldCharType="separate"/>
      </w:r>
      <w:r w:rsidR="007D4948" w:rsidRPr="007D1918">
        <w:rPr>
          <w:noProof/>
        </w:rPr>
        <w:t>(</w:t>
      </w:r>
      <w:hyperlink w:anchor="_ENREF_35" w:tooltip="Gajdos, 2005 #14" w:history="1">
        <w:r w:rsidR="007D4948" w:rsidRPr="007D1918">
          <w:rPr>
            <w:noProof/>
          </w:rPr>
          <w:t>Gajdos et al. 2005</w:t>
        </w:r>
      </w:hyperlink>
      <w:r w:rsidR="007D4948" w:rsidRPr="007D1918">
        <w:rPr>
          <w:noProof/>
        </w:rPr>
        <w:t>)</w:t>
      </w:r>
      <w:r w:rsidR="00F91F48" w:rsidRPr="007D1918">
        <w:fldChar w:fldCharType="end"/>
      </w:r>
      <w:r w:rsidRPr="007D1918">
        <w:t xml:space="preserve"> also reported treatment response</w:t>
      </w:r>
      <w:r w:rsidR="00CE537E" w:rsidRPr="007D1918">
        <w:t xml:space="preserve">, defined as in </w:t>
      </w:r>
      <w:r w:rsidRPr="007D1918">
        <w:t>Gajdos et al (1997). Individual group data were not stated, but the authors found that there was no evidence of a time x treatment interaction for treatment response rates (p = 0.36).</w:t>
      </w:r>
    </w:p>
    <w:p w14:paraId="7619EB1D" w14:textId="7D3DD415" w:rsidR="00E91AA5" w:rsidRPr="007D1918" w:rsidRDefault="00E91AA5" w:rsidP="00E91AA5">
      <w:pPr>
        <w:pStyle w:val="Caption"/>
        <w:keepNext/>
        <w:keepLines/>
        <w:rPr>
          <w:vertAlign w:val="superscript"/>
        </w:rPr>
      </w:pPr>
      <w:bookmarkStart w:id="263" w:name="_Ref8657840"/>
      <w:bookmarkStart w:id="264" w:name="_Toc23769519"/>
      <w:r w:rsidRPr="007D1918">
        <w:t xml:space="preserve">Table </w:t>
      </w:r>
      <w:r w:rsidR="0048203E" w:rsidRPr="007D1918">
        <w:rPr>
          <w:noProof/>
        </w:rPr>
        <w:fldChar w:fldCharType="begin"/>
      </w:r>
      <w:r w:rsidR="0048203E" w:rsidRPr="007D1918">
        <w:rPr>
          <w:noProof/>
        </w:rPr>
        <w:instrText xml:space="preserve"> SEQ Table \* ARABIC </w:instrText>
      </w:r>
      <w:r w:rsidR="0048203E" w:rsidRPr="007D1918">
        <w:rPr>
          <w:noProof/>
        </w:rPr>
        <w:fldChar w:fldCharType="separate"/>
      </w:r>
      <w:r w:rsidR="007C33AD" w:rsidRPr="007D1918">
        <w:rPr>
          <w:noProof/>
        </w:rPr>
        <w:t>32</w:t>
      </w:r>
      <w:r w:rsidR="0048203E" w:rsidRPr="007D1918">
        <w:rPr>
          <w:noProof/>
        </w:rPr>
        <w:fldChar w:fldCharType="end"/>
      </w:r>
      <w:bookmarkEnd w:id="263"/>
      <w:r w:rsidRPr="007D1918">
        <w:tab/>
        <w:t>Treatment response for MG crisis patients treated with IVIg or PE</w:t>
      </w:r>
      <w:r w:rsidR="008F629D" w:rsidRPr="007D1918">
        <w:t xml:space="preserve"> </w:t>
      </w:r>
      <w:r w:rsidR="0075212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8" w:tooltip="Gajdos, 1997 #45" w:history="1">
        <w:r w:rsidR="007D4948" w:rsidRPr="007D1918">
          <w:rPr>
            <w:noProof/>
          </w:rPr>
          <w:t>Gajdos et al. 1997</w:t>
        </w:r>
      </w:hyperlink>
      <w:r w:rsidR="0075212A" w:rsidRPr="007D1918">
        <w:rPr>
          <w:noProof/>
        </w:rPr>
        <w:t>)</w:t>
      </w:r>
      <w:bookmarkEnd w:id="264"/>
      <w:r w:rsidR="0075212A" w:rsidRPr="007D1918">
        <w:fldChar w:fldCharType="end"/>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0 Treatment response for MG crisis patients treated with IVIg or PE (Gajdos et al. 1997)"/>
        <w:tblDescription w:val="Treatment response measured by 20 point gain in MMS or time to response in MG patients treated with IVIg comparred to PE (Indication 1)."/>
      </w:tblPr>
      <w:tblGrid>
        <w:gridCol w:w="3227"/>
        <w:gridCol w:w="1275"/>
        <w:gridCol w:w="1277"/>
        <w:gridCol w:w="3237"/>
      </w:tblGrid>
      <w:tr w:rsidR="008F629D" w:rsidRPr="007D1918" w14:paraId="3487B63B" w14:textId="77777777" w:rsidTr="002E665A">
        <w:tc>
          <w:tcPr>
            <w:tcW w:w="1790" w:type="pct"/>
          </w:tcPr>
          <w:p w14:paraId="1D44DC0F" w14:textId="0E07A1A8" w:rsidR="008F629D" w:rsidRPr="007D1918" w:rsidRDefault="008F629D" w:rsidP="002E665A">
            <w:pPr>
              <w:pStyle w:val="TableHeading"/>
              <w:keepLines/>
              <w:rPr>
                <w:snapToGrid w:val="0"/>
                <w:lang w:eastAsia="en-US"/>
              </w:rPr>
            </w:pPr>
            <w:r w:rsidRPr="007D1918">
              <w:rPr>
                <w:snapToGrid w:val="0"/>
                <w:lang w:eastAsia="en-US"/>
              </w:rPr>
              <w:t>Measure</w:t>
            </w:r>
          </w:p>
        </w:tc>
        <w:tc>
          <w:tcPr>
            <w:tcW w:w="707" w:type="pct"/>
            <w:shd w:val="clear" w:color="auto" w:fill="auto"/>
          </w:tcPr>
          <w:p w14:paraId="22E5848B" w14:textId="77777777" w:rsidR="008F629D" w:rsidRPr="007D1918" w:rsidRDefault="008F629D" w:rsidP="002E665A">
            <w:pPr>
              <w:pStyle w:val="TableHeading"/>
              <w:keepLines/>
              <w:rPr>
                <w:snapToGrid w:val="0"/>
                <w:lang w:eastAsia="en-US"/>
              </w:rPr>
            </w:pPr>
            <w:r w:rsidRPr="007D1918">
              <w:rPr>
                <w:snapToGrid w:val="0"/>
                <w:lang w:eastAsia="en-US"/>
              </w:rPr>
              <w:t xml:space="preserve">IVIg </w:t>
            </w:r>
          </w:p>
          <w:p w14:paraId="20CCD051" w14:textId="61E7E8BD" w:rsidR="002E665A" w:rsidRPr="007D1918" w:rsidRDefault="002E665A" w:rsidP="002E665A">
            <w:pPr>
              <w:pStyle w:val="TableHeading"/>
              <w:keepLines/>
              <w:rPr>
                <w:snapToGrid w:val="0"/>
                <w:lang w:eastAsia="en-US"/>
              </w:rPr>
            </w:pPr>
          </w:p>
        </w:tc>
        <w:tc>
          <w:tcPr>
            <w:tcW w:w="708" w:type="pct"/>
            <w:shd w:val="clear" w:color="auto" w:fill="auto"/>
          </w:tcPr>
          <w:p w14:paraId="4A3C0E88" w14:textId="77777777" w:rsidR="008F629D" w:rsidRPr="007D1918" w:rsidRDefault="008F629D" w:rsidP="002E665A">
            <w:pPr>
              <w:pStyle w:val="TableHeading"/>
              <w:keepLines/>
              <w:rPr>
                <w:snapToGrid w:val="0"/>
                <w:lang w:eastAsia="en-US"/>
              </w:rPr>
            </w:pPr>
            <w:r w:rsidRPr="007D1918">
              <w:rPr>
                <w:snapToGrid w:val="0"/>
                <w:lang w:eastAsia="en-US"/>
              </w:rPr>
              <w:t xml:space="preserve">PE </w:t>
            </w:r>
          </w:p>
          <w:p w14:paraId="4E82C219" w14:textId="18D875C7" w:rsidR="002E665A" w:rsidRPr="007D1918" w:rsidRDefault="002E665A" w:rsidP="002E665A">
            <w:pPr>
              <w:pStyle w:val="TableHeading"/>
              <w:keepLines/>
              <w:rPr>
                <w:snapToGrid w:val="0"/>
                <w:lang w:eastAsia="en-US"/>
              </w:rPr>
            </w:pPr>
          </w:p>
        </w:tc>
        <w:tc>
          <w:tcPr>
            <w:tcW w:w="1795" w:type="pct"/>
            <w:shd w:val="clear" w:color="auto" w:fill="auto"/>
          </w:tcPr>
          <w:p w14:paraId="74D28C97" w14:textId="77777777" w:rsidR="008F629D" w:rsidRPr="007D1918" w:rsidRDefault="008F629D" w:rsidP="007C1C3D">
            <w:pPr>
              <w:pStyle w:val="TableHeading"/>
              <w:keepLines/>
              <w:rPr>
                <w:snapToGrid w:val="0"/>
                <w:lang w:eastAsia="en-US"/>
              </w:rPr>
            </w:pPr>
            <w:r w:rsidRPr="007D1918">
              <w:rPr>
                <w:snapToGrid w:val="0"/>
                <w:lang w:eastAsia="en-US"/>
              </w:rPr>
              <w:t>Overall effect</w:t>
            </w:r>
          </w:p>
          <w:p w14:paraId="225F13CF" w14:textId="7448EBE8" w:rsidR="008F629D" w:rsidRPr="007D1918" w:rsidRDefault="008F629D" w:rsidP="007C1C3D">
            <w:pPr>
              <w:pStyle w:val="TableHeading"/>
              <w:keepLines/>
              <w:rPr>
                <w:snapToGrid w:val="0"/>
                <w:lang w:eastAsia="en-US"/>
              </w:rPr>
            </w:pPr>
            <w:r w:rsidRPr="007D1918">
              <w:rPr>
                <w:snapToGrid w:val="0"/>
                <w:lang w:eastAsia="en-US"/>
              </w:rPr>
              <w:t>P value (95% CI)</w:t>
            </w:r>
          </w:p>
        </w:tc>
      </w:tr>
      <w:tr w:rsidR="008F629D" w:rsidRPr="007D1918" w14:paraId="5044FB73" w14:textId="77777777" w:rsidTr="002E665A">
        <w:tc>
          <w:tcPr>
            <w:tcW w:w="1790" w:type="pct"/>
          </w:tcPr>
          <w:p w14:paraId="611125CB" w14:textId="511840EA" w:rsidR="008F629D" w:rsidRPr="007D1918" w:rsidRDefault="002E665A" w:rsidP="002E665A">
            <w:pPr>
              <w:pStyle w:val="TableText0"/>
              <w:keepLines/>
              <w:rPr>
                <w:snapToGrid w:val="0"/>
              </w:rPr>
            </w:pPr>
            <w:r w:rsidRPr="007D1918">
              <w:rPr>
                <w:snapToGrid w:val="0"/>
              </w:rPr>
              <w:t>Proportion (%)</w:t>
            </w:r>
            <w:r w:rsidR="008F629D" w:rsidRPr="007D1918">
              <w:rPr>
                <w:snapToGrid w:val="0"/>
              </w:rPr>
              <w:t xml:space="preserve"> with a treatment response (20-point gain in MMS over 15 days)</w:t>
            </w:r>
          </w:p>
        </w:tc>
        <w:tc>
          <w:tcPr>
            <w:tcW w:w="707" w:type="pct"/>
            <w:shd w:val="clear" w:color="auto" w:fill="auto"/>
          </w:tcPr>
          <w:p w14:paraId="69E3CF02" w14:textId="53834574" w:rsidR="008F629D" w:rsidRPr="007D1918" w:rsidRDefault="008F629D" w:rsidP="00E91AA5">
            <w:pPr>
              <w:pStyle w:val="TableText0"/>
              <w:keepLines/>
              <w:rPr>
                <w:snapToGrid w:val="0"/>
              </w:rPr>
            </w:pPr>
            <w:r w:rsidRPr="007D1918">
              <w:rPr>
                <w:snapToGrid w:val="0"/>
              </w:rPr>
              <w:t>22/46 (47.8%)</w:t>
            </w:r>
          </w:p>
        </w:tc>
        <w:tc>
          <w:tcPr>
            <w:tcW w:w="708" w:type="pct"/>
            <w:shd w:val="clear" w:color="auto" w:fill="auto"/>
          </w:tcPr>
          <w:p w14:paraId="63898000" w14:textId="6E0C5E10" w:rsidR="008F629D" w:rsidRPr="007D1918" w:rsidRDefault="008F629D" w:rsidP="007C1C3D">
            <w:pPr>
              <w:pStyle w:val="TableText0"/>
              <w:keepLines/>
              <w:rPr>
                <w:snapToGrid w:val="0"/>
              </w:rPr>
            </w:pPr>
            <w:r w:rsidRPr="007D1918">
              <w:rPr>
                <w:snapToGrid w:val="0"/>
              </w:rPr>
              <w:t>26/41 (63.4%)</w:t>
            </w:r>
          </w:p>
        </w:tc>
        <w:tc>
          <w:tcPr>
            <w:tcW w:w="1795" w:type="pct"/>
            <w:shd w:val="clear" w:color="auto" w:fill="auto"/>
          </w:tcPr>
          <w:p w14:paraId="07151EA3" w14:textId="6DC6494C" w:rsidR="008F629D" w:rsidRPr="007D1918" w:rsidRDefault="008F629D" w:rsidP="007C1C3D">
            <w:pPr>
              <w:pStyle w:val="TableText0"/>
              <w:keepLines/>
              <w:rPr>
                <w:snapToGrid w:val="0"/>
                <w:vertAlign w:val="superscript"/>
              </w:rPr>
            </w:pPr>
            <w:r w:rsidRPr="007D1918">
              <w:rPr>
                <w:snapToGrid w:val="0"/>
              </w:rPr>
              <w:t>P = 0.15 (-5.16%, 34.5%)</w:t>
            </w:r>
            <w:r w:rsidRPr="007D1918">
              <w:rPr>
                <w:snapToGrid w:val="0"/>
                <w:vertAlign w:val="superscript"/>
              </w:rPr>
              <w:t>a</w:t>
            </w:r>
          </w:p>
        </w:tc>
      </w:tr>
      <w:tr w:rsidR="008F629D" w:rsidRPr="007D1918" w14:paraId="6460529A" w14:textId="77777777" w:rsidTr="002E665A">
        <w:tc>
          <w:tcPr>
            <w:tcW w:w="1790" w:type="pct"/>
          </w:tcPr>
          <w:p w14:paraId="27C46F40" w14:textId="25129E22" w:rsidR="008F629D" w:rsidRPr="007D1918" w:rsidRDefault="008F629D" w:rsidP="00E91AA5">
            <w:pPr>
              <w:pStyle w:val="TableText0"/>
              <w:keepLines/>
              <w:rPr>
                <w:snapToGrid w:val="0"/>
              </w:rPr>
            </w:pPr>
            <w:r w:rsidRPr="007D1918">
              <w:rPr>
                <w:snapToGrid w:val="0"/>
              </w:rPr>
              <w:t>Median treatment response time (days)</w:t>
            </w:r>
          </w:p>
        </w:tc>
        <w:tc>
          <w:tcPr>
            <w:tcW w:w="707" w:type="pct"/>
            <w:shd w:val="clear" w:color="auto" w:fill="auto"/>
          </w:tcPr>
          <w:p w14:paraId="35ECA6A5" w14:textId="7110510C" w:rsidR="008F629D" w:rsidRPr="007D1918" w:rsidRDefault="008F629D" w:rsidP="007C1C3D">
            <w:pPr>
              <w:pStyle w:val="TableText0"/>
              <w:keepLines/>
              <w:rPr>
                <w:snapToGrid w:val="0"/>
              </w:rPr>
            </w:pPr>
            <w:r w:rsidRPr="007D1918">
              <w:rPr>
                <w:snapToGrid w:val="0"/>
              </w:rPr>
              <w:t>15</w:t>
            </w:r>
          </w:p>
        </w:tc>
        <w:tc>
          <w:tcPr>
            <w:tcW w:w="708" w:type="pct"/>
            <w:shd w:val="clear" w:color="auto" w:fill="auto"/>
          </w:tcPr>
          <w:p w14:paraId="52C1D65A" w14:textId="63CE012F" w:rsidR="008F629D" w:rsidRPr="007D1918" w:rsidRDefault="008F629D" w:rsidP="007C1C3D">
            <w:pPr>
              <w:pStyle w:val="TableText0"/>
              <w:keepLines/>
              <w:rPr>
                <w:snapToGrid w:val="0"/>
              </w:rPr>
            </w:pPr>
            <w:r w:rsidRPr="007D1918">
              <w:rPr>
                <w:snapToGrid w:val="0"/>
              </w:rPr>
              <w:t>9</w:t>
            </w:r>
          </w:p>
        </w:tc>
        <w:tc>
          <w:tcPr>
            <w:tcW w:w="1795" w:type="pct"/>
            <w:shd w:val="clear" w:color="auto" w:fill="auto"/>
          </w:tcPr>
          <w:p w14:paraId="4DFB3E11" w14:textId="10F56F03" w:rsidR="008F629D" w:rsidRPr="007D1918" w:rsidRDefault="008F629D" w:rsidP="007C1C3D">
            <w:pPr>
              <w:pStyle w:val="TableText0"/>
              <w:keepLines/>
              <w:rPr>
                <w:snapToGrid w:val="0"/>
              </w:rPr>
            </w:pPr>
            <w:r w:rsidRPr="007D1918">
              <w:rPr>
                <w:snapToGrid w:val="0"/>
              </w:rPr>
              <w:t>RR of response = 0.67 (</w:t>
            </w:r>
            <w:r w:rsidR="00781376" w:rsidRPr="007D1918">
              <w:rPr>
                <w:snapToGrid w:val="0"/>
              </w:rPr>
              <w:t>95% CI</w:t>
            </w:r>
            <w:r w:rsidRPr="007D1918">
              <w:rPr>
                <w:snapToGrid w:val="0"/>
              </w:rPr>
              <w:t xml:space="preserve"> 0.38, 1.18)</w:t>
            </w:r>
          </w:p>
          <w:p w14:paraId="1F06D684" w14:textId="39581088" w:rsidR="008F629D" w:rsidRPr="007D1918" w:rsidRDefault="008F629D" w:rsidP="00C976D1">
            <w:pPr>
              <w:pStyle w:val="TableText0"/>
              <w:keepLines/>
              <w:rPr>
                <w:snapToGrid w:val="0"/>
              </w:rPr>
            </w:pPr>
            <w:r w:rsidRPr="007D1918">
              <w:rPr>
                <w:snapToGrid w:val="0"/>
              </w:rPr>
              <w:t>P = 0.14</w:t>
            </w:r>
            <w:r w:rsidRPr="007D1918">
              <w:rPr>
                <w:snapToGrid w:val="0"/>
                <w:vertAlign w:val="superscript"/>
              </w:rPr>
              <w:t>b</w:t>
            </w:r>
            <w:r w:rsidRPr="007D1918">
              <w:rPr>
                <w:snapToGrid w:val="0"/>
              </w:rPr>
              <w:t xml:space="preserve"> </w:t>
            </w:r>
          </w:p>
        </w:tc>
      </w:tr>
    </w:tbl>
    <w:p w14:paraId="5E4DD72E" w14:textId="6A3A725D" w:rsidR="00E91AA5" w:rsidRPr="007D1918" w:rsidRDefault="00E91AA5" w:rsidP="000240E5">
      <w:pPr>
        <w:pStyle w:val="Tablenotes0"/>
        <w:spacing w:after="80"/>
        <w:contextualSpacing w:val="0"/>
      </w:pPr>
      <w:r w:rsidRPr="007D1918">
        <w:t>IVIg = intravenous immunoglobulin therapy; MG = myasthenia gravis; M</w:t>
      </w:r>
      <w:r w:rsidR="002E665A" w:rsidRPr="007D1918">
        <w:t>M</w:t>
      </w:r>
      <w:r w:rsidRPr="007D1918">
        <w:t xml:space="preserve">S myasthenia </w:t>
      </w:r>
      <w:r w:rsidR="002E665A" w:rsidRPr="007D1918">
        <w:t xml:space="preserve">muscle </w:t>
      </w:r>
      <w:r w:rsidRPr="007D1918">
        <w:t xml:space="preserve">score; PE = plasma exchange therapy; </w:t>
      </w:r>
      <w:r w:rsidR="002E665A" w:rsidRPr="007D1918">
        <w:t xml:space="preserve">RR = relative risk; </w:t>
      </w:r>
      <w:r w:rsidRPr="007D1918">
        <w:t>SD = standard deviation</w:t>
      </w:r>
    </w:p>
    <w:p w14:paraId="5348AA9A" w14:textId="1DD55F4F" w:rsidR="005205A5" w:rsidRPr="007D1918" w:rsidRDefault="008F629D" w:rsidP="00E6429D">
      <w:pPr>
        <w:pStyle w:val="Tablenotes0"/>
      </w:pPr>
      <w:r w:rsidRPr="007D1918">
        <w:rPr>
          <w:vertAlign w:val="superscript"/>
        </w:rPr>
        <w:t>a</w:t>
      </w:r>
      <w:r w:rsidRPr="007D1918">
        <w:t xml:space="preserve"> Chi-squared test, MedCalc online calculator</w:t>
      </w:r>
    </w:p>
    <w:p w14:paraId="6DE4B4D8" w14:textId="3755377E" w:rsidR="008F629D" w:rsidRPr="007D1918" w:rsidRDefault="008F629D" w:rsidP="005A2FC5">
      <w:pPr>
        <w:pStyle w:val="Tablenotes0"/>
        <w:spacing w:after="0"/>
      </w:pPr>
      <w:r w:rsidRPr="007D1918">
        <w:rPr>
          <w:vertAlign w:val="superscript"/>
        </w:rPr>
        <w:t>b</w:t>
      </w:r>
      <w:r w:rsidRPr="007D1918">
        <w:t xml:space="preserve"> Log-rank test </w:t>
      </w:r>
      <w:r w:rsidR="0075212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 </w:instrText>
      </w:r>
      <w:r w:rsidR="00C437BA"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28" w:tooltip="Gajdos, 1997 #45" w:history="1">
        <w:r w:rsidR="007D4948" w:rsidRPr="007D1918">
          <w:rPr>
            <w:noProof/>
          </w:rPr>
          <w:t>Gajdos et al. 1997</w:t>
        </w:r>
      </w:hyperlink>
      <w:r w:rsidR="0075212A" w:rsidRPr="007D1918">
        <w:rPr>
          <w:noProof/>
        </w:rPr>
        <w:t>)</w:t>
      </w:r>
      <w:r w:rsidR="0075212A" w:rsidRPr="007D1918">
        <w:fldChar w:fldCharType="end"/>
      </w:r>
    </w:p>
    <w:p w14:paraId="67F20855" w14:textId="77777777" w:rsidR="008F629D" w:rsidRPr="007D1918" w:rsidRDefault="008F629D" w:rsidP="005A2FC5">
      <w:pPr>
        <w:pStyle w:val="Tabletext1"/>
      </w:pPr>
    </w:p>
    <w:p w14:paraId="3A06DD82" w14:textId="77777777" w:rsidR="006B7DCE" w:rsidRPr="007D1918" w:rsidRDefault="006B7DCE" w:rsidP="006B7DCE">
      <w:pPr>
        <w:pStyle w:val="Heading4"/>
      </w:pPr>
      <w:r w:rsidRPr="007D1918">
        <w:t>Time to relapse</w:t>
      </w:r>
    </w:p>
    <w:p w14:paraId="6B218850" w14:textId="24C10C01" w:rsidR="00C46DCF" w:rsidRPr="007D1918" w:rsidRDefault="00C46DCF" w:rsidP="00C46DCF">
      <w:r w:rsidRPr="007D1918">
        <w:t>None of the studies comparing IVIg and PE in patients in or at risk of MG crisis reported on the time to relapse.</w:t>
      </w:r>
    </w:p>
    <w:p w14:paraId="4FCCCECA" w14:textId="17821360" w:rsidR="006B7DCE" w:rsidRPr="007D1918" w:rsidRDefault="006B7DCE" w:rsidP="006B7DCE">
      <w:pPr>
        <w:pStyle w:val="Heading4"/>
      </w:pPr>
      <w:r w:rsidRPr="007D1918">
        <w:t>Need for ventilation or other life support systems</w:t>
      </w:r>
      <w:r w:rsidR="00210033" w:rsidRPr="007D1918">
        <w:t xml:space="preserve"> for patients receiving IVIg or PE therapy</w:t>
      </w:r>
    </w:p>
    <w:p w14:paraId="64ACD428" w14:textId="0B5ED24C" w:rsidR="00A14C6E" w:rsidRPr="007D1918" w:rsidRDefault="00B869A8" w:rsidP="00A14C6E">
      <w:pPr>
        <w:spacing w:after="0"/>
        <w:jc w:val="both"/>
      </w:pPr>
      <w:r w:rsidRPr="007D1918">
        <w:t xml:space="preserve">There were no studies meeting the inclusion criteria that reported the change </w:t>
      </w:r>
      <w:r w:rsidR="001B7D3C" w:rsidRPr="007D1918">
        <w:t xml:space="preserve">in </w:t>
      </w:r>
      <w:r w:rsidRPr="007D1918">
        <w:t xml:space="preserve">need for ventilation in crisis patients. </w:t>
      </w:r>
    </w:p>
    <w:p w14:paraId="4FB6535F" w14:textId="77777777" w:rsidR="00A14C6E" w:rsidRPr="007D1918" w:rsidRDefault="00A14C6E" w:rsidP="00A14C6E">
      <w:pPr>
        <w:jc w:val="both"/>
      </w:pPr>
    </w:p>
    <w:p w14:paraId="6BB19CB6" w14:textId="77777777" w:rsidR="006B7DCE" w:rsidRPr="007D1918" w:rsidRDefault="006B7DCE" w:rsidP="00A14C6E">
      <w:pPr>
        <w:pStyle w:val="Heading3"/>
      </w:pPr>
      <w:bookmarkStart w:id="265" w:name="_Toc23766972"/>
      <w:r w:rsidRPr="007D1918">
        <w:t>Indication 2: Patients preparing for surgery</w:t>
      </w:r>
      <w:bookmarkEnd w:id="265"/>
    </w:p>
    <w:p w14:paraId="56031C35" w14:textId="01411D6A" w:rsidR="009A20B1" w:rsidRPr="007D1918" w:rsidRDefault="00557587" w:rsidP="005A2FC5">
      <w:pPr>
        <w:spacing w:after="0"/>
        <w:jc w:val="both"/>
      </w:pPr>
      <w:r w:rsidRPr="007D1918">
        <w:t xml:space="preserve">One RCT (level II) and one retrospective matched cohort study (level III-2) were identified that assessed the effectiveness of IVIg and PE in MG patients preparing for </w:t>
      </w:r>
      <w:r w:rsidR="00510B09" w:rsidRPr="007D1918">
        <w:t xml:space="preserve">thymectomy </w:t>
      </w:r>
      <w:r w:rsidRPr="007D1918">
        <w:t xml:space="preserve">surgery. The RCT </w:t>
      </w:r>
      <w:r w:rsidR="0075212A" w:rsidRPr="007D1918">
        <w:fldChar w:fldCharType="begin"/>
      </w:r>
      <w:r w:rsidR="00C437BA"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75212A" w:rsidRPr="007D1918">
        <w:fldChar w:fldCharType="separate"/>
      </w:r>
      <w:r w:rsidR="0075212A" w:rsidRPr="007D1918">
        <w:rPr>
          <w:noProof/>
        </w:rPr>
        <w:t>(</w:t>
      </w:r>
      <w:hyperlink w:anchor="_ENREF_4" w:tooltip="Alipour-Faz, 2017 #64" w:history="1">
        <w:r w:rsidR="007D4948" w:rsidRPr="007D1918">
          <w:rPr>
            <w:noProof/>
          </w:rPr>
          <w:t>Alipour-Faz et al. 2017</w:t>
        </w:r>
      </w:hyperlink>
      <w:r w:rsidR="0075212A" w:rsidRPr="007D1918">
        <w:rPr>
          <w:noProof/>
        </w:rPr>
        <w:t>)</w:t>
      </w:r>
      <w:r w:rsidR="0075212A" w:rsidRPr="007D1918">
        <w:fldChar w:fldCharType="end"/>
      </w:r>
      <w:r w:rsidR="00055E03" w:rsidRPr="007D1918">
        <w:t xml:space="preserve"> </w:t>
      </w:r>
      <w:r w:rsidRPr="007D1918">
        <w:t xml:space="preserve">randomised </w:t>
      </w:r>
      <w:r w:rsidR="00767E14" w:rsidRPr="007D1918">
        <w:t>24</w:t>
      </w:r>
      <w:r w:rsidRPr="007D1918">
        <w:t xml:space="preserve"> patients </w:t>
      </w:r>
      <w:r w:rsidR="00767E14" w:rsidRPr="007D1918">
        <w:t xml:space="preserve">who were listed </w:t>
      </w:r>
      <w:r w:rsidR="009B60BE" w:rsidRPr="007D1918">
        <w:t xml:space="preserve">for </w:t>
      </w:r>
      <w:r w:rsidR="00767E14" w:rsidRPr="007D1918">
        <w:t xml:space="preserve">thymectomy, 12 receiving IVIg and 12 receiving PE as preoperative preparation. Patients were excluded if they had exacerbation of </w:t>
      </w:r>
      <w:r w:rsidR="00767E14" w:rsidRPr="007D1918">
        <w:lastRenderedPageBreak/>
        <w:t>MG secondary to medication irregularity or change in dosage or infection. In the retrospective study</w:t>
      </w:r>
      <w:r w:rsidR="00055E03" w:rsidRPr="007D1918">
        <w:t xml:space="preserve"> </w:t>
      </w:r>
      <w:r w:rsidR="0075212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 </w:instrText>
      </w:r>
      <w:r w:rsidR="00C437B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56" w:tooltip="Jensen, 2008 #13" w:history="1">
        <w:r w:rsidR="007D4948" w:rsidRPr="007D1918">
          <w:rPr>
            <w:noProof/>
          </w:rPr>
          <w:t>Jensen &amp; Bril 2008</w:t>
        </w:r>
      </w:hyperlink>
      <w:r w:rsidR="0075212A" w:rsidRPr="007D1918">
        <w:rPr>
          <w:noProof/>
        </w:rPr>
        <w:t>)</w:t>
      </w:r>
      <w:r w:rsidR="0075212A" w:rsidRPr="007D1918">
        <w:fldChar w:fldCharType="end"/>
      </w:r>
      <w:r w:rsidR="00767E14" w:rsidRPr="007D1918">
        <w:t>, 43 patients were identified that had required immunomodulation prior to thymectomy. Of these</w:t>
      </w:r>
      <w:r w:rsidR="00510B09" w:rsidRPr="007D1918">
        <w:t xml:space="preserve">, nine patients received IVIg alone, and were matched for comparison purposes </w:t>
      </w:r>
      <w:r w:rsidR="00CE537E" w:rsidRPr="007D1918">
        <w:t>on</w:t>
      </w:r>
      <w:r w:rsidR="00510B09" w:rsidRPr="007D1918">
        <w:t xml:space="preserve"> Osserman grade, gender and age to nine patients who received PE alone. No patients with preoperative Osserman grade 4 disease received IVIg, so grade 4 patients were excluded from the study.</w:t>
      </w:r>
    </w:p>
    <w:p w14:paraId="17D5EC7A" w14:textId="77777777" w:rsidR="006B7DCE" w:rsidRPr="007D1918" w:rsidRDefault="006B7DCE" w:rsidP="005A2FC5">
      <w:pPr>
        <w:pStyle w:val="Heading4"/>
      </w:pPr>
      <w:r w:rsidRPr="007D1918">
        <w:t>Mortality</w:t>
      </w:r>
    </w:p>
    <w:p w14:paraId="04DDCFA1" w14:textId="454A5431" w:rsidR="006B7DCE" w:rsidRPr="007D1918" w:rsidRDefault="00055E03" w:rsidP="005A2FC5">
      <w:pPr>
        <w:spacing w:after="0"/>
      </w:pPr>
      <w:r w:rsidRPr="007D1918">
        <w:t>Neither of the studies which assessed pre</w:t>
      </w:r>
      <w:r w:rsidR="006972F1" w:rsidRPr="007D1918">
        <w:t>-</w:t>
      </w:r>
      <w:r w:rsidRPr="007D1918">
        <w:t>surgical MG patients reported on mortality rates.</w:t>
      </w:r>
    </w:p>
    <w:p w14:paraId="2D3BFADB" w14:textId="133D6DFC" w:rsidR="006B7DCE" w:rsidRPr="007D1918" w:rsidRDefault="006B7DCE" w:rsidP="005A2FC5">
      <w:pPr>
        <w:pStyle w:val="Heading4"/>
      </w:pPr>
      <w:r w:rsidRPr="007D1918">
        <w:t>Rate of infection</w:t>
      </w:r>
      <w:r w:rsidR="00210033" w:rsidRPr="007D1918">
        <w:t xml:space="preserve"> for patients receiving IVIg or PE therapy</w:t>
      </w:r>
    </w:p>
    <w:p w14:paraId="711366D7" w14:textId="29EC3542" w:rsidR="006B7DCE" w:rsidRPr="007D1918" w:rsidRDefault="00F93BE3" w:rsidP="005A2FC5">
      <w:pPr>
        <w:spacing w:after="0"/>
        <w:jc w:val="both"/>
      </w:pPr>
      <w:r w:rsidRPr="007D1918">
        <w:t>The retrospective matched cohort study reported that there was no sepsis observed in the study population</w:t>
      </w:r>
      <w:r w:rsidR="002353DA" w:rsidRPr="007D1918">
        <w:t xml:space="preserve"> </w:t>
      </w:r>
      <w:r w:rsidR="0075212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 </w:instrText>
      </w:r>
      <w:r w:rsidR="00C437B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56" w:tooltip="Jensen, 2008 #13" w:history="1">
        <w:r w:rsidR="007D4948" w:rsidRPr="007D1918">
          <w:rPr>
            <w:noProof/>
          </w:rPr>
          <w:t>Jensen &amp; Bril 2008</w:t>
        </w:r>
      </w:hyperlink>
      <w:r w:rsidR="0075212A" w:rsidRPr="007D1918">
        <w:rPr>
          <w:noProof/>
        </w:rPr>
        <w:t>)</w:t>
      </w:r>
      <w:r w:rsidR="0075212A" w:rsidRPr="007D1918">
        <w:fldChar w:fldCharType="end"/>
      </w:r>
      <w:r w:rsidRPr="007D1918">
        <w:t>.</w:t>
      </w:r>
      <w:r w:rsidR="002353DA" w:rsidRPr="007D1918">
        <w:t xml:space="preserve"> The RCT stated that two </w:t>
      </w:r>
      <w:r w:rsidR="001B7D3C" w:rsidRPr="007D1918">
        <w:t>cases</w:t>
      </w:r>
      <w:r w:rsidR="002353DA" w:rsidRPr="007D1918">
        <w:t xml:space="preserve"> of myasthenic crisis in the group receiving PE were related to pneumonia infections. There were no </w:t>
      </w:r>
      <w:r w:rsidR="001B7D3C" w:rsidRPr="007D1918">
        <w:t>cases</w:t>
      </w:r>
      <w:r w:rsidR="002353DA" w:rsidRPr="007D1918">
        <w:t xml:space="preserve"> of pneumonia or crisis in the IVIg group </w:t>
      </w:r>
      <w:r w:rsidR="0075212A" w:rsidRPr="007D1918">
        <w:fldChar w:fldCharType="begin"/>
      </w:r>
      <w:r w:rsidR="00C437BA"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75212A" w:rsidRPr="007D1918">
        <w:fldChar w:fldCharType="separate"/>
      </w:r>
      <w:r w:rsidR="0075212A" w:rsidRPr="007D1918">
        <w:rPr>
          <w:noProof/>
        </w:rPr>
        <w:t>(</w:t>
      </w:r>
      <w:hyperlink w:anchor="_ENREF_4" w:tooltip="Alipour-Faz, 2017 #64" w:history="1">
        <w:r w:rsidR="007D4948" w:rsidRPr="007D1918">
          <w:rPr>
            <w:noProof/>
          </w:rPr>
          <w:t>Alipour-Faz et al. 2017</w:t>
        </w:r>
      </w:hyperlink>
      <w:r w:rsidR="0075212A" w:rsidRPr="007D1918">
        <w:rPr>
          <w:noProof/>
        </w:rPr>
        <w:t>)</w:t>
      </w:r>
      <w:r w:rsidR="0075212A" w:rsidRPr="007D1918">
        <w:fldChar w:fldCharType="end"/>
      </w:r>
      <w:r w:rsidR="002353DA" w:rsidRPr="007D1918">
        <w:t xml:space="preserve">. </w:t>
      </w:r>
    </w:p>
    <w:p w14:paraId="6605CEF1" w14:textId="3BF8436F" w:rsidR="006B7DCE" w:rsidRPr="007D1918" w:rsidRDefault="006B7DCE" w:rsidP="005A2FC5">
      <w:pPr>
        <w:pStyle w:val="Heading4"/>
      </w:pPr>
      <w:r w:rsidRPr="007D1918">
        <w:t>Change in symptoms (</w:t>
      </w:r>
      <w:r w:rsidR="00C8652A" w:rsidRPr="007D1918">
        <w:t>Osserman grade</w:t>
      </w:r>
      <w:r w:rsidRPr="007D1918">
        <w:t>)</w:t>
      </w:r>
      <w:r w:rsidR="00210033" w:rsidRPr="007D1918">
        <w:t xml:space="preserve"> for patients receiving IVIg or PE therapy</w:t>
      </w:r>
    </w:p>
    <w:p w14:paraId="07E0F16F" w14:textId="286C29B1" w:rsidR="006B7DCE" w:rsidRPr="007D1918" w:rsidRDefault="00C44BF4" w:rsidP="005205A5">
      <w:pPr>
        <w:jc w:val="both"/>
      </w:pPr>
      <w:r w:rsidRPr="007D1918">
        <w:t xml:space="preserve">One study </w:t>
      </w:r>
      <w:r w:rsidR="001B7D3C" w:rsidRPr="007D1918">
        <w:t xml:space="preserve">(level III-2) </w:t>
      </w:r>
      <w:r w:rsidRPr="007D1918">
        <w:t>compared the response to immunomodulation between treatment</w:t>
      </w:r>
      <w:r w:rsidR="002353DA" w:rsidRPr="007D1918">
        <w:t xml:space="preserve"> groups</w:t>
      </w:r>
      <w:r w:rsidR="00FB4696" w:rsidRPr="007D1918">
        <w:t xml:space="preserve"> </w:t>
      </w:r>
      <w:r w:rsidR="0075212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 </w:instrText>
      </w:r>
      <w:r w:rsidR="00C437B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56" w:tooltip="Jensen, 2008 #13" w:history="1">
        <w:r w:rsidR="007D4948" w:rsidRPr="007D1918">
          <w:rPr>
            <w:noProof/>
          </w:rPr>
          <w:t>Jensen &amp; Bril 2008</w:t>
        </w:r>
      </w:hyperlink>
      <w:r w:rsidR="0075212A" w:rsidRPr="007D1918">
        <w:rPr>
          <w:noProof/>
        </w:rPr>
        <w:t>)</w:t>
      </w:r>
      <w:r w:rsidR="0075212A" w:rsidRPr="007D1918">
        <w:fldChar w:fldCharType="end"/>
      </w:r>
      <w:r w:rsidRPr="007D1918">
        <w:t>. A modified Osserman classification index was used to assess MG status using the following score guide: 0 = asymptomatic; 1</w:t>
      </w:r>
      <w:r w:rsidR="00907586" w:rsidRPr="007D1918">
        <w:t xml:space="preserve"> </w:t>
      </w:r>
      <w:r w:rsidRPr="007D1918">
        <w:t>= ocular signs and symptoms; 2 = mild generalised symptoms; 3 = moderate generalised symptoms, bulbar dysfunction, or both; an</w:t>
      </w:r>
      <w:r w:rsidR="00FB4696" w:rsidRPr="007D1918">
        <w:t>d</w:t>
      </w:r>
      <w:r w:rsidRPr="007D1918">
        <w:t xml:space="preserve"> 4 = severe generalised weakness, respiratory dysfunction, or both.</w:t>
      </w:r>
      <w:r w:rsidR="008E4208" w:rsidRPr="007D1918">
        <w:t xml:space="preserve"> All patients were either grade 2 or 3 at the pre</w:t>
      </w:r>
      <w:r w:rsidR="006972F1" w:rsidRPr="007D1918">
        <w:t>-</w:t>
      </w:r>
      <w:r w:rsidR="008E4208" w:rsidRPr="007D1918">
        <w:t>treatment assessment and no patients were treated with immunosuppression prior to surgery. Postoperative Osserman grading was performed at the first postoperative neuromuscular clinic visit.</w:t>
      </w:r>
    </w:p>
    <w:p w14:paraId="50452681" w14:textId="208BC9D1" w:rsidR="00FB4696" w:rsidRPr="007D1918" w:rsidRDefault="00FB4696" w:rsidP="005205A5">
      <w:pPr>
        <w:jc w:val="both"/>
      </w:pPr>
      <w:r w:rsidRPr="007D1918">
        <w:t>In the analysis Osserman grade was assessed as a continuous variable. Symptoms improved following surgery and treatment in both gro</w:t>
      </w:r>
      <w:r w:rsidR="008E4208" w:rsidRPr="007D1918">
        <w:t>u</w:t>
      </w:r>
      <w:r w:rsidRPr="007D1918">
        <w:t xml:space="preserve">ps, but there was no </w:t>
      </w:r>
      <w:r w:rsidR="00063C40" w:rsidRPr="007D1918">
        <w:t xml:space="preserve">statistical </w:t>
      </w:r>
      <w:r w:rsidRPr="007D1918">
        <w:t>difference in the degree of improvement between patients treated with IVIg and PE (p = 0.55)</w:t>
      </w:r>
      <w:r w:rsidR="001359FA" w:rsidRPr="007D1918">
        <w:t>. In both groups</w:t>
      </w:r>
      <w:r w:rsidR="00CE537E" w:rsidRPr="007D1918">
        <w:t>,</w:t>
      </w:r>
      <w:r w:rsidR="001359FA" w:rsidRPr="007D1918">
        <w:t xml:space="preserve"> two out of nine patients improved by two Osserman grades</w:t>
      </w:r>
      <w:r w:rsidR="009B60BE" w:rsidRPr="007D1918">
        <w:t>, however it is likely that the thymectomy contributed to improved status (</w:t>
      </w:r>
      <w:r w:rsidR="009B60BE" w:rsidRPr="007D1918">
        <w:fldChar w:fldCharType="begin"/>
      </w:r>
      <w:r w:rsidR="009B60BE" w:rsidRPr="007D1918">
        <w:instrText xml:space="preserve"> REF _Ref9348250 \h </w:instrText>
      </w:r>
      <w:r w:rsidR="00E07567" w:rsidRPr="007D1918">
        <w:instrText xml:space="preserve"> \* MERGEFORMAT </w:instrText>
      </w:r>
      <w:r w:rsidR="009B60BE" w:rsidRPr="007D1918">
        <w:fldChar w:fldCharType="separate"/>
      </w:r>
      <w:r w:rsidR="00153384" w:rsidRPr="007D1918">
        <w:t xml:space="preserve">Table </w:t>
      </w:r>
      <w:r w:rsidR="00153384" w:rsidRPr="007D1918">
        <w:rPr>
          <w:noProof/>
        </w:rPr>
        <w:t>33</w:t>
      </w:r>
      <w:r w:rsidR="009B60BE" w:rsidRPr="007D1918">
        <w:fldChar w:fldCharType="end"/>
      </w:r>
      <w:r w:rsidR="009B60BE" w:rsidRPr="007D1918">
        <w:t>)</w:t>
      </w:r>
      <w:r w:rsidR="001359FA" w:rsidRPr="007D1918">
        <w:t xml:space="preserve">. </w:t>
      </w:r>
    </w:p>
    <w:p w14:paraId="3805B0DC" w14:textId="597F85DA" w:rsidR="00FB4696" w:rsidRPr="007D1918" w:rsidRDefault="00FB4696" w:rsidP="00C8652A">
      <w:pPr>
        <w:pStyle w:val="Caption"/>
        <w:keepNext/>
        <w:keepLines/>
        <w:ind w:left="1134" w:hanging="1134"/>
      </w:pPr>
      <w:bookmarkStart w:id="266" w:name="_Ref9348250"/>
      <w:bookmarkStart w:id="267" w:name="_Toc23769520"/>
      <w:r w:rsidRPr="007D1918">
        <w:t xml:space="preserve">Table </w:t>
      </w:r>
      <w:r w:rsidR="0048203E" w:rsidRPr="007D1918">
        <w:rPr>
          <w:noProof/>
        </w:rPr>
        <w:fldChar w:fldCharType="begin"/>
      </w:r>
      <w:r w:rsidR="0048203E" w:rsidRPr="007D1918">
        <w:rPr>
          <w:noProof/>
        </w:rPr>
        <w:instrText xml:space="preserve"> SEQ Table \* ARABIC </w:instrText>
      </w:r>
      <w:r w:rsidR="0048203E" w:rsidRPr="007D1918">
        <w:rPr>
          <w:noProof/>
        </w:rPr>
        <w:fldChar w:fldCharType="separate"/>
      </w:r>
      <w:r w:rsidR="00942701" w:rsidRPr="007D1918">
        <w:rPr>
          <w:noProof/>
        </w:rPr>
        <w:t>33</w:t>
      </w:r>
      <w:r w:rsidR="0048203E" w:rsidRPr="007D1918">
        <w:rPr>
          <w:noProof/>
        </w:rPr>
        <w:fldChar w:fldCharType="end"/>
      </w:r>
      <w:bookmarkEnd w:id="266"/>
      <w:r w:rsidRPr="007D1918">
        <w:tab/>
      </w:r>
      <w:r w:rsidR="00D656D1" w:rsidRPr="007D1918">
        <w:t>Change in symptoms (Osserman grade) in th</w:t>
      </w:r>
      <w:r w:rsidR="009B60BE" w:rsidRPr="007D1918">
        <w:t>ymectom</w:t>
      </w:r>
      <w:r w:rsidR="00D656D1" w:rsidRPr="007D1918">
        <w:t>y</w:t>
      </w:r>
      <w:r w:rsidRPr="007D1918">
        <w:t xml:space="preserve"> patients</w:t>
      </w:r>
      <w:r w:rsidR="001B18BA" w:rsidRPr="007D1918">
        <w:t xml:space="preserve"> given IVIg or PE</w:t>
      </w:r>
      <w:r w:rsidRPr="007D1918">
        <w:t xml:space="preserve"> </w:t>
      </w:r>
      <w:r w:rsidR="0075212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 </w:instrText>
      </w:r>
      <w:r w:rsidR="00C437B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56" w:tooltip="Jensen, 2008 #13" w:history="1">
        <w:r w:rsidR="007D4948" w:rsidRPr="007D1918">
          <w:rPr>
            <w:noProof/>
          </w:rPr>
          <w:t>Jensen &amp; Bril 2008</w:t>
        </w:r>
      </w:hyperlink>
      <w:r w:rsidR="0075212A" w:rsidRPr="007D1918">
        <w:rPr>
          <w:noProof/>
        </w:rPr>
        <w:t>)</w:t>
      </w:r>
      <w:bookmarkEnd w:id="267"/>
      <w:r w:rsidR="0075212A" w:rsidRPr="007D1918">
        <w:fldChar w:fldCharType="end"/>
      </w:r>
    </w:p>
    <w:tbl>
      <w:tblPr>
        <w:tblW w:w="485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1 Change in symptoms (Osserman grade) in thymectomy patients given IVIg or PE (Jensen &amp; Bril 2008)"/>
        <w:tblDescription w:val="Change in symptoms mearsure by change in Osserman grade in patients undergoing thymectomy treated with IVIgg compared to PE (Indication 2)."/>
      </w:tblPr>
      <w:tblGrid>
        <w:gridCol w:w="3228"/>
        <w:gridCol w:w="1842"/>
        <w:gridCol w:w="1986"/>
        <w:gridCol w:w="1700"/>
      </w:tblGrid>
      <w:tr w:rsidR="00FB4696" w:rsidRPr="007D1918" w14:paraId="7617EC2B" w14:textId="77777777" w:rsidTr="00FB4696">
        <w:tc>
          <w:tcPr>
            <w:tcW w:w="1843" w:type="pct"/>
          </w:tcPr>
          <w:p w14:paraId="440BCC3E" w14:textId="2AAD4AD0" w:rsidR="00FB4696" w:rsidRPr="007D1918" w:rsidRDefault="00FB4696" w:rsidP="008E4208">
            <w:pPr>
              <w:pStyle w:val="TableHeading"/>
              <w:keepLines/>
              <w:rPr>
                <w:snapToGrid w:val="0"/>
                <w:lang w:eastAsia="en-US"/>
              </w:rPr>
            </w:pPr>
            <w:r w:rsidRPr="007D1918">
              <w:rPr>
                <w:snapToGrid w:val="0"/>
                <w:lang w:eastAsia="en-US"/>
              </w:rPr>
              <w:t>Measure</w:t>
            </w:r>
          </w:p>
        </w:tc>
        <w:tc>
          <w:tcPr>
            <w:tcW w:w="1052" w:type="pct"/>
            <w:shd w:val="clear" w:color="auto" w:fill="auto"/>
          </w:tcPr>
          <w:p w14:paraId="0F7762D4" w14:textId="551BE946" w:rsidR="00FB4696" w:rsidRPr="007D1918" w:rsidRDefault="00FB4696" w:rsidP="008E4208">
            <w:pPr>
              <w:pStyle w:val="TableHeading"/>
              <w:keepLines/>
              <w:rPr>
                <w:snapToGrid w:val="0"/>
                <w:lang w:eastAsia="en-US"/>
              </w:rPr>
            </w:pPr>
            <w:r w:rsidRPr="007D1918">
              <w:rPr>
                <w:snapToGrid w:val="0"/>
                <w:lang w:eastAsia="en-US"/>
              </w:rPr>
              <w:t xml:space="preserve">IVIg </w:t>
            </w:r>
          </w:p>
        </w:tc>
        <w:tc>
          <w:tcPr>
            <w:tcW w:w="1134" w:type="pct"/>
            <w:shd w:val="clear" w:color="auto" w:fill="auto"/>
          </w:tcPr>
          <w:p w14:paraId="7878511A" w14:textId="2AD108DC" w:rsidR="00FB4696" w:rsidRPr="007D1918" w:rsidRDefault="00FB4696" w:rsidP="008E4208">
            <w:pPr>
              <w:pStyle w:val="TableHeading"/>
              <w:keepLines/>
              <w:rPr>
                <w:snapToGrid w:val="0"/>
                <w:lang w:eastAsia="en-US"/>
              </w:rPr>
            </w:pPr>
            <w:r w:rsidRPr="007D1918">
              <w:rPr>
                <w:snapToGrid w:val="0"/>
                <w:lang w:eastAsia="en-US"/>
              </w:rPr>
              <w:t xml:space="preserve">PE </w:t>
            </w:r>
          </w:p>
        </w:tc>
        <w:tc>
          <w:tcPr>
            <w:tcW w:w="971" w:type="pct"/>
            <w:shd w:val="clear" w:color="auto" w:fill="auto"/>
          </w:tcPr>
          <w:p w14:paraId="596AED21" w14:textId="49022FB8" w:rsidR="00FB4696" w:rsidRPr="007D1918" w:rsidRDefault="00FB4696" w:rsidP="00F4531B">
            <w:pPr>
              <w:pStyle w:val="TableHeading"/>
              <w:keepLines/>
              <w:rPr>
                <w:snapToGrid w:val="0"/>
                <w:vertAlign w:val="superscript"/>
                <w:lang w:eastAsia="en-US"/>
              </w:rPr>
            </w:pPr>
            <w:r w:rsidRPr="007D1918">
              <w:rPr>
                <w:snapToGrid w:val="0"/>
                <w:lang w:eastAsia="en-US"/>
              </w:rPr>
              <w:t>Overall effect</w:t>
            </w:r>
            <w:r w:rsidR="00C109B9" w:rsidRPr="007D1918">
              <w:rPr>
                <w:snapToGrid w:val="0"/>
                <w:vertAlign w:val="superscript"/>
                <w:lang w:eastAsia="en-US"/>
              </w:rPr>
              <w:t>b</w:t>
            </w:r>
          </w:p>
        </w:tc>
      </w:tr>
      <w:tr w:rsidR="00FB4696" w:rsidRPr="007D1918" w14:paraId="0E2A3017" w14:textId="77777777" w:rsidTr="00FB4696">
        <w:tc>
          <w:tcPr>
            <w:tcW w:w="1843" w:type="pct"/>
          </w:tcPr>
          <w:p w14:paraId="0ECC1E04" w14:textId="2DE3AFDA" w:rsidR="00FB4696" w:rsidRPr="007D1918" w:rsidRDefault="00FB4696" w:rsidP="00F4531B">
            <w:pPr>
              <w:pStyle w:val="TableText0"/>
              <w:keepLines/>
              <w:rPr>
                <w:snapToGrid w:val="0"/>
                <w:vertAlign w:val="superscript"/>
              </w:rPr>
            </w:pPr>
            <w:r w:rsidRPr="007D1918">
              <w:rPr>
                <w:snapToGrid w:val="0"/>
              </w:rPr>
              <w:t>Pre</w:t>
            </w:r>
            <w:r w:rsidR="009E2C4B" w:rsidRPr="007D1918">
              <w:rPr>
                <w:snapToGrid w:val="0"/>
              </w:rPr>
              <w:t>-</w:t>
            </w:r>
            <w:r w:rsidRPr="007D1918">
              <w:rPr>
                <w:snapToGrid w:val="0"/>
              </w:rPr>
              <w:t>operative Osserman grade</w:t>
            </w:r>
            <w:r w:rsidRPr="007D1918">
              <w:rPr>
                <w:snapToGrid w:val="0"/>
                <w:vertAlign w:val="superscript"/>
              </w:rPr>
              <w:t>a</w:t>
            </w:r>
          </w:p>
        </w:tc>
        <w:tc>
          <w:tcPr>
            <w:tcW w:w="1052" w:type="pct"/>
            <w:shd w:val="clear" w:color="auto" w:fill="auto"/>
          </w:tcPr>
          <w:p w14:paraId="47A8449D" w14:textId="11924119" w:rsidR="00FB4696" w:rsidRPr="007D1918" w:rsidRDefault="00FB4696" w:rsidP="00F4531B">
            <w:pPr>
              <w:pStyle w:val="TableText0"/>
              <w:keepLines/>
              <w:rPr>
                <w:snapToGrid w:val="0"/>
              </w:rPr>
            </w:pPr>
            <w:r w:rsidRPr="007D1918">
              <w:rPr>
                <w:snapToGrid w:val="0"/>
              </w:rPr>
              <w:t>2.44 ± 0.53</w:t>
            </w:r>
          </w:p>
        </w:tc>
        <w:tc>
          <w:tcPr>
            <w:tcW w:w="1134" w:type="pct"/>
            <w:shd w:val="clear" w:color="auto" w:fill="auto"/>
          </w:tcPr>
          <w:p w14:paraId="1D5D079D" w14:textId="3C6B6D18" w:rsidR="00FB4696" w:rsidRPr="007D1918" w:rsidRDefault="00FB4696" w:rsidP="00F4531B">
            <w:pPr>
              <w:pStyle w:val="TableText0"/>
              <w:keepLines/>
              <w:rPr>
                <w:snapToGrid w:val="0"/>
              </w:rPr>
            </w:pPr>
            <w:r w:rsidRPr="007D1918">
              <w:rPr>
                <w:snapToGrid w:val="0"/>
              </w:rPr>
              <w:t>2.44 ± 0.53</w:t>
            </w:r>
          </w:p>
        </w:tc>
        <w:tc>
          <w:tcPr>
            <w:tcW w:w="971" w:type="pct"/>
            <w:shd w:val="clear" w:color="auto" w:fill="auto"/>
          </w:tcPr>
          <w:p w14:paraId="50C41A1A" w14:textId="24C88265" w:rsidR="00FB4696" w:rsidRPr="007D1918" w:rsidRDefault="00FB4696" w:rsidP="00FB4696">
            <w:pPr>
              <w:pStyle w:val="TableText0"/>
              <w:keepLines/>
              <w:rPr>
                <w:snapToGrid w:val="0"/>
              </w:rPr>
            </w:pPr>
            <w:r w:rsidRPr="007D1918">
              <w:rPr>
                <w:snapToGrid w:val="0"/>
              </w:rPr>
              <w:t>P = 1.00</w:t>
            </w:r>
          </w:p>
        </w:tc>
      </w:tr>
      <w:tr w:rsidR="00FB4696" w:rsidRPr="007D1918" w14:paraId="280DD66B" w14:textId="77777777" w:rsidTr="00FB4696">
        <w:tc>
          <w:tcPr>
            <w:tcW w:w="1843" w:type="pct"/>
          </w:tcPr>
          <w:p w14:paraId="38097D53" w14:textId="0732A995" w:rsidR="00FB4696" w:rsidRPr="007D1918" w:rsidRDefault="00FB4696" w:rsidP="00F4531B">
            <w:pPr>
              <w:pStyle w:val="TableText0"/>
              <w:keepLines/>
              <w:rPr>
                <w:snapToGrid w:val="0"/>
                <w:vertAlign w:val="superscript"/>
              </w:rPr>
            </w:pPr>
            <w:r w:rsidRPr="007D1918">
              <w:rPr>
                <w:snapToGrid w:val="0"/>
              </w:rPr>
              <w:t>Post-operative Osserman grade</w:t>
            </w:r>
            <w:r w:rsidRPr="007D1918">
              <w:rPr>
                <w:snapToGrid w:val="0"/>
                <w:vertAlign w:val="superscript"/>
              </w:rPr>
              <w:t>a</w:t>
            </w:r>
          </w:p>
        </w:tc>
        <w:tc>
          <w:tcPr>
            <w:tcW w:w="1052" w:type="pct"/>
            <w:shd w:val="clear" w:color="auto" w:fill="auto"/>
          </w:tcPr>
          <w:p w14:paraId="5F19A9EC" w14:textId="0769B7C8" w:rsidR="00FB4696" w:rsidRPr="007D1918" w:rsidRDefault="00FB4696" w:rsidP="00F4531B">
            <w:pPr>
              <w:pStyle w:val="TableText0"/>
              <w:keepLines/>
              <w:rPr>
                <w:snapToGrid w:val="0"/>
              </w:rPr>
            </w:pPr>
            <w:r w:rsidRPr="007D1918">
              <w:rPr>
                <w:snapToGrid w:val="0"/>
              </w:rPr>
              <w:t>1.67 ± 0.87</w:t>
            </w:r>
          </w:p>
        </w:tc>
        <w:tc>
          <w:tcPr>
            <w:tcW w:w="1134" w:type="pct"/>
            <w:shd w:val="clear" w:color="auto" w:fill="auto"/>
          </w:tcPr>
          <w:p w14:paraId="7698BB97" w14:textId="23CC8CAF" w:rsidR="00FB4696" w:rsidRPr="007D1918" w:rsidRDefault="00FB4696" w:rsidP="00F4531B">
            <w:pPr>
              <w:pStyle w:val="TableText0"/>
              <w:keepLines/>
              <w:rPr>
                <w:snapToGrid w:val="0"/>
              </w:rPr>
            </w:pPr>
            <w:r w:rsidRPr="007D1918">
              <w:rPr>
                <w:snapToGrid w:val="0"/>
              </w:rPr>
              <w:t>1.44 ± 0.88</w:t>
            </w:r>
          </w:p>
        </w:tc>
        <w:tc>
          <w:tcPr>
            <w:tcW w:w="971" w:type="pct"/>
            <w:shd w:val="clear" w:color="auto" w:fill="auto"/>
          </w:tcPr>
          <w:p w14:paraId="25CC4207" w14:textId="6656591A" w:rsidR="00FB4696" w:rsidRPr="007D1918" w:rsidRDefault="00FB4696" w:rsidP="00F4531B">
            <w:pPr>
              <w:pStyle w:val="TableText0"/>
              <w:keepLines/>
              <w:rPr>
                <w:snapToGrid w:val="0"/>
              </w:rPr>
            </w:pPr>
            <w:r w:rsidRPr="007D1918">
              <w:rPr>
                <w:snapToGrid w:val="0"/>
              </w:rPr>
              <w:t>P = 0.60</w:t>
            </w:r>
          </w:p>
        </w:tc>
      </w:tr>
      <w:tr w:rsidR="00FB4696" w:rsidRPr="007D1918" w14:paraId="2D20F0B3" w14:textId="77777777" w:rsidTr="00FB4696">
        <w:tc>
          <w:tcPr>
            <w:tcW w:w="1843" w:type="pct"/>
          </w:tcPr>
          <w:p w14:paraId="03839144" w14:textId="3DA0742C" w:rsidR="00FB4696" w:rsidRPr="007D1918" w:rsidRDefault="00FB4696" w:rsidP="00F4531B">
            <w:pPr>
              <w:pStyle w:val="TableText0"/>
              <w:keepLines/>
              <w:rPr>
                <w:snapToGrid w:val="0"/>
                <w:vertAlign w:val="superscript"/>
              </w:rPr>
            </w:pPr>
            <w:r w:rsidRPr="007D1918">
              <w:rPr>
                <w:snapToGrid w:val="0"/>
              </w:rPr>
              <w:t>Change in Osserman grade</w:t>
            </w:r>
            <w:r w:rsidRPr="007D1918">
              <w:rPr>
                <w:snapToGrid w:val="0"/>
                <w:vertAlign w:val="superscript"/>
              </w:rPr>
              <w:t>a</w:t>
            </w:r>
          </w:p>
        </w:tc>
        <w:tc>
          <w:tcPr>
            <w:tcW w:w="1052" w:type="pct"/>
            <w:shd w:val="clear" w:color="auto" w:fill="auto"/>
          </w:tcPr>
          <w:p w14:paraId="696885F0" w14:textId="42ED45FA" w:rsidR="00FB4696" w:rsidRPr="007D1918" w:rsidRDefault="00FB4696" w:rsidP="00F4531B">
            <w:pPr>
              <w:pStyle w:val="TableText0"/>
              <w:keepLines/>
              <w:rPr>
                <w:snapToGrid w:val="0"/>
              </w:rPr>
            </w:pPr>
            <w:r w:rsidRPr="007D1918">
              <w:rPr>
                <w:snapToGrid w:val="0"/>
              </w:rPr>
              <w:t>0.78 ± 0.83</w:t>
            </w:r>
          </w:p>
        </w:tc>
        <w:tc>
          <w:tcPr>
            <w:tcW w:w="1134" w:type="pct"/>
            <w:shd w:val="clear" w:color="auto" w:fill="auto"/>
          </w:tcPr>
          <w:p w14:paraId="69E736C8" w14:textId="2B442279" w:rsidR="00FB4696" w:rsidRPr="007D1918" w:rsidRDefault="00FB4696" w:rsidP="00F4531B">
            <w:pPr>
              <w:pStyle w:val="TableText0"/>
              <w:keepLines/>
              <w:rPr>
                <w:snapToGrid w:val="0"/>
              </w:rPr>
            </w:pPr>
            <w:r w:rsidRPr="007D1918">
              <w:rPr>
                <w:snapToGrid w:val="0"/>
              </w:rPr>
              <w:t>1.00 ± 0.71</w:t>
            </w:r>
          </w:p>
        </w:tc>
        <w:tc>
          <w:tcPr>
            <w:tcW w:w="971" w:type="pct"/>
            <w:shd w:val="clear" w:color="auto" w:fill="auto"/>
          </w:tcPr>
          <w:p w14:paraId="6B9E25E7" w14:textId="2B5E007B" w:rsidR="00FB4696" w:rsidRPr="007D1918" w:rsidRDefault="00FB4696" w:rsidP="00F4531B">
            <w:pPr>
              <w:pStyle w:val="TableText0"/>
              <w:keepLines/>
              <w:rPr>
                <w:snapToGrid w:val="0"/>
              </w:rPr>
            </w:pPr>
            <w:r w:rsidRPr="007D1918">
              <w:rPr>
                <w:snapToGrid w:val="0"/>
              </w:rPr>
              <w:t>P = 0.55</w:t>
            </w:r>
          </w:p>
        </w:tc>
      </w:tr>
    </w:tbl>
    <w:p w14:paraId="512B283C" w14:textId="7FB36EEB" w:rsidR="001B18BA" w:rsidRPr="007D1918" w:rsidRDefault="001B18BA" w:rsidP="001B18BA">
      <w:pPr>
        <w:pStyle w:val="Tablenotes0"/>
        <w:spacing w:after="80"/>
        <w:contextualSpacing w:val="0"/>
      </w:pPr>
      <w:r w:rsidRPr="007D1918">
        <w:t>IVIg = intravenous immunoglobulin therapy; PE = plasma exchange therapy</w:t>
      </w:r>
    </w:p>
    <w:p w14:paraId="5B9AE8CB" w14:textId="3C11F35A" w:rsidR="006B7DCE" w:rsidRPr="007D1918" w:rsidRDefault="00FB4696" w:rsidP="00E6429D">
      <w:pPr>
        <w:pStyle w:val="Tablenotes0"/>
      </w:pPr>
      <w:r w:rsidRPr="007D1918">
        <w:rPr>
          <w:vertAlign w:val="superscript"/>
        </w:rPr>
        <w:t>a</w:t>
      </w:r>
      <w:r w:rsidRPr="007D1918">
        <w:t xml:space="preserve"> </w:t>
      </w:r>
      <w:r w:rsidR="00E403A6" w:rsidRPr="007D1918">
        <w:t>Osserman</w:t>
      </w:r>
      <w:r w:rsidR="008E4208" w:rsidRPr="007D1918">
        <w:t xml:space="preserve"> grade considered as a continuous variable</w:t>
      </w:r>
    </w:p>
    <w:p w14:paraId="73ED8AB2" w14:textId="459DEA93" w:rsidR="00C109B9" w:rsidRPr="007D1918" w:rsidRDefault="00C109B9" w:rsidP="00A14C6E">
      <w:pPr>
        <w:pStyle w:val="Tablenotes0"/>
        <w:spacing w:after="0"/>
      </w:pPr>
      <w:r w:rsidRPr="007D1918">
        <w:rPr>
          <w:vertAlign w:val="superscript"/>
        </w:rPr>
        <w:t>b</w:t>
      </w:r>
      <w:r w:rsidRPr="007D1918">
        <w:t xml:space="preserve"> Comparisons were made using contingency table analyses</w:t>
      </w:r>
    </w:p>
    <w:p w14:paraId="304D9F03" w14:textId="77777777" w:rsidR="008E4208" w:rsidRPr="007D1918" w:rsidRDefault="008E4208" w:rsidP="00A14C6E">
      <w:pPr>
        <w:pStyle w:val="Tabletext1"/>
      </w:pPr>
    </w:p>
    <w:p w14:paraId="60E199CC" w14:textId="390C2C9C" w:rsidR="006B7DCE" w:rsidRPr="007D1918" w:rsidRDefault="006B7DCE" w:rsidP="006B7DCE">
      <w:pPr>
        <w:pStyle w:val="Heading4"/>
      </w:pPr>
      <w:r w:rsidRPr="007D1918">
        <w:t>Change in Quality of Life</w:t>
      </w:r>
      <w:r w:rsidR="00210033" w:rsidRPr="007D1918">
        <w:t xml:space="preserve"> for patients receiving IVIg or PE therapy</w:t>
      </w:r>
    </w:p>
    <w:p w14:paraId="49D61015" w14:textId="2305C3FF" w:rsidR="006B7DCE" w:rsidRPr="007D1918" w:rsidRDefault="00F93BE3" w:rsidP="005205A5">
      <w:pPr>
        <w:jc w:val="both"/>
      </w:pPr>
      <w:r w:rsidRPr="007D1918">
        <w:t>The study by Jensen et al reported on the patients’ perceived benefit from the treatment they received</w:t>
      </w:r>
      <w:r w:rsidR="00FD6332" w:rsidRPr="007D1918">
        <w:t xml:space="preserve"> </w:t>
      </w:r>
      <w:r w:rsidR="0075212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 </w:instrText>
      </w:r>
      <w:r w:rsidR="00C437B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56" w:tooltip="Jensen, 2008 #13" w:history="1">
        <w:r w:rsidR="007D4948" w:rsidRPr="007D1918">
          <w:rPr>
            <w:noProof/>
          </w:rPr>
          <w:t>Jensen &amp; Bril 2008</w:t>
        </w:r>
      </w:hyperlink>
      <w:r w:rsidR="0075212A" w:rsidRPr="007D1918">
        <w:rPr>
          <w:noProof/>
        </w:rPr>
        <w:t>)</w:t>
      </w:r>
      <w:r w:rsidR="0075212A" w:rsidRPr="007D1918">
        <w:fldChar w:fldCharType="end"/>
      </w:r>
      <w:r w:rsidRPr="007D1918">
        <w:t>.</w:t>
      </w:r>
      <w:r w:rsidR="00D656D1" w:rsidRPr="007D1918">
        <w:t xml:space="preserve"> </w:t>
      </w:r>
      <w:r w:rsidR="00FD6332" w:rsidRPr="007D1918">
        <w:t xml:space="preserve">Because this was a subjective patient benefit, it was included as a quality of life outcome. Four out of nine patients in the IVIg treatment group reported no benefit, whereas all nine patients in the PE group reported some benefit. There was </w:t>
      </w:r>
      <w:r w:rsidR="00721F54" w:rsidRPr="007D1918">
        <w:t>a</w:t>
      </w:r>
      <w:r w:rsidR="00FD6332" w:rsidRPr="007D1918">
        <w:t xml:space="preserve"> statistical</w:t>
      </w:r>
      <w:r w:rsidR="001B7D3C" w:rsidRPr="007D1918">
        <w:t>ly significant</w:t>
      </w:r>
      <w:r w:rsidR="00FD6332" w:rsidRPr="007D1918">
        <w:t xml:space="preserve"> difference between groups </w:t>
      </w:r>
      <w:r w:rsidR="00721F54" w:rsidRPr="007D1918">
        <w:t xml:space="preserve">favouring PE </w:t>
      </w:r>
      <w:r w:rsidR="00FD6332" w:rsidRPr="007D1918">
        <w:t>(</w:t>
      </w:r>
      <w:r w:rsidR="00FD6332" w:rsidRPr="007D1918">
        <w:fldChar w:fldCharType="begin"/>
      </w:r>
      <w:r w:rsidR="00FD6332" w:rsidRPr="007D1918">
        <w:instrText xml:space="preserve"> REF _Ref8734681 \h </w:instrText>
      </w:r>
      <w:r w:rsidR="005205A5" w:rsidRPr="007D1918">
        <w:instrText xml:space="preserve"> \* MERGEFORMAT </w:instrText>
      </w:r>
      <w:r w:rsidR="00FD6332" w:rsidRPr="007D1918">
        <w:fldChar w:fldCharType="separate"/>
      </w:r>
      <w:r w:rsidR="00153384" w:rsidRPr="007D1918">
        <w:t xml:space="preserve">Table </w:t>
      </w:r>
      <w:r w:rsidR="00153384" w:rsidRPr="007D1918">
        <w:rPr>
          <w:noProof/>
        </w:rPr>
        <w:t>34</w:t>
      </w:r>
      <w:r w:rsidR="00FD6332" w:rsidRPr="007D1918">
        <w:fldChar w:fldCharType="end"/>
      </w:r>
      <w:r w:rsidR="00FD6332" w:rsidRPr="007D1918">
        <w:t xml:space="preserve">). </w:t>
      </w:r>
      <w:r w:rsidR="000860FF" w:rsidRPr="007D1918">
        <w:t>The perceived benefit of IVIg or PE was likely to have been impacted by the surgery but this was not discussed by the authors.</w:t>
      </w:r>
    </w:p>
    <w:p w14:paraId="2B520DE4" w14:textId="1637E894" w:rsidR="00F93BE3" w:rsidRPr="007D1918" w:rsidRDefault="00F93BE3" w:rsidP="00F93BE3">
      <w:pPr>
        <w:pStyle w:val="Caption"/>
        <w:keepNext/>
        <w:keepLines/>
      </w:pPr>
      <w:bookmarkStart w:id="268" w:name="_Ref8734681"/>
      <w:bookmarkStart w:id="269" w:name="_Toc23769521"/>
      <w:r w:rsidRPr="007D1918">
        <w:t xml:space="preserve">Table </w:t>
      </w:r>
      <w:r w:rsidR="0048203E" w:rsidRPr="007D1918">
        <w:rPr>
          <w:noProof/>
        </w:rPr>
        <w:fldChar w:fldCharType="begin"/>
      </w:r>
      <w:r w:rsidR="0048203E" w:rsidRPr="007D1918">
        <w:rPr>
          <w:noProof/>
        </w:rPr>
        <w:instrText xml:space="preserve"> SEQ Table \* ARABIC </w:instrText>
      </w:r>
      <w:r w:rsidR="0048203E" w:rsidRPr="007D1918">
        <w:rPr>
          <w:noProof/>
        </w:rPr>
        <w:fldChar w:fldCharType="separate"/>
      </w:r>
      <w:r w:rsidR="00942701" w:rsidRPr="007D1918">
        <w:rPr>
          <w:noProof/>
        </w:rPr>
        <w:t>34</w:t>
      </w:r>
      <w:r w:rsidR="0048203E" w:rsidRPr="007D1918">
        <w:rPr>
          <w:noProof/>
        </w:rPr>
        <w:fldChar w:fldCharType="end"/>
      </w:r>
      <w:bookmarkEnd w:id="268"/>
      <w:r w:rsidRPr="007D1918">
        <w:tab/>
      </w:r>
      <w:r w:rsidR="001359FA" w:rsidRPr="007D1918">
        <w:t>Thymectomy patients’ perceived benefit</w:t>
      </w:r>
      <w:r w:rsidRPr="007D1918">
        <w:t xml:space="preserve"> </w:t>
      </w:r>
      <w:r w:rsidR="001359FA" w:rsidRPr="007D1918">
        <w:t>when</w:t>
      </w:r>
      <w:r w:rsidRPr="007D1918">
        <w:t xml:space="preserve"> treated with IVIg or PE</w:t>
      </w:r>
      <w:r w:rsidR="00C109B9" w:rsidRPr="007D1918">
        <w:t xml:space="preserve"> </w:t>
      </w:r>
      <w:r w:rsidR="0075212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 </w:instrText>
      </w:r>
      <w:r w:rsidR="00C437BA" w:rsidRPr="007D1918">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56" w:tooltip="Jensen, 2008 #13" w:history="1">
        <w:r w:rsidR="007D4948" w:rsidRPr="007D1918">
          <w:rPr>
            <w:noProof/>
          </w:rPr>
          <w:t>Jensen &amp; Bril 2008</w:t>
        </w:r>
      </w:hyperlink>
      <w:r w:rsidR="0075212A" w:rsidRPr="007D1918">
        <w:rPr>
          <w:noProof/>
        </w:rPr>
        <w:t>)</w:t>
      </w:r>
      <w:bookmarkEnd w:id="269"/>
      <w:r w:rsidR="0075212A" w:rsidRPr="007D1918">
        <w:fldChar w:fldCharType="end"/>
      </w:r>
    </w:p>
    <w:tbl>
      <w:tblPr>
        <w:tblW w:w="4856"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2 Thymectomy patients’ perceived benefit when treated with IVIg or PE (Jensen &amp; Bril 2008)"/>
        <w:tblDescription w:val="Perceived benefit measured by subjective assessment of IVIg or PE treatment in patients undergoing thymectomy (Indication 2)."/>
      </w:tblPr>
      <w:tblGrid>
        <w:gridCol w:w="2237"/>
        <w:gridCol w:w="1842"/>
        <w:gridCol w:w="2126"/>
        <w:gridCol w:w="2551"/>
      </w:tblGrid>
      <w:tr w:rsidR="00F93BE3" w:rsidRPr="007D1918" w14:paraId="6ECAD7A3" w14:textId="77777777" w:rsidTr="00AF3B22">
        <w:tc>
          <w:tcPr>
            <w:tcW w:w="1277" w:type="pct"/>
          </w:tcPr>
          <w:p w14:paraId="05EBB97A" w14:textId="77777777" w:rsidR="00F93BE3" w:rsidRPr="007D1918" w:rsidRDefault="00F93BE3" w:rsidP="00F4531B">
            <w:pPr>
              <w:pStyle w:val="TableHeading"/>
              <w:keepLines/>
              <w:rPr>
                <w:snapToGrid w:val="0"/>
                <w:lang w:eastAsia="en-US"/>
              </w:rPr>
            </w:pPr>
            <w:r w:rsidRPr="007D1918">
              <w:rPr>
                <w:snapToGrid w:val="0"/>
                <w:lang w:eastAsia="en-US"/>
              </w:rPr>
              <w:t>Measure</w:t>
            </w:r>
          </w:p>
        </w:tc>
        <w:tc>
          <w:tcPr>
            <w:tcW w:w="1052" w:type="pct"/>
            <w:shd w:val="clear" w:color="auto" w:fill="auto"/>
          </w:tcPr>
          <w:p w14:paraId="3F372209" w14:textId="77777777" w:rsidR="00F93BE3" w:rsidRPr="007D1918" w:rsidRDefault="00F93BE3" w:rsidP="00F4531B">
            <w:pPr>
              <w:pStyle w:val="TableHeading"/>
              <w:keepLines/>
              <w:rPr>
                <w:snapToGrid w:val="0"/>
                <w:lang w:eastAsia="en-US"/>
              </w:rPr>
            </w:pPr>
            <w:r w:rsidRPr="007D1918">
              <w:rPr>
                <w:snapToGrid w:val="0"/>
                <w:lang w:eastAsia="en-US"/>
              </w:rPr>
              <w:t xml:space="preserve">IVIg </w:t>
            </w:r>
          </w:p>
        </w:tc>
        <w:tc>
          <w:tcPr>
            <w:tcW w:w="1214" w:type="pct"/>
            <w:shd w:val="clear" w:color="auto" w:fill="auto"/>
          </w:tcPr>
          <w:p w14:paraId="41218D42" w14:textId="77777777" w:rsidR="00F93BE3" w:rsidRPr="007D1918" w:rsidRDefault="00F93BE3" w:rsidP="00F4531B">
            <w:pPr>
              <w:pStyle w:val="TableHeading"/>
              <w:keepLines/>
              <w:rPr>
                <w:snapToGrid w:val="0"/>
                <w:lang w:eastAsia="en-US"/>
              </w:rPr>
            </w:pPr>
            <w:r w:rsidRPr="007D1918">
              <w:rPr>
                <w:snapToGrid w:val="0"/>
                <w:lang w:eastAsia="en-US"/>
              </w:rPr>
              <w:t xml:space="preserve">PE </w:t>
            </w:r>
          </w:p>
        </w:tc>
        <w:tc>
          <w:tcPr>
            <w:tcW w:w="1457" w:type="pct"/>
            <w:shd w:val="clear" w:color="auto" w:fill="auto"/>
          </w:tcPr>
          <w:p w14:paraId="0E38A802" w14:textId="77777777" w:rsidR="00F93BE3" w:rsidRPr="007D1918" w:rsidRDefault="00F93BE3" w:rsidP="00F4531B">
            <w:pPr>
              <w:pStyle w:val="TableHeading"/>
              <w:keepLines/>
              <w:rPr>
                <w:snapToGrid w:val="0"/>
                <w:lang w:eastAsia="en-US"/>
              </w:rPr>
            </w:pPr>
            <w:r w:rsidRPr="007D1918">
              <w:rPr>
                <w:snapToGrid w:val="0"/>
                <w:lang w:eastAsia="en-US"/>
              </w:rPr>
              <w:t>Overall effect</w:t>
            </w:r>
          </w:p>
          <w:p w14:paraId="3F34FC96" w14:textId="392B8AB7" w:rsidR="00721F54" w:rsidRPr="007D1918" w:rsidRDefault="00721F54" w:rsidP="00F4531B">
            <w:pPr>
              <w:pStyle w:val="TableHeading"/>
              <w:keepLines/>
              <w:rPr>
                <w:snapToGrid w:val="0"/>
                <w:lang w:eastAsia="en-US"/>
              </w:rPr>
            </w:pPr>
            <w:r w:rsidRPr="007D1918">
              <w:rPr>
                <w:snapToGrid w:val="0"/>
                <w:lang w:eastAsia="en-US"/>
              </w:rPr>
              <w:t>P value (</w:t>
            </w:r>
            <w:r w:rsidR="00781376" w:rsidRPr="007D1918">
              <w:rPr>
                <w:snapToGrid w:val="0"/>
                <w:lang w:eastAsia="en-US"/>
              </w:rPr>
              <w:t>95% CI</w:t>
            </w:r>
            <w:r w:rsidRPr="007D1918">
              <w:rPr>
                <w:snapToGrid w:val="0"/>
                <w:lang w:eastAsia="en-US"/>
              </w:rPr>
              <w:t>)</w:t>
            </w:r>
            <w:r w:rsidRPr="007D1918">
              <w:rPr>
                <w:snapToGrid w:val="0"/>
                <w:vertAlign w:val="superscript"/>
                <w:lang w:eastAsia="en-US"/>
              </w:rPr>
              <w:t>a</w:t>
            </w:r>
          </w:p>
        </w:tc>
      </w:tr>
      <w:tr w:rsidR="00F93BE3" w:rsidRPr="007D1918" w14:paraId="213AC8D9" w14:textId="77777777" w:rsidTr="00AF3B22">
        <w:tc>
          <w:tcPr>
            <w:tcW w:w="1277" w:type="pct"/>
          </w:tcPr>
          <w:p w14:paraId="76BF7D8D" w14:textId="44E7879E" w:rsidR="00F93BE3" w:rsidRPr="007D1918" w:rsidRDefault="001359FA" w:rsidP="00F4531B">
            <w:pPr>
              <w:pStyle w:val="TableText0"/>
              <w:keepLines/>
              <w:rPr>
                <w:snapToGrid w:val="0"/>
                <w:vertAlign w:val="superscript"/>
              </w:rPr>
            </w:pPr>
            <w:r w:rsidRPr="007D1918">
              <w:rPr>
                <w:snapToGrid w:val="0"/>
              </w:rPr>
              <w:t>Some improvement</w:t>
            </w:r>
          </w:p>
        </w:tc>
        <w:tc>
          <w:tcPr>
            <w:tcW w:w="1052" w:type="pct"/>
            <w:shd w:val="clear" w:color="auto" w:fill="auto"/>
          </w:tcPr>
          <w:p w14:paraId="2B407572" w14:textId="1659BF00" w:rsidR="00F93BE3" w:rsidRPr="007D1918" w:rsidRDefault="001359FA" w:rsidP="00F4531B">
            <w:pPr>
              <w:pStyle w:val="TableText0"/>
              <w:keepLines/>
              <w:rPr>
                <w:snapToGrid w:val="0"/>
              </w:rPr>
            </w:pPr>
            <w:r w:rsidRPr="007D1918">
              <w:rPr>
                <w:snapToGrid w:val="0"/>
              </w:rPr>
              <w:t>5</w:t>
            </w:r>
            <w:r w:rsidR="00C109B9" w:rsidRPr="007D1918">
              <w:rPr>
                <w:snapToGrid w:val="0"/>
              </w:rPr>
              <w:t>/9 (56%)</w:t>
            </w:r>
          </w:p>
        </w:tc>
        <w:tc>
          <w:tcPr>
            <w:tcW w:w="1214" w:type="pct"/>
            <w:shd w:val="clear" w:color="auto" w:fill="auto"/>
          </w:tcPr>
          <w:p w14:paraId="62E66D8E" w14:textId="2EB8CB8E" w:rsidR="00F93BE3" w:rsidRPr="007D1918" w:rsidRDefault="001359FA" w:rsidP="00F4531B">
            <w:pPr>
              <w:pStyle w:val="TableText0"/>
              <w:keepLines/>
              <w:rPr>
                <w:snapToGrid w:val="0"/>
              </w:rPr>
            </w:pPr>
            <w:r w:rsidRPr="007D1918">
              <w:rPr>
                <w:snapToGrid w:val="0"/>
              </w:rPr>
              <w:t>9</w:t>
            </w:r>
            <w:r w:rsidR="00C109B9" w:rsidRPr="007D1918">
              <w:rPr>
                <w:snapToGrid w:val="0"/>
              </w:rPr>
              <w:t>/9 (100%)</w:t>
            </w:r>
          </w:p>
        </w:tc>
        <w:tc>
          <w:tcPr>
            <w:tcW w:w="1457" w:type="pct"/>
            <w:shd w:val="clear" w:color="auto" w:fill="auto"/>
          </w:tcPr>
          <w:p w14:paraId="3D05C3F1" w14:textId="3FA283FC" w:rsidR="00F93BE3" w:rsidRPr="007D1918" w:rsidRDefault="00F93BE3" w:rsidP="00721F54">
            <w:pPr>
              <w:pStyle w:val="TableText0"/>
              <w:keepLines/>
              <w:rPr>
                <w:snapToGrid w:val="0"/>
              </w:rPr>
            </w:pPr>
            <w:r w:rsidRPr="007D1918">
              <w:rPr>
                <w:snapToGrid w:val="0"/>
              </w:rPr>
              <w:t xml:space="preserve">P = </w:t>
            </w:r>
            <w:r w:rsidR="00721F54" w:rsidRPr="007D1918">
              <w:rPr>
                <w:snapToGrid w:val="0"/>
              </w:rPr>
              <w:t xml:space="preserve">0.029 (4.75%, 73.0%) </w:t>
            </w:r>
          </w:p>
        </w:tc>
      </w:tr>
      <w:tr w:rsidR="00F93BE3" w:rsidRPr="007D1918" w14:paraId="0EC72082" w14:textId="77777777" w:rsidTr="00AF3B22">
        <w:tc>
          <w:tcPr>
            <w:tcW w:w="1277" w:type="pct"/>
          </w:tcPr>
          <w:p w14:paraId="6737ED91" w14:textId="763AF1E1" w:rsidR="00F93BE3" w:rsidRPr="007D1918" w:rsidRDefault="001359FA" w:rsidP="001359FA">
            <w:pPr>
              <w:pStyle w:val="TableText0"/>
              <w:keepLines/>
              <w:rPr>
                <w:snapToGrid w:val="0"/>
                <w:vertAlign w:val="superscript"/>
              </w:rPr>
            </w:pPr>
            <w:r w:rsidRPr="007D1918">
              <w:rPr>
                <w:snapToGrid w:val="0"/>
              </w:rPr>
              <w:t>No benefit</w:t>
            </w:r>
          </w:p>
        </w:tc>
        <w:tc>
          <w:tcPr>
            <w:tcW w:w="1052" w:type="pct"/>
            <w:shd w:val="clear" w:color="auto" w:fill="auto"/>
          </w:tcPr>
          <w:p w14:paraId="67A1D17A" w14:textId="0C0132A7" w:rsidR="00F93BE3" w:rsidRPr="007D1918" w:rsidRDefault="001359FA" w:rsidP="00F4531B">
            <w:pPr>
              <w:pStyle w:val="TableText0"/>
              <w:keepLines/>
              <w:rPr>
                <w:snapToGrid w:val="0"/>
              </w:rPr>
            </w:pPr>
            <w:r w:rsidRPr="007D1918">
              <w:rPr>
                <w:snapToGrid w:val="0"/>
              </w:rPr>
              <w:t>4</w:t>
            </w:r>
            <w:r w:rsidR="00C109B9" w:rsidRPr="007D1918">
              <w:rPr>
                <w:snapToGrid w:val="0"/>
              </w:rPr>
              <w:t>/9 (44%)</w:t>
            </w:r>
          </w:p>
        </w:tc>
        <w:tc>
          <w:tcPr>
            <w:tcW w:w="1214" w:type="pct"/>
            <w:shd w:val="clear" w:color="auto" w:fill="auto"/>
          </w:tcPr>
          <w:p w14:paraId="45EE348C" w14:textId="0FCDB0E7" w:rsidR="00F93BE3" w:rsidRPr="007D1918" w:rsidRDefault="001359FA" w:rsidP="00F4531B">
            <w:pPr>
              <w:pStyle w:val="TableText0"/>
              <w:keepLines/>
              <w:rPr>
                <w:snapToGrid w:val="0"/>
              </w:rPr>
            </w:pPr>
            <w:r w:rsidRPr="007D1918">
              <w:rPr>
                <w:snapToGrid w:val="0"/>
              </w:rPr>
              <w:t>0</w:t>
            </w:r>
            <w:r w:rsidR="00C109B9" w:rsidRPr="007D1918">
              <w:rPr>
                <w:snapToGrid w:val="0"/>
              </w:rPr>
              <w:t xml:space="preserve">/9 </w:t>
            </w:r>
          </w:p>
        </w:tc>
        <w:tc>
          <w:tcPr>
            <w:tcW w:w="1457" w:type="pct"/>
            <w:shd w:val="clear" w:color="auto" w:fill="auto"/>
          </w:tcPr>
          <w:p w14:paraId="5E62C908" w14:textId="1A44221B" w:rsidR="00F93BE3" w:rsidRPr="007D1918" w:rsidRDefault="00F93BE3" w:rsidP="00721F54">
            <w:pPr>
              <w:pStyle w:val="TableText0"/>
              <w:keepLines/>
              <w:rPr>
                <w:snapToGrid w:val="0"/>
              </w:rPr>
            </w:pPr>
            <w:r w:rsidRPr="007D1918">
              <w:rPr>
                <w:snapToGrid w:val="0"/>
              </w:rPr>
              <w:t>P = 0.</w:t>
            </w:r>
            <w:r w:rsidR="00721F54" w:rsidRPr="007D1918">
              <w:rPr>
                <w:snapToGrid w:val="0"/>
              </w:rPr>
              <w:t>029 (4.75%, 73.0%)</w:t>
            </w:r>
          </w:p>
        </w:tc>
      </w:tr>
    </w:tbl>
    <w:p w14:paraId="70C5C157" w14:textId="1D2AB493" w:rsidR="00C109B9" w:rsidRPr="007D1918" w:rsidRDefault="00C109B9" w:rsidP="001B18BA">
      <w:pPr>
        <w:pStyle w:val="Tablenotes0"/>
        <w:spacing w:after="80"/>
        <w:contextualSpacing w:val="0"/>
      </w:pPr>
      <w:r w:rsidRPr="007D1918">
        <w:t>IVIg = intravenous immunoglobulin therapy;</w:t>
      </w:r>
      <w:r w:rsidR="00721F54" w:rsidRPr="007D1918">
        <w:t xml:space="preserve"> PE = plasma exchange therapy</w:t>
      </w:r>
    </w:p>
    <w:p w14:paraId="466B4B0B" w14:textId="5BA53A00" w:rsidR="00721F54" w:rsidRPr="007D1918" w:rsidRDefault="00721F54" w:rsidP="005A2FC5">
      <w:pPr>
        <w:pStyle w:val="Tablenotes0"/>
        <w:spacing w:after="0"/>
      </w:pPr>
      <w:r w:rsidRPr="007D1918">
        <w:rPr>
          <w:vertAlign w:val="superscript"/>
        </w:rPr>
        <w:t>a</w:t>
      </w:r>
      <w:r w:rsidRPr="007D1918">
        <w:t xml:space="preserve"> Chi-squared test, MedCalc online calculator</w:t>
      </w:r>
    </w:p>
    <w:p w14:paraId="3433E1D4" w14:textId="77777777" w:rsidR="006B7DCE" w:rsidRPr="007D1918" w:rsidRDefault="006B7DCE" w:rsidP="005A2FC5">
      <w:pPr>
        <w:pStyle w:val="Tabletext1"/>
      </w:pPr>
    </w:p>
    <w:p w14:paraId="456B4095" w14:textId="77777777" w:rsidR="006B7DCE" w:rsidRPr="007D1918" w:rsidRDefault="006B7DCE" w:rsidP="006B7DCE">
      <w:pPr>
        <w:pStyle w:val="Heading4"/>
      </w:pPr>
      <w:r w:rsidRPr="007D1918">
        <w:t>Rate of remission</w:t>
      </w:r>
    </w:p>
    <w:p w14:paraId="3E99614E" w14:textId="3E59DD7C" w:rsidR="006B7DCE" w:rsidRPr="007D1918" w:rsidRDefault="00AB58A3" w:rsidP="005A2FC5">
      <w:pPr>
        <w:spacing w:after="0"/>
      </w:pPr>
      <w:r w:rsidRPr="007D1918">
        <w:t>There were no studies reported on remission rate in patients with MG undergoing surgery.</w:t>
      </w:r>
    </w:p>
    <w:p w14:paraId="5A081512" w14:textId="62FB74C4" w:rsidR="006B7DCE" w:rsidRPr="007D1918" w:rsidRDefault="006B7DCE" w:rsidP="005A2FC5">
      <w:pPr>
        <w:pStyle w:val="Heading4"/>
      </w:pPr>
      <w:r w:rsidRPr="007D1918">
        <w:t>Disease stability</w:t>
      </w:r>
      <w:r w:rsidR="00E53B95" w:rsidRPr="007D1918">
        <w:t xml:space="preserve"> and need for ventilation </w:t>
      </w:r>
      <w:r w:rsidR="00AB58A3" w:rsidRPr="007D1918">
        <w:t>post-surgery</w:t>
      </w:r>
      <w:r w:rsidR="00210033" w:rsidRPr="007D1918">
        <w:t xml:space="preserve"> for patients receiving IVIg or PE therapy</w:t>
      </w:r>
    </w:p>
    <w:p w14:paraId="690E6E44" w14:textId="6054C0F7" w:rsidR="00D92E60" w:rsidRPr="007D1918" w:rsidRDefault="00827FB0" w:rsidP="007B4144">
      <w:pPr>
        <w:jc w:val="both"/>
      </w:pPr>
      <w:r w:rsidRPr="007D1918">
        <w:t xml:space="preserve">The RCT by Alipour-Faz et al </w:t>
      </w:r>
      <w:r w:rsidR="00F91F48" w:rsidRPr="007D1918">
        <w:fldChar w:fldCharType="begin"/>
      </w:r>
      <w:r w:rsidR="00F91F48"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F91F48" w:rsidRPr="007D1918">
        <w:fldChar w:fldCharType="separate"/>
      </w:r>
      <w:r w:rsidR="00F91F48" w:rsidRPr="007D1918">
        <w:rPr>
          <w:noProof/>
        </w:rPr>
        <w:t>(</w:t>
      </w:r>
      <w:hyperlink w:anchor="_ENREF_4" w:tooltip="Alipour-Faz, 2017 #64" w:history="1">
        <w:r w:rsidR="007D4948" w:rsidRPr="007D1918">
          <w:rPr>
            <w:noProof/>
          </w:rPr>
          <w:t>Alipour-Faz et al. 2017</w:t>
        </w:r>
      </w:hyperlink>
      <w:r w:rsidR="00F91F48" w:rsidRPr="007D1918">
        <w:rPr>
          <w:noProof/>
        </w:rPr>
        <w:t>)</w:t>
      </w:r>
      <w:r w:rsidR="00F91F48" w:rsidRPr="007D1918">
        <w:fldChar w:fldCharType="end"/>
      </w:r>
      <w:r w:rsidR="00D92E60" w:rsidRPr="007D1918">
        <w:t xml:space="preserve"> compared the </w:t>
      </w:r>
      <w:r w:rsidR="002E7E54" w:rsidRPr="007D1918">
        <w:t xml:space="preserve">number of patients intubated post-operatively and the median </w:t>
      </w:r>
      <w:r w:rsidR="00D92E60" w:rsidRPr="007D1918">
        <w:t>intubation period following surgery between IVIg and PE patients. Another related outcome reported in this study was the number of</w:t>
      </w:r>
      <w:r w:rsidR="001B7D3C" w:rsidRPr="007D1918">
        <w:t xml:space="preserve"> post-operative myasthenic crise</w:t>
      </w:r>
      <w:r w:rsidR="00D92E60" w:rsidRPr="007D1918">
        <w:t xml:space="preserve">s. These outcomes are reported in </w:t>
      </w:r>
      <w:r w:rsidR="00D92E60" w:rsidRPr="007D1918">
        <w:fldChar w:fldCharType="begin"/>
      </w:r>
      <w:r w:rsidR="00D92E60" w:rsidRPr="007D1918">
        <w:instrText xml:space="preserve"> REF _Ref8735226 \h </w:instrText>
      </w:r>
      <w:r w:rsidR="007B4144" w:rsidRPr="007D1918">
        <w:instrText xml:space="preserve"> \* MERGEFORMAT </w:instrText>
      </w:r>
      <w:r w:rsidR="00D92E60" w:rsidRPr="007D1918">
        <w:fldChar w:fldCharType="separate"/>
      </w:r>
      <w:r w:rsidR="00153384" w:rsidRPr="007D1918">
        <w:t xml:space="preserve">Table </w:t>
      </w:r>
      <w:r w:rsidR="00153384" w:rsidRPr="007D1918">
        <w:rPr>
          <w:noProof/>
        </w:rPr>
        <w:t>35</w:t>
      </w:r>
      <w:r w:rsidR="00D92E60" w:rsidRPr="007D1918">
        <w:fldChar w:fldCharType="end"/>
      </w:r>
      <w:r w:rsidR="002E7E54" w:rsidRPr="007D1918">
        <w:t xml:space="preserve">. There was a significant difference favouring IVIg for </w:t>
      </w:r>
      <w:r w:rsidR="00190C42" w:rsidRPr="007D1918">
        <w:t xml:space="preserve">the </w:t>
      </w:r>
      <w:r w:rsidR="002E7E54" w:rsidRPr="007D1918">
        <w:t xml:space="preserve">number of patients intubated and </w:t>
      </w:r>
      <w:r w:rsidR="00190C42" w:rsidRPr="007D1918">
        <w:t xml:space="preserve">the </w:t>
      </w:r>
      <w:r w:rsidR="002E7E54" w:rsidRPr="007D1918">
        <w:t xml:space="preserve">median intubation period postoperatively. The cases of crises were related to the occurrence of pneumonia after surgery. </w:t>
      </w:r>
      <w:r w:rsidR="000860FF" w:rsidRPr="007D1918">
        <w:t>However, t</w:t>
      </w:r>
      <w:r w:rsidR="002E7E54" w:rsidRPr="007D1918">
        <w:t xml:space="preserve">he number of patients in this study are too small to make strong conclusions about IVIg compared to </w:t>
      </w:r>
      <w:r w:rsidR="007B4144" w:rsidRPr="007D1918">
        <w:t xml:space="preserve">PE. </w:t>
      </w:r>
    </w:p>
    <w:p w14:paraId="69A9105A" w14:textId="4F680BBC" w:rsidR="00D92E60" w:rsidRPr="007D1918" w:rsidRDefault="00D92E60" w:rsidP="001B18BA">
      <w:pPr>
        <w:pStyle w:val="Caption"/>
        <w:keepNext/>
        <w:keepLines/>
        <w:ind w:left="1134" w:hanging="1134"/>
      </w:pPr>
      <w:bookmarkStart w:id="270" w:name="_Ref8735226"/>
      <w:bookmarkStart w:id="271" w:name="_Toc23769522"/>
      <w:r w:rsidRPr="007D1918">
        <w:t xml:space="preserve">Table </w:t>
      </w:r>
      <w:r w:rsidR="0048203E" w:rsidRPr="007D1918">
        <w:rPr>
          <w:noProof/>
        </w:rPr>
        <w:fldChar w:fldCharType="begin"/>
      </w:r>
      <w:r w:rsidR="0048203E" w:rsidRPr="007D1918">
        <w:rPr>
          <w:noProof/>
        </w:rPr>
        <w:instrText xml:space="preserve"> SEQ Table \* ARABIC </w:instrText>
      </w:r>
      <w:r w:rsidR="0048203E" w:rsidRPr="007D1918">
        <w:rPr>
          <w:noProof/>
        </w:rPr>
        <w:fldChar w:fldCharType="separate"/>
      </w:r>
      <w:r w:rsidR="00942701" w:rsidRPr="007D1918">
        <w:rPr>
          <w:noProof/>
        </w:rPr>
        <w:t>35</w:t>
      </w:r>
      <w:r w:rsidR="0048203E" w:rsidRPr="007D1918">
        <w:rPr>
          <w:noProof/>
        </w:rPr>
        <w:fldChar w:fldCharType="end"/>
      </w:r>
      <w:bookmarkEnd w:id="270"/>
      <w:r w:rsidRPr="007D1918">
        <w:tab/>
        <w:t>Intubation period and number of myasthenic crises in thymectomy patients treated with IVIg or PE</w:t>
      </w:r>
      <w:r w:rsidR="00721F54" w:rsidRPr="007D1918">
        <w:t xml:space="preserve"> </w:t>
      </w:r>
      <w:r w:rsidR="0075212A" w:rsidRPr="007D1918">
        <w:fldChar w:fldCharType="begin"/>
      </w:r>
      <w:r w:rsidR="00C437BA"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00C437BA" w:rsidRPr="007D1918">
        <w:rPr>
          <w:rFonts w:ascii="Cambria Math" w:hAnsi="Cambria Math" w:cs="Cambria Math"/>
        </w:rPr>
        <w:instrText>‐</w:instrText>
      </w:r>
      <w:r w:rsidR="00C437BA" w:rsidRPr="007D1918">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75212A" w:rsidRPr="007D1918">
        <w:fldChar w:fldCharType="separate"/>
      </w:r>
      <w:r w:rsidR="0075212A" w:rsidRPr="007D1918">
        <w:rPr>
          <w:noProof/>
        </w:rPr>
        <w:t>(</w:t>
      </w:r>
      <w:hyperlink w:anchor="_ENREF_4" w:tooltip="Alipour-Faz, 2017 #64" w:history="1">
        <w:r w:rsidR="007D4948" w:rsidRPr="007D1918">
          <w:rPr>
            <w:noProof/>
          </w:rPr>
          <w:t>Alipour-Faz et al. 2017</w:t>
        </w:r>
      </w:hyperlink>
      <w:r w:rsidR="0075212A" w:rsidRPr="007D1918">
        <w:rPr>
          <w:noProof/>
        </w:rPr>
        <w:t>)</w:t>
      </w:r>
      <w:bookmarkEnd w:id="271"/>
      <w:r w:rsidR="0075212A" w:rsidRPr="007D1918">
        <w:fldChar w:fldCharType="end"/>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3 Intubation period and number of myasthenic crises in thymectomy patients treated with IVIg or PE (Alipour-Faz et al. 2017)"/>
        <w:tblDescription w:val="Disease stability and post-operative ventilation needs measured by median intubation hours, number of patients inubated post-operatively, and number of patients with myasthenic crisis, compared between those receiving IVIg or PE (Indication 2)."/>
      </w:tblPr>
      <w:tblGrid>
        <w:gridCol w:w="3228"/>
        <w:gridCol w:w="1843"/>
        <w:gridCol w:w="1702"/>
        <w:gridCol w:w="2243"/>
      </w:tblGrid>
      <w:tr w:rsidR="007B4144" w:rsidRPr="007D1918" w14:paraId="20FAAEF3" w14:textId="77777777" w:rsidTr="00EF0687">
        <w:tc>
          <w:tcPr>
            <w:tcW w:w="1790" w:type="pct"/>
          </w:tcPr>
          <w:p w14:paraId="15E52AE2" w14:textId="77777777" w:rsidR="00D92E60" w:rsidRPr="007D1918" w:rsidRDefault="00D92E60" w:rsidP="00F4531B">
            <w:pPr>
              <w:pStyle w:val="TableHeading"/>
              <w:keepLines/>
              <w:rPr>
                <w:snapToGrid w:val="0"/>
                <w:lang w:eastAsia="en-US"/>
              </w:rPr>
            </w:pPr>
            <w:r w:rsidRPr="007D1918">
              <w:rPr>
                <w:snapToGrid w:val="0"/>
                <w:lang w:eastAsia="en-US"/>
              </w:rPr>
              <w:t>Measure</w:t>
            </w:r>
          </w:p>
        </w:tc>
        <w:tc>
          <w:tcPr>
            <w:tcW w:w="1022" w:type="pct"/>
            <w:shd w:val="clear" w:color="auto" w:fill="auto"/>
          </w:tcPr>
          <w:p w14:paraId="0C059605" w14:textId="77777777" w:rsidR="00D92E60" w:rsidRPr="007D1918" w:rsidRDefault="00D92E60" w:rsidP="00F4531B">
            <w:pPr>
              <w:pStyle w:val="TableHeading"/>
              <w:keepLines/>
              <w:rPr>
                <w:snapToGrid w:val="0"/>
                <w:lang w:eastAsia="en-US"/>
              </w:rPr>
            </w:pPr>
            <w:r w:rsidRPr="007D1918">
              <w:rPr>
                <w:snapToGrid w:val="0"/>
                <w:lang w:eastAsia="en-US"/>
              </w:rPr>
              <w:t xml:space="preserve">IVIg </w:t>
            </w:r>
          </w:p>
          <w:p w14:paraId="13AADFF2" w14:textId="3C1E31CA" w:rsidR="00D92E60" w:rsidRPr="007D1918" w:rsidRDefault="00D92E60" w:rsidP="00F4531B">
            <w:pPr>
              <w:pStyle w:val="TableHeading"/>
              <w:keepLines/>
              <w:rPr>
                <w:snapToGrid w:val="0"/>
                <w:lang w:eastAsia="en-US"/>
              </w:rPr>
            </w:pPr>
            <w:r w:rsidRPr="007D1918">
              <w:rPr>
                <w:snapToGrid w:val="0"/>
                <w:lang w:eastAsia="en-US"/>
              </w:rPr>
              <w:t>N = 12</w:t>
            </w:r>
          </w:p>
        </w:tc>
        <w:tc>
          <w:tcPr>
            <w:tcW w:w="944" w:type="pct"/>
            <w:shd w:val="clear" w:color="auto" w:fill="auto"/>
          </w:tcPr>
          <w:p w14:paraId="6D68E819" w14:textId="77777777" w:rsidR="00D92E60" w:rsidRPr="007D1918" w:rsidRDefault="00D92E60" w:rsidP="00F4531B">
            <w:pPr>
              <w:pStyle w:val="TableHeading"/>
              <w:keepLines/>
              <w:rPr>
                <w:snapToGrid w:val="0"/>
                <w:lang w:eastAsia="en-US"/>
              </w:rPr>
            </w:pPr>
            <w:r w:rsidRPr="007D1918">
              <w:rPr>
                <w:snapToGrid w:val="0"/>
                <w:lang w:eastAsia="en-US"/>
              </w:rPr>
              <w:t xml:space="preserve">PE </w:t>
            </w:r>
          </w:p>
          <w:p w14:paraId="1D5DF11A" w14:textId="27631CB4" w:rsidR="00D92E60" w:rsidRPr="007D1918" w:rsidRDefault="00D92E60" w:rsidP="00F4531B">
            <w:pPr>
              <w:pStyle w:val="TableHeading"/>
              <w:keepLines/>
              <w:rPr>
                <w:snapToGrid w:val="0"/>
                <w:lang w:eastAsia="en-US"/>
              </w:rPr>
            </w:pPr>
            <w:r w:rsidRPr="007D1918">
              <w:rPr>
                <w:snapToGrid w:val="0"/>
                <w:lang w:eastAsia="en-US"/>
              </w:rPr>
              <w:t>N = 12</w:t>
            </w:r>
          </w:p>
        </w:tc>
        <w:tc>
          <w:tcPr>
            <w:tcW w:w="1244" w:type="pct"/>
            <w:shd w:val="clear" w:color="auto" w:fill="auto"/>
          </w:tcPr>
          <w:p w14:paraId="1C72455C" w14:textId="77777777" w:rsidR="00D92E60" w:rsidRPr="007D1918" w:rsidRDefault="00D92E60" w:rsidP="00F4531B">
            <w:pPr>
              <w:pStyle w:val="TableHeading"/>
              <w:keepLines/>
              <w:rPr>
                <w:snapToGrid w:val="0"/>
                <w:lang w:eastAsia="en-US"/>
              </w:rPr>
            </w:pPr>
            <w:r w:rsidRPr="007D1918">
              <w:rPr>
                <w:snapToGrid w:val="0"/>
                <w:lang w:eastAsia="en-US"/>
              </w:rPr>
              <w:t>Overall effect</w:t>
            </w:r>
          </w:p>
          <w:p w14:paraId="37F7300A" w14:textId="66DB9EAE" w:rsidR="009B60BE" w:rsidRPr="007D1918" w:rsidRDefault="009B60BE" w:rsidP="00F4531B">
            <w:pPr>
              <w:pStyle w:val="TableHeading"/>
              <w:keepLines/>
              <w:rPr>
                <w:snapToGrid w:val="0"/>
                <w:lang w:eastAsia="en-US"/>
              </w:rPr>
            </w:pPr>
            <w:r w:rsidRPr="007D1918">
              <w:rPr>
                <w:snapToGrid w:val="0"/>
                <w:lang w:eastAsia="en-US"/>
              </w:rPr>
              <w:t>P value (95% CI)</w:t>
            </w:r>
          </w:p>
        </w:tc>
      </w:tr>
      <w:tr w:rsidR="007B4144" w:rsidRPr="007D1918" w14:paraId="1D52D126" w14:textId="77777777" w:rsidTr="00EF0687">
        <w:tc>
          <w:tcPr>
            <w:tcW w:w="1790" w:type="pct"/>
          </w:tcPr>
          <w:p w14:paraId="4C166669" w14:textId="0BED62FA" w:rsidR="00D92E60" w:rsidRPr="007D1918" w:rsidRDefault="002E7E54" w:rsidP="002E7E54">
            <w:pPr>
              <w:pStyle w:val="TableText0"/>
              <w:keepLines/>
              <w:rPr>
                <w:snapToGrid w:val="0"/>
                <w:vertAlign w:val="superscript"/>
              </w:rPr>
            </w:pPr>
            <w:r w:rsidRPr="007D1918">
              <w:rPr>
                <w:snapToGrid w:val="0"/>
              </w:rPr>
              <w:t>Median i</w:t>
            </w:r>
            <w:r w:rsidR="00D92E60" w:rsidRPr="007D1918">
              <w:rPr>
                <w:snapToGrid w:val="0"/>
              </w:rPr>
              <w:t>ntubation period (hours, range)</w:t>
            </w:r>
          </w:p>
        </w:tc>
        <w:tc>
          <w:tcPr>
            <w:tcW w:w="1022" w:type="pct"/>
            <w:shd w:val="clear" w:color="auto" w:fill="auto"/>
          </w:tcPr>
          <w:p w14:paraId="1263A496" w14:textId="209A1897" w:rsidR="00D92E60" w:rsidRPr="007D1918" w:rsidRDefault="00D92E60" w:rsidP="00F4531B">
            <w:pPr>
              <w:pStyle w:val="TableText0"/>
              <w:keepLines/>
              <w:rPr>
                <w:snapToGrid w:val="0"/>
              </w:rPr>
            </w:pPr>
            <w:r w:rsidRPr="007D1918">
              <w:rPr>
                <w:snapToGrid w:val="0"/>
              </w:rPr>
              <w:t>0 (2-22)</w:t>
            </w:r>
          </w:p>
        </w:tc>
        <w:tc>
          <w:tcPr>
            <w:tcW w:w="944" w:type="pct"/>
            <w:shd w:val="clear" w:color="auto" w:fill="auto"/>
          </w:tcPr>
          <w:p w14:paraId="13ADCB30" w14:textId="37095EBE" w:rsidR="00D92E60" w:rsidRPr="007D1918" w:rsidRDefault="00D92E60" w:rsidP="00F4531B">
            <w:pPr>
              <w:pStyle w:val="TableText0"/>
              <w:keepLines/>
              <w:rPr>
                <w:snapToGrid w:val="0"/>
              </w:rPr>
            </w:pPr>
            <w:r w:rsidRPr="007D1918">
              <w:rPr>
                <w:snapToGrid w:val="0"/>
              </w:rPr>
              <w:t>13 (2-216)</w:t>
            </w:r>
          </w:p>
        </w:tc>
        <w:tc>
          <w:tcPr>
            <w:tcW w:w="1244" w:type="pct"/>
            <w:shd w:val="clear" w:color="auto" w:fill="auto"/>
          </w:tcPr>
          <w:p w14:paraId="0D58A8DD" w14:textId="74F5345D" w:rsidR="00D92E60" w:rsidRPr="007D1918" w:rsidRDefault="00D92E60" w:rsidP="00D92E60">
            <w:pPr>
              <w:pStyle w:val="TableText0"/>
              <w:keepLines/>
              <w:rPr>
                <w:snapToGrid w:val="0"/>
                <w:vertAlign w:val="superscript"/>
              </w:rPr>
            </w:pPr>
            <w:r w:rsidRPr="007D1918">
              <w:rPr>
                <w:snapToGrid w:val="0"/>
              </w:rPr>
              <w:t>P = 0.01</w:t>
            </w:r>
            <w:r w:rsidR="00721F54" w:rsidRPr="007D1918">
              <w:rPr>
                <w:snapToGrid w:val="0"/>
                <w:vertAlign w:val="superscript"/>
              </w:rPr>
              <w:t>a</w:t>
            </w:r>
          </w:p>
        </w:tc>
      </w:tr>
      <w:tr w:rsidR="00D92E60" w:rsidRPr="007D1918" w14:paraId="2FB9E0D7" w14:textId="77777777" w:rsidTr="00EF0687">
        <w:tc>
          <w:tcPr>
            <w:tcW w:w="1790" w:type="pct"/>
          </w:tcPr>
          <w:p w14:paraId="02D96FB3" w14:textId="7C47DB06" w:rsidR="00D92E60" w:rsidRPr="007D1918" w:rsidRDefault="00D92E60" w:rsidP="00F4531B">
            <w:pPr>
              <w:pStyle w:val="TableText0"/>
              <w:keepLines/>
              <w:rPr>
                <w:snapToGrid w:val="0"/>
              </w:rPr>
            </w:pPr>
            <w:r w:rsidRPr="007D1918">
              <w:rPr>
                <w:snapToGrid w:val="0"/>
              </w:rPr>
              <w:t>Number of patients intubated postoperatively</w:t>
            </w:r>
          </w:p>
        </w:tc>
        <w:tc>
          <w:tcPr>
            <w:tcW w:w="1022" w:type="pct"/>
            <w:shd w:val="clear" w:color="auto" w:fill="auto"/>
          </w:tcPr>
          <w:p w14:paraId="6A9EDB73" w14:textId="29A4AD3C" w:rsidR="00D92E60" w:rsidRPr="007D1918" w:rsidRDefault="00D92E60" w:rsidP="00F4531B">
            <w:pPr>
              <w:pStyle w:val="TableText0"/>
              <w:keepLines/>
              <w:rPr>
                <w:snapToGrid w:val="0"/>
              </w:rPr>
            </w:pPr>
            <w:r w:rsidRPr="007D1918">
              <w:rPr>
                <w:snapToGrid w:val="0"/>
              </w:rPr>
              <w:t>2</w:t>
            </w:r>
            <w:r w:rsidR="002E7E54" w:rsidRPr="007D1918">
              <w:rPr>
                <w:snapToGrid w:val="0"/>
              </w:rPr>
              <w:t xml:space="preserve"> (16.7%)</w:t>
            </w:r>
          </w:p>
        </w:tc>
        <w:tc>
          <w:tcPr>
            <w:tcW w:w="944" w:type="pct"/>
            <w:shd w:val="clear" w:color="auto" w:fill="auto"/>
          </w:tcPr>
          <w:p w14:paraId="6B55B82C" w14:textId="2D96A94B" w:rsidR="00D92E60" w:rsidRPr="007D1918" w:rsidRDefault="002E7E54" w:rsidP="00F4531B">
            <w:pPr>
              <w:pStyle w:val="TableText0"/>
              <w:keepLines/>
              <w:rPr>
                <w:snapToGrid w:val="0"/>
              </w:rPr>
            </w:pPr>
            <w:r w:rsidRPr="007D1918">
              <w:rPr>
                <w:snapToGrid w:val="0"/>
              </w:rPr>
              <w:t>7 (58.3%)</w:t>
            </w:r>
          </w:p>
        </w:tc>
        <w:tc>
          <w:tcPr>
            <w:tcW w:w="1244" w:type="pct"/>
            <w:shd w:val="clear" w:color="auto" w:fill="auto"/>
          </w:tcPr>
          <w:p w14:paraId="52876852" w14:textId="01450542" w:rsidR="00D92E60" w:rsidRPr="007D1918" w:rsidRDefault="002E7E54" w:rsidP="00721F54">
            <w:pPr>
              <w:pStyle w:val="TableText0"/>
              <w:keepLines/>
              <w:rPr>
                <w:snapToGrid w:val="0"/>
                <w:vertAlign w:val="superscript"/>
              </w:rPr>
            </w:pPr>
            <w:r w:rsidRPr="007D1918">
              <w:rPr>
                <w:snapToGrid w:val="0"/>
              </w:rPr>
              <w:t>p = 0.039</w:t>
            </w:r>
            <w:r w:rsidR="009B60BE" w:rsidRPr="007D1918">
              <w:rPr>
                <w:snapToGrid w:val="0"/>
              </w:rPr>
              <w:t xml:space="preserve"> (3.03%, 667.0%)</w:t>
            </w:r>
            <w:r w:rsidR="00721F54" w:rsidRPr="007D1918">
              <w:rPr>
                <w:snapToGrid w:val="0"/>
                <w:vertAlign w:val="superscript"/>
              </w:rPr>
              <w:t>b</w:t>
            </w:r>
          </w:p>
        </w:tc>
      </w:tr>
      <w:tr w:rsidR="007B4144" w:rsidRPr="007D1918" w14:paraId="5A94B44A" w14:textId="77777777" w:rsidTr="00EF0687">
        <w:tc>
          <w:tcPr>
            <w:tcW w:w="1790" w:type="pct"/>
          </w:tcPr>
          <w:p w14:paraId="0D2E4E63" w14:textId="2508CFA5" w:rsidR="00D92E60" w:rsidRPr="007D1918" w:rsidRDefault="00D92E60" w:rsidP="00F4531B">
            <w:pPr>
              <w:pStyle w:val="TableText0"/>
              <w:keepLines/>
              <w:rPr>
                <w:snapToGrid w:val="0"/>
                <w:vertAlign w:val="superscript"/>
              </w:rPr>
            </w:pPr>
            <w:r w:rsidRPr="007D1918">
              <w:rPr>
                <w:snapToGrid w:val="0"/>
              </w:rPr>
              <w:t>Number of patients with myasthenic crisis</w:t>
            </w:r>
          </w:p>
        </w:tc>
        <w:tc>
          <w:tcPr>
            <w:tcW w:w="1022" w:type="pct"/>
            <w:shd w:val="clear" w:color="auto" w:fill="auto"/>
          </w:tcPr>
          <w:p w14:paraId="4481EC8E" w14:textId="5C79DAD6" w:rsidR="00D92E60" w:rsidRPr="007D1918" w:rsidRDefault="00D92E60" w:rsidP="00F4531B">
            <w:pPr>
              <w:pStyle w:val="TableText0"/>
              <w:keepLines/>
              <w:rPr>
                <w:snapToGrid w:val="0"/>
              </w:rPr>
            </w:pPr>
            <w:r w:rsidRPr="007D1918">
              <w:rPr>
                <w:snapToGrid w:val="0"/>
              </w:rPr>
              <w:t>0</w:t>
            </w:r>
          </w:p>
        </w:tc>
        <w:tc>
          <w:tcPr>
            <w:tcW w:w="944" w:type="pct"/>
            <w:shd w:val="clear" w:color="auto" w:fill="auto"/>
          </w:tcPr>
          <w:p w14:paraId="475CCD17" w14:textId="60D18250" w:rsidR="00D92E60" w:rsidRPr="007D1918" w:rsidRDefault="00D92E60" w:rsidP="00F4531B">
            <w:pPr>
              <w:pStyle w:val="TableText0"/>
              <w:keepLines/>
              <w:rPr>
                <w:snapToGrid w:val="0"/>
              </w:rPr>
            </w:pPr>
            <w:r w:rsidRPr="007D1918">
              <w:rPr>
                <w:snapToGrid w:val="0"/>
              </w:rPr>
              <w:t>2</w:t>
            </w:r>
          </w:p>
        </w:tc>
        <w:tc>
          <w:tcPr>
            <w:tcW w:w="1244" w:type="pct"/>
            <w:shd w:val="clear" w:color="auto" w:fill="auto"/>
          </w:tcPr>
          <w:p w14:paraId="4E34CC76" w14:textId="3874F32D" w:rsidR="00D92E60" w:rsidRPr="007D1918" w:rsidRDefault="00D92E60" w:rsidP="00F4531B">
            <w:pPr>
              <w:pStyle w:val="TableText0"/>
              <w:keepLines/>
              <w:rPr>
                <w:snapToGrid w:val="0"/>
              </w:rPr>
            </w:pPr>
            <w:r w:rsidRPr="007D1918">
              <w:rPr>
                <w:snapToGrid w:val="0"/>
              </w:rPr>
              <w:t>NR</w:t>
            </w:r>
          </w:p>
        </w:tc>
      </w:tr>
    </w:tbl>
    <w:p w14:paraId="608C5695" w14:textId="54DAAD93" w:rsidR="00C109B9" w:rsidRPr="007D1918" w:rsidRDefault="00C109B9" w:rsidP="00D94465">
      <w:pPr>
        <w:pStyle w:val="Tablenotes0"/>
        <w:spacing w:after="80"/>
        <w:contextualSpacing w:val="0"/>
      </w:pPr>
      <w:r w:rsidRPr="007D1918">
        <w:t>IVIg = intravenous immunoglobulin therapy; NR = not reported; PE = plasma exchange therapy</w:t>
      </w:r>
    </w:p>
    <w:p w14:paraId="7DE6C898" w14:textId="2F0BC455" w:rsidR="00721F54" w:rsidRPr="007D1918" w:rsidRDefault="00C109B9" w:rsidP="00C109B9">
      <w:pPr>
        <w:pStyle w:val="Tablenotes0"/>
      </w:pPr>
      <w:r w:rsidRPr="007D1918">
        <w:rPr>
          <w:vertAlign w:val="superscript"/>
        </w:rPr>
        <w:t>a</w:t>
      </w:r>
      <w:r w:rsidRPr="007D1918">
        <w:t xml:space="preserve"> </w:t>
      </w:r>
      <w:r w:rsidR="00721F54" w:rsidRPr="007D1918">
        <w:t xml:space="preserve">Mann-Whitney </w:t>
      </w:r>
      <w:r w:rsidR="00721F54" w:rsidRPr="007D1918">
        <w:rPr>
          <w:i/>
        </w:rPr>
        <w:t>U</w:t>
      </w:r>
      <w:r w:rsidR="00721F54" w:rsidRPr="007D1918">
        <w:t xml:space="preserve"> test for continuous variables </w:t>
      </w:r>
      <w:r w:rsidR="0075212A" w:rsidRPr="007D1918">
        <w:fldChar w:fldCharType="begin"/>
      </w:r>
      <w:r w:rsidR="00C437BA"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00C437BA" w:rsidRPr="007D1918">
        <w:rPr>
          <w:rFonts w:ascii="Cambria Math" w:hAnsi="Cambria Math" w:cs="Cambria Math"/>
        </w:rPr>
        <w:instrText>‐</w:instrText>
      </w:r>
      <w:r w:rsidR="00C437BA" w:rsidRPr="007D1918">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75212A" w:rsidRPr="007D1918">
        <w:fldChar w:fldCharType="separate"/>
      </w:r>
      <w:r w:rsidR="0075212A" w:rsidRPr="007D1918">
        <w:rPr>
          <w:noProof/>
        </w:rPr>
        <w:t>(</w:t>
      </w:r>
      <w:hyperlink w:anchor="_ENREF_4" w:tooltip="Alipour-Faz, 2017 #64" w:history="1">
        <w:r w:rsidR="007D4948" w:rsidRPr="007D1918">
          <w:rPr>
            <w:noProof/>
          </w:rPr>
          <w:t>Alipour-Faz et al. 2017</w:t>
        </w:r>
      </w:hyperlink>
      <w:r w:rsidR="0075212A" w:rsidRPr="007D1918">
        <w:rPr>
          <w:noProof/>
        </w:rPr>
        <w:t>)</w:t>
      </w:r>
      <w:r w:rsidR="0075212A" w:rsidRPr="007D1918">
        <w:fldChar w:fldCharType="end"/>
      </w:r>
    </w:p>
    <w:p w14:paraId="02E28898" w14:textId="3B89C815" w:rsidR="00C109B9" w:rsidRPr="007D1918" w:rsidRDefault="00721F54" w:rsidP="00A14C6E">
      <w:pPr>
        <w:pStyle w:val="Tablenotes0"/>
        <w:spacing w:after="0"/>
      </w:pPr>
      <w:r w:rsidRPr="007D1918">
        <w:rPr>
          <w:vertAlign w:val="superscript"/>
        </w:rPr>
        <w:t xml:space="preserve">b </w:t>
      </w:r>
      <w:r w:rsidR="00C109B9" w:rsidRPr="007D1918">
        <w:t>Chi-squared test, MedCalc online calculator</w:t>
      </w:r>
    </w:p>
    <w:p w14:paraId="15D56A87" w14:textId="77777777" w:rsidR="00D92E60" w:rsidRPr="007D1918" w:rsidRDefault="00D92E60" w:rsidP="00A14C6E">
      <w:pPr>
        <w:pStyle w:val="Tabletext1"/>
      </w:pPr>
    </w:p>
    <w:p w14:paraId="6936B869" w14:textId="77777777" w:rsidR="006B7DCE" w:rsidRPr="007D1918" w:rsidRDefault="006B7DCE" w:rsidP="006B7DCE">
      <w:pPr>
        <w:pStyle w:val="Heading4"/>
      </w:pPr>
      <w:r w:rsidRPr="007D1918">
        <w:t>Time to relapse</w:t>
      </w:r>
    </w:p>
    <w:p w14:paraId="7F8F0B0A" w14:textId="3C2D32CB" w:rsidR="006B7DCE" w:rsidRPr="007D1918" w:rsidRDefault="005205A5" w:rsidP="00A14C6E">
      <w:pPr>
        <w:spacing w:after="0"/>
      </w:pPr>
      <w:r w:rsidRPr="007D1918">
        <w:t>No studies meeting the inclusion criteria reported on this outcome.</w:t>
      </w:r>
    </w:p>
    <w:p w14:paraId="14A75149" w14:textId="77777777" w:rsidR="00A14C6E" w:rsidRPr="007D1918" w:rsidRDefault="00A14C6E" w:rsidP="005A2FC5"/>
    <w:p w14:paraId="4F45D005" w14:textId="6417A071" w:rsidR="00467FA2" w:rsidRPr="007D1918" w:rsidRDefault="00467FA2" w:rsidP="005A2FC5">
      <w:pPr>
        <w:pStyle w:val="Heading3"/>
      </w:pPr>
      <w:bookmarkStart w:id="272" w:name="_Toc23766973"/>
      <w:r w:rsidRPr="007D1918">
        <w:t xml:space="preserve">Indication 3: </w:t>
      </w:r>
      <w:r w:rsidR="00D53274" w:rsidRPr="007D1918">
        <w:t>Adults</w:t>
      </w:r>
      <w:r w:rsidRPr="007D1918">
        <w:t xml:space="preserve"> undergoing </w:t>
      </w:r>
      <w:r w:rsidR="00D53274" w:rsidRPr="007D1918">
        <w:t>IV</w:t>
      </w:r>
      <w:r w:rsidR="00E917E2" w:rsidRPr="007D1918">
        <w:t>Ig</w:t>
      </w:r>
      <w:r w:rsidR="00D53274" w:rsidRPr="007D1918">
        <w:t xml:space="preserve"> </w:t>
      </w:r>
      <w:r w:rsidRPr="007D1918">
        <w:t>maintenance therapy</w:t>
      </w:r>
      <w:bookmarkEnd w:id="272"/>
    </w:p>
    <w:p w14:paraId="00815B10" w14:textId="553CA208" w:rsidR="008679B2" w:rsidRPr="007D1918" w:rsidRDefault="00BE2825" w:rsidP="008679B2">
      <w:pPr>
        <w:pStyle w:val="Heading4"/>
        <w:keepLines/>
      </w:pPr>
      <w:r w:rsidRPr="007D1918">
        <w:t>All-cause</w:t>
      </w:r>
      <w:r w:rsidR="001A7A0A" w:rsidRPr="007D1918">
        <w:t xml:space="preserve"> m</w:t>
      </w:r>
      <w:r w:rsidR="008679B2" w:rsidRPr="007D1918">
        <w:t xml:space="preserve">ortality in patients </w:t>
      </w:r>
      <w:r w:rsidR="00B56288" w:rsidRPr="007D1918">
        <w:t xml:space="preserve">receiving maintenance </w:t>
      </w:r>
      <w:r w:rsidR="008679B2" w:rsidRPr="007D1918">
        <w:t xml:space="preserve">IVIg </w:t>
      </w:r>
      <w:r w:rsidR="00B56288" w:rsidRPr="007D1918">
        <w:t>or</w:t>
      </w:r>
      <w:r w:rsidR="008679B2" w:rsidRPr="007D1918">
        <w:t xml:space="preserve"> placebo </w:t>
      </w:r>
    </w:p>
    <w:p w14:paraId="7D8F157A" w14:textId="4F271681" w:rsidR="008679B2" w:rsidRPr="007D1918" w:rsidRDefault="008679B2" w:rsidP="002A2C58">
      <w:pPr>
        <w:jc w:val="both"/>
      </w:pPr>
      <w:r w:rsidRPr="007D1918">
        <w:t xml:space="preserve">Results from a RCT not yet published </w:t>
      </w:r>
      <w:r w:rsidR="000860FF" w:rsidRPr="007D1918">
        <w:t xml:space="preserve">in the peer reviewed literature </w:t>
      </w:r>
      <w:r w:rsidRPr="007D1918">
        <w:t xml:space="preserve">were identified </w:t>
      </w:r>
      <w:r w:rsidR="001A7A0A" w:rsidRPr="007D1918">
        <w:t>through a meeting abstract</w:t>
      </w:r>
      <w:r w:rsidRPr="007D1918">
        <w:t xml:space="preserve"> </w:t>
      </w:r>
      <w:r w:rsidR="0075212A"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 </w:instrText>
      </w:r>
      <w:r w:rsidR="00C437BA" w:rsidRPr="007D1918">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40" w:tooltip="Griffin, 2017 #62" w:history="1">
        <w:r w:rsidR="007D4948" w:rsidRPr="007D1918">
          <w:rPr>
            <w:noProof/>
          </w:rPr>
          <w:t>Griffin et al. 2017b</w:t>
        </w:r>
      </w:hyperlink>
      <w:r w:rsidR="0075212A" w:rsidRPr="007D1918">
        <w:rPr>
          <w:noProof/>
        </w:rPr>
        <w:t>)</w:t>
      </w:r>
      <w:r w:rsidR="0075212A" w:rsidRPr="007D1918">
        <w:fldChar w:fldCharType="end"/>
      </w:r>
      <w:r w:rsidRPr="007D1918">
        <w:t xml:space="preserve">. Symptomatic patients on standard of care treatment </w:t>
      </w:r>
      <w:r w:rsidR="002A2C58" w:rsidRPr="007D1918">
        <w:t>and with a QMGS &gt; 10 points at screening</w:t>
      </w:r>
      <w:r w:rsidRPr="007D1918">
        <w:t xml:space="preserve"> were randomised to receive either IVIg-C or placebo delivered intravenously. Patients were followed for 24 weeks and data on </w:t>
      </w:r>
      <w:r w:rsidR="001A7A0A" w:rsidRPr="007D1918">
        <w:t xml:space="preserve">mortality and </w:t>
      </w:r>
      <w:r w:rsidRPr="007D1918">
        <w:t xml:space="preserve">AEs </w:t>
      </w:r>
      <w:r w:rsidR="001A7A0A" w:rsidRPr="007D1918">
        <w:t>were</w:t>
      </w:r>
      <w:r w:rsidRPr="007D1918">
        <w:t xml:space="preserve"> reported on the clinicaltrials.gov website (</w:t>
      </w:r>
      <w:hyperlink r:id="rId50" w:history="1">
        <w:r w:rsidRPr="007D1918">
          <w:rPr>
            <w:rStyle w:val="Hyperlink"/>
          </w:rPr>
          <w:t>NCT02473952</w:t>
        </w:r>
      </w:hyperlink>
      <w:r w:rsidRPr="007D1918">
        <w:t xml:space="preserve">). </w:t>
      </w:r>
      <w:r w:rsidR="001A7A0A" w:rsidRPr="007D1918">
        <w:t xml:space="preserve">Primary data on change in symptoms (QMGS) were not yet available. Standard of care treatments were not described in the available data online or in the </w:t>
      </w:r>
      <w:r w:rsidR="002A2C58" w:rsidRPr="007D1918">
        <w:t xml:space="preserve">meeting abstract. Thirty patients were </w:t>
      </w:r>
      <w:r w:rsidR="00D94465" w:rsidRPr="007D1918">
        <w:t>randomised</w:t>
      </w:r>
      <w:r w:rsidR="002A2C58" w:rsidRPr="007D1918">
        <w:t xml:space="preserve"> to IVIg-C and 32 to placebo.</w:t>
      </w:r>
    </w:p>
    <w:p w14:paraId="6CB969EB" w14:textId="3DFA443D" w:rsidR="00E917E2" w:rsidRPr="007D1918" w:rsidRDefault="001A7A0A" w:rsidP="002A2C58">
      <w:pPr>
        <w:jc w:val="both"/>
      </w:pPr>
      <w:r w:rsidRPr="007D1918">
        <w:t xml:space="preserve">There was one patient death in the trial, which </w:t>
      </w:r>
      <w:r w:rsidR="002A2C58" w:rsidRPr="007D1918">
        <w:t>occurred</w:t>
      </w:r>
      <w:r w:rsidRPr="007D1918">
        <w:t xml:space="preserve"> in the </w:t>
      </w:r>
      <w:r w:rsidR="002A2C58" w:rsidRPr="007D1918">
        <w:t>patient group</w:t>
      </w:r>
      <w:r w:rsidRPr="007D1918">
        <w:t xml:space="preserve"> receivin</w:t>
      </w:r>
      <w:r w:rsidR="002A2C58" w:rsidRPr="007D1918">
        <w:t>g IVIg-C (1/30, 3.33%). There was no statistical</w:t>
      </w:r>
      <w:r w:rsidR="000860FF" w:rsidRPr="007D1918">
        <w:t>ly significant</w:t>
      </w:r>
      <w:r w:rsidRPr="007D1918">
        <w:t xml:space="preserve"> difference between the I</w:t>
      </w:r>
      <w:r w:rsidR="002A2C58" w:rsidRPr="007D1918">
        <w:t>VIg-C and placebo groups for th</w:t>
      </w:r>
      <w:r w:rsidRPr="007D1918">
        <w:t xml:space="preserve">is outcome. </w:t>
      </w:r>
    </w:p>
    <w:p w14:paraId="4F02611C" w14:textId="401B1E61" w:rsidR="00467FA2" w:rsidRPr="007D1918" w:rsidRDefault="00467FA2" w:rsidP="00467FA2">
      <w:pPr>
        <w:pStyle w:val="Heading4"/>
      </w:pPr>
      <w:r w:rsidRPr="007D1918">
        <w:t>Rate of infection</w:t>
      </w:r>
      <w:r w:rsidR="00D95E2D" w:rsidRPr="007D1918">
        <w:t xml:space="preserve"> in patients receiving maintenance IVIg or PE</w:t>
      </w:r>
    </w:p>
    <w:p w14:paraId="29545DD8" w14:textId="74FCC121" w:rsidR="00467FA2" w:rsidRPr="007D1918" w:rsidRDefault="006B7AA5" w:rsidP="007816A6">
      <w:pPr>
        <w:jc w:val="both"/>
      </w:pPr>
      <w:r w:rsidRPr="007D1918">
        <w:t>Two</w:t>
      </w:r>
      <w:r w:rsidR="00467FA2" w:rsidRPr="007D1918">
        <w:t xml:space="preserve"> studies </w:t>
      </w:r>
      <w:r w:rsidRPr="007D1918">
        <w:t>compared the number of infections between maintenance patients receiving IVIg or PE. The RCT by R</w:t>
      </w:r>
      <w:r w:rsidR="00FC02BA" w:rsidRPr="007D1918">
        <w:rPr>
          <w:rFonts w:cs="Calibri"/>
          <w:sz w:val="16"/>
          <w:szCs w:val="16"/>
        </w:rPr>
        <w:t>Ø</w:t>
      </w:r>
      <w:r w:rsidRPr="007D1918">
        <w:t>nager et al</w:t>
      </w:r>
      <w:r w:rsidR="00A90DED" w:rsidRPr="007D1918">
        <w:t xml:space="preserve"> </w:t>
      </w:r>
      <w:r w:rsidR="003736AC"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D4948" w:rsidRPr="007D1918">
        <w:instrText xml:space="preserve"> ADDIN EN.CITE </w:instrText>
      </w:r>
      <w:r w:rsidR="007D4948"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83" w:tooltip="Rønager, 2001 #41" w:history="1">
        <w:r w:rsidR="007D4948" w:rsidRPr="007D1918">
          <w:rPr>
            <w:noProof/>
          </w:rPr>
          <w:t>Rønager et al. 2001</w:t>
        </w:r>
      </w:hyperlink>
      <w:r w:rsidR="007D4948" w:rsidRPr="007D1918">
        <w:rPr>
          <w:noProof/>
        </w:rPr>
        <w:t>)</w:t>
      </w:r>
      <w:r w:rsidR="003736AC" w:rsidRPr="007D1918">
        <w:fldChar w:fldCharType="end"/>
      </w:r>
      <w:r w:rsidR="00A90DED" w:rsidRPr="007D1918">
        <w:t xml:space="preserve"> used a crossover design in which all 12 patients received both IVIg and PE separated by a 16 week observation period. O</w:t>
      </w:r>
      <w:r w:rsidRPr="007D1918">
        <w:t>ne</w:t>
      </w:r>
      <w:r w:rsidR="00A90DED" w:rsidRPr="007D1918">
        <w:t xml:space="preserve"> case of septicaemia was reported, which occurred in a patient</w:t>
      </w:r>
      <w:r w:rsidR="007816A6" w:rsidRPr="007D1918">
        <w:t xml:space="preserve"> who had a severe reaction while</w:t>
      </w:r>
      <w:r w:rsidR="00A90DED" w:rsidRPr="007D1918">
        <w:t xml:space="preserve"> undergoing PE</w:t>
      </w:r>
      <w:r w:rsidRPr="007D1918">
        <w:t xml:space="preserve">. In the retrospective cohort study by Mandawat et al </w:t>
      </w:r>
      <w:r w:rsidR="003736AC"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D4948" w:rsidRPr="007D1918">
        <w:instrText xml:space="preserve"> ADDIN EN.CITE </w:instrText>
      </w:r>
      <w:r w:rsidR="007D4948"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64" w:tooltip="Mandawat, 2010 #37" w:history="1">
        <w:r w:rsidR="007D4948" w:rsidRPr="007D1918">
          <w:rPr>
            <w:noProof/>
          </w:rPr>
          <w:t>Mandawat et al. 2010</w:t>
        </w:r>
      </w:hyperlink>
      <w:r w:rsidR="007D4948" w:rsidRPr="007D1918">
        <w:rPr>
          <w:noProof/>
        </w:rPr>
        <w:t>)</w:t>
      </w:r>
      <w:r w:rsidR="003736AC" w:rsidRPr="007D1918">
        <w:fldChar w:fldCharType="end"/>
      </w:r>
      <w:r w:rsidRPr="007D1918">
        <w:t xml:space="preserve">, cases of systemic infection were found to </w:t>
      </w:r>
      <w:r w:rsidR="00775A1A" w:rsidRPr="007D1918">
        <w:t>occur in</w:t>
      </w:r>
      <w:r w:rsidRPr="007D1918">
        <w:t xml:space="preserve"> similar </w:t>
      </w:r>
      <w:r w:rsidR="00775A1A" w:rsidRPr="007D1918">
        <w:t xml:space="preserve">proportions </w:t>
      </w:r>
      <w:r w:rsidRPr="007D1918">
        <w:t>in both the IVIg and PE groups (</w:t>
      </w:r>
      <w:r w:rsidR="00775A1A" w:rsidRPr="007D1918">
        <w:fldChar w:fldCharType="begin"/>
      </w:r>
      <w:r w:rsidR="00775A1A" w:rsidRPr="007D1918">
        <w:instrText xml:space="preserve"> REF _Ref8809949 \h </w:instrText>
      </w:r>
      <w:r w:rsidR="007816A6" w:rsidRPr="007D1918">
        <w:instrText xml:space="preserve"> \* MERGEFORMAT </w:instrText>
      </w:r>
      <w:r w:rsidR="00775A1A" w:rsidRPr="007D1918">
        <w:fldChar w:fldCharType="separate"/>
      </w:r>
      <w:r w:rsidR="00153384" w:rsidRPr="007D1918">
        <w:t xml:space="preserve">Table </w:t>
      </w:r>
      <w:r w:rsidR="00153384" w:rsidRPr="007D1918">
        <w:rPr>
          <w:noProof/>
        </w:rPr>
        <w:t>36</w:t>
      </w:r>
      <w:r w:rsidR="00775A1A" w:rsidRPr="007D1918">
        <w:fldChar w:fldCharType="end"/>
      </w:r>
      <w:r w:rsidR="00775A1A" w:rsidRPr="007D1918">
        <w:t>)</w:t>
      </w:r>
      <w:r w:rsidR="007816A6" w:rsidRPr="007D1918">
        <w:t>.</w:t>
      </w:r>
    </w:p>
    <w:p w14:paraId="5636C1DE" w14:textId="3D77D0FD" w:rsidR="006B7AA5" w:rsidRPr="007D1918" w:rsidRDefault="006B7AA5" w:rsidP="00775A1A">
      <w:pPr>
        <w:pStyle w:val="Caption"/>
        <w:keepNext/>
        <w:keepLines/>
      </w:pPr>
      <w:bookmarkStart w:id="273" w:name="_Ref8809949"/>
      <w:bookmarkStart w:id="274" w:name="_Toc23769523"/>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36</w:t>
      </w:r>
      <w:r w:rsidRPr="007D1918">
        <w:rPr>
          <w:noProof/>
        </w:rPr>
        <w:fldChar w:fldCharType="end"/>
      </w:r>
      <w:bookmarkEnd w:id="273"/>
      <w:r w:rsidRPr="007D1918">
        <w:tab/>
      </w:r>
      <w:r w:rsidR="00775A1A" w:rsidRPr="007D1918">
        <w:t>Rates of infection</w:t>
      </w:r>
      <w:r w:rsidRPr="007D1918">
        <w:t xml:space="preserve"> for IVIg compared with PE for MG maintenance</w:t>
      </w:r>
      <w:r w:rsidR="00775A1A" w:rsidRPr="007D1918">
        <w:t xml:space="preserve"> patients</w:t>
      </w:r>
      <w:bookmarkEnd w:id="274"/>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4 Rates of infection for IVIg compared with PE for MG maintenance patients"/>
        <w:tblDescription w:val="Rates of infection compared between those receiving IVIg or PE maintenance therapy (Indication 3)."/>
      </w:tblPr>
      <w:tblGrid>
        <w:gridCol w:w="1104"/>
        <w:gridCol w:w="1558"/>
        <w:gridCol w:w="1277"/>
        <w:gridCol w:w="1700"/>
        <w:gridCol w:w="1702"/>
        <w:gridCol w:w="1675"/>
      </w:tblGrid>
      <w:tr w:rsidR="007843B4" w:rsidRPr="007D1918" w14:paraId="4AC226FA" w14:textId="77777777" w:rsidTr="00D17FA1">
        <w:tc>
          <w:tcPr>
            <w:tcW w:w="612" w:type="pct"/>
            <w:shd w:val="clear" w:color="auto" w:fill="auto"/>
          </w:tcPr>
          <w:p w14:paraId="0DB856B1" w14:textId="77777777" w:rsidR="00775A1A" w:rsidRPr="007D1918" w:rsidRDefault="00775A1A" w:rsidP="00775A1A">
            <w:pPr>
              <w:pStyle w:val="TableHeading"/>
              <w:keepLines/>
              <w:rPr>
                <w:snapToGrid w:val="0"/>
                <w:lang w:eastAsia="en-US"/>
              </w:rPr>
            </w:pPr>
            <w:r w:rsidRPr="007D1918">
              <w:rPr>
                <w:snapToGrid w:val="0"/>
                <w:lang w:eastAsia="en-US"/>
              </w:rPr>
              <w:t>Study ID</w:t>
            </w:r>
          </w:p>
          <w:p w14:paraId="1A7CC6A6" w14:textId="00A430E3" w:rsidR="00775A1A" w:rsidRPr="007D1918" w:rsidRDefault="00775A1A" w:rsidP="00775A1A">
            <w:pPr>
              <w:pStyle w:val="TableHeading"/>
              <w:keepLines/>
              <w:rPr>
                <w:snapToGrid w:val="0"/>
                <w:lang w:eastAsia="en-US"/>
              </w:rPr>
            </w:pPr>
            <w:r w:rsidRPr="007D1918">
              <w:rPr>
                <w:snapToGrid w:val="0"/>
                <w:lang w:eastAsia="en-US"/>
              </w:rPr>
              <w:t>Country</w:t>
            </w:r>
          </w:p>
        </w:tc>
        <w:tc>
          <w:tcPr>
            <w:tcW w:w="864" w:type="pct"/>
          </w:tcPr>
          <w:p w14:paraId="3FDD8DB2" w14:textId="77777777" w:rsidR="00775A1A" w:rsidRPr="007D1918" w:rsidRDefault="00775A1A" w:rsidP="00775A1A">
            <w:pPr>
              <w:pStyle w:val="TableHeading"/>
              <w:keepLines/>
              <w:ind w:left="16" w:right="117"/>
              <w:rPr>
                <w:snapToGrid w:val="0"/>
                <w:lang w:eastAsia="en-US"/>
              </w:rPr>
            </w:pPr>
            <w:r w:rsidRPr="007D1918">
              <w:rPr>
                <w:snapToGrid w:val="0"/>
                <w:lang w:eastAsia="en-US"/>
              </w:rPr>
              <w:t>Level of evidence</w:t>
            </w:r>
          </w:p>
          <w:p w14:paraId="3191B2C4" w14:textId="28D7BFF0" w:rsidR="00775A1A" w:rsidRPr="007D1918" w:rsidRDefault="00775A1A" w:rsidP="00775A1A">
            <w:pPr>
              <w:pStyle w:val="TableHeading"/>
              <w:keepLines/>
              <w:ind w:left="16" w:right="117"/>
              <w:rPr>
                <w:snapToGrid w:val="0"/>
                <w:lang w:eastAsia="en-US"/>
              </w:rPr>
            </w:pPr>
            <w:r w:rsidRPr="007D1918">
              <w:rPr>
                <w:snapToGrid w:val="0"/>
                <w:lang w:eastAsia="en-US"/>
              </w:rPr>
              <w:t>Quality</w:t>
            </w:r>
          </w:p>
        </w:tc>
        <w:tc>
          <w:tcPr>
            <w:tcW w:w="708" w:type="pct"/>
          </w:tcPr>
          <w:p w14:paraId="3D83DF85" w14:textId="77777777" w:rsidR="00775A1A" w:rsidRPr="007D1918" w:rsidRDefault="00775A1A" w:rsidP="00775A1A">
            <w:pPr>
              <w:pStyle w:val="TableHeading"/>
              <w:keepLines/>
              <w:ind w:left="111" w:right="117"/>
              <w:rPr>
                <w:snapToGrid w:val="0"/>
                <w:lang w:eastAsia="en-US"/>
              </w:rPr>
            </w:pPr>
            <w:r w:rsidRPr="007D1918">
              <w:rPr>
                <w:snapToGrid w:val="0"/>
                <w:lang w:eastAsia="en-US"/>
              </w:rPr>
              <w:t>Event</w:t>
            </w:r>
          </w:p>
        </w:tc>
        <w:tc>
          <w:tcPr>
            <w:tcW w:w="943" w:type="pct"/>
            <w:shd w:val="clear" w:color="auto" w:fill="auto"/>
          </w:tcPr>
          <w:p w14:paraId="0722D4C0" w14:textId="77777777" w:rsidR="00775A1A" w:rsidRPr="007D1918" w:rsidRDefault="00775A1A" w:rsidP="00775A1A">
            <w:pPr>
              <w:pStyle w:val="TableHeading"/>
              <w:keepLines/>
              <w:ind w:left="111" w:right="117"/>
              <w:rPr>
                <w:snapToGrid w:val="0"/>
                <w:lang w:eastAsia="en-US"/>
              </w:rPr>
            </w:pPr>
            <w:r w:rsidRPr="007D1918">
              <w:rPr>
                <w:snapToGrid w:val="0"/>
                <w:lang w:eastAsia="en-US"/>
              </w:rPr>
              <w:t>IVIg</w:t>
            </w:r>
          </w:p>
          <w:p w14:paraId="1E2F894A" w14:textId="33EAAF6F" w:rsidR="00775A1A" w:rsidRPr="007D1918" w:rsidRDefault="00775A1A" w:rsidP="00775A1A">
            <w:pPr>
              <w:pStyle w:val="TableHeading"/>
              <w:keepLines/>
              <w:ind w:left="111" w:right="117"/>
              <w:rPr>
                <w:snapToGrid w:val="0"/>
                <w:lang w:eastAsia="en-US"/>
              </w:rPr>
            </w:pPr>
            <w:r w:rsidRPr="007D1918">
              <w:rPr>
                <w:snapToGrid w:val="0"/>
                <w:lang w:eastAsia="en-US"/>
              </w:rPr>
              <w:t>n with event/N (%)</w:t>
            </w:r>
          </w:p>
        </w:tc>
        <w:tc>
          <w:tcPr>
            <w:tcW w:w="944" w:type="pct"/>
            <w:shd w:val="clear" w:color="auto" w:fill="auto"/>
          </w:tcPr>
          <w:p w14:paraId="20B28D56" w14:textId="77777777" w:rsidR="00775A1A" w:rsidRPr="007D1918" w:rsidRDefault="00775A1A" w:rsidP="00775A1A">
            <w:pPr>
              <w:pStyle w:val="TableHeading"/>
              <w:keepLines/>
              <w:ind w:left="77" w:right="117"/>
              <w:rPr>
                <w:snapToGrid w:val="0"/>
                <w:lang w:eastAsia="en-US"/>
              </w:rPr>
            </w:pPr>
            <w:r w:rsidRPr="007D1918">
              <w:rPr>
                <w:snapToGrid w:val="0"/>
                <w:lang w:eastAsia="en-US"/>
              </w:rPr>
              <w:t>PE</w:t>
            </w:r>
          </w:p>
          <w:p w14:paraId="7614DD0F" w14:textId="3D10AEA9" w:rsidR="00775A1A" w:rsidRPr="007D1918" w:rsidRDefault="00775A1A" w:rsidP="00775A1A">
            <w:pPr>
              <w:pStyle w:val="TableHeading"/>
              <w:keepLines/>
              <w:ind w:left="77" w:right="117"/>
              <w:rPr>
                <w:snapToGrid w:val="0"/>
                <w:lang w:eastAsia="en-US"/>
              </w:rPr>
            </w:pPr>
            <w:r w:rsidRPr="007D1918">
              <w:rPr>
                <w:snapToGrid w:val="0"/>
                <w:lang w:eastAsia="en-US"/>
              </w:rPr>
              <w:t>n with event/N (%)</w:t>
            </w:r>
          </w:p>
        </w:tc>
        <w:tc>
          <w:tcPr>
            <w:tcW w:w="930" w:type="pct"/>
            <w:shd w:val="clear" w:color="auto" w:fill="auto"/>
          </w:tcPr>
          <w:p w14:paraId="36388E5B" w14:textId="3ABB9B1B" w:rsidR="00775A1A" w:rsidRPr="007D1918" w:rsidRDefault="00E96EAC" w:rsidP="00775A1A">
            <w:pPr>
              <w:pStyle w:val="TableHeading"/>
              <w:keepLines/>
              <w:ind w:right="117"/>
              <w:rPr>
                <w:snapToGrid w:val="0"/>
                <w:lang w:eastAsia="en-US"/>
              </w:rPr>
            </w:pPr>
            <w:r w:rsidRPr="007D1918">
              <w:rPr>
                <w:snapToGrid w:val="0"/>
                <w:lang w:eastAsia="en-US"/>
              </w:rPr>
              <w:t>D</w:t>
            </w:r>
            <w:r w:rsidR="00775A1A" w:rsidRPr="007D1918">
              <w:rPr>
                <w:snapToGrid w:val="0"/>
                <w:lang w:eastAsia="en-US"/>
              </w:rPr>
              <w:t>ifference</w:t>
            </w:r>
          </w:p>
          <w:p w14:paraId="27E9ADED" w14:textId="745D3F4C" w:rsidR="00775A1A" w:rsidRPr="007D1918" w:rsidRDefault="00775A1A" w:rsidP="00775A1A">
            <w:pPr>
              <w:pStyle w:val="TableHeading"/>
              <w:keepLines/>
              <w:ind w:right="117"/>
              <w:rPr>
                <w:snapToGrid w:val="0"/>
                <w:lang w:eastAsia="en-US"/>
              </w:rPr>
            </w:pPr>
            <w:r w:rsidRPr="007D1918">
              <w:rPr>
                <w:snapToGrid w:val="0"/>
                <w:lang w:eastAsia="en-US"/>
              </w:rPr>
              <w:t>p-value (95% CI)</w:t>
            </w:r>
          </w:p>
        </w:tc>
      </w:tr>
      <w:tr w:rsidR="007843B4" w:rsidRPr="007D1918" w14:paraId="072618DD" w14:textId="77777777" w:rsidTr="00D17FA1">
        <w:tc>
          <w:tcPr>
            <w:tcW w:w="612" w:type="pct"/>
            <w:shd w:val="clear" w:color="auto" w:fill="auto"/>
          </w:tcPr>
          <w:p w14:paraId="3B9CC7F5" w14:textId="54AD67A1" w:rsidR="00827FB0" w:rsidRPr="007D1918" w:rsidRDefault="003736AC" w:rsidP="00775A1A">
            <w:pPr>
              <w:pStyle w:val="Tabletext1"/>
              <w:keepNext/>
              <w:keepLines/>
              <w:rPr>
                <w:snapToGrid w:val="0"/>
                <w:lang w:eastAsia="en-US"/>
              </w:rPr>
            </w:pPr>
            <w:r w:rsidRPr="007D1918">
              <w:rPr>
                <w:snapToGrid w:val="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Pr="007D1918">
              <w:rPr>
                <w:snapToGrid w:val="0"/>
                <w:lang w:eastAsia="en-US"/>
              </w:rPr>
            </w:r>
            <w:r w:rsidRPr="007D1918">
              <w:rPr>
                <w:snapToGrid w:val="0"/>
                <w:lang w:eastAsia="en-US"/>
              </w:rPr>
              <w:fldChar w:fldCharType="separate"/>
            </w:r>
            <w:r w:rsidRPr="007D1918">
              <w:rPr>
                <w:noProof/>
                <w:snapToGrid w:val="0"/>
                <w:lang w:eastAsia="en-US"/>
              </w:rPr>
              <w:t>(</w:t>
            </w:r>
            <w:hyperlink w:anchor="_ENREF_64" w:tooltip="Mandawat, 2010 #37" w:history="1">
              <w:r w:rsidR="007D4948" w:rsidRPr="007D1918">
                <w:rPr>
                  <w:noProof/>
                  <w:snapToGrid w:val="0"/>
                  <w:lang w:eastAsia="en-US"/>
                </w:rPr>
                <w:t>Mandawat et al. 2010</w:t>
              </w:r>
            </w:hyperlink>
            <w:r w:rsidRPr="007D1918">
              <w:rPr>
                <w:noProof/>
                <w:snapToGrid w:val="0"/>
                <w:lang w:eastAsia="en-US"/>
              </w:rPr>
              <w:t>)</w:t>
            </w:r>
            <w:r w:rsidRPr="007D1918">
              <w:rPr>
                <w:snapToGrid w:val="0"/>
                <w:lang w:eastAsia="en-US"/>
              </w:rPr>
              <w:fldChar w:fldCharType="end"/>
            </w:r>
          </w:p>
          <w:p w14:paraId="1704D7D7" w14:textId="08AFD0C2" w:rsidR="00775A1A" w:rsidRPr="007D1918" w:rsidRDefault="00775A1A" w:rsidP="00775A1A">
            <w:pPr>
              <w:pStyle w:val="Tabletext1"/>
              <w:keepNext/>
              <w:keepLines/>
              <w:rPr>
                <w:snapToGrid w:val="0"/>
                <w:lang w:eastAsia="en-US"/>
              </w:rPr>
            </w:pPr>
            <w:r w:rsidRPr="007D1918">
              <w:rPr>
                <w:snapToGrid w:val="0"/>
                <w:lang w:eastAsia="en-US"/>
              </w:rPr>
              <w:t>USA</w:t>
            </w:r>
          </w:p>
        </w:tc>
        <w:tc>
          <w:tcPr>
            <w:tcW w:w="864" w:type="pct"/>
          </w:tcPr>
          <w:p w14:paraId="2FD910C6" w14:textId="77777777" w:rsidR="00775A1A" w:rsidRPr="007D1918" w:rsidRDefault="00775A1A" w:rsidP="00775A1A">
            <w:pPr>
              <w:pStyle w:val="Tabletext1"/>
              <w:keepNext/>
              <w:keepLines/>
              <w:rPr>
                <w:snapToGrid w:val="0"/>
                <w:lang w:eastAsia="en-US"/>
              </w:rPr>
            </w:pPr>
            <w:r w:rsidRPr="007D1918">
              <w:rPr>
                <w:snapToGrid w:val="0"/>
                <w:lang w:eastAsia="en-US"/>
              </w:rPr>
              <w:t>Level III-2</w:t>
            </w:r>
          </w:p>
          <w:p w14:paraId="35654237" w14:textId="13941519" w:rsidR="00775A1A" w:rsidRPr="007D1918" w:rsidRDefault="00775A1A" w:rsidP="00775A1A">
            <w:pPr>
              <w:pStyle w:val="Tabletext1"/>
              <w:keepNext/>
              <w:keepLines/>
              <w:rPr>
                <w:snapToGrid w:val="0"/>
                <w:lang w:eastAsia="en-US"/>
              </w:rPr>
            </w:pPr>
            <w:r w:rsidRPr="007D1918">
              <w:rPr>
                <w:snapToGrid w:val="0"/>
                <w:lang w:eastAsia="en-US"/>
              </w:rPr>
              <w:t>Moderate risk of bias</w:t>
            </w:r>
          </w:p>
        </w:tc>
        <w:tc>
          <w:tcPr>
            <w:tcW w:w="708" w:type="pct"/>
          </w:tcPr>
          <w:p w14:paraId="6C8904D6" w14:textId="326628B6" w:rsidR="00775A1A" w:rsidRPr="007D1918" w:rsidRDefault="00775A1A" w:rsidP="00775A1A">
            <w:pPr>
              <w:pStyle w:val="TableText0"/>
              <w:keepLines/>
              <w:rPr>
                <w:snapToGrid w:val="0"/>
              </w:rPr>
            </w:pPr>
            <w:r w:rsidRPr="007D1918">
              <w:rPr>
                <w:snapToGrid w:val="0"/>
              </w:rPr>
              <w:t>Systemic infection</w:t>
            </w:r>
          </w:p>
        </w:tc>
        <w:tc>
          <w:tcPr>
            <w:tcW w:w="943" w:type="pct"/>
            <w:shd w:val="clear" w:color="auto" w:fill="auto"/>
          </w:tcPr>
          <w:p w14:paraId="3314EE83" w14:textId="443F1B48" w:rsidR="00775A1A" w:rsidRPr="007D1918" w:rsidRDefault="00775A1A" w:rsidP="00775A1A">
            <w:pPr>
              <w:pStyle w:val="TableText0"/>
              <w:keepLines/>
              <w:rPr>
                <w:snapToGrid w:val="0"/>
              </w:rPr>
            </w:pPr>
            <w:r w:rsidRPr="007D1918">
              <w:rPr>
                <w:snapToGrid w:val="0"/>
              </w:rPr>
              <w:t>3/171 (1.7%)</w:t>
            </w:r>
          </w:p>
          <w:p w14:paraId="683A072D" w14:textId="77777777" w:rsidR="00775A1A" w:rsidRPr="007D1918" w:rsidRDefault="00775A1A" w:rsidP="00775A1A">
            <w:pPr>
              <w:pStyle w:val="TableText0"/>
              <w:keepLines/>
              <w:rPr>
                <w:snapToGrid w:val="0"/>
              </w:rPr>
            </w:pPr>
          </w:p>
        </w:tc>
        <w:tc>
          <w:tcPr>
            <w:tcW w:w="944" w:type="pct"/>
            <w:shd w:val="clear" w:color="auto" w:fill="auto"/>
          </w:tcPr>
          <w:p w14:paraId="04BA67E4" w14:textId="2F3B231B" w:rsidR="00775A1A" w:rsidRPr="007D1918" w:rsidRDefault="00775A1A" w:rsidP="00775A1A">
            <w:pPr>
              <w:keepNext/>
              <w:keepLines/>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12/737 (1.63%)</w:t>
            </w:r>
          </w:p>
          <w:p w14:paraId="7E305837" w14:textId="12D35B57" w:rsidR="00775A1A" w:rsidRPr="007D1918" w:rsidRDefault="00775A1A" w:rsidP="00775A1A">
            <w:pPr>
              <w:keepNext/>
              <w:keepLines/>
              <w:spacing w:before="40" w:after="40" w:line="240" w:lineRule="auto"/>
              <w:rPr>
                <w:rFonts w:ascii="Arial Narrow" w:hAnsi="Arial Narrow"/>
                <w:snapToGrid w:val="0"/>
                <w:sz w:val="20"/>
                <w:lang w:eastAsia="en-US"/>
              </w:rPr>
            </w:pPr>
          </w:p>
        </w:tc>
        <w:tc>
          <w:tcPr>
            <w:tcW w:w="930" w:type="pct"/>
            <w:shd w:val="clear" w:color="auto" w:fill="auto"/>
          </w:tcPr>
          <w:p w14:paraId="374BAF0F" w14:textId="77777777" w:rsidR="00775A1A" w:rsidRPr="007D1918" w:rsidRDefault="00775A1A" w:rsidP="00775A1A">
            <w:pPr>
              <w:pStyle w:val="TableText0"/>
              <w:keepLines/>
              <w:rPr>
                <w:snapToGrid w:val="0"/>
              </w:rPr>
            </w:pPr>
            <w:r w:rsidRPr="007D1918">
              <w:rPr>
                <w:snapToGrid w:val="0"/>
              </w:rPr>
              <w:t>P = 1.00</w:t>
            </w:r>
          </w:p>
          <w:p w14:paraId="6D87A086" w14:textId="05490BFF" w:rsidR="00775A1A" w:rsidRPr="007D1918" w:rsidRDefault="00775A1A" w:rsidP="00775A1A">
            <w:pPr>
              <w:pStyle w:val="TableText0"/>
              <w:keepLines/>
              <w:rPr>
                <w:snapToGrid w:val="0"/>
                <w:vertAlign w:val="superscript"/>
              </w:rPr>
            </w:pPr>
            <w:r w:rsidRPr="007D1918">
              <w:rPr>
                <w:snapToGrid w:val="0"/>
              </w:rPr>
              <w:t>(-1.57%, 3.39%)</w:t>
            </w:r>
            <w:r w:rsidR="00E917E2" w:rsidRPr="007D1918">
              <w:rPr>
                <w:snapToGrid w:val="0"/>
                <w:vertAlign w:val="superscript"/>
              </w:rPr>
              <w:t>a</w:t>
            </w:r>
          </w:p>
        </w:tc>
      </w:tr>
      <w:tr w:rsidR="007843B4" w:rsidRPr="007D1918" w14:paraId="4D4237E7" w14:textId="77777777" w:rsidTr="00D17FA1">
        <w:tc>
          <w:tcPr>
            <w:tcW w:w="612" w:type="pct"/>
            <w:shd w:val="clear" w:color="auto" w:fill="auto"/>
          </w:tcPr>
          <w:p w14:paraId="4B5E2F6E" w14:textId="5092446D" w:rsidR="00827FB0" w:rsidRPr="007D1918" w:rsidRDefault="003736AC" w:rsidP="00C569F8">
            <w:pPr>
              <w:pStyle w:val="Tabletext1"/>
              <w:rPr>
                <w:snapToGrid w:val="0"/>
                <w:lang w:eastAsia="en-US"/>
              </w:rPr>
            </w:pPr>
            <w:r w:rsidRPr="007D1918">
              <w:rPr>
                <w:snapToGrid w:val="0"/>
                <w:lang w:eastAsia="en-US"/>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Pr="007D1918">
              <w:rPr>
                <w:snapToGrid w:val="0"/>
                <w:lang w:eastAsia="en-US"/>
              </w:rPr>
            </w:r>
            <w:r w:rsidRPr="007D1918">
              <w:rPr>
                <w:snapToGrid w:val="0"/>
                <w:lang w:eastAsia="en-US"/>
              </w:rPr>
              <w:fldChar w:fldCharType="separate"/>
            </w:r>
            <w:r w:rsidRPr="007D1918">
              <w:rPr>
                <w:noProof/>
                <w:snapToGrid w:val="0"/>
                <w:lang w:eastAsia="en-US"/>
              </w:rPr>
              <w:t>(</w:t>
            </w:r>
            <w:hyperlink w:anchor="_ENREF_83" w:tooltip="Rønager, 2001 #41" w:history="1">
              <w:r w:rsidR="007D4948" w:rsidRPr="007D1918">
                <w:rPr>
                  <w:noProof/>
                  <w:snapToGrid w:val="0"/>
                  <w:lang w:eastAsia="en-US"/>
                </w:rPr>
                <w:t>Rønager et al. 2001</w:t>
              </w:r>
            </w:hyperlink>
            <w:r w:rsidRPr="007D1918">
              <w:rPr>
                <w:noProof/>
                <w:snapToGrid w:val="0"/>
                <w:lang w:eastAsia="en-US"/>
              </w:rPr>
              <w:t>)</w:t>
            </w:r>
            <w:r w:rsidRPr="007D1918">
              <w:rPr>
                <w:snapToGrid w:val="0"/>
                <w:lang w:eastAsia="en-US"/>
              </w:rPr>
              <w:fldChar w:fldCharType="end"/>
            </w:r>
          </w:p>
          <w:p w14:paraId="6BA11914" w14:textId="774E6DD1" w:rsidR="00775A1A" w:rsidRPr="007D1918" w:rsidRDefault="00775A1A" w:rsidP="00C569F8">
            <w:pPr>
              <w:pStyle w:val="Tabletext1"/>
              <w:rPr>
                <w:snapToGrid w:val="0"/>
                <w:lang w:eastAsia="en-US"/>
              </w:rPr>
            </w:pPr>
            <w:r w:rsidRPr="007D1918">
              <w:rPr>
                <w:snapToGrid w:val="0"/>
                <w:lang w:eastAsia="en-US"/>
              </w:rPr>
              <w:t>Denmark</w:t>
            </w:r>
          </w:p>
        </w:tc>
        <w:tc>
          <w:tcPr>
            <w:tcW w:w="864" w:type="pct"/>
          </w:tcPr>
          <w:p w14:paraId="1E4C1213" w14:textId="77777777" w:rsidR="00775A1A" w:rsidRPr="007D1918" w:rsidRDefault="00775A1A" w:rsidP="00C569F8">
            <w:pPr>
              <w:pStyle w:val="Tabletext1"/>
              <w:rPr>
                <w:snapToGrid w:val="0"/>
                <w:lang w:eastAsia="en-US"/>
              </w:rPr>
            </w:pPr>
            <w:r w:rsidRPr="007D1918">
              <w:rPr>
                <w:snapToGrid w:val="0"/>
                <w:lang w:eastAsia="en-US"/>
              </w:rPr>
              <w:t>Level II</w:t>
            </w:r>
          </w:p>
          <w:p w14:paraId="675E157A" w14:textId="32FA2D56" w:rsidR="00775A1A" w:rsidRPr="007D1918" w:rsidRDefault="00775A1A" w:rsidP="00C569F8">
            <w:pPr>
              <w:pStyle w:val="Tabletext1"/>
              <w:rPr>
                <w:snapToGrid w:val="0"/>
                <w:lang w:eastAsia="en-US"/>
              </w:rPr>
            </w:pPr>
            <w:r w:rsidRPr="007D1918">
              <w:rPr>
                <w:snapToGrid w:val="0"/>
                <w:lang w:eastAsia="en-US"/>
              </w:rPr>
              <w:t>High risk of bias</w:t>
            </w:r>
          </w:p>
        </w:tc>
        <w:tc>
          <w:tcPr>
            <w:tcW w:w="708" w:type="pct"/>
          </w:tcPr>
          <w:p w14:paraId="3576E9DB" w14:textId="495B13A2" w:rsidR="00775A1A" w:rsidRPr="007D1918" w:rsidRDefault="00775A1A" w:rsidP="006B7AA5">
            <w:pPr>
              <w:pStyle w:val="TableText0"/>
              <w:rPr>
                <w:snapToGrid w:val="0"/>
              </w:rPr>
            </w:pPr>
            <w:r w:rsidRPr="007D1918">
              <w:rPr>
                <w:snapToGrid w:val="0"/>
              </w:rPr>
              <w:t>Septicaemia</w:t>
            </w:r>
          </w:p>
        </w:tc>
        <w:tc>
          <w:tcPr>
            <w:tcW w:w="943" w:type="pct"/>
            <w:shd w:val="clear" w:color="auto" w:fill="auto"/>
          </w:tcPr>
          <w:p w14:paraId="76187F27" w14:textId="1EA7200B" w:rsidR="00775A1A" w:rsidRPr="007D1918" w:rsidRDefault="00775A1A" w:rsidP="00C569F8">
            <w:pPr>
              <w:pStyle w:val="TableText0"/>
              <w:rPr>
                <w:snapToGrid w:val="0"/>
              </w:rPr>
            </w:pPr>
            <w:r w:rsidRPr="007D1918">
              <w:rPr>
                <w:snapToGrid w:val="0"/>
              </w:rPr>
              <w:t>0/12 (0%)</w:t>
            </w:r>
          </w:p>
        </w:tc>
        <w:tc>
          <w:tcPr>
            <w:tcW w:w="944" w:type="pct"/>
            <w:shd w:val="clear" w:color="auto" w:fill="auto"/>
          </w:tcPr>
          <w:p w14:paraId="20AC3279" w14:textId="313A24EB" w:rsidR="00775A1A" w:rsidRPr="007D1918" w:rsidRDefault="00775A1A" w:rsidP="00C569F8">
            <w:pPr>
              <w:spacing w:before="40" w:after="40" w:line="240" w:lineRule="auto"/>
              <w:rPr>
                <w:rFonts w:ascii="Arial Narrow" w:hAnsi="Arial Narrow"/>
                <w:snapToGrid w:val="0"/>
                <w:sz w:val="20"/>
                <w:lang w:eastAsia="en-US"/>
              </w:rPr>
            </w:pPr>
            <w:r w:rsidRPr="007D1918">
              <w:rPr>
                <w:rFonts w:ascii="Arial Narrow" w:hAnsi="Arial Narrow"/>
                <w:snapToGrid w:val="0"/>
                <w:sz w:val="20"/>
                <w:lang w:eastAsia="en-US"/>
              </w:rPr>
              <w:t>1/12 (8.3%)</w:t>
            </w:r>
          </w:p>
        </w:tc>
        <w:tc>
          <w:tcPr>
            <w:tcW w:w="930" w:type="pct"/>
            <w:shd w:val="clear" w:color="auto" w:fill="auto"/>
          </w:tcPr>
          <w:p w14:paraId="5C2ABED0" w14:textId="77777777" w:rsidR="00775A1A" w:rsidRPr="007D1918" w:rsidRDefault="00775A1A" w:rsidP="00C569F8">
            <w:pPr>
              <w:pStyle w:val="TableText0"/>
              <w:rPr>
                <w:snapToGrid w:val="0"/>
              </w:rPr>
            </w:pPr>
            <w:r w:rsidRPr="007D1918">
              <w:rPr>
                <w:snapToGrid w:val="0"/>
              </w:rPr>
              <w:t>P = 0.0001</w:t>
            </w:r>
          </w:p>
          <w:p w14:paraId="1FAD0FC2" w14:textId="215C0B0D" w:rsidR="00775A1A" w:rsidRPr="007D1918" w:rsidRDefault="00775A1A" w:rsidP="00C569F8">
            <w:pPr>
              <w:pStyle w:val="TableText0"/>
              <w:rPr>
                <w:snapToGrid w:val="0"/>
              </w:rPr>
            </w:pPr>
            <w:r w:rsidRPr="007D1918">
              <w:rPr>
                <w:snapToGrid w:val="0"/>
              </w:rPr>
              <w:t>(33.8%, 61.8%)</w:t>
            </w:r>
            <w:r w:rsidR="00E917E2" w:rsidRPr="007D1918">
              <w:rPr>
                <w:snapToGrid w:val="0"/>
                <w:vertAlign w:val="superscript"/>
              </w:rPr>
              <w:t>b</w:t>
            </w:r>
          </w:p>
        </w:tc>
      </w:tr>
    </w:tbl>
    <w:p w14:paraId="24A0E5D0" w14:textId="5C50C112" w:rsidR="00467FA2" w:rsidRPr="007D1918" w:rsidRDefault="00F668FB" w:rsidP="00D94465">
      <w:pPr>
        <w:pStyle w:val="Tablenotes0"/>
        <w:spacing w:after="80"/>
        <w:contextualSpacing w:val="0"/>
      </w:pPr>
      <w:r w:rsidRPr="007D1918">
        <w:t xml:space="preserve">IVIg = intravenous immunoglobulin therapy; </w:t>
      </w:r>
      <w:r w:rsidR="001B18BA" w:rsidRPr="007D1918">
        <w:t xml:space="preserve">MG = myasthenia gravis; </w:t>
      </w:r>
      <w:r w:rsidRPr="007D1918">
        <w:t>PE plasma exchange therapy</w:t>
      </w:r>
    </w:p>
    <w:p w14:paraId="5E5DD93A" w14:textId="583C82AC" w:rsidR="00E917E2" w:rsidRPr="007D1918" w:rsidRDefault="00E917E2" w:rsidP="00E6429D">
      <w:pPr>
        <w:pStyle w:val="Tablenotes0"/>
      </w:pPr>
      <w:r w:rsidRPr="007D1918">
        <w:rPr>
          <w:vertAlign w:val="superscript"/>
        </w:rPr>
        <w:t>a</w:t>
      </w:r>
      <w:r w:rsidRPr="007D1918">
        <w:t xml:space="preserve"> Fisher’s exact test </w:t>
      </w:r>
      <w:r w:rsidR="0075212A"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64" w:tooltip="Mandawat, 2010 #37" w:history="1">
        <w:r w:rsidR="007D4948" w:rsidRPr="007D1918">
          <w:rPr>
            <w:noProof/>
          </w:rPr>
          <w:t>Mandawat et al. 2010</w:t>
        </w:r>
      </w:hyperlink>
      <w:r w:rsidR="0075212A" w:rsidRPr="007D1918">
        <w:rPr>
          <w:noProof/>
        </w:rPr>
        <w:t>)</w:t>
      </w:r>
      <w:r w:rsidR="0075212A" w:rsidRPr="007D1918">
        <w:fldChar w:fldCharType="end"/>
      </w:r>
    </w:p>
    <w:p w14:paraId="6320B96D" w14:textId="7B29A416" w:rsidR="00E917E2" w:rsidRPr="007D1918" w:rsidRDefault="00E917E2" w:rsidP="005A2FC5">
      <w:pPr>
        <w:pStyle w:val="Tablenotes0"/>
        <w:spacing w:after="0"/>
      </w:pPr>
      <w:r w:rsidRPr="007D1918">
        <w:rPr>
          <w:vertAlign w:val="superscript"/>
        </w:rPr>
        <w:t>b</w:t>
      </w:r>
      <w:r w:rsidRPr="007D1918">
        <w:t xml:space="preserve"> Chi-squared test, MedCalc online</w:t>
      </w:r>
      <w:r w:rsidR="00D95E2D" w:rsidRPr="007D1918">
        <w:t xml:space="preserve"> </w:t>
      </w:r>
      <w:r w:rsidRPr="007D1918">
        <w:t>calculator</w:t>
      </w:r>
    </w:p>
    <w:p w14:paraId="4E65E46B" w14:textId="77777777" w:rsidR="00E917E2" w:rsidRPr="007D1918" w:rsidRDefault="00E917E2" w:rsidP="005A2FC5">
      <w:pPr>
        <w:pStyle w:val="Tabletext1"/>
      </w:pPr>
    </w:p>
    <w:p w14:paraId="4B9D14D5" w14:textId="2B7BE53C" w:rsidR="00467FA2" w:rsidRPr="007D1918" w:rsidRDefault="00467FA2" w:rsidP="00467FA2">
      <w:pPr>
        <w:pStyle w:val="Heading4"/>
      </w:pPr>
      <w:r w:rsidRPr="007D1918">
        <w:t>Change in symptoms (</w:t>
      </w:r>
      <w:r w:rsidR="00BF3DCB" w:rsidRPr="007D1918">
        <w:t>QMGS</w:t>
      </w:r>
      <w:r w:rsidRPr="007D1918">
        <w:t>)</w:t>
      </w:r>
      <w:r w:rsidR="007631D0" w:rsidRPr="007D1918">
        <w:t xml:space="preserve"> in adults</w:t>
      </w:r>
      <w:r w:rsidR="00BF3DCB" w:rsidRPr="007D1918">
        <w:t xml:space="preserve"> receiving </w:t>
      </w:r>
      <w:r w:rsidR="00D95E2D" w:rsidRPr="007D1918">
        <w:t>maintenance IVIg or PE</w:t>
      </w:r>
    </w:p>
    <w:p w14:paraId="64351907" w14:textId="5654D273" w:rsidR="00467FA2" w:rsidRPr="007D1918" w:rsidRDefault="00051889" w:rsidP="008A1CBC">
      <w:pPr>
        <w:jc w:val="both"/>
      </w:pPr>
      <w:r w:rsidRPr="007D1918">
        <w:t>None of the studies assessing symptom improvement for patients receiving IVIg for maintenance therapy used the MGC tool</w:t>
      </w:r>
      <w:r w:rsidR="000860FF" w:rsidRPr="007D1918">
        <w:t>,</w:t>
      </w:r>
      <w:r w:rsidRPr="007D1918">
        <w:t xml:space="preserve"> so studies were included if they used other standardised tools (see </w:t>
      </w:r>
      <w:r w:rsidRPr="007D1918">
        <w:rPr>
          <w:i/>
        </w:rPr>
        <w:t>Section B.5</w:t>
      </w:r>
      <w:r w:rsidRPr="007D1918">
        <w:t xml:space="preserve"> </w:t>
      </w:r>
      <w:r w:rsidR="006B248E" w:rsidRPr="007D1918">
        <w:rPr>
          <w:i/>
        </w:rPr>
        <w:t>Outcome measures and Analysis</w:t>
      </w:r>
      <w:r w:rsidR="006B248E" w:rsidRPr="007D1918">
        <w:t xml:space="preserve"> </w:t>
      </w:r>
      <w:r w:rsidRPr="007D1918">
        <w:t xml:space="preserve">for a comparison of tools). </w:t>
      </w:r>
      <w:r w:rsidR="00DC6774" w:rsidRPr="007D1918">
        <w:t>QMGS is a MG specific tool and was the most commonly used measure of symptoms across the studies</w:t>
      </w:r>
      <w:r w:rsidR="00E917E2" w:rsidRPr="007D1918">
        <w:t xml:space="preserve"> included</w:t>
      </w:r>
      <w:r w:rsidR="00DC6774" w:rsidRPr="007D1918">
        <w:t xml:space="preserve">. A decrease in QMGS indicates a decrease in the severity of symptoms. </w:t>
      </w:r>
      <w:r w:rsidR="007843B4" w:rsidRPr="007D1918">
        <w:t xml:space="preserve">The MGC is a modified version of the QMGS, taking less time to perform with patients. </w:t>
      </w:r>
      <w:r w:rsidR="00C22D75" w:rsidRPr="007D1918">
        <w:t xml:space="preserve">Three RCTs </w:t>
      </w:r>
      <w:r w:rsidR="0075212A" w:rsidRPr="007D1918">
        <w:fldChar w:fldCharType="begin">
          <w:fldData xml:space="preserve">PEVuZE5vdGU+PENpdGU+PEF1dGhvcj5CYXJ0aDwvQXV0aG9yPjxZZWFyPjIwMTE8L1llYXI+PFJl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</w:fldData>
        </w:fldChar>
      </w:r>
      <w:r w:rsidR="007F4CDE" w:rsidRPr="007D1918">
        <w:instrText xml:space="preserve"> ADDIN EN.CITE </w:instrText>
      </w:r>
      <w:r w:rsidR="007F4CDE" w:rsidRPr="007D1918">
        <w:fldChar w:fldCharType="begin">
          <w:fldData xml:space="preserve">PEVuZE5vdGU+PENpdGU+PEF1dGhvcj5CYXJ0aDwvQXV0aG9yPjxZZWFyPjIwMTE8L1llYXI+PFJl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</w:fldData>
        </w:fldChar>
      </w:r>
      <w:r w:rsidR="007F4CDE" w:rsidRPr="007D1918">
        <w:instrText xml:space="preserve"> ADDIN EN.CITE.DATA </w:instrText>
      </w:r>
      <w:r w:rsidR="007F4CDE" w:rsidRPr="007D1918">
        <w:fldChar w:fldCharType="end"/>
      </w:r>
      <w:r w:rsidR="0075212A"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 xml:space="preserve">; </w:t>
      </w:r>
      <w:hyperlink w:anchor="_ENREF_63" w:tooltip="Liu, 2010 #56" w:history="1">
        <w:r w:rsidR="007D4948" w:rsidRPr="007D1918">
          <w:rPr>
            <w:noProof/>
          </w:rPr>
          <w:t>Liu et al. 2010</w:t>
        </w:r>
      </w:hyperlink>
      <w:r w:rsidR="001A0E53" w:rsidRPr="007D1918">
        <w:rPr>
          <w:noProof/>
        </w:rPr>
        <w:t xml:space="preserve">; </w:t>
      </w:r>
      <w:hyperlink w:anchor="_ENREF_83" w:tooltip="Rønager, 2001 #41" w:history="1">
        <w:r w:rsidR="007D4948" w:rsidRPr="007D1918">
          <w:rPr>
            <w:noProof/>
          </w:rPr>
          <w:t>Rønager et al. 2001</w:t>
        </w:r>
      </w:hyperlink>
      <w:r w:rsidR="001A0E53" w:rsidRPr="007D1918">
        <w:rPr>
          <w:noProof/>
        </w:rPr>
        <w:t>)</w:t>
      </w:r>
      <w:r w:rsidR="0075212A" w:rsidRPr="007D1918">
        <w:fldChar w:fldCharType="end"/>
      </w:r>
      <w:r w:rsidR="00C22D75" w:rsidRPr="007D1918">
        <w:t xml:space="preserve"> and one case series with pre and post-treatment outcomes </w:t>
      </w:r>
      <w:r w:rsidR="0075212A" w:rsidRPr="007D1918">
        <w:fldChar w:fldCharType="begin"/>
      </w:r>
      <w:r w:rsidR="00C437BA" w:rsidRPr="007D1918">
        <w:instrText xml:space="preserve"> ADDIN EN.CITE &lt;EndNote&gt;&lt;Cite&gt;&lt;Author&gt;Eienbröker&lt;/Author&gt;&lt;Year&gt;2014&lt;/Year&gt;&lt;RecNum&gt;51&lt;/RecNum&gt;&lt;DisplayText&gt;(Eienbröker et al. 2014)&lt;/DisplayText&gt;&lt;record&gt;&lt;rec-number&gt;51&lt;/rec-number&gt;&lt;foreign-keys&gt;&lt;key app="EN" db-id="2aevrx2slsts5ve9sdavatf125dsx0av2v9d" timestamp="1562811028"&gt;51&lt;/key&gt;&lt;/foreign-keys&gt;&lt;ref-type name="Journal Article"&gt;17&lt;/ref-type&gt;&lt;contributors&gt;&lt;authors&gt;&lt;author&gt;Eienbröker, C.&lt;/author&gt;&lt;author&gt;Seitz, F.&lt;/author&gt;&lt;author&gt;Spengler, A.&lt;/author&gt;&lt;author&gt;Kurz, H.&lt;/author&gt;&lt;author&gt;Seipelt, M.&lt;/author&gt;&lt;author&gt;Sommer, N.&lt;/author&gt;&lt;author&gt;Oertel, W. H.&lt;/author&gt;&lt;author&gt;Timmesfeld, N.&lt;/author&gt;&lt;author&gt;Tackenberg, B.&lt;/author&gt;&lt;/authors&gt;&lt;/contributors&gt;&lt;titles&gt;&lt;title&gt;Intravenous immunoglobulin maintenance treatment in myasthenia gravis: a randomized, controlled trial sample size simulation&lt;/title&gt;&lt;secondary-title&gt;Muscle &amp;amp; nerve&lt;/secondary-title&gt;&lt;/titles&gt;&lt;periodical&gt;&lt;full-title&gt;Muscle &amp;amp; Nerve&lt;/full-title&gt;&lt;/periodical&gt;&lt;pages&gt;999‐1004&lt;/pages&gt;&lt;volume&gt;50&lt;/volume&gt;&lt;number&gt;6&lt;/number&gt;&lt;keywords&gt;&lt;keyword&gt;Adult&lt;/keyword&gt;&lt;keyword&gt;Aged&lt;/keyword&gt;&lt;keyword&gt;Endpoint Determination&lt;/keyword&gt;&lt;keyword&gt;Female&lt;/keyword&gt;&lt;keyword&gt;Humans&lt;/keyword&gt;&lt;keyword&gt;Immunoglobulins, Intravenous [*therapeutic use]&lt;/keyword&gt;&lt;keyword&gt;Male&lt;/keyword&gt;&lt;keyword&gt;Middle Aged&lt;/keyword&gt;&lt;keyword&gt;Myasthenia Gravis [*drug therapy]&lt;/keyword&gt;&lt;keyword&gt;Prospective Studies&lt;/keyword&gt;&lt;keyword&gt;Severity of Illness Index&lt;/keyword&gt;&lt;keyword&gt;Treatment Outcome&lt;/keyword&gt;&lt;/keywords&gt;&lt;dates&gt;&lt;year&gt;2014&lt;/year&gt;&lt;/dates&gt;&lt;accession-num&gt;CN-01117282&lt;/accession-num&gt;&lt;work-type&gt;Journal Article; Randomized Controlled Trial; Research Support, Non‐U.S. Gov&amp;apos;t&lt;/work-type&gt;&lt;urls&gt;&lt;related-urls&gt;&lt;url&gt;https://www.cochranelibrary.com/central/doi/10.1002/central/CN-01117282/full&lt;/url&gt;&lt;url&gt;https://onlinelibrary.wiley.com/doi/pdf/10.1002/mus.24259&lt;/url&gt;&lt;/related-urls&gt;&lt;/urls&gt;&lt;custom3&gt;PUBMED 24710856&lt;/custom3&gt;&lt;electronic-resource-num&gt;10.1002/mus.24259&lt;/electronic-resource-num&gt;&lt;/record&gt;&lt;/Cite&gt;&lt;/EndNote&gt;</w:instrText>
      </w:r>
      <w:r w:rsidR="0075212A" w:rsidRPr="007D1918">
        <w:fldChar w:fldCharType="separate"/>
      </w:r>
      <w:r w:rsidR="0075212A" w:rsidRPr="007D1918">
        <w:rPr>
          <w:noProof/>
        </w:rPr>
        <w:t>(</w:t>
      </w:r>
      <w:hyperlink w:anchor="_ENREF_23" w:tooltip="Eienbröker, 2014 #51" w:history="1">
        <w:r w:rsidR="007D4948" w:rsidRPr="007D1918">
          <w:rPr>
            <w:noProof/>
          </w:rPr>
          <w:t>Eienbröker et al. 2014</w:t>
        </w:r>
      </w:hyperlink>
      <w:r w:rsidR="0075212A" w:rsidRPr="007D1918">
        <w:rPr>
          <w:noProof/>
        </w:rPr>
        <w:t>)</w:t>
      </w:r>
      <w:r w:rsidR="0075212A" w:rsidRPr="007D1918">
        <w:fldChar w:fldCharType="end"/>
      </w:r>
      <w:r w:rsidR="00C22D75" w:rsidRPr="007D1918">
        <w:t xml:space="preserve"> assessed symptom improvement using </w:t>
      </w:r>
      <w:r w:rsidR="00DC6774" w:rsidRPr="007D1918">
        <w:t xml:space="preserve">the </w:t>
      </w:r>
      <w:r w:rsidR="00C22D75" w:rsidRPr="007D1918">
        <w:t xml:space="preserve">QMGS. </w:t>
      </w:r>
      <w:r w:rsidR="00A308C5" w:rsidRPr="007D1918">
        <w:t xml:space="preserve">Despite using the same tool, the three studies used different scales for reporting changes. </w:t>
      </w:r>
      <w:r w:rsidR="00027731" w:rsidRPr="007D1918">
        <w:t xml:space="preserve">Outcomes are reported in </w:t>
      </w:r>
      <w:r w:rsidR="00027731" w:rsidRPr="007D1918">
        <w:fldChar w:fldCharType="begin"/>
      </w:r>
      <w:r w:rsidR="00027731" w:rsidRPr="007D1918">
        <w:instrText xml:space="preserve"> REF _Ref8809944 \h </w:instrText>
      </w:r>
      <w:r w:rsidR="00E07567" w:rsidRPr="007D1918">
        <w:instrText xml:space="preserve"> \* MERGEFORMAT </w:instrText>
      </w:r>
      <w:r w:rsidR="00027731" w:rsidRPr="007D1918">
        <w:fldChar w:fldCharType="separate"/>
      </w:r>
      <w:r w:rsidR="00153384" w:rsidRPr="007D1918">
        <w:t xml:space="preserve">Table </w:t>
      </w:r>
      <w:r w:rsidR="00153384" w:rsidRPr="007D1918">
        <w:rPr>
          <w:noProof/>
        </w:rPr>
        <w:t>37</w:t>
      </w:r>
      <w:r w:rsidR="00027731" w:rsidRPr="007D1918">
        <w:fldChar w:fldCharType="end"/>
      </w:r>
      <w:r w:rsidR="00027731" w:rsidRPr="007D1918">
        <w:t>.</w:t>
      </w:r>
    </w:p>
    <w:p w14:paraId="51126F95" w14:textId="7B3C973F" w:rsidR="007631D0" w:rsidRPr="007D1918" w:rsidRDefault="00F070CD" w:rsidP="008A1CBC">
      <w:pPr>
        <w:jc w:val="both"/>
      </w:pPr>
      <w:r w:rsidRPr="007D1918">
        <w:t xml:space="preserve">Barth et al randomised 84 patients to either IVIg or PE, and scored the QMGS at baseline, and 14, 21 and 28 </w:t>
      </w:r>
      <w:r w:rsidR="00E917E2" w:rsidRPr="007D1918">
        <w:t xml:space="preserve">day </w:t>
      </w:r>
      <w:r w:rsidRPr="007D1918">
        <w:t>follow-ups</w:t>
      </w:r>
      <w:r w:rsidR="00A308C5" w:rsidRPr="007D1918">
        <w:t xml:space="preserve"> using the standard scoring method (see </w:t>
      </w:r>
      <w:r w:rsidR="00A308C5" w:rsidRPr="007D1918">
        <w:rPr>
          <w:i/>
        </w:rPr>
        <w:t>Section B.5</w:t>
      </w:r>
      <w:r w:rsidR="00A308C5" w:rsidRPr="007D1918">
        <w:t xml:space="preserve"> for a description of s</w:t>
      </w:r>
      <w:r w:rsidR="000B4173" w:rsidRPr="007D1918">
        <w:t>cales</w:t>
      </w:r>
      <w:r w:rsidR="00A308C5" w:rsidRPr="007D1918">
        <w:t>)</w:t>
      </w:r>
      <w:r w:rsidRPr="007D1918">
        <w:t xml:space="preserve">. </w:t>
      </w:r>
      <w:r w:rsidR="0085086C" w:rsidRPr="007D1918">
        <w:t>In the cross-over trial by R</w:t>
      </w:r>
      <w:r w:rsidR="00FC02BA" w:rsidRPr="007D1918">
        <w:rPr>
          <w:rFonts w:cs="Calibri"/>
          <w:sz w:val="16"/>
          <w:szCs w:val="16"/>
        </w:rPr>
        <w:t>Ø</w:t>
      </w:r>
      <w:r w:rsidR="0085086C" w:rsidRPr="007D1918">
        <w:t xml:space="preserve">nager et al QMGS measures </w:t>
      </w:r>
      <w:r w:rsidRPr="007D1918">
        <w:t xml:space="preserve">were extended to </w:t>
      </w:r>
      <w:r w:rsidR="0085086C" w:rsidRPr="007D1918">
        <w:t xml:space="preserve">16 week </w:t>
      </w:r>
      <w:r w:rsidRPr="007D1918">
        <w:t xml:space="preserve">clinic </w:t>
      </w:r>
      <w:r w:rsidR="0085086C" w:rsidRPr="007D1918">
        <w:t xml:space="preserve">follow-ups. </w:t>
      </w:r>
      <w:r w:rsidRPr="007D1918">
        <w:t>R</w:t>
      </w:r>
      <w:r w:rsidR="00FC02BA" w:rsidRPr="007D1918">
        <w:rPr>
          <w:rFonts w:cs="Calibri"/>
          <w:sz w:val="16"/>
          <w:szCs w:val="16"/>
        </w:rPr>
        <w:t>Ø</w:t>
      </w:r>
      <w:r w:rsidRPr="007D1918">
        <w:t xml:space="preserve">nager et al </w:t>
      </w:r>
      <w:r w:rsidR="0085086C" w:rsidRPr="007D1918">
        <w:t xml:space="preserve">reported </w:t>
      </w:r>
      <w:r w:rsidR="0066525D" w:rsidRPr="007D1918">
        <w:t>a modified scoring system for the QMGS, using</w:t>
      </w:r>
      <w:r w:rsidR="0085086C" w:rsidRPr="007D1918">
        <w:t xml:space="preserve"> a final score between 0 and 3, the results of individual subtests being divided by the total number of tests performed. </w:t>
      </w:r>
      <w:r w:rsidR="0066525D" w:rsidRPr="007D1918">
        <w:t xml:space="preserve">This scoring system provides smaller changes from baseline in comparison to those reported by Barth et al. </w:t>
      </w:r>
      <w:r w:rsidR="008A1CBC" w:rsidRPr="007D1918">
        <w:t>In the small RCT by Liu et al, a late-onset population was assessed for symptoms at one follow-up time point</w:t>
      </w:r>
      <w:r w:rsidR="000860FF" w:rsidRPr="007D1918">
        <w:t>,</w:t>
      </w:r>
      <w:r w:rsidR="008A1CBC" w:rsidRPr="007D1918">
        <w:t xml:space="preserve"> 14 days after treatment. </w:t>
      </w:r>
      <w:r w:rsidR="006F6569" w:rsidRPr="007D1918">
        <w:t>Change from baseline was reported as per</w:t>
      </w:r>
      <w:r w:rsidR="001F598F" w:rsidRPr="007D1918">
        <w:t> </w:t>
      </w:r>
      <w:r w:rsidR="006F6569" w:rsidRPr="007D1918">
        <w:t>cent improvement in the QMGS.</w:t>
      </w:r>
      <w:r w:rsidR="00A03095" w:rsidRPr="007D1918">
        <w:t xml:space="preserve"> The case series with pre and post treatment results observed patients over a 24 month period and recorded the QMGS at that time and prior to treatment.</w:t>
      </w:r>
      <w:r w:rsidR="00BE2825" w:rsidRPr="007D1918">
        <w:t xml:space="preserve"> The differences in methods and outcome measures in these studies precluded meta-analysis of the results.</w:t>
      </w:r>
    </w:p>
    <w:p w14:paraId="17CEF53B" w14:textId="3C87B15F" w:rsidR="00D922B9" w:rsidRPr="007D1918" w:rsidRDefault="00467959" w:rsidP="008A1CBC">
      <w:pPr>
        <w:jc w:val="both"/>
      </w:pPr>
      <w:r w:rsidRPr="007D1918">
        <w:t>Barth et al and R</w:t>
      </w:r>
      <w:r w:rsidR="00FC02BA" w:rsidRPr="007D1918">
        <w:rPr>
          <w:rFonts w:cs="Calibri"/>
          <w:sz w:val="16"/>
          <w:szCs w:val="16"/>
        </w:rPr>
        <w:t>Ø</w:t>
      </w:r>
      <w:r w:rsidRPr="007D1918">
        <w:t xml:space="preserve">nager et al found similar results for improvement in the first four weeks. According to the QMGS, symptom improvement was greater in the PE group, but did not reach </w:t>
      </w:r>
      <w:r w:rsidR="000860FF" w:rsidRPr="007D1918">
        <w:t xml:space="preserve">statistical </w:t>
      </w:r>
      <w:r w:rsidRPr="007D1918">
        <w:t>significance.</w:t>
      </w:r>
      <w:r w:rsidR="00292D7B" w:rsidRPr="007D1918">
        <w:t xml:space="preserve"> The change could be considered clinically significant in both treatment groups according to the MCID (change from baseline </w:t>
      </w:r>
      <w:r w:rsidR="00292D7B" w:rsidRPr="007D1918">
        <w:rPr>
          <w:rFonts w:cs="Calibri"/>
        </w:rPr>
        <w:t>≥</w:t>
      </w:r>
      <w:r w:rsidR="00292D7B" w:rsidRPr="007D1918">
        <w:t xml:space="preserve"> 3; see </w:t>
      </w:r>
      <w:r w:rsidR="00292D7B" w:rsidRPr="007D1918">
        <w:fldChar w:fldCharType="begin"/>
      </w:r>
      <w:r w:rsidR="00292D7B" w:rsidRPr="007D1918">
        <w:instrText xml:space="preserve"> REF _Ref8996979 \h  \* MERGEFORMAT </w:instrText>
      </w:r>
      <w:r w:rsidR="00292D7B" w:rsidRPr="007D1918">
        <w:fldChar w:fldCharType="separate"/>
      </w:r>
      <w:r w:rsidR="00153384" w:rsidRPr="007D1918">
        <w:t xml:space="preserve">Table </w:t>
      </w:r>
      <w:r w:rsidR="00153384" w:rsidRPr="007D1918">
        <w:rPr>
          <w:noProof/>
        </w:rPr>
        <w:t>15</w:t>
      </w:r>
      <w:r w:rsidR="00292D7B" w:rsidRPr="007D1918">
        <w:fldChar w:fldCharType="end"/>
      </w:r>
      <w:r w:rsidR="00292D7B" w:rsidRPr="007D1918">
        <w:t xml:space="preserve">) at 14 and 21 days, and also at day 28 for PE. </w:t>
      </w:r>
      <w:r w:rsidRPr="007D1918">
        <w:t>After four weeks R</w:t>
      </w:r>
      <w:r w:rsidR="00FC02BA" w:rsidRPr="007D1918">
        <w:rPr>
          <w:rFonts w:cs="Calibri"/>
          <w:sz w:val="16"/>
          <w:szCs w:val="16"/>
        </w:rPr>
        <w:t>Ø</w:t>
      </w:r>
      <w:r w:rsidRPr="007D1918">
        <w:t xml:space="preserve">nager et al found that the treatment effect wore off in both treatment groups as there was no significant change from baseline in QMGS at </w:t>
      </w:r>
      <w:r w:rsidR="00F66B0D" w:rsidRPr="007D1918">
        <w:t xml:space="preserve">8 </w:t>
      </w:r>
      <w:r w:rsidRPr="007D1918">
        <w:t xml:space="preserve">and 16 weeks. </w:t>
      </w:r>
      <w:r w:rsidR="00D922B9" w:rsidRPr="007D1918">
        <w:t>The change in score from baseline in R</w:t>
      </w:r>
      <w:r w:rsidR="00FC02BA" w:rsidRPr="007D1918">
        <w:rPr>
          <w:rFonts w:cs="Calibri"/>
          <w:sz w:val="16"/>
          <w:szCs w:val="16"/>
        </w:rPr>
        <w:t>Ø</w:t>
      </w:r>
      <w:r w:rsidR="00D922B9" w:rsidRPr="007D1918">
        <w:t>nager</w:t>
      </w:r>
      <w:r w:rsidR="00463950" w:rsidRPr="007D1918">
        <w:t xml:space="preserve"> et al</w:t>
      </w:r>
      <w:r w:rsidR="00D922B9" w:rsidRPr="007D1918">
        <w:t xml:space="preserve">’s study is illustrated in </w:t>
      </w:r>
      <w:r w:rsidR="00D922B9" w:rsidRPr="007D1918">
        <w:fldChar w:fldCharType="begin"/>
      </w:r>
      <w:r w:rsidR="00D922B9" w:rsidRPr="007D1918">
        <w:instrText xml:space="preserve"> REF _Ref8822505 \h </w:instrText>
      </w:r>
      <w:r w:rsidR="00E07567" w:rsidRPr="007D1918">
        <w:instrText xml:space="preserve"> \* MERGEFORMAT </w:instrText>
      </w:r>
      <w:r w:rsidR="00D922B9" w:rsidRPr="007D1918">
        <w:fldChar w:fldCharType="separate"/>
      </w:r>
      <w:r w:rsidR="00153384" w:rsidRPr="007D1918">
        <w:t xml:space="preserve">Figure </w:t>
      </w:r>
      <w:r w:rsidR="00153384" w:rsidRPr="007D1918">
        <w:rPr>
          <w:noProof/>
        </w:rPr>
        <w:t>6</w:t>
      </w:r>
      <w:r w:rsidR="00D922B9" w:rsidRPr="007D1918">
        <w:fldChar w:fldCharType="end"/>
      </w:r>
      <w:r w:rsidR="00D922B9" w:rsidRPr="007D1918">
        <w:t xml:space="preserve">. </w:t>
      </w:r>
      <w:r w:rsidRPr="007D1918">
        <w:t>Th</w:t>
      </w:r>
      <w:r w:rsidR="00D922B9" w:rsidRPr="007D1918">
        <w:t>e same</w:t>
      </w:r>
      <w:r w:rsidRPr="007D1918">
        <w:t xml:space="preserve"> trend could be seen occurring earlier in the Barth et al RCT, as difference from baseline decreased between 21 and 28 days after treatment. </w:t>
      </w:r>
    </w:p>
    <w:p w14:paraId="19D79DE5" w14:textId="5E8350F5" w:rsidR="00632F24" w:rsidRPr="007D1918" w:rsidRDefault="00027731" w:rsidP="00BA1EB8">
      <w:pPr>
        <w:jc w:val="both"/>
      </w:pPr>
      <w:r w:rsidRPr="007D1918">
        <w:t>Supporting</w:t>
      </w:r>
      <w:r w:rsidR="00632F24" w:rsidRPr="007D1918">
        <w:t xml:space="preserve"> the early benefits of treatment recorded by Barth et al and R</w:t>
      </w:r>
      <w:r w:rsidR="00FC02BA" w:rsidRPr="007D1918">
        <w:rPr>
          <w:rFonts w:cs="Calibri"/>
          <w:sz w:val="16"/>
          <w:szCs w:val="16"/>
        </w:rPr>
        <w:t>Ø</w:t>
      </w:r>
      <w:r w:rsidR="00632F24" w:rsidRPr="007D1918">
        <w:t xml:space="preserve">nager et al, </w:t>
      </w:r>
      <w:r w:rsidR="00467959" w:rsidRPr="007D1918">
        <w:t xml:space="preserve">Liu et al found a </w:t>
      </w:r>
      <w:r w:rsidR="00D922B9" w:rsidRPr="007D1918">
        <w:t xml:space="preserve">significantly </w:t>
      </w:r>
      <w:r w:rsidR="00467959" w:rsidRPr="007D1918">
        <w:t>greater improvemen</w:t>
      </w:r>
      <w:r w:rsidR="00D922B9" w:rsidRPr="007D1918">
        <w:t xml:space="preserve">t in the </w:t>
      </w:r>
      <w:r w:rsidR="00632F24" w:rsidRPr="007D1918">
        <w:t>PE</w:t>
      </w:r>
      <w:r w:rsidR="00D922B9" w:rsidRPr="007D1918">
        <w:t xml:space="preserve"> </w:t>
      </w:r>
      <w:r w:rsidR="00A308C5" w:rsidRPr="007D1918">
        <w:t xml:space="preserve">compared to the IVIg </w:t>
      </w:r>
      <w:r w:rsidR="00D922B9" w:rsidRPr="007D1918">
        <w:t>group at 2 weeks (</w:t>
      </w:r>
      <w:r w:rsidR="000E0E1E" w:rsidRPr="007D1918">
        <w:t>per</w:t>
      </w:r>
      <w:r w:rsidR="001F598F" w:rsidRPr="007D1918">
        <w:t> </w:t>
      </w:r>
      <w:r w:rsidR="000E0E1E" w:rsidRPr="007D1918">
        <w:t xml:space="preserve">cent change in QMGS: </w:t>
      </w:r>
      <w:r w:rsidR="00D922B9" w:rsidRPr="007D1918">
        <w:t>p &lt; 0.01)</w:t>
      </w:r>
      <w:r w:rsidR="00632F24" w:rsidRPr="007D1918">
        <w:t>.</w:t>
      </w:r>
      <w:r w:rsidR="000E0E1E" w:rsidRPr="007D1918">
        <w:t xml:space="preserve"> </w:t>
      </w:r>
      <w:r w:rsidR="00D922B9" w:rsidRPr="007D1918">
        <w:t xml:space="preserve">Baseline QMGS was higher in the Liu et al RCT </w:t>
      </w:r>
      <w:r w:rsidR="000E0E1E" w:rsidRPr="007D1918">
        <w:t xml:space="preserve">population of late onset MG patients, </w:t>
      </w:r>
      <w:r w:rsidR="00D922B9" w:rsidRPr="007D1918">
        <w:t>than in Barth et al</w:t>
      </w:r>
      <w:r w:rsidR="000E0E1E" w:rsidRPr="007D1918">
        <w:t xml:space="preserve"> </w:t>
      </w:r>
      <w:r w:rsidR="002E67D1" w:rsidRPr="007D1918">
        <w:t xml:space="preserve">(mean QMGS </w:t>
      </w:r>
      <w:r w:rsidR="002E67D1" w:rsidRPr="007D1918">
        <w:rPr>
          <w:rFonts w:cs="Calibri"/>
        </w:rPr>
        <w:t>±</w:t>
      </w:r>
      <w:r w:rsidR="00A13410" w:rsidRPr="007D1918">
        <w:t xml:space="preserve"> SD</w:t>
      </w:r>
      <w:r w:rsidR="002E67D1" w:rsidRPr="007D1918">
        <w:t xml:space="preserve">: IVIg 16.5 </w:t>
      </w:r>
      <w:r w:rsidR="002E67D1" w:rsidRPr="007D1918">
        <w:rPr>
          <w:rFonts w:cs="Calibri"/>
        </w:rPr>
        <w:t>±</w:t>
      </w:r>
      <w:r w:rsidR="002E67D1" w:rsidRPr="007D1918">
        <w:t xml:space="preserve"> 1.1 and PE 19.4 </w:t>
      </w:r>
      <w:r w:rsidR="002E67D1" w:rsidRPr="007D1918">
        <w:rPr>
          <w:rFonts w:cs="Calibri"/>
        </w:rPr>
        <w:t>±</w:t>
      </w:r>
      <w:r w:rsidR="002E67D1" w:rsidRPr="007D1918">
        <w:t xml:space="preserve"> 2.2 versus IVIg 14.26 </w:t>
      </w:r>
      <w:r w:rsidR="002E67D1" w:rsidRPr="007D1918">
        <w:rPr>
          <w:rFonts w:cs="Calibri"/>
        </w:rPr>
        <w:t>±</w:t>
      </w:r>
      <w:r w:rsidR="002E67D1" w:rsidRPr="007D1918">
        <w:t xml:space="preserve"> </w:t>
      </w:r>
      <w:r w:rsidR="002E67D1" w:rsidRPr="007D1918">
        <w:lastRenderedPageBreak/>
        <w:t xml:space="preserve">4.0 and PE 14.44 </w:t>
      </w:r>
      <w:r w:rsidR="002E67D1" w:rsidRPr="007D1918">
        <w:rPr>
          <w:rFonts w:cs="Calibri"/>
        </w:rPr>
        <w:t>±</w:t>
      </w:r>
      <w:r w:rsidR="002E67D1" w:rsidRPr="007D1918">
        <w:t xml:space="preserve"> 3.8)</w:t>
      </w:r>
      <w:r w:rsidR="00D922B9" w:rsidRPr="007D1918">
        <w:t xml:space="preserve">. The </w:t>
      </w:r>
      <w:r w:rsidR="000E0E1E" w:rsidRPr="007D1918">
        <w:t>higher</w:t>
      </w:r>
      <w:r w:rsidR="00D922B9" w:rsidRPr="007D1918">
        <w:t xml:space="preserve"> </w:t>
      </w:r>
      <w:r w:rsidR="000E0E1E" w:rsidRPr="007D1918">
        <w:t xml:space="preserve">severity of </w:t>
      </w:r>
      <w:r w:rsidR="00D922B9" w:rsidRPr="007D1918">
        <w:t xml:space="preserve">symptom level </w:t>
      </w:r>
      <w:r w:rsidR="000E0E1E" w:rsidRPr="007D1918">
        <w:t>at baseline</w:t>
      </w:r>
      <w:r w:rsidR="00D922B9" w:rsidRPr="007D1918">
        <w:t xml:space="preserve"> may have been a contributing factor </w:t>
      </w:r>
      <w:r w:rsidR="000E0E1E" w:rsidRPr="007D1918">
        <w:t>in greater improvement overall</w:t>
      </w:r>
      <w:r w:rsidRPr="007D1918">
        <w:t xml:space="preserve"> in </w:t>
      </w:r>
      <w:r w:rsidR="00B02D83" w:rsidRPr="007D1918">
        <w:t xml:space="preserve">Liu </w:t>
      </w:r>
      <w:r w:rsidRPr="007D1918">
        <w:t>et al’s study.</w:t>
      </w:r>
      <w:r w:rsidR="00632F24" w:rsidRPr="007D1918">
        <w:t xml:space="preserve"> </w:t>
      </w:r>
      <w:r w:rsidRPr="007D1918">
        <w:t>H</w:t>
      </w:r>
      <w:r w:rsidR="00632F24" w:rsidRPr="007D1918">
        <w:t xml:space="preserve">owever there were </w:t>
      </w:r>
      <w:r w:rsidRPr="007D1918">
        <w:t>no data collected</w:t>
      </w:r>
      <w:r w:rsidR="00632F24" w:rsidRPr="007D1918">
        <w:t xml:space="preserve"> beyond two weeks </w:t>
      </w:r>
      <w:r w:rsidRPr="007D1918">
        <w:t xml:space="preserve">by Liu et al </w:t>
      </w:r>
      <w:r w:rsidR="00632F24" w:rsidRPr="007D1918">
        <w:t>to determine whether the results were sustained</w:t>
      </w:r>
      <w:r w:rsidR="002E67D1" w:rsidRPr="007D1918">
        <w:t xml:space="preserve">. </w:t>
      </w:r>
      <w:r w:rsidR="00E46031" w:rsidRPr="007D1918">
        <w:t>In analysis of baseline covariates, Barth et al determined that patients with more severe</w:t>
      </w:r>
      <w:r w:rsidR="008B5855" w:rsidRPr="007D1918">
        <w:t xml:space="preserve"> </w:t>
      </w:r>
      <w:r w:rsidR="00E46031" w:rsidRPr="007D1918">
        <w:t>disease (higher QMGS), and the presence of AChRAb antibodies ha</w:t>
      </w:r>
      <w:r w:rsidR="00BE2825" w:rsidRPr="007D1918">
        <w:t>d</w:t>
      </w:r>
      <w:r w:rsidR="00E46031" w:rsidRPr="007D1918">
        <w:t xml:space="preserve"> a better response to treatment (p = 0.0005 and p &lt; 0.0001 respectively).</w:t>
      </w:r>
    </w:p>
    <w:p w14:paraId="039CC213" w14:textId="6CBF37F8" w:rsidR="00EE48FB" w:rsidRPr="007D1918" w:rsidRDefault="00632F24" w:rsidP="008A1CBC">
      <w:pPr>
        <w:jc w:val="both"/>
      </w:pPr>
      <w:r w:rsidRPr="007D1918">
        <w:t>In contrast, Eienbr</w:t>
      </w:r>
      <w:r w:rsidR="00FC02BA" w:rsidRPr="007D1918">
        <w:t>ö</w:t>
      </w:r>
      <w:r w:rsidRPr="007D1918">
        <w:t xml:space="preserve">ker et al (baseline mean QMGS </w:t>
      </w:r>
      <w:r w:rsidRPr="007D1918">
        <w:rPr>
          <w:rFonts w:cs="Calibri"/>
        </w:rPr>
        <w:t>±</w:t>
      </w:r>
      <w:r w:rsidRPr="007D1918">
        <w:t xml:space="preserve"> SD: 20.6 </w:t>
      </w:r>
      <w:r w:rsidRPr="007D1918">
        <w:rPr>
          <w:rFonts w:cs="Calibri"/>
        </w:rPr>
        <w:t>±</w:t>
      </w:r>
      <w:r w:rsidRPr="007D1918">
        <w:t xml:space="preserve"> 5.9) </w:t>
      </w:r>
      <w:r w:rsidR="00BE2825" w:rsidRPr="007D1918">
        <w:t xml:space="preserve">observed that there had been a sustained </w:t>
      </w:r>
      <w:r w:rsidRPr="007D1918">
        <w:t>improvement in symptoms from baseline at the longer time point of 24 months for patients receiving IVIg.</w:t>
      </w:r>
      <w:r w:rsidR="000E0E1E" w:rsidRPr="007D1918">
        <w:t xml:space="preserve"> </w:t>
      </w:r>
      <w:r w:rsidR="00BE2825" w:rsidRPr="007D1918">
        <w:t xml:space="preserve">However, </w:t>
      </w:r>
      <w:r w:rsidR="00924D0F" w:rsidRPr="007D1918">
        <w:t>without a comparator in this study,</w:t>
      </w:r>
      <w:r w:rsidR="000E0E1E" w:rsidRPr="007D1918">
        <w:t xml:space="preserve"> the results on change in QMGS cannot confirm a differenc</w:t>
      </w:r>
      <w:r w:rsidR="00924D0F" w:rsidRPr="007D1918">
        <w:t>e in effect between IVIg and PE.</w:t>
      </w:r>
      <w:r w:rsidR="000E0E1E" w:rsidRPr="007D1918">
        <w:t xml:space="preserve"> </w:t>
      </w:r>
      <w:r w:rsidR="00924D0F" w:rsidRPr="007D1918">
        <w:t>C</w:t>
      </w:r>
      <w:r w:rsidR="000E0E1E" w:rsidRPr="007D1918">
        <w:t xml:space="preserve">omparative studies with long term outcomes in maintenance populations may contribute more information to the current picture. </w:t>
      </w:r>
    </w:p>
    <w:p w14:paraId="2FCE1690" w14:textId="5B4B549B" w:rsidR="00EE48FB" w:rsidRPr="007D1918" w:rsidRDefault="00632F24" w:rsidP="008A1CBC">
      <w:pPr>
        <w:jc w:val="both"/>
      </w:pPr>
      <w:r w:rsidRPr="007D1918">
        <w:t>In a further analysis</w:t>
      </w:r>
      <w:r w:rsidR="00924D0F" w:rsidRPr="007D1918">
        <w:t>,</w:t>
      </w:r>
      <w:r w:rsidRPr="007D1918">
        <w:t xml:space="preserve"> Barth et al compared the proportion of responders between IVIg and PE groups. </w:t>
      </w:r>
      <w:r w:rsidR="001F38FB" w:rsidRPr="007D1918">
        <w:t>Barth et al defined responders as those who experienced at least a 3.5 point improvement in t</w:t>
      </w:r>
      <w:r w:rsidRPr="007D1918">
        <w:t xml:space="preserve">heir QMGS, </w:t>
      </w:r>
      <w:r w:rsidR="001F38FB" w:rsidRPr="007D1918">
        <w:t>and at day 14, this outcome was 51% in the IVIg group and 57% in the PE group, with no statistical</w:t>
      </w:r>
      <w:r w:rsidR="00BE2825" w:rsidRPr="007D1918">
        <w:t>ly significant</w:t>
      </w:r>
      <w:r w:rsidR="001F38FB" w:rsidRPr="007D1918">
        <w:t xml:space="preserve"> difference between them (p = 0.5, </w:t>
      </w:r>
      <w:r w:rsidR="001F38FB" w:rsidRPr="007D1918">
        <w:rPr>
          <w:rFonts w:cs="Calibri"/>
        </w:rPr>
        <w:t>χ</w:t>
      </w:r>
      <w:r w:rsidR="001F38FB" w:rsidRPr="007D1918">
        <w:rPr>
          <w:vertAlign w:val="superscript"/>
        </w:rPr>
        <w:t>2</w:t>
      </w:r>
      <w:r w:rsidR="00F66B0D" w:rsidRPr="007D1918">
        <w:rPr>
          <w:vertAlign w:val="superscript"/>
        </w:rPr>
        <w:t xml:space="preserve"> </w:t>
      </w:r>
      <w:r w:rsidR="00F66B0D" w:rsidRPr="007D1918">
        <w:t>test</w:t>
      </w:r>
      <w:r w:rsidR="001F38FB" w:rsidRPr="007D1918">
        <w:t xml:space="preserve">). </w:t>
      </w:r>
    </w:p>
    <w:p w14:paraId="10446CFB" w14:textId="591C63A1" w:rsidR="00EE48FB" w:rsidRPr="007D1918" w:rsidRDefault="00EE48FB" w:rsidP="00467FA2">
      <w:r w:rsidRPr="007D1918">
        <w:rPr>
          <w:noProof/>
        </w:rPr>
        <w:drawing>
          <wp:inline distT="0" distB="0" distL="0" distR="0" wp14:anchorId="3126FA9F" wp14:editId="17A27149">
            <wp:extent cx="3486150" cy="1840112"/>
            <wp:effectExtent l="19050" t="19050" r="19050" b="27305"/>
            <wp:docPr id="5" name="Picture 5" descr="Graphical representation of change in symptoms meassured by QMGS over 16 weekks, compared between those receiving IVIG (solid line) and PE (dotted line) for maintenance therapy (Indication 3)." title="Figure 6 Change in QMGS from baseline to 16 weeks (Rønager et al.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3111" cy="1854343"/>
                    </a:xfrm>
                    <a:prstGeom prst="rect">
                      <a:avLst/>
                    </a:prstGeom>
                    <a:ln>
                      <a:solidFill>
                        <a:schemeClr val="tx1"/>
                      </a:solidFill>
                    </a:ln>
                  </pic:spPr>
                </pic:pic>
              </a:graphicData>
            </a:graphic>
          </wp:inline>
        </w:drawing>
      </w:r>
    </w:p>
    <w:p w14:paraId="39AAF528" w14:textId="1D08C135" w:rsidR="00EE48FB" w:rsidRPr="007D1918" w:rsidRDefault="00EE48FB" w:rsidP="00EE48FB">
      <w:pPr>
        <w:pStyle w:val="Caption"/>
      </w:pPr>
      <w:bookmarkStart w:id="275" w:name="_Ref8822505"/>
      <w:bookmarkStart w:id="276" w:name="_Toc23769611"/>
      <w:r w:rsidRPr="007D1918">
        <w:t xml:space="preserve">Figure </w:t>
      </w:r>
      <w:r w:rsidR="0048203E" w:rsidRPr="007D1918">
        <w:rPr>
          <w:noProof/>
        </w:rPr>
        <w:fldChar w:fldCharType="begin"/>
      </w:r>
      <w:r w:rsidR="0048203E" w:rsidRPr="007D1918">
        <w:rPr>
          <w:noProof/>
        </w:rPr>
        <w:instrText xml:space="preserve"> SEQ Figure \* ARABIC </w:instrText>
      </w:r>
      <w:r w:rsidR="0048203E" w:rsidRPr="007D1918">
        <w:rPr>
          <w:noProof/>
        </w:rPr>
        <w:fldChar w:fldCharType="separate"/>
      </w:r>
      <w:r w:rsidR="007C33AD" w:rsidRPr="007D1918">
        <w:rPr>
          <w:noProof/>
        </w:rPr>
        <w:t>6</w:t>
      </w:r>
      <w:r w:rsidR="0048203E" w:rsidRPr="007D1918">
        <w:rPr>
          <w:noProof/>
        </w:rPr>
        <w:fldChar w:fldCharType="end"/>
      </w:r>
      <w:bookmarkEnd w:id="275"/>
      <w:r w:rsidRPr="007D1918">
        <w:tab/>
        <w:t xml:space="preserve">Change in QMGS from baseline to 16 weeks </w:t>
      </w:r>
      <w:r w:rsidR="0075212A"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 </w:instrText>
      </w:r>
      <w:r w:rsidR="007F4CDE"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83" w:tooltip="Rønager, 2001 #41" w:history="1">
        <w:r w:rsidR="007D4948" w:rsidRPr="007D1918">
          <w:rPr>
            <w:noProof/>
          </w:rPr>
          <w:t>Rønager et al. 2001</w:t>
        </w:r>
      </w:hyperlink>
      <w:r w:rsidR="0075212A" w:rsidRPr="007D1918">
        <w:rPr>
          <w:noProof/>
        </w:rPr>
        <w:t>)</w:t>
      </w:r>
      <w:bookmarkEnd w:id="276"/>
      <w:r w:rsidR="0075212A" w:rsidRPr="007D1918">
        <w:fldChar w:fldCharType="end"/>
      </w:r>
    </w:p>
    <w:p w14:paraId="5A2C7469" w14:textId="00889073" w:rsidR="00BE2825" w:rsidRPr="007D1918" w:rsidRDefault="00910458" w:rsidP="00BE2825">
      <w:r>
        <w:rPr>
          <w:noProof/>
        </w:rPr>
        <w:drawing>
          <wp:inline distT="0" distB="0" distL="0" distR="0" wp14:anchorId="59FDC96D" wp14:editId="6063459B">
            <wp:extent cx="1229210" cy="380390"/>
            <wp:effectExtent l="0" t="0" r="9525" b="635"/>
            <wp:docPr id="16" name="Picture 16" descr="Explains two elements of diagram above" title="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5868" cy="385545"/>
                    </a:xfrm>
                    <a:prstGeom prst="rect">
                      <a:avLst/>
                    </a:prstGeom>
                    <a:noFill/>
                    <a:ln>
                      <a:noFill/>
                    </a:ln>
                  </pic:spPr>
                </pic:pic>
              </a:graphicData>
            </a:graphic>
          </wp:inline>
        </w:drawing>
      </w:r>
    </w:p>
    <w:p w14:paraId="7739CE74" w14:textId="41899EC7" w:rsidR="006254CF" w:rsidRPr="007D1918" w:rsidRDefault="006254CF" w:rsidP="007631D0">
      <w:pPr>
        <w:pStyle w:val="Caption"/>
        <w:keepNext/>
        <w:keepLines/>
        <w:jc w:val="both"/>
        <w:rPr>
          <w:rFonts w:cs="Arial"/>
          <w:snapToGrid w:val="0"/>
          <w:szCs w:val="16"/>
          <w:lang w:eastAsia="en-US"/>
        </w:rPr>
      </w:pPr>
      <w:bookmarkStart w:id="277" w:name="_Ref8809944"/>
      <w:bookmarkStart w:id="278" w:name="_Toc23769524"/>
      <w:r w:rsidRPr="007D1918">
        <w:lastRenderedPageBreak/>
        <w:t xml:space="preserve">Table </w:t>
      </w:r>
      <w:r w:rsidR="0048203E" w:rsidRPr="007D1918">
        <w:rPr>
          <w:noProof/>
        </w:rPr>
        <w:fldChar w:fldCharType="begin"/>
      </w:r>
      <w:r w:rsidR="0048203E" w:rsidRPr="007D1918">
        <w:rPr>
          <w:noProof/>
        </w:rPr>
        <w:instrText xml:space="preserve"> SEQ Table \* ARABIC </w:instrText>
      </w:r>
      <w:r w:rsidR="0048203E" w:rsidRPr="007D1918">
        <w:rPr>
          <w:noProof/>
        </w:rPr>
        <w:fldChar w:fldCharType="separate"/>
      </w:r>
      <w:r w:rsidR="00942701" w:rsidRPr="007D1918">
        <w:rPr>
          <w:noProof/>
        </w:rPr>
        <w:t>37</w:t>
      </w:r>
      <w:r w:rsidR="0048203E" w:rsidRPr="007D1918">
        <w:rPr>
          <w:noProof/>
        </w:rPr>
        <w:fldChar w:fldCharType="end"/>
      </w:r>
      <w:bookmarkEnd w:id="277"/>
      <w:r w:rsidRPr="007D1918">
        <w:tab/>
      </w:r>
      <w:r w:rsidR="00391C77" w:rsidRPr="007D1918">
        <w:rPr>
          <w:rFonts w:cs="Arial"/>
          <w:snapToGrid w:val="0"/>
          <w:szCs w:val="16"/>
          <w:lang w:eastAsia="en-US"/>
        </w:rPr>
        <w:t>Change in QMGS for patients on IVIg or PE maintenance</w:t>
      </w:r>
      <w:r w:rsidRPr="007D1918">
        <w:rPr>
          <w:rFonts w:cs="Arial"/>
          <w:snapToGrid w:val="0"/>
          <w:szCs w:val="16"/>
          <w:lang w:eastAsia="en-US"/>
        </w:rPr>
        <w:t xml:space="preserve"> </w:t>
      </w:r>
      <w:r w:rsidR="00391C77" w:rsidRPr="007D1918">
        <w:rPr>
          <w:rFonts w:cs="Arial"/>
          <w:snapToGrid w:val="0"/>
          <w:szCs w:val="16"/>
          <w:lang w:eastAsia="en-US"/>
        </w:rPr>
        <w:t>therapy</w:t>
      </w:r>
      <w:bookmarkEnd w:id="278"/>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5 Change in QMGS for patients on IVIg or PE maintenance therapy"/>
        <w:tblDescription w:val="Change in symptoms across studies measured by QMGS, comapred between those receiving IVIg or PE maintenance therapy (Indicaion 3)."/>
      </w:tblPr>
      <w:tblGrid>
        <w:gridCol w:w="1668"/>
        <w:gridCol w:w="2552"/>
        <w:gridCol w:w="1702"/>
        <w:gridCol w:w="1700"/>
        <w:gridCol w:w="1394"/>
      </w:tblGrid>
      <w:tr w:rsidR="00027731" w:rsidRPr="007D1918" w14:paraId="7C432A42" w14:textId="77777777" w:rsidTr="00D17FA1">
        <w:tc>
          <w:tcPr>
            <w:tcW w:w="925" w:type="pct"/>
            <w:shd w:val="clear" w:color="auto" w:fill="auto"/>
          </w:tcPr>
          <w:p w14:paraId="5A87EE9C" w14:textId="14E32F56" w:rsidR="00027731" w:rsidRPr="007D1918" w:rsidRDefault="00027731" w:rsidP="0085086C">
            <w:pPr>
              <w:pStyle w:val="TableHeading"/>
              <w:keepLines/>
              <w:rPr>
                <w:snapToGrid w:val="0"/>
                <w:lang w:eastAsia="en-US"/>
              </w:rPr>
            </w:pPr>
            <w:r w:rsidRPr="007D1918">
              <w:rPr>
                <w:snapToGrid w:val="0"/>
                <w:lang w:eastAsia="en-US"/>
              </w:rPr>
              <w:t>Study ID, Country</w:t>
            </w:r>
          </w:p>
          <w:p w14:paraId="16D6BF0D" w14:textId="277CFD48" w:rsidR="00027731" w:rsidRPr="007D1918" w:rsidRDefault="00674584" w:rsidP="0085086C">
            <w:pPr>
              <w:pStyle w:val="TableHeading"/>
              <w:keepLines/>
              <w:rPr>
                <w:snapToGrid w:val="0"/>
                <w:lang w:eastAsia="en-US"/>
              </w:rPr>
            </w:pPr>
            <w:r w:rsidRPr="007D1918">
              <w:rPr>
                <w:snapToGrid w:val="0"/>
                <w:lang w:eastAsia="en-US"/>
              </w:rPr>
              <w:t>Level of evidence</w:t>
            </w:r>
          </w:p>
          <w:p w14:paraId="7FB22A67" w14:textId="1691F31E" w:rsidR="00027731" w:rsidRPr="007D1918" w:rsidRDefault="00674584" w:rsidP="0085086C">
            <w:pPr>
              <w:pStyle w:val="TableHeading"/>
              <w:keepLines/>
              <w:rPr>
                <w:snapToGrid w:val="0"/>
                <w:lang w:eastAsia="en-US"/>
              </w:rPr>
            </w:pPr>
            <w:r w:rsidRPr="007D1918">
              <w:rPr>
                <w:snapToGrid w:val="0"/>
                <w:lang w:eastAsia="en-US"/>
              </w:rPr>
              <w:t>Qu</w:t>
            </w:r>
            <w:r w:rsidR="00027731" w:rsidRPr="007D1918">
              <w:rPr>
                <w:snapToGrid w:val="0"/>
                <w:lang w:eastAsia="en-US"/>
              </w:rPr>
              <w:t>ality</w:t>
            </w:r>
          </w:p>
        </w:tc>
        <w:tc>
          <w:tcPr>
            <w:tcW w:w="1415" w:type="pct"/>
          </w:tcPr>
          <w:p w14:paraId="7111B1C4" w14:textId="4D1B3216" w:rsidR="00027731" w:rsidRPr="007D1918" w:rsidRDefault="00674584" w:rsidP="0085086C">
            <w:pPr>
              <w:pStyle w:val="TableHeading"/>
              <w:keepLines/>
              <w:ind w:left="16" w:right="117"/>
              <w:rPr>
                <w:snapToGrid w:val="0"/>
                <w:lang w:eastAsia="en-US"/>
              </w:rPr>
            </w:pPr>
            <w:r w:rsidRPr="007D1918">
              <w:rPr>
                <w:snapToGrid w:val="0"/>
                <w:lang w:eastAsia="en-US"/>
              </w:rPr>
              <w:t>M</w:t>
            </w:r>
            <w:r w:rsidR="00027731" w:rsidRPr="007D1918">
              <w:rPr>
                <w:snapToGrid w:val="0"/>
                <w:lang w:eastAsia="en-US"/>
              </w:rPr>
              <w:t>easure</w:t>
            </w:r>
          </w:p>
        </w:tc>
        <w:tc>
          <w:tcPr>
            <w:tcW w:w="944" w:type="pct"/>
            <w:shd w:val="clear" w:color="auto" w:fill="auto"/>
          </w:tcPr>
          <w:p w14:paraId="2A0C1971" w14:textId="0677751C" w:rsidR="00027731" w:rsidRPr="007D1918" w:rsidRDefault="00027731" w:rsidP="00027731">
            <w:pPr>
              <w:pStyle w:val="TableHeading"/>
              <w:keepLines/>
              <w:ind w:left="111" w:right="117"/>
              <w:rPr>
                <w:snapToGrid w:val="0"/>
                <w:lang w:eastAsia="en-US"/>
              </w:rPr>
            </w:pPr>
            <w:r w:rsidRPr="007D1918">
              <w:rPr>
                <w:snapToGrid w:val="0"/>
                <w:lang w:eastAsia="en-US"/>
              </w:rPr>
              <w:t>IVIg</w:t>
            </w:r>
          </w:p>
        </w:tc>
        <w:tc>
          <w:tcPr>
            <w:tcW w:w="943" w:type="pct"/>
            <w:shd w:val="clear" w:color="auto" w:fill="auto"/>
          </w:tcPr>
          <w:p w14:paraId="2D38D5E0" w14:textId="6BAF6408" w:rsidR="00027731" w:rsidRPr="007D1918" w:rsidRDefault="00027731" w:rsidP="0085086C">
            <w:pPr>
              <w:pStyle w:val="TableHeading"/>
              <w:keepLines/>
              <w:ind w:left="77" w:right="117"/>
              <w:rPr>
                <w:snapToGrid w:val="0"/>
                <w:lang w:eastAsia="en-US"/>
              </w:rPr>
            </w:pPr>
            <w:r w:rsidRPr="007D1918">
              <w:rPr>
                <w:snapToGrid w:val="0"/>
                <w:lang w:eastAsia="en-US"/>
              </w:rPr>
              <w:t>PE</w:t>
            </w:r>
          </w:p>
          <w:p w14:paraId="7871B356" w14:textId="7828757A" w:rsidR="00027731" w:rsidRPr="007D1918" w:rsidRDefault="00027731" w:rsidP="0085086C">
            <w:pPr>
              <w:pStyle w:val="TableHeading"/>
              <w:keepLines/>
              <w:ind w:left="77" w:right="117"/>
              <w:rPr>
                <w:snapToGrid w:val="0"/>
                <w:lang w:eastAsia="en-US"/>
              </w:rPr>
            </w:pPr>
          </w:p>
        </w:tc>
        <w:tc>
          <w:tcPr>
            <w:tcW w:w="773" w:type="pct"/>
            <w:shd w:val="clear" w:color="auto" w:fill="auto"/>
          </w:tcPr>
          <w:p w14:paraId="4CBBADE0" w14:textId="2DE3AC38" w:rsidR="00027731" w:rsidRPr="007D1918" w:rsidRDefault="00E96EAC" w:rsidP="0085086C">
            <w:pPr>
              <w:pStyle w:val="TableHeading"/>
              <w:keepLines/>
              <w:ind w:right="117"/>
              <w:rPr>
                <w:snapToGrid w:val="0"/>
                <w:lang w:eastAsia="en-US"/>
              </w:rPr>
            </w:pPr>
            <w:r w:rsidRPr="007D1918">
              <w:rPr>
                <w:snapToGrid w:val="0"/>
                <w:lang w:eastAsia="en-US"/>
              </w:rPr>
              <w:t>D</w:t>
            </w:r>
            <w:r w:rsidR="00027731" w:rsidRPr="007D1918">
              <w:rPr>
                <w:snapToGrid w:val="0"/>
                <w:lang w:eastAsia="en-US"/>
              </w:rPr>
              <w:t>ifference</w:t>
            </w:r>
          </w:p>
          <w:p w14:paraId="3FC82513" w14:textId="010D746C" w:rsidR="00027731" w:rsidRPr="007D1918" w:rsidRDefault="00027731" w:rsidP="00674584">
            <w:pPr>
              <w:pStyle w:val="TableHeading"/>
              <w:keepLines/>
              <w:ind w:right="117"/>
              <w:rPr>
                <w:snapToGrid w:val="0"/>
                <w:lang w:eastAsia="en-US"/>
              </w:rPr>
            </w:pPr>
            <w:r w:rsidRPr="007D1918">
              <w:rPr>
                <w:snapToGrid w:val="0"/>
                <w:lang w:eastAsia="en-US"/>
              </w:rPr>
              <w:t xml:space="preserve">p-value </w:t>
            </w:r>
          </w:p>
        </w:tc>
      </w:tr>
      <w:tr w:rsidR="00027731" w:rsidRPr="007D1918" w14:paraId="5B3984F3" w14:textId="77777777" w:rsidTr="00D17FA1">
        <w:tc>
          <w:tcPr>
            <w:tcW w:w="925" w:type="pct"/>
            <w:shd w:val="clear" w:color="auto" w:fill="auto"/>
          </w:tcPr>
          <w:p w14:paraId="410F2B52" w14:textId="0BDE8BC9" w:rsidR="00674584" w:rsidRPr="007D1918" w:rsidRDefault="0075212A" w:rsidP="00674584">
            <w:pPr>
              <w:pStyle w:val="TableText0"/>
              <w:rPr>
                <w:snapToGrid w:val="0"/>
              </w:rPr>
            </w:pPr>
            <w:r w:rsidRPr="007D1918">
              <w:rPr>
                <w:snapToGrid w:val="0"/>
              </w:rPr>
              <w:fldChar w:fldCharType="begin"/>
            </w:r>
            <w:r w:rsidR="001A0E53" w:rsidRPr="007D1918">
              <w:rPr>
                <w:snapToGrid w:val="0"/>
              </w:rPr>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001A0E53" w:rsidRPr="007D1918">
              <w:rPr>
                <w:rFonts w:ascii="Cambria Math" w:hAnsi="Cambria Math" w:cs="Cambria Math"/>
                <w:snapToGrid w:val="0"/>
              </w:rPr>
              <w:instrText>‐</w:instrText>
            </w:r>
            <w:r w:rsidR="001A0E53" w:rsidRPr="007D1918">
              <w:rPr>
                <w:snapToGrid w:val="0"/>
              </w:rPr>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001A0E53" w:rsidRPr="007D1918">
              <w:rPr>
                <w:rFonts w:ascii="Cambria Math" w:hAnsi="Cambria Math" w:cs="Cambria Math"/>
                <w:snapToGrid w:val="0"/>
              </w:rPr>
              <w:instrText>‐</w:instrText>
            </w:r>
            <w:r w:rsidR="001A0E53" w:rsidRPr="007D1918">
              <w:rPr>
                <w:snapToGrid w:val="0"/>
              </w:rPr>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001A0E53" w:rsidRPr="007D1918">
              <w:rPr>
                <w:rFonts w:ascii="Cambria Math" w:hAnsi="Cambria Math" w:cs="Cambria Math"/>
                <w:snapToGrid w:val="0"/>
              </w:rPr>
              <w:instrText>‐</w:instrText>
            </w:r>
            <w:r w:rsidR="001A0E53" w:rsidRPr="007D1918">
              <w:rPr>
                <w:snapToGrid w:val="0"/>
              </w:rPr>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rPr>
                <w:snapToGrid w:val="0"/>
              </w:rPr>
              <w:fldChar w:fldCharType="separate"/>
            </w:r>
            <w:r w:rsidR="001A0E53" w:rsidRPr="007D1918">
              <w:rPr>
                <w:noProof/>
                <w:snapToGrid w:val="0"/>
              </w:rPr>
              <w:t>(</w:t>
            </w:r>
            <w:hyperlink w:anchor="_ENREF_8" w:tooltip="Barth, 2011 #48" w:history="1">
              <w:r w:rsidR="007D4948" w:rsidRPr="007D1918">
                <w:rPr>
                  <w:noProof/>
                  <w:snapToGrid w:val="0"/>
                </w:rPr>
                <w:t>Barth et al. 2011</w:t>
              </w:r>
            </w:hyperlink>
            <w:r w:rsidR="001A0E53" w:rsidRPr="007D1918">
              <w:rPr>
                <w:noProof/>
                <w:snapToGrid w:val="0"/>
              </w:rPr>
              <w:t>)</w:t>
            </w:r>
            <w:r w:rsidRPr="007D1918">
              <w:rPr>
                <w:snapToGrid w:val="0"/>
              </w:rPr>
              <w:fldChar w:fldCharType="end"/>
            </w:r>
            <w:r w:rsidR="00674584" w:rsidRPr="007D1918">
              <w:rPr>
                <w:snapToGrid w:val="0"/>
              </w:rPr>
              <w:t xml:space="preserve">, Canada </w:t>
            </w:r>
          </w:p>
          <w:p w14:paraId="2AC64A7E" w14:textId="77777777" w:rsidR="00674584" w:rsidRPr="007D1918" w:rsidRDefault="00674584" w:rsidP="00674584">
            <w:pPr>
              <w:pStyle w:val="TableText0"/>
              <w:rPr>
                <w:snapToGrid w:val="0"/>
              </w:rPr>
            </w:pPr>
            <w:r w:rsidRPr="007D1918">
              <w:rPr>
                <w:snapToGrid w:val="0"/>
              </w:rPr>
              <w:t>Level II</w:t>
            </w:r>
          </w:p>
          <w:p w14:paraId="37B91672" w14:textId="28DB611C" w:rsidR="00674584" w:rsidRPr="007D1918" w:rsidRDefault="00674584" w:rsidP="00674584">
            <w:pPr>
              <w:pStyle w:val="TableText0"/>
              <w:rPr>
                <w:snapToGrid w:val="0"/>
              </w:rPr>
            </w:pPr>
            <w:r w:rsidRPr="007D1918">
              <w:rPr>
                <w:snapToGrid w:val="0"/>
              </w:rPr>
              <w:t>Low risk of bias</w:t>
            </w:r>
          </w:p>
        </w:tc>
        <w:tc>
          <w:tcPr>
            <w:tcW w:w="1415" w:type="pct"/>
          </w:tcPr>
          <w:p w14:paraId="6B9AED5C" w14:textId="65CD189B" w:rsidR="00027731" w:rsidRPr="007D1918" w:rsidRDefault="00027731" w:rsidP="0085086C">
            <w:pPr>
              <w:pStyle w:val="TableText0"/>
              <w:rPr>
                <w:snapToGrid w:val="0"/>
                <w:vertAlign w:val="superscript"/>
              </w:rPr>
            </w:pPr>
            <w:r w:rsidRPr="007D1918">
              <w:rPr>
                <w:snapToGrid w:val="0"/>
              </w:rPr>
              <w:t>Change in QMGS (mean ± SD)</w:t>
            </w:r>
            <w:r w:rsidR="00BF3DCB" w:rsidRPr="007D1918">
              <w:rPr>
                <w:snapToGrid w:val="0"/>
                <w:vertAlign w:val="superscript"/>
              </w:rPr>
              <w:t>a</w:t>
            </w:r>
          </w:p>
          <w:p w14:paraId="5BE46B0C" w14:textId="77777777" w:rsidR="00027731" w:rsidRPr="007D1918" w:rsidRDefault="00027731" w:rsidP="00F070CD">
            <w:pPr>
              <w:pStyle w:val="TableText0"/>
              <w:ind w:left="113"/>
              <w:rPr>
                <w:snapToGrid w:val="0"/>
              </w:rPr>
            </w:pPr>
            <w:r w:rsidRPr="007D1918">
              <w:rPr>
                <w:snapToGrid w:val="0"/>
              </w:rPr>
              <w:t>Day 0-14</w:t>
            </w:r>
          </w:p>
          <w:p w14:paraId="354CD33F" w14:textId="77777777" w:rsidR="00027731" w:rsidRPr="007D1918" w:rsidRDefault="00027731" w:rsidP="00F070CD">
            <w:pPr>
              <w:pStyle w:val="TableText0"/>
              <w:ind w:left="113"/>
              <w:rPr>
                <w:snapToGrid w:val="0"/>
              </w:rPr>
            </w:pPr>
            <w:r w:rsidRPr="007D1918">
              <w:rPr>
                <w:snapToGrid w:val="0"/>
              </w:rPr>
              <w:t>Day 0-21</w:t>
            </w:r>
          </w:p>
          <w:p w14:paraId="529EDF9E" w14:textId="3EF2DBA8" w:rsidR="00027731" w:rsidRPr="007D1918" w:rsidRDefault="00027731" w:rsidP="00F070CD">
            <w:pPr>
              <w:pStyle w:val="TableText0"/>
              <w:ind w:left="113"/>
              <w:rPr>
                <w:snapToGrid w:val="0"/>
              </w:rPr>
            </w:pPr>
            <w:r w:rsidRPr="007D1918">
              <w:rPr>
                <w:snapToGrid w:val="0"/>
              </w:rPr>
              <w:t>Day0-28</w:t>
            </w:r>
          </w:p>
        </w:tc>
        <w:tc>
          <w:tcPr>
            <w:tcW w:w="944" w:type="pct"/>
            <w:shd w:val="clear" w:color="auto" w:fill="auto"/>
          </w:tcPr>
          <w:p w14:paraId="4521A90A" w14:textId="77777777" w:rsidR="00027731" w:rsidRPr="007D1918" w:rsidRDefault="00027731" w:rsidP="0066525D">
            <w:pPr>
              <w:pStyle w:val="TableText0"/>
              <w:rPr>
                <w:snapToGrid w:val="0"/>
              </w:rPr>
            </w:pPr>
          </w:p>
          <w:p w14:paraId="5A0DA617" w14:textId="7ED00BE8" w:rsidR="00027731" w:rsidRPr="007D1918" w:rsidRDefault="00027731" w:rsidP="0066525D">
            <w:pPr>
              <w:pStyle w:val="TableText0"/>
              <w:rPr>
                <w:snapToGrid w:val="0"/>
              </w:rPr>
            </w:pPr>
            <w:r w:rsidRPr="007D1918">
              <w:rPr>
                <w:snapToGrid w:val="0"/>
              </w:rPr>
              <w:t>3.2 ± 4.1</w:t>
            </w:r>
          </w:p>
          <w:p w14:paraId="14A6DC23" w14:textId="666761EB" w:rsidR="00027731" w:rsidRPr="007D1918" w:rsidRDefault="00027731" w:rsidP="0066525D">
            <w:pPr>
              <w:pStyle w:val="TableText0"/>
              <w:rPr>
                <w:snapToGrid w:val="0"/>
              </w:rPr>
            </w:pPr>
            <w:r w:rsidRPr="007D1918">
              <w:rPr>
                <w:snapToGrid w:val="0"/>
              </w:rPr>
              <w:t>3.3 ± 3.6</w:t>
            </w:r>
          </w:p>
          <w:p w14:paraId="33F57FD3" w14:textId="097A1544" w:rsidR="00027731" w:rsidRPr="007D1918" w:rsidRDefault="00027731" w:rsidP="0066525D">
            <w:pPr>
              <w:pStyle w:val="TableText0"/>
              <w:rPr>
                <w:snapToGrid w:val="0"/>
              </w:rPr>
            </w:pPr>
            <w:r w:rsidRPr="007D1918">
              <w:rPr>
                <w:snapToGrid w:val="0"/>
              </w:rPr>
              <w:t>2.6 ± 4.0</w:t>
            </w:r>
          </w:p>
        </w:tc>
        <w:tc>
          <w:tcPr>
            <w:tcW w:w="943" w:type="pct"/>
            <w:shd w:val="clear" w:color="auto" w:fill="auto"/>
          </w:tcPr>
          <w:p w14:paraId="2B8E90DF" w14:textId="77777777" w:rsidR="00027731" w:rsidRPr="007D1918" w:rsidRDefault="00027731" w:rsidP="0085086C">
            <w:pPr>
              <w:pStyle w:val="TableText0"/>
              <w:rPr>
                <w:snapToGrid w:val="0"/>
              </w:rPr>
            </w:pPr>
          </w:p>
          <w:p w14:paraId="211C4166" w14:textId="41504301" w:rsidR="00027731" w:rsidRPr="007D1918" w:rsidRDefault="00027731" w:rsidP="0085086C">
            <w:pPr>
              <w:pStyle w:val="TableText0"/>
              <w:rPr>
                <w:snapToGrid w:val="0"/>
              </w:rPr>
            </w:pPr>
            <w:r w:rsidRPr="007D1918">
              <w:rPr>
                <w:snapToGrid w:val="0"/>
              </w:rPr>
              <w:t>4.7 ± 4.9</w:t>
            </w:r>
          </w:p>
          <w:p w14:paraId="0CD315DE" w14:textId="77777777" w:rsidR="00027731" w:rsidRPr="007D1918" w:rsidRDefault="00027731" w:rsidP="0085086C">
            <w:pPr>
              <w:pStyle w:val="TableText0"/>
              <w:rPr>
                <w:snapToGrid w:val="0"/>
              </w:rPr>
            </w:pPr>
            <w:r w:rsidRPr="007D1918">
              <w:rPr>
                <w:snapToGrid w:val="0"/>
              </w:rPr>
              <w:t>5.3 ± 5.5</w:t>
            </w:r>
          </w:p>
          <w:p w14:paraId="6C3589CE" w14:textId="3512DF07" w:rsidR="00027731" w:rsidRPr="007D1918" w:rsidRDefault="00027731" w:rsidP="0085086C">
            <w:pPr>
              <w:pStyle w:val="TableText0"/>
              <w:rPr>
                <w:snapToGrid w:val="0"/>
              </w:rPr>
            </w:pPr>
            <w:r w:rsidRPr="007D1918">
              <w:rPr>
                <w:snapToGrid w:val="0"/>
              </w:rPr>
              <w:t>4.7 ± 5.7</w:t>
            </w:r>
          </w:p>
        </w:tc>
        <w:tc>
          <w:tcPr>
            <w:tcW w:w="773" w:type="pct"/>
            <w:shd w:val="clear" w:color="auto" w:fill="auto"/>
          </w:tcPr>
          <w:p w14:paraId="3002ED32" w14:textId="77777777" w:rsidR="00027731" w:rsidRPr="007D1918" w:rsidRDefault="00027731" w:rsidP="0085086C">
            <w:pPr>
              <w:pStyle w:val="TableText0"/>
              <w:rPr>
                <w:snapToGrid w:val="0"/>
              </w:rPr>
            </w:pPr>
          </w:p>
          <w:p w14:paraId="33D8A50E" w14:textId="68993F87" w:rsidR="00027731" w:rsidRPr="007D1918" w:rsidRDefault="00027731" w:rsidP="0085086C">
            <w:pPr>
              <w:pStyle w:val="TableText0"/>
              <w:rPr>
                <w:snapToGrid w:val="0"/>
              </w:rPr>
            </w:pPr>
            <w:r w:rsidRPr="007D1918">
              <w:rPr>
                <w:snapToGrid w:val="0"/>
              </w:rPr>
              <w:t>p = 0.13</w:t>
            </w:r>
          </w:p>
          <w:p w14:paraId="48897615" w14:textId="77777777" w:rsidR="00027731" w:rsidRPr="007D1918" w:rsidRDefault="00027731" w:rsidP="0085086C">
            <w:pPr>
              <w:pStyle w:val="TableText0"/>
              <w:rPr>
                <w:snapToGrid w:val="0"/>
              </w:rPr>
            </w:pPr>
            <w:r w:rsidRPr="007D1918">
              <w:rPr>
                <w:snapToGrid w:val="0"/>
              </w:rPr>
              <w:t>p = 0.07</w:t>
            </w:r>
          </w:p>
          <w:p w14:paraId="2FD00AC2" w14:textId="6EB2CB41" w:rsidR="00027731" w:rsidRPr="007D1918" w:rsidRDefault="00027731" w:rsidP="0085086C">
            <w:pPr>
              <w:pStyle w:val="TableText0"/>
              <w:rPr>
                <w:snapToGrid w:val="0"/>
              </w:rPr>
            </w:pPr>
            <w:r w:rsidRPr="007D1918">
              <w:rPr>
                <w:snapToGrid w:val="0"/>
              </w:rPr>
              <w:t>p = 0.08</w:t>
            </w:r>
            <w:r w:rsidRPr="007D1918">
              <w:rPr>
                <w:snapToGrid w:val="0"/>
                <w:vertAlign w:val="superscript"/>
              </w:rPr>
              <w:t>a</w:t>
            </w:r>
          </w:p>
        </w:tc>
      </w:tr>
      <w:tr w:rsidR="00027731" w:rsidRPr="007D1918" w14:paraId="136C69AA" w14:textId="77777777" w:rsidTr="00D17FA1">
        <w:tc>
          <w:tcPr>
            <w:tcW w:w="925" w:type="pct"/>
            <w:shd w:val="clear" w:color="auto" w:fill="auto"/>
          </w:tcPr>
          <w:p w14:paraId="56951D32" w14:textId="3C70CBA0" w:rsidR="00027731" w:rsidRPr="007D1918" w:rsidRDefault="0075212A" w:rsidP="0085086C">
            <w:pPr>
              <w:pStyle w:val="TableText0"/>
              <w:rPr>
                <w:snapToGrid w:val="0"/>
              </w:rPr>
            </w:pPr>
            <w:r w:rsidRPr="007D1918">
              <w:rPr>
                <w:snapToGrid w:val="0"/>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snapToGrid w:val="0"/>
              </w:rPr>
              <w:instrText xml:space="preserve"> ADDIN EN.CITE </w:instrText>
            </w:r>
            <w:r w:rsidR="007F4CDE" w:rsidRPr="007D1918">
              <w:rPr>
                <w:snapToGrid w:val="0"/>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snapToGrid w:val="0"/>
              </w:rPr>
              <w:instrText xml:space="preserve"> ADDIN EN.CITE.DATA </w:instrText>
            </w:r>
            <w:r w:rsidR="007F4CDE" w:rsidRPr="007D1918">
              <w:rPr>
                <w:snapToGrid w:val="0"/>
              </w:rPr>
            </w:r>
            <w:r w:rsidR="007F4CDE"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83" w:tooltip="Rønager, 2001 #41" w:history="1">
              <w:r w:rsidR="007D4948" w:rsidRPr="007D1918">
                <w:rPr>
                  <w:noProof/>
                  <w:snapToGrid w:val="0"/>
                </w:rPr>
                <w:t>Rønager et al. 2001</w:t>
              </w:r>
            </w:hyperlink>
            <w:r w:rsidRPr="007D1918">
              <w:rPr>
                <w:noProof/>
                <w:snapToGrid w:val="0"/>
              </w:rPr>
              <w:t>)</w:t>
            </w:r>
            <w:r w:rsidRPr="007D1918">
              <w:rPr>
                <w:snapToGrid w:val="0"/>
              </w:rPr>
              <w:fldChar w:fldCharType="end"/>
            </w:r>
            <w:r w:rsidR="00674584" w:rsidRPr="007D1918">
              <w:rPr>
                <w:snapToGrid w:val="0"/>
              </w:rPr>
              <w:t>, Denmark</w:t>
            </w:r>
          </w:p>
          <w:p w14:paraId="03293250" w14:textId="77777777" w:rsidR="00674584" w:rsidRPr="007D1918" w:rsidRDefault="00674584" w:rsidP="0085086C">
            <w:pPr>
              <w:pStyle w:val="TableText0"/>
              <w:rPr>
                <w:snapToGrid w:val="0"/>
              </w:rPr>
            </w:pPr>
            <w:r w:rsidRPr="007D1918">
              <w:rPr>
                <w:snapToGrid w:val="0"/>
              </w:rPr>
              <w:t>Level II</w:t>
            </w:r>
          </w:p>
          <w:p w14:paraId="48AE3B43" w14:textId="0CA48C91" w:rsidR="00674584" w:rsidRPr="007D1918" w:rsidRDefault="00674584" w:rsidP="0085086C">
            <w:pPr>
              <w:pStyle w:val="TableText0"/>
              <w:rPr>
                <w:snapToGrid w:val="0"/>
              </w:rPr>
            </w:pPr>
            <w:r w:rsidRPr="007D1918">
              <w:rPr>
                <w:snapToGrid w:val="0"/>
              </w:rPr>
              <w:t>High risk of bias</w:t>
            </w:r>
          </w:p>
        </w:tc>
        <w:tc>
          <w:tcPr>
            <w:tcW w:w="1415" w:type="pct"/>
          </w:tcPr>
          <w:p w14:paraId="632D651B" w14:textId="56FE34F0" w:rsidR="00027731" w:rsidRPr="007D1918" w:rsidRDefault="00027731" w:rsidP="0085086C">
            <w:pPr>
              <w:pStyle w:val="TableText0"/>
              <w:rPr>
                <w:snapToGrid w:val="0"/>
                <w:vertAlign w:val="superscript"/>
              </w:rPr>
            </w:pPr>
            <w:r w:rsidRPr="007D1918">
              <w:rPr>
                <w:snapToGrid w:val="0"/>
              </w:rPr>
              <w:t>Change in QMGS (mean)</w:t>
            </w:r>
            <w:r w:rsidR="00674584" w:rsidRPr="007D1918">
              <w:rPr>
                <w:snapToGrid w:val="0"/>
                <w:vertAlign w:val="superscript"/>
              </w:rPr>
              <w:t>b</w:t>
            </w:r>
          </w:p>
          <w:p w14:paraId="2E55443D" w14:textId="5F8CB883" w:rsidR="00027731" w:rsidRPr="007D1918" w:rsidRDefault="00027731" w:rsidP="0085086C">
            <w:pPr>
              <w:pStyle w:val="TableText0"/>
              <w:ind w:left="113"/>
              <w:rPr>
                <w:snapToGrid w:val="0"/>
              </w:rPr>
            </w:pPr>
            <w:r w:rsidRPr="007D1918">
              <w:rPr>
                <w:snapToGrid w:val="0"/>
              </w:rPr>
              <w:t>Base line to week 1</w:t>
            </w:r>
          </w:p>
          <w:p w14:paraId="79E62B9C" w14:textId="458F2BCF" w:rsidR="00027731" w:rsidRPr="007D1918" w:rsidRDefault="00027731" w:rsidP="0085086C">
            <w:pPr>
              <w:pStyle w:val="TableText0"/>
              <w:ind w:left="113"/>
              <w:rPr>
                <w:snapToGrid w:val="0"/>
              </w:rPr>
            </w:pPr>
            <w:r w:rsidRPr="007D1918">
              <w:rPr>
                <w:snapToGrid w:val="0"/>
              </w:rPr>
              <w:t>Base line to week 4</w:t>
            </w:r>
          </w:p>
          <w:p w14:paraId="3C6F4D08" w14:textId="543D98A9" w:rsidR="00027731" w:rsidRPr="007D1918" w:rsidRDefault="00027731" w:rsidP="0085086C">
            <w:pPr>
              <w:pStyle w:val="TableText0"/>
              <w:ind w:left="113"/>
              <w:rPr>
                <w:snapToGrid w:val="0"/>
              </w:rPr>
            </w:pPr>
            <w:r w:rsidRPr="007D1918">
              <w:rPr>
                <w:snapToGrid w:val="0"/>
              </w:rPr>
              <w:t>Base line to week 8</w:t>
            </w:r>
          </w:p>
          <w:p w14:paraId="5F246323" w14:textId="1AD42EE2" w:rsidR="00027731" w:rsidRPr="007D1918" w:rsidRDefault="00027731" w:rsidP="0085086C">
            <w:pPr>
              <w:pStyle w:val="TableText0"/>
              <w:ind w:left="113"/>
              <w:rPr>
                <w:snapToGrid w:val="0"/>
              </w:rPr>
            </w:pPr>
            <w:r w:rsidRPr="007D1918">
              <w:rPr>
                <w:snapToGrid w:val="0"/>
              </w:rPr>
              <w:t>Base line to week 16</w:t>
            </w:r>
          </w:p>
        </w:tc>
        <w:tc>
          <w:tcPr>
            <w:tcW w:w="944" w:type="pct"/>
            <w:shd w:val="clear" w:color="auto" w:fill="auto"/>
          </w:tcPr>
          <w:p w14:paraId="429D7CC5" w14:textId="77777777" w:rsidR="00027731" w:rsidRPr="007D1918" w:rsidRDefault="00027731" w:rsidP="0085086C">
            <w:pPr>
              <w:pStyle w:val="TableText0"/>
              <w:rPr>
                <w:snapToGrid w:val="0"/>
              </w:rPr>
            </w:pPr>
          </w:p>
          <w:p w14:paraId="7CC32AB3" w14:textId="14B52F78" w:rsidR="00027731" w:rsidRPr="007D1918" w:rsidRDefault="00027731" w:rsidP="00EE48FB">
            <w:pPr>
              <w:pStyle w:val="TableText0"/>
              <w:rPr>
                <w:snapToGrid w:val="0"/>
              </w:rPr>
            </w:pPr>
            <w:r w:rsidRPr="007D1918">
              <w:rPr>
                <w:snapToGrid w:val="0"/>
              </w:rPr>
              <w:t>0.10 (p &gt; 0.05)</w:t>
            </w:r>
          </w:p>
          <w:p w14:paraId="31667416" w14:textId="220970A6" w:rsidR="00027731" w:rsidRPr="007D1918" w:rsidRDefault="00027731" w:rsidP="00EE48FB">
            <w:pPr>
              <w:pStyle w:val="TableText0"/>
              <w:rPr>
                <w:snapToGrid w:val="0"/>
              </w:rPr>
            </w:pPr>
            <w:r w:rsidRPr="007D1918">
              <w:rPr>
                <w:snapToGrid w:val="0"/>
              </w:rPr>
              <w:t>0.23 (p &lt; 0.05)</w:t>
            </w:r>
          </w:p>
          <w:p w14:paraId="4F273BD8" w14:textId="2319C97B" w:rsidR="00027731" w:rsidRPr="007D1918" w:rsidRDefault="00027731" w:rsidP="00EE48FB">
            <w:pPr>
              <w:pStyle w:val="TableText0"/>
              <w:rPr>
                <w:snapToGrid w:val="0"/>
              </w:rPr>
            </w:pPr>
            <w:r w:rsidRPr="007D1918">
              <w:rPr>
                <w:snapToGrid w:val="0"/>
              </w:rPr>
              <w:t>P &gt; 0.05</w:t>
            </w:r>
          </w:p>
          <w:p w14:paraId="11FC21D7" w14:textId="291DC26E" w:rsidR="00027731" w:rsidRPr="007D1918" w:rsidRDefault="00027731" w:rsidP="00EE48FB">
            <w:pPr>
              <w:pStyle w:val="TableText0"/>
              <w:rPr>
                <w:snapToGrid w:val="0"/>
              </w:rPr>
            </w:pPr>
            <w:r w:rsidRPr="007D1918">
              <w:rPr>
                <w:snapToGrid w:val="0"/>
              </w:rPr>
              <w:t>p &gt; 0.05</w:t>
            </w:r>
          </w:p>
        </w:tc>
        <w:tc>
          <w:tcPr>
            <w:tcW w:w="943" w:type="pct"/>
            <w:shd w:val="clear" w:color="auto" w:fill="auto"/>
          </w:tcPr>
          <w:p w14:paraId="3D3B6EE8" w14:textId="77777777" w:rsidR="00027731" w:rsidRPr="007D1918" w:rsidRDefault="00027731" w:rsidP="0085086C">
            <w:pPr>
              <w:pStyle w:val="TableText0"/>
              <w:rPr>
                <w:snapToGrid w:val="0"/>
              </w:rPr>
            </w:pPr>
          </w:p>
          <w:p w14:paraId="1D2FBD52" w14:textId="5754F3FF" w:rsidR="00027731" w:rsidRPr="007D1918" w:rsidRDefault="00027731" w:rsidP="0085086C">
            <w:pPr>
              <w:pStyle w:val="TableText0"/>
              <w:rPr>
                <w:snapToGrid w:val="0"/>
              </w:rPr>
            </w:pPr>
            <w:r w:rsidRPr="007D1918">
              <w:rPr>
                <w:snapToGrid w:val="0"/>
              </w:rPr>
              <w:t>0.23 (p &lt; 0.05)</w:t>
            </w:r>
          </w:p>
          <w:p w14:paraId="640DAA4D" w14:textId="766DF9D6" w:rsidR="00027731" w:rsidRPr="007D1918" w:rsidRDefault="00027731" w:rsidP="0085086C">
            <w:pPr>
              <w:pStyle w:val="TableText0"/>
              <w:rPr>
                <w:snapToGrid w:val="0"/>
              </w:rPr>
            </w:pPr>
            <w:r w:rsidRPr="007D1918">
              <w:rPr>
                <w:snapToGrid w:val="0"/>
              </w:rPr>
              <w:t>P &lt; 0.05</w:t>
            </w:r>
          </w:p>
          <w:p w14:paraId="72FC9A63" w14:textId="18A83958" w:rsidR="00027731" w:rsidRPr="007D1918" w:rsidRDefault="00027731" w:rsidP="0085086C">
            <w:pPr>
              <w:pStyle w:val="TableText0"/>
              <w:rPr>
                <w:snapToGrid w:val="0"/>
              </w:rPr>
            </w:pPr>
            <w:r w:rsidRPr="007D1918">
              <w:rPr>
                <w:snapToGrid w:val="0"/>
              </w:rPr>
              <w:t>P &gt; 0.05</w:t>
            </w:r>
          </w:p>
          <w:p w14:paraId="10AAECB5" w14:textId="5A455CE8" w:rsidR="00027731" w:rsidRPr="007D1918" w:rsidRDefault="00027731" w:rsidP="0085086C">
            <w:pPr>
              <w:pStyle w:val="TableText0"/>
              <w:rPr>
                <w:snapToGrid w:val="0"/>
              </w:rPr>
            </w:pPr>
            <w:r w:rsidRPr="007D1918">
              <w:rPr>
                <w:snapToGrid w:val="0"/>
              </w:rPr>
              <w:t>P &gt; 0.05</w:t>
            </w:r>
          </w:p>
        </w:tc>
        <w:tc>
          <w:tcPr>
            <w:tcW w:w="773" w:type="pct"/>
            <w:shd w:val="clear" w:color="auto" w:fill="auto"/>
          </w:tcPr>
          <w:p w14:paraId="130C7B49" w14:textId="77777777" w:rsidR="00027731" w:rsidRPr="007D1918" w:rsidRDefault="00027731" w:rsidP="0085086C">
            <w:pPr>
              <w:pStyle w:val="TableText0"/>
              <w:rPr>
                <w:snapToGrid w:val="0"/>
              </w:rPr>
            </w:pPr>
          </w:p>
          <w:p w14:paraId="3D88EDC0" w14:textId="77777777" w:rsidR="00027731" w:rsidRPr="007D1918" w:rsidRDefault="00027731" w:rsidP="0085086C">
            <w:pPr>
              <w:pStyle w:val="TableText0"/>
              <w:rPr>
                <w:snapToGrid w:val="0"/>
              </w:rPr>
            </w:pPr>
            <w:r w:rsidRPr="007D1918">
              <w:rPr>
                <w:snapToGrid w:val="0"/>
              </w:rPr>
              <w:t>No difference</w:t>
            </w:r>
          </w:p>
          <w:p w14:paraId="62236158" w14:textId="77777777" w:rsidR="00027731" w:rsidRPr="007D1918" w:rsidRDefault="00027731" w:rsidP="0085086C">
            <w:pPr>
              <w:pStyle w:val="TableText0"/>
              <w:rPr>
                <w:snapToGrid w:val="0"/>
              </w:rPr>
            </w:pPr>
            <w:r w:rsidRPr="007D1918">
              <w:rPr>
                <w:snapToGrid w:val="0"/>
              </w:rPr>
              <w:t>No difference</w:t>
            </w:r>
          </w:p>
          <w:p w14:paraId="5E6F0CF2" w14:textId="77777777" w:rsidR="00027731" w:rsidRPr="007D1918" w:rsidRDefault="00027731" w:rsidP="0085086C">
            <w:pPr>
              <w:pStyle w:val="TableText0"/>
              <w:rPr>
                <w:snapToGrid w:val="0"/>
              </w:rPr>
            </w:pPr>
            <w:r w:rsidRPr="007D1918">
              <w:rPr>
                <w:snapToGrid w:val="0"/>
              </w:rPr>
              <w:t>NR</w:t>
            </w:r>
          </w:p>
          <w:p w14:paraId="3B06EAD9" w14:textId="5C056228" w:rsidR="00027731" w:rsidRPr="007D1918" w:rsidRDefault="00027731" w:rsidP="0085086C">
            <w:pPr>
              <w:pStyle w:val="TableText0"/>
              <w:rPr>
                <w:snapToGrid w:val="0"/>
              </w:rPr>
            </w:pPr>
            <w:r w:rsidRPr="007D1918">
              <w:rPr>
                <w:snapToGrid w:val="0"/>
              </w:rPr>
              <w:t>NR</w:t>
            </w:r>
          </w:p>
        </w:tc>
      </w:tr>
      <w:tr w:rsidR="00027731" w:rsidRPr="007D1918" w14:paraId="75023E49" w14:textId="77777777" w:rsidTr="00D17FA1">
        <w:tc>
          <w:tcPr>
            <w:tcW w:w="925" w:type="pct"/>
            <w:shd w:val="clear" w:color="auto" w:fill="auto"/>
          </w:tcPr>
          <w:p w14:paraId="2717D375" w14:textId="79384988" w:rsidR="00027731" w:rsidRPr="007D1918" w:rsidRDefault="0075212A" w:rsidP="0085086C">
            <w:pPr>
              <w:pStyle w:val="TableText0"/>
              <w:rPr>
                <w:snapToGrid w:val="0"/>
              </w:rPr>
            </w:pPr>
            <w:r w:rsidRPr="007D1918">
              <w:rPr>
                <w:snapToGrid w:val="0"/>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snapToGrid w:val="0"/>
              </w:rPr>
              <w:instrText xml:space="preserve"> ADDIN EN.CITE </w:instrText>
            </w:r>
            <w:r w:rsidR="00C437BA" w:rsidRPr="007D1918">
              <w:rPr>
                <w:snapToGrid w:val="0"/>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snapToGrid w:val="0"/>
              </w:rPr>
              <w:instrText xml:space="preserve"> ADDIN EN.CITE.DATA </w:instrText>
            </w:r>
            <w:r w:rsidR="00C437BA" w:rsidRPr="007D1918">
              <w:rPr>
                <w:snapToGrid w:val="0"/>
              </w:rPr>
            </w:r>
            <w:r w:rsidR="00C437BA"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63" w:tooltip="Liu, 2010 #56" w:history="1">
              <w:r w:rsidR="007D4948" w:rsidRPr="007D1918">
                <w:rPr>
                  <w:noProof/>
                  <w:snapToGrid w:val="0"/>
                </w:rPr>
                <w:t>Liu et al. 2010</w:t>
              </w:r>
            </w:hyperlink>
            <w:r w:rsidRPr="007D1918">
              <w:rPr>
                <w:noProof/>
                <w:snapToGrid w:val="0"/>
              </w:rPr>
              <w:t>)</w:t>
            </w:r>
            <w:r w:rsidRPr="007D1918">
              <w:rPr>
                <w:snapToGrid w:val="0"/>
              </w:rPr>
              <w:fldChar w:fldCharType="end"/>
            </w:r>
            <w:r w:rsidR="00674584" w:rsidRPr="007D1918">
              <w:rPr>
                <w:snapToGrid w:val="0"/>
              </w:rPr>
              <w:t>, China</w:t>
            </w:r>
          </w:p>
          <w:p w14:paraId="60E9D5A8" w14:textId="1DA7541A" w:rsidR="00674584" w:rsidRPr="007D1918" w:rsidRDefault="00674584" w:rsidP="0085086C">
            <w:pPr>
              <w:pStyle w:val="TableText0"/>
              <w:rPr>
                <w:snapToGrid w:val="0"/>
              </w:rPr>
            </w:pPr>
            <w:r w:rsidRPr="007D1918">
              <w:rPr>
                <w:snapToGrid w:val="0"/>
              </w:rPr>
              <w:t>Level II</w:t>
            </w:r>
          </w:p>
          <w:p w14:paraId="411E68A3" w14:textId="1AA9661E" w:rsidR="00674584" w:rsidRPr="007D1918" w:rsidRDefault="00674584" w:rsidP="007C2FCB">
            <w:pPr>
              <w:pStyle w:val="TableText0"/>
              <w:rPr>
                <w:snapToGrid w:val="0"/>
              </w:rPr>
            </w:pPr>
            <w:r w:rsidRPr="007D1918">
              <w:rPr>
                <w:snapToGrid w:val="0"/>
              </w:rPr>
              <w:t xml:space="preserve">Moderate risk of </w:t>
            </w:r>
            <w:r w:rsidR="007C2FCB" w:rsidRPr="007D1918">
              <w:rPr>
                <w:snapToGrid w:val="0"/>
              </w:rPr>
              <w:t>b</w:t>
            </w:r>
            <w:r w:rsidRPr="007D1918">
              <w:rPr>
                <w:snapToGrid w:val="0"/>
              </w:rPr>
              <w:t>ias</w:t>
            </w:r>
          </w:p>
        </w:tc>
        <w:tc>
          <w:tcPr>
            <w:tcW w:w="1415" w:type="pct"/>
          </w:tcPr>
          <w:p w14:paraId="698C5F52" w14:textId="3125E8FF" w:rsidR="00027731" w:rsidRPr="007D1918" w:rsidRDefault="00027731" w:rsidP="0085086C">
            <w:pPr>
              <w:pStyle w:val="TableText0"/>
              <w:rPr>
                <w:snapToGrid w:val="0"/>
              </w:rPr>
            </w:pPr>
            <w:r w:rsidRPr="007D1918">
              <w:rPr>
                <w:snapToGrid w:val="0"/>
              </w:rPr>
              <w:t>QMGS (% ± SD improvement)</w:t>
            </w:r>
          </w:p>
          <w:p w14:paraId="46A112CD" w14:textId="730ACD6D" w:rsidR="00027731" w:rsidRPr="007D1918" w:rsidRDefault="00027731" w:rsidP="006F6569">
            <w:pPr>
              <w:pStyle w:val="TableText0"/>
              <w:ind w:left="113"/>
              <w:rPr>
                <w:snapToGrid w:val="0"/>
              </w:rPr>
            </w:pPr>
            <w:r w:rsidRPr="007D1918">
              <w:rPr>
                <w:snapToGrid w:val="0"/>
              </w:rPr>
              <w:t>Baseline to 14 days</w:t>
            </w:r>
          </w:p>
        </w:tc>
        <w:tc>
          <w:tcPr>
            <w:tcW w:w="944" w:type="pct"/>
            <w:shd w:val="clear" w:color="auto" w:fill="auto"/>
          </w:tcPr>
          <w:p w14:paraId="4C32DE4B" w14:textId="77777777" w:rsidR="00027731" w:rsidRPr="007D1918" w:rsidRDefault="00027731" w:rsidP="0085086C">
            <w:pPr>
              <w:pStyle w:val="TableText0"/>
              <w:rPr>
                <w:snapToGrid w:val="0"/>
              </w:rPr>
            </w:pPr>
          </w:p>
          <w:p w14:paraId="2C5B174B" w14:textId="1FB158FD" w:rsidR="00027731" w:rsidRPr="007D1918" w:rsidRDefault="00027731" w:rsidP="006F6569">
            <w:pPr>
              <w:pStyle w:val="TableText0"/>
              <w:rPr>
                <w:snapToGrid w:val="0"/>
              </w:rPr>
            </w:pPr>
            <w:r w:rsidRPr="007D1918">
              <w:rPr>
                <w:snapToGrid w:val="0"/>
              </w:rPr>
              <w:t>23.8 ± 3.7%</w:t>
            </w:r>
          </w:p>
        </w:tc>
        <w:tc>
          <w:tcPr>
            <w:tcW w:w="943" w:type="pct"/>
            <w:shd w:val="clear" w:color="auto" w:fill="auto"/>
          </w:tcPr>
          <w:p w14:paraId="680B71B1" w14:textId="77777777" w:rsidR="00027731" w:rsidRPr="007D1918" w:rsidRDefault="00027731" w:rsidP="0085086C">
            <w:pPr>
              <w:pStyle w:val="TableText0"/>
              <w:rPr>
                <w:snapToGrid w:val="0"/>
              </w:rPr>
            </w:pPr>
          </w:p>
          <w:p w14:paraId="3D996366" w14:textId="71AFB23B" w:rsidR="00027731" w:rsidRPr="007D1918" w:rsidRDefault="00027731" w:rsidP="00632F24">
            <w:pPr>
              <w:pStyle w:val="TableText0"/>
              <w:rPr>
                <w:snapToGrid w:val="0"/>
              </w:rPr>
            </w:pPr>
            <w:r w:rsidRPr="007D1918">
              <w:rPr>
                <w:snapToGrid w:val="0"/>
              </w:rPr>
              <w:t>60.8 ± 3.5%</w:t>
            </w:r>
          </w:p>
        </w:tc>
        <w:tc>
          <w:tcPr>
            <w:tcW w:w="773" w:type="pct"/>
            <w:shd w:val="clear" w:color="auto" w:fill="auto"/>
          </w:tcPr>
          <w:p w14:paraId="51E29123" w14:textId="77777777" w:rsidR="00027731" w:rsidRPr="007D1918" w:rsidRDefault="00027731" w:rsidP="0085086C">
            <w:pPr>
              <w:pStyle w:val="TableText0"/>
              <w:rPr>
                <w:snapToGrid w:val="0"/>
              </w:rPr>
            </w:pPr>
          </w:p>
          <w:p w14:paraId="1B0A4B94" w14:textId="610ED30A" w:rsidR="00027731" w:rsidRPr="007D1918" w:rsidRDefault="00027731" w:rsidP="0085086C">
            <w:pPr>
              <w:pStyle w:val="TableText0"/>
              <w:rPr>
                <w:snapToGrid w:val="0"/>
                <w:vertAlign w:val="superscript"/>
              </w:rPr>
            </w:pPr>
            <w:r w:rsidRPr="007D1918">
              <w:rPr>
                <w:snapToGrid w:val="0"/>
              </w:rPr>
              <w:t>P &lt; 0.01</w:t>
            </w:r>
            <w:r w:rsidR="00BF3DCB" w:rsidRPr="007D1918">
              <w:rPr>
                <w:snapToGrid w:val="0"/>
                <w:vertAlign w:val="superscript"/>
              </w:rPr>
              <w:t>c</w:t>
            </w:r>
          </w:p>
        </w:tc>
      </w:tr>
    </w:tbl>
    <w:p w14:paraId="640DFFBA" w14:textId="79EA55D6" w:rsidR="00467FA2" w:rsidRPr="007D1918" w:rsidRDefault="00F668FB" w:rsidP="000B4173">
      <w:pPr>
        <w:pStyle w:val="Tablenotes0"/>
        <w:spacing w:after="80"/>
        <w:contextualSpacing w:val="0"/>
      </w:pPr>
      <w:r w:rsidRPr="007D1918">
        <w:t>IVIg = intravenous immunoglobulin therapy;</w:t>
      </w:r>
      <w:r w:rsidR="005C553C" w:rsidRPr="007D1918">
        <w:t xml:space="preserve"> </w:t>
      </w:r>
      <w:r w:rsidR="00467959" w:rsidRPr="007D1918">
        <w:t>NR = not reported;</w:t>
      </w:r>
      <w:r w:rsidRPr="007D1918">
        <w:t xml:space="preserve"> PE plasma exchange therapy; </w:t>
      </w:r>
      <w:r w:rsidR="007631D0" w:rsidRPr="007D1918">
        <w:t xml:space="preserve">QMGS = </w:t>
      </w:r>
      <w:r w:rsidR="005C553C" w:rsidRPr="007D1918">
        <w:t>quantitative myasthenia gravis score</w:t>
      </w:r>
      <w:r w:rsidR="002456D9" w:rsidRPr="007D1918">
        <w:t>; SD = standard deviation</w:t>
      </w:r>
    </w:p>
    <w:p w14:paraId="1BC73D46" w14:textId="216A6063" w:rsidR="00EE48FB" w:rsidRPr="007D1918" w:rsidRDefault="001F38FB" w:rsidP="00E6429D">
      <w:pPr>
        <w:pStyle w:val="Tablenotes0"/>
      </w:pPr>
      <w:r w:rsidRPr="007D1918">
        <w:rPr>
          <w:vertAlign w:val="superscript"/>
        </w:rPr>
        <w:t>a</w:t>
      </w:r>
      <w:r w:rsidRPr="007D1918">
        <w:t xml:space="preserve"> </w:t>
      </w:r>
      <w:r w:rsidR="00BF3DCB" w:rsidRPr="007D1918">
        <w:t>ANOVA was used to determine change in QMGS from baseline.</w:t>
      </w:r>
      <w:r w:rsidR="002456D9" w:rsidRPr="007D1918">
        <w:t xml:space="preserve"> </w:t>
      </w:r>
      <w:r w:rsidRPr="007D1918">
        <w:t>A repeated measures analysis at day 28 showed no difference between treatments from baseline throughout the study (p = 0.26)</w:t>
      </w:r>
      <w:r w:rsidR="00674584" w:rsidRPr="007D1918">
        <w:t xml:space="preserve"> </w:t>
      </w:r>
      <w:r w:rsidR="0075212A" w:rsidRPr="007D1918">
        <w:fldChar w:fldCharType="begin"/>
      </w:r>
      <w:r w:rsidR="001A0E53" w:rsidRPr="007D1918">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001A0E53" w:rsidRPr="007D1918">
        <w:rPr>
          <w:rFonts w:ascii="Cambria Math" w:hAnsi="Cambria Math" w:cs="Cambria Math"/>
        </w:rPr>
        <w:instrText>‐</w:instrText>
      </w:r>
      <w:r w:rsidR="001A0E53" w:rsidRPr="007D1918">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001A0E53" w:rsidRPr="007D1918">
        <w:rPr>
          <w:rFonts w:ascii="Cambria Math" w:hAnsi="Cambria Math" w:cs="Cambria Math"/>
        </w:rPr>
        <w:instrText>‐</w:instrText>
      </w:r>
      <w:r w:rsidR="001A0E53" w:rsidRPr="007D1918">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001A0E53" w:rsidRPr="007D1918">
        <w:rPr>
          <w:rFonts w:ascii="Cambria Math" w:hAnsi="Cambria Math" w:cs="Cambria Math"/>
        </w:rPr>
        <w:instrText>‐</w:instrText>
      </w:r>
      <w:r w:rsidR="001A0E53" w:rsidRPr="007D1918">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0075212A" w:rsidRPr="007D1918">
        <w:fldChar w:fldCharType="separate"/>
      </w:r>
      <w:r w:rsidR="001A0E53" w:rsidRPr="007D1918">
        <w:rPr>
          <w:noProof/>
        </w:rPr>
        <w:t>(</w:t>
      </w:r>
      <w:hyperlink w:anchor="_ENREF_8" w:tooltip="Barth, 2011 #48" w:history="1">
        <w:r w:rsidR="007D4948" w:rsidRPr="007D1918">
          <w:rPr>
            <w:noProof/>
          </w:rPr>
          <w:t>Barth et al. 2011</w:t>
        </w:r>
      </w:hyperlink>
      <w:r w:rsidR="001A0E53" w:rsidRPr="007D1918">
        <w:rPr>
          <w:noProof/>
        </w:rPr>
        <w:t>)</w:t>
      </w:r>
      <w:r w:rsidR="0075212A" w:rsidRPr="007D1918">
        <w:fldChar w:fldCharType="end"/>
      </w:r>
    </w:p>
    <w:p w14:paraId="7141B94B" w14:textId="5E4906A5" w:rsidR="00674584" w:rsidRPr="007D1918" w:rsidRDefault="00674584" w:rsidP="00E6429D">
      <w:pPr>
        <w:pStyle w:val="Tablenotes0"/>
      </w:pPr>
      <w:r w:rsidRPr="007D1918">
        <w:rPr>
          <w:vertAlign w:val="superscript"/>
        </w:rPr>
        <w:t>b</w:t>
      </w:r>
      <w:r w:rsidRPr="007D1918">
        <w:t xml:space="preserve"> Wilcoxon’s sign test </w:t>
      </w:r>
      <w:r w:rsidR="0075212A"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 </w:instrText>
      </w:r>
      <w:r w:rsidR="007F4CDE" w:rsidRPr="007D1918">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83" w:tooltip="Rønager, 2001 #41" w:history="1">
        <w:r w:rsidR="007D4948" w:rsidRPr="007D1918">
          <w:rPr>
            <w:noProof/>
          </w:rPr>
          <w:t>Rønager et al. 2001</w:t>
        </w:r>
      </w:hyperlink>
      <w:r w:rsidR="0075212A" w:rsidRPr="007D1918">
        <w:rPr>
          <w:noProof/>
        </w:rPr>
        <w:t>)</w:t>
      </w:r>
      <w:r w:rsidR="0075212A" w:rsidRPr="007D1918">
        <w:fldChar w:fldCharType="end"/>
      </w:r>
    </w:p>
    <w:p w14:paraId="10C309FE" w14:textId="1C695BA7" w:rsidR="00BF3DCB" w:rsidRPr="007D1918" w:rsidRDefault="00BF3DCB" w:rsidP="005A2FC5">
      <w:pPr>
        <w:pStyle w:val="Tablenotes0"/>
        <w:spacing w:after="0"/>
      </w:pPr>
      <w:r w:rsidRPr="007D1918">
        <w:rPr>
          <w:vertAlign w:val="superscript"/>
        </w:rPr>
        <w:t>c</w:t>
      </w:r>
      <w:r w:rsidRPr="007D1918">
        <w:t xml:space="preserve"> Paired </w:t>
      </w:r>
      <w:r w:rsidRPr="007D1918">
        <w:rPr>
          <w:i/>
        </w:rPr>
        <w:t>t-</w:t>
      </w:r>
      <w:r w:rsidRPr="007D1918">
        <w:t xml:space="preserve">test </w:t>
      </w:r>
      <w:r w:rsidR="0075212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 </w:instrText>
      </w:r>
      <w:r w:rsidR="00C437B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3" w:tooltip="Liu, 2010 #56" w:history="1">
        <w:r w:rsidR="007D4948" w:rsidRPr="007D1918">
          <w:rPr>
            <w:noProof/>
          </w:rPr>
          <w:t>Liu et al. 2010</w:t>
        </w:r>
      </w:hyperlink>
      <w:r w:rsidR="0075212A" w:rsidRPr="007D1918">
        <w:rPr>
          <w:noProof/>
        </w:rPr>
        <w:t>)</w:t>
      </w:r>
      <w:r w:rsidR="0075212A" w:rsidRPr="007D1918">
        <w:fldChar w:fldCharType="end"/>
      </w:r>
    </w:p>
    <w:p w14:paraId="0A620AE1" w14:textId="77777777" w:rsidR="005A2FC5" w:rsidRPr="007D1918" w:rsidRDefault="005A2FC5" w:rsidP="005A2FC5">
      <w:pPr>
        <w:pStyle w:val="Tabletext1"/>
      </w:pPr>
    </w:p>
    <w:p w14:paraId="7DA8E922" w14:textId="435C4CF1" w:rsidR="00BF3DCB" w:rsidRPr="007D1918" w:rsidRDefault="00BF3DCB" w:rsidP="00BF3DCB">
      <w:pPr>
        <w:pStyle w:val="Heading4"/>
      </w:pPr>
      <w:r w:rsidRPr="007D1918">
        <w:t xml:space="preserve">Change in symptoms (MGFA class) in adults receiving </w:t>
      </w:r>
      <w:r w:rsidR="00D95E2D" w:rsidRPr="007D1918">
        <w:t>maintenance IVIg</w:t>
      </w:r>
    </w:p>
    <w:p w14:paraId="79B0F1D9" w14:textId="6270569B" w:rsidR="00C22D75" w:rsidRPr="007D1918" w:rsidRDefault="008B5855" w:rsidP="00BA0004">
      <w:pPr>
        <w:jc w:val="both"/>
      </w:pPr>
      <w:r w:rsidRPr="007D1918">
        <w:t>O</w:t>
      </w:r>
      <w:r w:rsidR="00C22D75" w:rsidRPr="007D1918">
        <w:t xml:space="preserve">ne case series </w:t>
      </w:r>
      <w:r w:rsidR="0075212A"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instrText xml:space="preserve"> ADDIN EN.CITE </w:instrText>
      </w:r>
      <w:r w:rsidR="007F4CDE"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instrText xml:space="preserve"> ADDIN EN.CITE.DATA </w:instrText>
      </w:r>
      <w:r w:rsidR="007F4CDE" w:rsidRPr="007D1918">
        <w:fldChar w:fldCharType="end"/>
      </w:r>
      <w:r w:rsidR="0075212A" w:rsidRPr="007D1918">
        <w:fldChar w:fldCharType="separate"/>
      </w:r>
      <w:r w:rsidR="0075212A" w:rsidRPr="007D1918">
        <w:rPr>
          <w:noProof/>
        </w:rPr>
        <w:t>(</w:t>
      </w:r>
      <w:hyperlink w:anchor="_ENREF_49" w:tooltip="Hellmann, 2014 #53" w:history="1">
        <w:r w:rsidR="007D4948" w:rsidRPr="007D1918">
          <w:rPr>
            <w:noProof/>
          </w:rPr>
          <w:t>Hellmann et al. 2014</w:t>
        </w:r>
      </w:hyperlink>
      <w:r w:rsidR="0075212A" w:rsidRPr="007D1918">
        <w:rPr>
          <w:noProof/>
        </w:rPr>
        <w:t>)</w:t>
      </w:r>
      <w:r w:rsidR="0075212A" w:rsidRPr="007D1918">
        <w:fldChar w:fldCharType="end"/>
      </w:r>
      <w:r w:rsidR="00BE2825" w:rsidRPr="007D1918">
        <w:t>,</w:t>
      </w:r>
      <w:r w:rsidR="00C22D75" w:rsidRPr="007D1918">
        <w:t xml:space="preserve"> used the MGFA class to </w:t>
      </w:r>
      <w:r w:rsidRPr="007D1918">
        <w:t>assess</w:t>
      </w:r>
      <w:r w:rsidR="00C22D75" w:rsidRPr="007D1918">
        <w:t xml:space="preserve"> symptoms </w:t>
      </w:r>
      <w:r w:rsidR="00740A0B" w:rsidRPr="007D1918">
        <w:t xml:space="preserve">before and after </w:t>
      </w:r>
      <w:r w:rsidRPr="007D1918">
        <w:t>patients receiv</w:t>
      </w:r>
      <w:r w:rsidR="00740A0B" w:rsidRPr="007D1918">
        <w:t>ed</w:t>
      </w:r>
      <w:r w:rsidRPr="007D1918">
        <w:t xml:space="preserve"> </w:t>
      </w:r>
      <w:r w:rsidR="00BF3DCB" w:rsidRPr="007D1918">
        <w:t xml:space="preserve">maintenance </w:t>
      </w:r>
      <w:r w:rsidRPr="007D1918">
        <w:t>IVIg</w:t>
      </w:r>
      <w:r w:rsidR="00C22D75" w:rsidRPr="007D1918">
        <w:t xml:space="preserve">. </w:t>
      </w:r>
      <w:r w:rsidR="00051889" w:rsidRPr="007D1918">
        <w:t>Patients had been classified as MGFA class 3, 4 or 5 at the start of IVIg (moderate to severe</w:t>
      </w:r>
      <w:r w:rsidR="006A465E" w:rsidRPr="007D1918">
        <w:t xml:space="preserve"> disease status</w:t>
      </w:r>
      <w:r w:rsidR="00051889" w:rsidRPr="007D1918">
        <w:t xml:space="preserve">). </w:t>
      </w:r>
      <w:r w:rsidRPr="007D1918">
        <w:t xml:space="preserve">Hellmann et al reported that </w:t>
      </w:r>
      <w:r w:rsidR="00BA0004" w:rsidRPr="007D1918">
        <w:t>out of 52</w:t>
      </w:r>
      <w:r w:rsidRPr="007D1918">
        <w:t xml:space="preserve"> patients </w:t>
      </w:r>
      <w:r w:rsidR="00C12E7E" w:rsidRPr="007D1918">
        <w:t>receiving</w:t>
      </w:r>
      <w:r w:rsidRPr="007D1918">
        <w:t xml:space="preserve"> IVIg</w:t>
      </w:r>
      <w:r w:rsidR="00BE2825" w:rsidRPr="007D1918">
        <w:t>,</w:t>
      </w:r>
      <w:r w:rsidRPr="007D1918">
        <w:t xml:space="preserve"> </w:t>
      </w:r>
      <w:r w:rsidR="00BA0004" w:rsidRPr="007D1918">
        <w:t xml:space="preserve">37 (71%) </w:t>
      </w:r>
      <w:r w:rsidRPr="007D1918">
        <w:t>had at least a mild improvement (reduced by one MGFA class) and 38% experienced moderate improvement (reduced by two MGFA classes)</w:t>
      </w:r>
      <w:r w:rsidR="00C12E7E" w:rsidRPr="007D1918">
        <w:t xml:space="preserve"> (</w:t>
      </w:r>
      <w:r w:rsidR="00C12E7E" w:rsidRPr="007D1918">
        <w:fldChar w:fldCharType="begin"/>
      </w:r>
      <w:r w:rsidR="00C12E7E" w:rsidRPr="007D1918">
        <w:instrText xml:space="preserve"> REF _Ref8827726 \h </w:instrText>
      </w:r>
      <w:r w:rsidR="00E07567" w:rsidRPr="007D1918">
        <w:instrText xml:space="preserve"> \* MERGEFORMAT </w:instrText>
      </w:r>
      <w:r w:rsidR="00C12E7E" w:rsidRPr="007D1918">
        <w:fldChar w:fldCharType="separate"/>
      </w:r>
      <w:r w:rsidR="00153384" w:rsidRPr="007D1918">
        <w:t xml:space="preserve">Table </w:t>
      </w:r>
      <w:r w:rsidR="00153384" w:rsidRPr="007D1918">
        <w:rPr>
          <w:noProof/>
        </w:rPr>
        <w:t>38</w:t>
      </w:r>
      <w:r w:rsidR="00C12E7E" w:rsidRPr="007D1918">
        <w:fldChar w:fldCharType="end"/>
      </w:r>
      <w:r w:rsidR="00C12E7E" w:rsidRPr="007D1918">
        <w:t>)</w:t>
      </w:r>
      <w:r w:rsidRPr="007D1918">
        <w:t xml:space="preserve">. </w:t>
      </w:r>
      <w:r w:rsidR="00BA0004" w:rsidRPr="007D1918">
        <w:t xml:space="preserve">The 37 responders had been on IVIg maintenance therapy for at least one year and an average of 5.9 years (range 1-17). Patients who did not respond after a loading and two follow-up doses were discontinued from treatment. In factor analysis between responders and non-responders, seronegativity, ocular disease and non-bulbar symptoms at onset were found to be associated with no response. Generalised MG symptoms, age at disease onset and duration of disease were not different between responders and non-responders. </w:t>
      </w:r>
    </w:p>
    <w:p w14:paraId="12341403" w14:textId="56762B74" w:rsidR="00C22D75" w:rsidRPr="007D1918" w:rsidRDefault="00C22D75" w:rsidP="007631D0">
      <w:pPr>
        <w:pStyle w:val="Caption"/>
        <w:keepNext/>
        <w:keepLines/>
        <w:jc w:val="both"/>
        <w:rPr>
          <w:rFonts w:cs="Arial"/>
          <w:snapToGrid w:val="0"/>
          <w:szCs w:val="16"/>
          <w:lang w:eastAsia="en-US"/>
        </w:rPr>
      </w:pPr>
      <w:bookmarkStart w:id="279" w:name="_Ref8827726"/>
      <w:bookmarkStart w:id="280" w:name="_Toc23769525"/>
      <w:r w:rsidRPr="007D1918">
        <w:t xml:space="preserve">Table </w:t>
      </w:r>
      <w:r w:rsidR="0048203E" w:rsidRPr="007D1918">
        <w:rPr>
          <w:noProof/>
        </w:rPr>
        <w:fldChar w:fldCharType="begin"/>
      </w:r>
      <w:r w:rsidR="0048203E" w:rsidRPr="007D1918">
        <w:rPr>
          <w:noProof/>
        </w:rPr>
        <w:instrText xml:space="preserve"> SEQ Table \* ARABIC </w:instrText>
      </w:r>
      <w:r w:rsidR="0048203E" w:rsidRPr="007D1918">
        <w:rPr>
          <w:noProof/>
        </w:rPr>
        <w:fldChar w:fldCharType="separate"/>
      </w:r>
      <w:r w:rsidR="00942701" w:rsidRPr="007D1918">
        <w:rPr>
          <w:noProof/>
        </w:rPr>
        <w:t>38</w:t>
      </w:r>
      <w:r w:rsidR="0048203E" w:rsidRPr="007D1918">
        <w:rPr>
          <w:noProof/>
        </w:rPr>
        <w:fldChar w:fldCharType="end"/>
      </w:r>
      <w:bookmarkEnd w:id="279"/>
      <w:r w:rsidRPr="007D1918">
        <w:tab/>
      </w:r>
      <w:r w:rsidR="00C12E7E" w:rsidRPr="007D1918">
        <w:rPr>
          <w:rFonts w:cs="Arial"/>
          <w:snapToGrid w:val="0"/>
          <w:szCs w:val="16"/>
          <w:lang w:eastAsia="en-US"/>
        </w:rPr>
        <w:t xml:space="preserve">Change in MGFA class in patients receiving maintenance IVIg </w:t>
      </w:r>
      <w:r w:rsidR="0075212A" w:rsidRPr="007D1918">
        <w:rPr>
          <w:rFonts w:cs="Arial"/>
          <w:snapToGrid w:val="0"/>
          <w:szCs w:val="16"/>
          <w:lang w:eastAsia="en-US"/>
        </w:rPr>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rPr>
          <w:rFonts w:cs="Arial"/>
          <w:snapToGrid w:val="0"/>
          <w:szCs w:val="16"/>
          <w:lang w:eastAsia="en-US"/>
        </w:rPr>
        <w:instrText xml:space="preserve"> ADDIN EN.CITE </w:instrText>
      </w:r>
      <w:r w:rsidR="007F4CDE" w:rsidRPr="007D1918">
        <w:rPr>
          <w:rFonts w:cs="Arial"/>
          <w:snapToGrid w:val="0"/>
          <w:szCs w:val="16"/>
          <w:lang w:eastAsia="en-US"/>
        </w:rPr>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rPr>
          <w:rFonts w:cs="Arial"/>
          <w:snapToGrid w:val="0"/>
          <w:szCs w:val="16"/>
          <w:lang w:eastAsia="en-US"/>
        </w:rPr>
        <w:instrText xml:space="preserve"> ADDIN EN.CITE.DATA </w:instrText>
      </w:r>
      <w:r w:rsidR="007F4CDE" w:rsidRPr="007D1918">
        <w:rPr>
          <w:rFonts w:cs="Arial"/>
          <w:snapToGrid w:val="0"/>
          <w:szCs w:val="16"/>
          <w:lang w:eastAsia="en-US"/>
        </w:rPr>
      </w:r>
      <w:r w:rsidR="007F4CDE" w:rsidRPr="007D1918">
        <w:rPr>
          <w:rFonts w:cs="Arial"/>
          <w:snapToGrid w:val="0"/>
          <w:szCs w:val="16"/>
          <w:lang w:eastAsia="en-US"/>
        </w:rPr>
        <w:fldChar w:fldCharType="end"/>
      </w:r>
      <w:r w:rsidR="0075212A" w:rsidRPr="007D1918">
        <w:rPr>
          <w:rFonts w:cs="Arial"/>
          <w:snapToGrid w:val="0"/>
          <w:szCs w:val="16"/>
          <w:lang w:eastAsia="en-US"/>
        </w:rPr>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49" w:tooltip="Hellmann, 2014 #53" w:history="1">
        <w:r w:rsidR="007D4948" w:rsidRPr="007D1918">
          <w:rPr>
            <w:rFonts w:cs="Arial"/>
            <w:noProof/>
            <w:snapToGrid w:val="0"/>
            <w:szCs w:val="16"/>
            <w:lang w:eastAsia="en-US"/>
          </w:rPr>
          <w:t>Hellmann et al. 2014</w:t>
        </w:r>
      </w:hyperlink>
      <w:r w:rsidR="0075212A" w:rsidRPr="007D1918">
        <w:rPr>
          <w:rFonts w:cs="Arial"/>
          <w:noProof/>
          <w:snapToGrid w:val="0"/>
          <w:szCs w:val="16"/>
          <w:lang w:eastAsia="en-US"/>
        </w:rPr>
        <w:t>)</w:t>
      </w:r>
      <w:bookmarkEnd w:id="280"/>
      <w:r w:rsidR="0075212A" w:rsidRPr="007D1918">
        <w:rPr>
          <w:rFonts w:cs="Arial"/>
          <w:snapToGrid w:val="0"/>
          <w:szCs w:val="16"/>
          <w:lang w:eastAsia="en-US"/>
        </w:rPr>
        <w:fldChar w:fldCharType="end"/>
      </w:r>
    </w:p>
    <w:tbl>
      <w:tblPr>
        <w:tblW w:w="3931"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6 Change in MGFA class in patients receiving maintenance IVIg (Hellmann et al. 2014)"/>
        <w:tblDescription w:val="Change in symptoms measured by MGFA class in patients receiving IVIg maintenance therapy (Indication 3)."/>
      </w:tblPr>
      <w:tblGrid>
        <w:gridCol w:w="3829"/>
        <w:gridCol w:w="3259"/>
      </w:tblGrid>
      <w:tr w:rsidR="00C12E7E" w:rsidRPr="007D1918" w14:paraId="6AA23E5D" w14:textId="77777777" w:rsidTr="00C12E7E">
        <w:tc>
          <w:tcPr>
            <w:tcW w:w="2701" w:type="pct"/>
          </w:tcPr>
          <w:p w14:paraId="54EDE85E" w14:textId="41B00CC9" w:rsidR="00C12E7E" w:rsidRPr="007D1918" w:rsidRDefault="00C12E7E" w:rsidP="00C12E7E">
            <w:pPr>
              <w:pStyle w:val="TableText0"/>
              <w:ind w:left="16" w:right="117"/>
              <w:rPr>
                <w:b/>
                <w:snapToGrid w:val="0"/>
              </w:rPr>
            </w:pPr>
            <w:r w:rsidRPr="007D1918">
              <w:rPr>
                <w:b/>
                <w:snapToGrid w:val="0"/>
              </w:rPr>
              <w:t xml:space="preserve">Change in MGFA class </w:t>
            </w:r>
          </w:p>
        </w:tc>
        <w:tc>
          <w:tcPr>
            <w:tcW w:w="2299" w:type="pct"/>
            <w:shd w:val="clear" w:color="auto" w:fill="auto"/>
          </w:tcPr>
          <w:p w14:paraId="61A4F2C2" w14:textId="7BB1ADC7" w:rsidR="00C12E7E" w:rsidRPr="007D1918" w:rsidRDefault="00615277" w:rsidP="008B5855">
            <w:pPr>
              <w:pStyle w:val="TableHeading"/>
              <w:keepLines/>
              <w:ind w:left="111" w:right="117"/>
              <w:rPr>
                <w:snapToGrid w:val="0"/>
                <w:lang w:eastAsia="en-US"/>
              </w:rPr>
            </w:pPr>
            <w:r w:rsidRPr="007D1918">
              <w:rPr>
                <w:snapToGrid w:val="0"/>
                <w:lang w:eastAsia="en-US"/>
              </w:rPr>
              <w:t>n</w:t>
            </w:r>
            <w:r w:rsidR="00C12E7E" w:rsidRPr="007D1918">
              <w:rPr>
                <w:snapToGrid w:val="0"/>
                <w:lang w:eastAsia="en-US"/>
              </w:rPr>
              <w:t xml:space="preserve"> patients with event/N (%)</w:t>
            </w:r>
          </w:p>
        </w:tc>
      </w:tr>
      <w:tr w:rsidR="00C12E7E" w:rsidRPr="007D1918" w14:paraId="7DE521A7" w14:textId="77777777" w:rsidTr="00C12E7E">
        <w:tc>
          <w:tcPr>
            <w:tcW w:w="2701" w:type="pct"/>
            <w:tcBorders>
              <w:bottom w:val="single" w:sz="4" w:space="0" w:color="auto"/>
            </w:tcBorders>
          </w:tcPr>
          <w:p w14:paraId="3ADADD80" w14:textId="61BF0285" w:rsidR="00C12E7E" w:rsidRPr="007D1918" w:rsidRDefault="00C12E7E" w:rsidP="00E46031">
            <w:pPr>
              <w:pStyle w:val="TableText0"/>
              <w:ind w:left="16" w:right="117"/>
              <w:rPr>
                <w:snapToGrid w:val="0"/>
              </w:rPr>
            </w:pPr>
            <w:r w:rsidRPr="007D1918">
              <w:rPr>
                <w:snapToGrid w:val="0"/>
              </w:rPr>
              <w:t>No change</w:t>
            </w:r>
          </w:p>
          <w:p w14:paraId="7C531221" w14:textId="77777777" w:rsidR="00C12E7E" w:rsidRPr="007D1918" w:rsidRDefault="00C12E7E" w:rsidP="00E46031">
            <w:pPr>
              <w:pStyle w:val="TableText0"/>
              <w:ind w:left="16" w:right="117"/>
              <w:rPr>
                <w:snapToGrid w:val="0"/>
              </w:rPr>
            </w:pPr>
            <w:r w:rsidRPr="007D1918">
              <w:rPr>
                <w:snapToGrid w:val="0"/>
              </w:rPr>
              <w:t>Improvement by 1 class</w:t>
            </w:r>
          </w:p>
          <w:p w14:paraId="08879B72" w14:textId="19EB747A" w:rsidR="00C12E7E" w:rsidRPr="007D1918" w:rsidRDefault="00C12E7E" w:rsidP="00E46031">
            <w:pPr>
              <w:pStyle w:val="TableText0"/>
              <w:ind w:left="16" w:right="117"/>
              <w:rPr>
                <w:snapToGrid w:val="0"/>
              </w:rPr>
            </w:pPr>
            <w:r w:rsidRPr="007D1918">
              <w:rPr>
                <w:snapToGrid w:val="0"/>
              </w:rPr>
              <w:t>Improvement by 2 classes</w:t>
            </w:r>
          </w:p>
        </w:tc>
        <w:tc>
          <w:tcPr>
            <w:tcW w:w="2299" w:type="pct"/>
            <w:tcBorders>
              <w:bottom w:val="single" w:sz="4" w:space="0" w:color="auto"/>
            </w:tcBorders>
            <w:shd w:val="clear" w:color="auto" w:fill="auto"/>
          </w:tcPr>
          <w:p w14:paraId="77D0A479" w14:textId="5DBA814B" w:rsidR="00C12E7E" w:rsidRPr="007D1918" w:rsidRDefault="00C12E7E" w:rsidP="00E46031">
            <w:pPr>
              <w:pStyle w:val="TableText0"/>
              <w:ind w:left="111" w:right="117"/>
              <w:rPr>
                <w:snapToGrid w:val="0"/>
              </w:rPr>
            </w:pPr>
            <w:r w:rsidRPr="007D1918">
              <w:rPr>
                <w:snapToGrid w:val="0"/>
              </w:rPr>
              <w:t>15/52 (28%)</w:t>
            </w:r>
          </w:p>
          <w:p w14:paraId="102A84EE" w14:textId="39AA6044" w:rsidR="00C12E7E" w:rsidRPr="007D1918" w:rsidRDefault="00C12E7E" w:rsidP="00E46031">
            <w:pPr>
              <w:pStyle w:val="TableText0"/>
              <w:ind w:left="111" w:right="117"/>
              <w:rPr>
                <w:snapToGrid w:val="0"/>
              </w:rPr>
            </w:pPr>
            <w:r w:rsidRPr="007D1918">
              <w:rPr>
                <w:snapToGrid w:val="0"/>
              </w:rPr>
              <w:t>23/52 (45%)</w:t>
            </w:r>
          </w:p>
          <w:p w14:paraId="55630DB3" w14:textId="4D3B8EF3" w:rsidR="00C12E7E" w:rsidRPr="007D1918" w:rsidRDefault="00C12E7E" w:rsidP="00BA0004">
            <w:pPr>
              <w:pStyle w:val="TableText0"/>
              <w:ind w:left="111" w:right="117"/>
              <w:rPr>
                <w:snapToGrid w:val="0"/>
              </w:rPr>
            </w:pPr>
            <w:r w:rsidRPr="007D1918">
              <w:rPr>
                <w:snapToGrid w:val="0"/>
              </w:rPr>
              <w:t>14/52 (27%)</w:t>
            </w:r>
          </w:p>
        </w:tc>
      </w:tr>
    </w:tbl>
    <w:p w14:paraId="36D1303B" w14:textId="30C256C8" w:rsidR="00C22D75" w:rsidRPr="007D1918" w:rsidRDefault="00F668FB" w:rsidP="005A2FC5">
      <w:pPr>
        <w:pStyle w:val="Tablenotes0"/>
        <w:spacing w:after="0"/>
      </w:pPr>
      <w:r w:rsidRPr="007D1918">
        <w:t xml:space="preserve">IVIg = intravenous immunoglobulin therapy; </w:t>
      </w:r>
      <w:r w:rsidR="007631D0" w:rsidRPr="007D1918">
        <w:t xml:space="preserve">MGFA = </w:t>
      </w:r>
      <w:r w:rsidR="00C12E7E" w:rsidRPr="007D1918">
        <w:t>Myasthenia Gravis Foundation of America</w:t>
      </w:r>
      <w:r w:rsidRPr="007D1918">
        <w:t xml:space="preserve"> </w:t>
      </w:r>
    </w:p>
    <w:p w14:paraId="0EA988B6" w14:textId="77777777" w:rsidR="00B56288" w:rsidRPr="007D1918" w:rsidRDefault="00B56288" w:rsidP="005A2FC5">
      <w:pPr>
        <w:pStyle w:val="Tabletext1"/>
      </w:pPr>
    </w:p>
    <w:p w14:paraId="4EF34EFF" w14:textId="459D52EA" w:rsidR="00B56288" w:rsidRPr="007D1918" w:rsidRDefault="00B56288" w:rsidP="0079668A">
      <w:pPr>
        <w:pStyle w:val="Heading4"/>
      </w:pPr>
      <w:r w:rsidRPr="007D1918">
        <w:lastRenderedPageBreak/>
        <w:t>Change in symptoms</w:t>
      </w:r>
      <w:r w:rsidR="001604AE" w:rsidRPr="007D1918">
        <w:t xml:space="preserve"> (QMGS)</w:t>
      </w:r>
      <w:r w:rsidRPr="007D1918">
        <w:t xml:space="preserve"> for patients receiving maintenance IVIg or placebo</w:t>
      </w:r>
    </w:p>
    <w:p w14:paraId="5215FD55" w14:textId="47009D35" w:rsidR="009E64F0" w:rsidRPr="007D1918" w:rsidRDefault="009E64F0" w:rsidP="009E64F0">
      <w:pPr>
        <w:jc w:val="both"/>
      </w:pPr>
      <w:r w:rsidRPr="007D1918">
        <w:t xml:space="preserve">Standard therapies for MG such as PN, MPN, or azathioprine are comparators listed in the PICO for </w:t>
      </w:r>
      <w:r w:rsidR="0088065E" w:rsidRPr="007D1918">
        <w:rPr>
          <w:i/>
        </w:rPr>
        <w:t>Criteria V3</w:t>
      </w:r>
      <w:r w:rsidRPr="007D1918">
        <w:t xml:space="preserve"> Indication 3. There were no studies comparing IVIg alone with these comparators, and patients on IVIg are often taking standard therapies as well as IVIg in trials. However, data on the incremental benefit of IVIg in addition to that of standard therapies </w:t>
      </w:r>
      <w:r w:rsidR="004D5244" w:rsidRPr="007D1918">
        <w:t xml:space="preserve">are </w:t>
      </w:r>
      <w:r w:rsidRPr="007D1918">
        <w:t xml:space="preserve">likely to be able to inform the questions of this assessment, therefore </w:t>
      </w:r>
      <w:r w:rsidR="00740A0B" w:rsidRPr="007D1918">
        <w:t>studie</w:t>
      </w:r>
      <w:r w:rsidRPr="007D1918">
        <w:t xml:space="preserve">s that compared IVIg to placebo or no additional therapy in patients that were on standard therapies were included.  </w:t>
      </w:r>
    </w:p>
    <w:p w14:paraId="7D939167" w14:textId="562349E9" w:rsidR="00B56288" w:rsidRPr="007D1918" w:rsidRDefault="00B56288" w:rsidP="0079668A">
      <w:pPr>
        <w:jc w:val="both"/>
      </w:pPr>
      <w:r w:rsidRPr="007D1918">
        <w:t>Zinman</w:t>
      </w:r>
      <w:r w:rsidR="00154E38" w:rsidRPr="007D1918">
        <w:t>, Ng and Bril</w:t>
      </w:r>
      <w:r w:rsidR="009E64F0" w:rsidRPr="007D1918">
        <w:t xml:space="preserve"> </w:t>
      </w:r>
      <w:r w:rsidR="003736AC" w:rsidRPr="007D1918">
        <w:fldChar w:fldCharType="begin"/>
      </w:r>
      <w:r w:rsidR="007D4948" w:rsidRPr="007D1918">
        <w:instrText xml:space="preserve"> ADDIN EN.CITE &lt;EndNote&gt;&lt;Cite&gt;&lt;Author&gt;Zinman&lt;/Author&gt;&lt;Year&gt;2007&lt;/Year&gt;&lt;RecNum&gt;44&lt;/RecNum&gt;&lt;DisplayText&gt;(Zinman, Ng &amp;amp; Bril 2007)&lt;/DisplayText&gt;&lt;record&gt;&lt;rec-number&gt;44&lt;/rec-number&gt;&lt;foreign-keys&gt;&lt;key app="EN" db-id="2aevrx2slsts5ve9sdavatf125dsx0av2v9d" timestamp="1562810907"&gt;44&lt;/key&gt;&lt;/foreign-keys&gt;&lt;ref-type name="Journal Article"&gt;17&lt;/ref-type&gt;&lt;contributors&gt;&lt;authors&gt;&lt;author&gt;Zinman, L.&lt;/author&gt;&lt;author&gt;Ng, E.&lt;/author&gt;&lt;author&gt;Bril, V.&lt;/author&gt;&lt;/authors&gt;&lt;/contributors&gt;&lt;titles&gt;&lt;title&gt;IV immunoglobulin in patients with myasthenia gravis: a randomized controlled trial&lt;/title&gt;&lt;secondary-title&gt;Neurology&lt;/secondary-title&gt;&lt;/titles&gt;&lt;periodical&gt;&lt;full-title&gt;Neurology&lt;/full-title&gt;&lt;/periodical&gt;&lt;pages&gt;837‐841&lt;/pages&gt;&lt;volume&gt;68&lt;/volume&gt;&lt;number&gt;11&lt;/number&gt;&lt;keywords&gt;&lt;keyword&gt;Adult&lt;/keyword&gt;&lt;keyword&gt;Aged&lt;/keyword&gt;&lt;keyword&gt;Aged, 80 and over&lt;/keyword&gt;&lt;keyword&gt;Double‐Blind Method&lt;/keyword&gt;&lt;keyword&gt;Female&lt;/keyword&gt;&lt;keyword&gt;Humans&lt;/keyword&gt;&lt;keyword&gt;Immunoglobulins, Intravenous [*therapeutic use]&lt;/keyword&gt;&lt;keyword&gt;Male&lt;/keyword&gt;&lt;keyword&gt;Middle Aged&lt;/keyword&gt;&lt;keyword&gt;Myasthenia Gravis [epidemiology, *therapy]&lt;/keyword&gt;&lt;/keywords&gt;&lt;dates&gt;&lt;year&gt;2007&lt;/year&gt;&lt;/dates&gt;&lt;accession-num&gt;CN-00579165&lt;/accession-num&gt;&lt;work-type&gt;Comparative Study; Journal Article; Randomized Controlled Trial; Research Support, Non‐U.S. Gov&amp;apos;t; Validation Studies&lt;/work-type&gt;&lt;urls&gt;&lt;related-urls&gt;&lt;url&gt;https://www.cochranelibrary.com/central/doi/10.1002/central/CN-00579165/full&lt;/url&gt;&lt;url&gt;https://n.neurology.org/content/68/11/837.long&lt;/url&gt;&lt;/related-urls&gt;&lt;/urls&gt;&lt;custom3&gt;PUBMED 17353471&lt;/custom3&gt;&lt;electronic-resource-num&gt;10.1212/01.wnl.0000256698.69121.45&lt;/electronic-resource-num&gt;&lt;research-notes&gt;See Zinman &amp;amp; Bril 2008&lt;/research-notes&gt;&lt;/record&gt;&lt;/Cite&gt;&lt;/EndNote&gt;</w:instrText>
      </w:r>
      <w:r w:rsidR="003736AC" w:rsidRPr="007D1918">
        <w:fldChar w:fldCharType="separate"/>
      </w:r>
      <w:r w:rsidR="007D4948" w:rsidRPr="007D1918">
        <w:rPr>
          <w:noProof/>
        </w:rPr>
        <w:t>(</w:t>
      </w:r>
      <w:hyperlink w:anchor="_ENREF_109" w:tooltip="Zinman, 2007 #44" w:history="1">
        <w:r w:rsidR="007D4948" w:rsidRPr="007D1918">
          <w:rPr>
            <w:noProof/>
          </w:rPr>
          <w:t>Zinman, Ng &amp; Bril 2007</w:t>
        </w:r>
      </w:hyperlink>
      <w:r w:rsidR="007D4948" w:rsidRPr="007D1918">
        <w:rPr>
          <w:noProof/>
        </w:rPr>
        <w:t>)</w:t>
      </w:r>
      <w:r w:rsidR="003736AC" w:rsidRPr="007D1918">
        <w:fldChar w:fldCharType="end"/>
      </w:r>
      <w:r w:rsidR="00827FB0" w:rsidRPr="007D1918">
        <w:t xml:space="preserve"> </w:t>
      </w:r>
      <w:r w:rsidR="0079668A" w:rsidRPr="007D1918">
        <w:t>performed a</w:t>
      </w:r>
      <w:r w:rsidR="00370426" w:rsidRPr="007D1918">
        <w:t xml:space="preserve"> </w:t>
      </w:r>
      <w:r w:rsidR="0079668A" w:rsidRPr="007D1918">
        <w:t xml:space="preserve">double blind </w:t>
      </w:r>
      <w:r w:rsidR="00370426" w:rsidRPr="007D1918">
        <w:t xml:space="preserve">RCT in </w:t>
      </w:r>
      <w:r w:rsidR="0079668A" w:rsidRPr="007D1918">
        <w:t xml:space="preserve">51 </w:t>
      </w:r>
      <w:r w:rsidR="00370426" w:rsidRPr="007D1918">
        <w:t xml:space="preserve">patients </w:t>
      </w:r>
      <w:r w:rsidR="0079668A" w:rsidRPr="007D1918">
        <w:t xml:space="preserve">who were randomised to either IVIg or placebo delivered intravenously. The majority of patients were taking one or more </w:t>
      </w:r>
      <w:r w:rsidR="002250C7" w:rsidRPr="007D1918">
        <w:t xml:space="preserve">standard MG </w:t>
      </w:r>
      <w:r w:rsidR="0079668A" w:rsidRPr="007D1918">
        <w:t xml:space="preserve">therapies at baseline including </w:t>
      </w:r>
      <w:r w:rsidR="00150E1C" w:rsidRPr="007D1918">
        <w:t>anti</w:t>
      </w:r>
      <w:r w:rsidR="0079668A" w:rsidRPr="007D1918">
        <w:t>cholinesterase</w:t>
      </w:r>
      <w:r w:rsidR="00150E1C" w:rsidRPr="007D1918">
        <w:t>s</w:t>
      </w:r>
      <w:r w:rsidR="0079668A" w:rsidRPr="007D1918">
        <w:t xml:space="preserve">, corticosteroids, azathioprine and </w:t>
      </w:r>
      <w:r w:rsidR="00305766" w:rsidRPr="007D1918">
        <w:t>cyclophosphamide</w:t>
      </w:r>
      <w:r w:rsidR="0079668A" w:rsidRPr="007D1918">
        <w:t xml:space="preserve">, but there were no differences </w:t>
      </w:r>
      <w:r w:rsidR="00740A0B" w:rsidRPr="007D1918">
        <w:t xml:space="preserve">in medications </w:t>
      </w:r>
      <w:r w:rsidR="0079668A" w:rsidRPr="007D1918">
        <w:t>between arms on analysis. At baseline 55% of participants were rated &gt; 10.5 by the QMGS, or moderate to high severity.</w:t>
      </w:r>
      <w:r w:rsidR="00740A0B" w:rsidRPr="007D1918">
        <w:t xml:space="preserve"> </w:t>
      </w:r>
    </w:p>
    <w:p w14:paraId="656523D2" w14:textId="34D8A2F7" w:rsidR="0079668A" w:rsidRPr="007D1918" w:rsidRDefault="0079668A" w:rsidP="0079668A">
      <w:pPr>
        <w:jc w:val="both"/>
      </w:pPr>
      <w:r w:rsidRPr="007D1918">
        <w:t>QMGS was the primary measure of symptom improvement at 14 and 28 days from start of treatment</w:t>
      </w:r>
      <w:r w:rsidR="00740A0B" w:rsidRPr="007D1918">
        <w:t xml:space="preserve">. </w:t>
      </w:r>
      <w:r w:rsidRPr="007D1918">
        <w:t xml:space="preserve">There </w:t>
      </w:r>
      <w:r w:rsidR="00EE0D0B" w:rsidRPr="007D1918">
        <w:t xml:space="preserve">were decreases in symptoms at both follow-ups in both treatment groups, but the </w:t>
      </w:r>
      <w:r w:rsidR="00D43A55" w:rsidRPr="007D1918">
        <w:t xml:space="preserve">degree of </w:t>
      </w:r>
      <w:r w:rsidR="00EE0D0B" w:rsidRPr="007D1918">
        <w:t xml:space="preserve">improvement </w:t>
      </w:r>
      <w:r w:rsidR="00F35DE7" w:rsidRPr="007D1918">
        <w:t xml:space="preserve">decreased </w:t>
      </w:r>
      <w:r w:rsidR="00EE0D0B" w:rsidRPr="007D1918">
        <w:t>over time. The authors reported that no patients in the IVIg group declined</w:t>
      </w:r>
      <w:r w:rsidR="00F35DE7" w:rsidRPr="007D1918">
        <w:t xml:space="preserve"> in health status</w:t>
      </w:r>
      <w:r w:rsidR="00EE0D0B" w:rsidRPr="007D1918">
        <w:t xml:space="preserve">, but six in the placebo groups did decline. There </w:t>
      </w:r>
      <w:r w:rsidRPr="007D1918">
        <w:t>was a significantly greater improve</w:t>
      </w:r>
      <w:r w:rsidR="00D43A55" w:rsidRPr="007D1918">
        <w:t xml:space="preserve">ment for the IVIg group </w:t>
      </w:r>
      <w:r w:rsidR="00F35DE7" w:rsidRPr="007D1918">
        <w:t xml:space="preserve">compared to placebo </w:t>
      </w:r>
      <w:r w:rsidR="00D43A55" w:rsidRPr="007D1918">
        <w:t xml:space="preserve">at day </w:t>
      </w:r>
      <w:r w:rsidRPr="007D1918">
        <w:t>14 (p = 0.047), but</w:t>
      </w:r>
      <w:r w:rsidR="00EE0D0B" w:rsidRPr="007D1918">
        <w:t xml:space="preserve"> a</w:t>
      </w:r>
      <w:r w:rsidR="00740A0B" w:rsidRPr="007D1918">
        <w:t>t</w:t>
      </w:r>
      <w:r w:rsidR="00EE0D0B" w:rsidRPr="007D1918">
        <w:t xml:space="preserve"> </w:t>
      </w:r>
      <w:r w:rsidRPr="007D1918">
        <w:t>day 28, th</w:t>
      </w:r>
      <w:r w:rsidR="00D43A55" w:rsidRPr="007D1918">
        <w:t>e</w:t>
      </w:r>
      <w:r w:rsidRPr="007D1918">
        <w:t xml:space="preserve"> difference was not statistically significant (p = 0.055</w:t>
      </w:r>
      <w:r w:rsidR="00F35DE7" w:rsidRPr="007D1918">
        <w:t>). In the IVIg group</w:t>
      </w:r>
      <w:r w:rsidR="00305766" w:rsidRPr="007D1918">
        <w:t>,</w:t>
      </w:r>
      <w:r w:rsidR="00F35DE7" w:rsidRPr="007D1918">
        <w:t xml:space="preserve"> there was a MCID (change in QMGS </w:t>
      </w:r>
      <w:r w:rsidR="00C8488E" w:rsidRPr="007D1918">
        <w:t xml:space="preserve">from baseline </w:t>
      </w:r>
      <w:r w:rsidR="00F35DE7" w:rsidRPr="007D1918">
        <w:rPr>
          <w:rFonts w:cs="Calibri"/>
        </w:rPr>
        <w:t>≥</w:t>
      </w:r>
      <w:r w:rsidR="00F35DE7" w:rsidRPr="007D1918">
        <w:t xml:space="preserve"> 2; see </w:t>
      </w:r>
      <w:r w:rsidR="00F35DE7" w:rsidRPr="007D1918">
        <w:fldChar w:fldCharType="begin"/>
      </w:r>
      <w:r w:rsidR="00F35DE7" w:rsidRPr="007D1918">
        <w:instrText xml:space="preserve"> REF _Ref8996979 \h  \* MERGEFORMAT </w:instrText>
      </w:r>
      <w:r w:rsidR="00F35DE7" w:rsidRPr="007D1918">
        <w:fldChar w:fldCharType="separate"/>
      </w:r>
      <w:r w:rsidR="00153384" w:rsidRPr="007D1918">
        <w:t xml:space="preserve">Table </w:t>
      </w:r>
      <w:r w:rsidR="00153384" w:rsidRPr="007D1918">
        <w:rPr>
          <w:noProof/>
        </w:rPr>
        <w:t>15</w:t>
      </w:r>
      <w:r w:rsidR="00F35DE7" w:rsidRPr="007D1918">
        <w:fldChar w:fldCharType="end"/>
      </w:r>
      <w:r w:rsidR="00F35DE7" w:rsidRPr="007D1918">
        <w:t xml:space="preserve">) at day 14 and 28, but the authors commented on the dubious clinical significance of such a small change from baseline. </w:t>
      </w:r>
      <w:r w:rsidR="00D43A55" w:rsidRPr="007D1918">
        <w:t>In the placebo group</w:t>
      </w:r>
      <w:r w:rsidR="00305766" w:rsidRPr="007D1918">
        <w:t>,</w:t>
      </w:r>
      <w:r w:rsidR="00D43A55" w:rsidRPr="007D1918">
        <w:t xml:space="preserve"> improvement was not </w:t>
      </w:r>
      <w:r w:rsidR="00F35DE7" w:rsidRPr="007D1918">
        <w:t>clinic</w:t>
      </w:r>
      <w:r w:rsidR="00D43A55" w:rsidRPr="007D1918">
        <w:t xml:space="preserve">ally significant at 14 </w:t>
      </w:r>
      <w:r w:rsidR="00F35DE7" w:rsidRPr="007D1918">
        <w:t xml:space="preserve">or 28 </w:t>
      </w:r>
      <w:r w:rsidR="00D43A55" w:rsidRPr="007D1918">
        <w:t xml:space="preserve">days. </w:t>
      </w:r>
      <w:r w:rsidR="00740A0B" w:rsidRPr="007D1918">
        <w:t xml:space="preserve">Results are shown in </w:t>
      </w:r>
      <w:r w:rsidR="00740A0B" w:rsidRPr="007D1918">
        <w:fldChar w:fldCharType="begin"/>
      </w:r>
      <w:r w:rsidR="00740A0B" w:rsidRPr="007D1918">
        <w:instrText xml:space="preserve"> REF _Ref10714626 \h </w:instrText>
      </w:r>
      <w:r w:rsidR="00E07567" w:rsidRPr="007D1918">
        <w:instrText xml:space="preserve"> \* MERGEFORMAT </w:instrText>
      </w:r>
      <w:r w:rsidR="00740A0B" w:rsidRPr="007D1918">
        <w:fldChar w:fldCharType="separate"/>
      </w:r>
      <w:r w:rsidR="00153384" w:rsidRPr="007D1918">
        <w:t xml:space="preserve">Table </w:t>
      </w:r>
      <w:r w:rsidR="00153384" w:rsidRPr="007D1918">
        <w:rPr>
          <w:noProof/>
        </w:rPr>
        <w:t>39</w:t>
      </w:r>
      <w:r w:rsidR="00740A0B" w:rsidRPr="007D1918">
        <w:fldChar w:fldCharType="end"/>
      </w:r>
      <w:r w:rsidR="00740A0B" w:rsidRPr="007D1918">
        <w:t>.</w:t>
      </w:r>
    </w:p>
    <w:p w14:paraId="062F86EC" w14:textId="00E97F58" w:rsidR="00EE0D0B" w:rsidRPr="007D1918" w:rsidRDefault="00EE0D0B" w:rsidP="0079668A">
      <w:pPr>
        <w:jc w:val="both"/>
      </w:pPr>
      <w:r w:rsidRPr="007D1918">
        <w:t>In a separate analysis of those with a severity rating of QMGS &gt; 10.5, improvement at day 14 was three times more likely in the IVIg group compared with placebo (23% versus 8% improved) and this result</w:t>
      </w:r>
      <w:r w:rsidR="002250C7" w:rsidRPr="007D1918">
        <w:t xml:space="preserve"> </w:t>
      </w:r>
      <w:r w:rsidRPr="007D1918">
        <w:t xml:space="preserve">was statistically significant (p &lt; 0.015, </w:t>
      </w:r>
      <w:r w:rsidRPr="007D1918">
        <w:rPr>
          <w:rFonts w:cs="Calibri"/>
        </w:rPr>
        <w:t>χ</w:t>
      </w:r>
      <w:r w:rsidRPr="007D1918">
        <w:rPr>
          <w:vertAlign w:val="superscript"/>
        </w:rPr>
        <w:t xml:space="preserve">2 </w:t>
      </w:r>
      <w:r w:rsidRPr="007D1918">
        <w:t>analysis)</w:t>
      </w:r>
      <w:r w:rsidR="000F0BC9" w:rsidRPr="007D1918">
        <w:t xml:space="preserve"> (</w:t>
      </w:r>
      <w:r w:rsidR="000F0BC9" w:rsidRPr="007D1918">
        <w:fldChar w:fldCharType="begin"/>
      </w:r>
      <w:r w:rsidR="000F0BC9" w:rsidRPr="007D1918">
        <w:instrText xml:space="preserve"> REF _Ref10125663 \h </w:instrText>
      </w:r>
      <w:r w:rsidR="00E07567" w:rsidRPr="007D1918">
        <w:instrText xml:space="preserve"> \* MERGEFORMAT </w:instrText>
      </w:r>
      <w:r w:rsidR="000F0BC9" w:rsidRPr="007D1918">
        <w:fldChar w:fldCharType="separate"/>
      </w:r>
      <w:r w:rsidR="00153384" w:rsidRPr="007D1918">
        <w:t xml:space="preserve">Figure </w:t>
      </w:r>
      <w:r w:rsidR="00153384" w:rsidRPr="007D1918">
        <w:rPr>
          <w:noProof/>
        </w:rPr>
        <w:t>7</w:t>
      </w:r>
      <w:r w:rsidR="000F0BC9" w:rsidRPr="007D1918">
        <w:fldChar w:fldCharType="end"/>
      </w:r>
      <w:r w:rsidR="000F0BC9" w:rsidRPr="007D1918">
        <w:t>)</w:t>
      </w:r>
      <w:r w:rsidRPr="007D1918">
        <w:t xml:space="preserve">. In covariance analysis, the change in QMGS from baseline </w:t>
      </w:r>
      <w:r w:rsidR="002250C7" w:rsidRPr="007D1918">
        <w:t xml:space="preserve">to day 28 and from day 14 to day 28 showed sustained </w:t>
      </w:r>
      <w:r w:rsidR="009E64F0" w:rsidRPr="007D1918">
        <w:t xml:space="preserve">improved </w:t>
      </w:r>
      <w:r w:rsidR="002250C7" w:rsidRPr="007D1918">
        <w:t xml:space="preserve">disease status but no further improvement in the IVIg group. When the lower severity group (QMGS &lt; 10.5 at baseline) were analysed </w:t>
      </w:r>
      <w:r w:rsidR="00A4253D" w:rsidRPr="007D1918">
        <w:t xml:space="preserve">separately </w:t>
      </w:r>
      <w:r w:rsidR="002250C7" w:rsidRPr="007D1918">
        <w:t>patients showed no response to IVIg (p = 0.914). Findings indicate an incremental benefit for patients on IVIg if they are moderate to severe in disease status, at least in the first few weeks of treatment</w:t>
      </w:r>
      <w:r w:rsidR="00F35DE7" w:rsidRPr="007D1918">
        <w:t>. However,</w:t>
      </w:r>
      <w:r w:rsidR="002250C7" w:rsidRPr="007D1918">
        <w:t xml:space="preserve"> there were only 28 patients in this sub-group analysis, and it is not possible to tell what impact </w:t>
      </w:r>
      <w:r w:rsidR="00F35DE7" w:rsidRPr="007D1918">
        <w:t xml:space="preserve">the </w:t>
      </w:r>
      <w:r w:rsidR="002250C7" w:rsidRPr="007D1918">
        <w:t>other standard MG therapies had on improvement.</w:t>
      </w:r>
    </w:p>
    <w:p w14:paraId="7ED17429" w14:textId="3BA35CFC" w:rsidR="00BE2825" w:rsidRPr="007D1918" w:rsidRDefault="002250C7" w:rsidP="005A2FC5">
      <w:pPr>
        <w:pStyle w:val="Caption"/>
        <w:keepNext/>
        <w:keepLines/>
      </w:pPr>
      <w:bookmarkStart w:id="281" w:name="_Ref10714626"/>
      <w:bookmarkStart w:id="282" w:name="_Toc23769526"/>
      <w:r w:rsidRPr="007D1918">
        <w:lastRenderedPageBreak/>
        <w:t xml:space="preserve">Table </w:t>
      </w:r>
      <w:r w:rsidR="00AA7ECC" w:rsidRPr="007D1918">
        <w:rPr>
          <w:noProof/>
        </w:rPr>
        <w:fldChar w:fldCharType="begin"/>
      </w:r>
      <w:r w:rsidR="00AA7ECC" w:rsidRPr="007D1918">
        <w:rPr>
          <w:noProof/>
        </w:rPr>
        <w:instrText xml:space="preserve"> SEQ Table \* ARABIC </w:instrText>
      </w:r>
      <w:r w:rsidR="00AA7ECC" w:rsidRPr="007D1918">
        <w:rPr>
          <w:noProof/>
        </w:rPr>
        <w:fldChar w:fldCharType="separate"/>
      </w:r>
      <w:r w:rsidR="00942701" w:rsidRPr="007D1918">
        <w:rPr>
          <w:noProof/>
        </w:rPr>
        <w:t>39</w:t>
      </w:r>
      <w:r w:rsidR="00AA7ECC" w:rsidRPr="007D1918">
        <w:rPr>
          <w:noProof/>
        </w:rPr>
        <w:fldChar w:fldCharType="end"/>
      </w:r>
      <w:bookmarkEnd w:id="281"/>
      <w:r w:rsidRPr="007D1918">
        <w:tab/>
        <w:t>Change in symptoms (QMGS score) for IVIg compared to placebo</w:t>
      </w:r>
      <w:r w:rsidR="002714D3" w:rsidRPr="007D1918">
        <w:t xml:space="preserve"> </w:t>
      </w:r>
      <w:r w:rsidR="008131CF" w:rsidRPr="007D1918">
        <w:fldChar w:fldCharType="begin"/>
      </w:r>
      <w:r w:rsidR="008131CF" w:rsidRPr="007D1918">
        <w:instrText xml:space="preserve"> ADDIN EN.CITE &lt;EndNote&gt;&lt;Cite&gt;&lt;Author&gt;Zinman&lt;/Author&gt;&lt;Year&gt;2007&lt;/Year&gt;&lt;RecNum&gt;44&lt;/RecNum&gt;&lt;DisplayText&gt;(Zinman, Ng &amp;amp; Bril 2007)&lt;/DisplayText&gt;&lt;record&gt;&lt;rec-number&gt;44&lt;/rec-number&gt;&lt;foreign-keys&gt;&lt;key app="EN" db-id="2aevrx2slsts5ve9sdavatf125dsx0av2v9d" timestamp="1562810907"&gt;44&lt;/key&gt;&lt;/foreign-keys&gt;&lt;ref-type name="Journal Article"&gt;17&lt;/ref-type&gt;&lt;contributors&gt;&lt;authors&gt;&lt;author&gt;Zinman, L.&lt;/author&gt;&lt;author&gt;Ng, E.&lt;/author&gt;&lt;author&gt;Bril, V.&lt;/author&gt;&lt;/authors&gt;&lt;/contributors&gt;&lt;titles&gt;&lt;title&gt;IV immunoglobulin in patients with myasthenia gravis: a randomized controlled trial&lt;/title&gt;&lt;secondary-title&gt;Neurology&lt;/secondary-title&gt;&lt;/titles&gt;&lt;periodical&gt;&lt;full-title&gt;Neurology&lt;/full-title&gt;&lt;/periodical&gt;&lt;pages&gt;837</w:instrText>
      </w:r>
      <w:r w:rsidR="008131CF" w:rsidRPr="007D1918">
        <w:rPr>
          <w:rFonts w:ascii="Cambria Math" w:hAnsi="Cambria Math" w:cs="Cambria Math"/>
        </w:rPr>
        <w:instrText>‐</w:instrText>
      </w:r>
      <w:r w:rsidR="008131CF" w:rsidRPr="007D1918">
        <w:instrText>841&lt;/pages&gt;&lt;volume&gt;68&lt;/volume&gt;&lt;number&gt;11&lt;/number&gt;&lt;keywords&gt;&lt;keyword&gt;Adult&lt;/keyword&gt;&lt;keyword&gt;Aged&lt;/keyword&gt;&lt;keyword&gt;Aged, 80 and over&lt;/keyword&gt;&lt;keyword&gt;Double</w:instrText>
      </w:r>
      <w:r w:rsidR="008131CF" w:rsidRPr="007D1918">
        <w:rPr>
          <w:rFonts w:ascii="Cambria Math" w:hAnsi="Cambria Math" w:cs="Cambria Math"/>
        </w:rPr>
        <w:instrText>‐</w:instrText>
      </w:r>
      <w:r w:rsidR="008131CF" w:rsidRPr="007D1918">
        <w:instrText>Blind Method&lt;/keyword&gt;&lt;keyword&gt;Female&lt;/keyword&gt;&lt;keyword&gt;Humans&lt;/keyword&gt;&lt;keyword&gt;Immunoglobulins, Intravenous [*therapeutic use]&lt;/keyword&gt;&lt;keyword&gt;Male&lt;/keyword&gt;&lt;keyword&gt;Middle Aged&lt;/keyword&gt;&lt;keyword&gt;Myasthenia Gravis [epidemiology, *therapy]&lt;/keyword&gt;&lt;/keywords&gt;&lt;dates&gt;&lt;year&gt;2007&lt;/year&gt;&lt;/dates&gt;&lt;accession-num&gt;CN-00579165&lt;/accession-num&gt;&lt;work-type&gt;Comparative Study; Journal Article; Randomized Controlled Trial; Research Support, Non</w:instrText>
      </w:r>
      <w:r w:rsidR="008131CF" w:rsidRPr="007D1918">
        <w:rPr>
          <w:rFonts w:ascii="Cambria Math" w:hAnsi="Cambria Math" w:cs="Cambria Math"/>
        </w:rPr>
        <w:instrText>‐</w:instrText>
      </w:r>
      <w:r w:rsidR="008131CF" w:rsidRPr="007D1918">
        <w:instrText>U.S. Gov&amp;apos;t; Validation Studies&lt;/work-type&gt;&lt;urls&gt;&lt;related-urls&gt;&lt;url&gt;https://www.cochranelibrary.com/central/doi/10.1002/central/CN-00579165/full&lt;/url&gt;&lt;url&gt;https://n.neurology.org/content/68/11/837.long&lt;/url&gt;&lt;/related-urls&gt;&lt;/urls&gt;&lt;custom3&gt;PUBMED 17353471&lt;/custom3&gt;&lt;electronic-resource-num&gt;10.1212/01.wnl.0000256698.69121.45&lt;/electronic-resource-num&gt;&lt;research-notes&gt;See Zinman &amp;amp; Bril 2008&lt;/research-notes&gt;&lt;/record&gt;&lt;/Cite&gt;&lt;/EndNote&gt;</w:instrText>
      </w:r>
      <w:r w:rsidR="008131CF" w:rsidRPr="007D1918">
        <w:fldChar w:fldCharType="separate"/>
      </w:r>
      <w:r w:rsidR="008131CF" w:rsidRPr="007D1918">
        <w:rPr>
          <w:noProof/>
        </w:rPr>
        <w:t>(</w:t>
      </w:r>
      <w:hyperlink w:anchor="_ENREF_109" w:tooltip="Zinman, 2007 #44" w:history="1">
        <w:r w:rsidR="007D4948" w:rsidRPr="007D1918">
          <w:rPr>
            <w:noProof/>
          </w:rPr>
          <w:t>Zinman, Ng &amp; Bril 2007</w:t>
        </w:r>
      </w:hyperlink>
      <w:r w:rsidR="008131CF" w:rsidRPr="007D1918">
        <w:rPr>
          <w:noProof/>
        </w:rPr>
        <w:t>)</w:t>
      </w:r>
      <w:bookmarkEnd w:id="282"/>
      <w:r w:rsidR="008131CF" w:rsidRPr="007D1918">
        <w:fldChar w:fldCharType="end"/>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7 Change in symptoms (QMGS score) for IVIg compared to placebo {Zinman, 2008 #85}"/>
        <w:tblDescription w:val="Change in symptoms measured by QMGS up to 28 days compared between patients receiving IVIg or placebo maintenance therapy (both groups were on other standard therapies) (Indication 3)."/>
      </w:tblPr>
      <w:tblGrid>
        <w:gridCol w:w="2802"/>
        <w:gridCol w:w="1843"/>
        <w:gridCol w:w="1843"/>
        <w:gridCol w:w="2528"/>
      </w:tblGrid>
      <w:tr w:rsidR="0079668A" w:rsidRPr="007D1918" w14:paraId="1AEC302C" w14:textId="77777777" w:rsidTr="0075212A">
        <w:tc>
          <w:tcPr>
            <w:tcW w:w="1554" w:type="pct"/>
          </w:tcPr>
          <w:p w14:paraId="4FB82D2A" w14:textId="5B008E99" w:rsidR="0079668A" w:rsidRPr="007D1918" w:rsidRDefault="0079668A" w:rsidP="005A2FC5">
            <w:pPr>
              <w:pStyle w:val="TableHeading"/>
              <w:keepLines/>
              <w:ind w:left="16" w:right="117"/>
              <w:rPr>
                <w:snapToGrid w:val="0"/>
                <w:lang w:eastAsia="en-US"/>
              </w:rPr>
            </w:pPr>
            <w:r w:rsidRPr="007D1918">
              <w:rPr>
                <w:snapToGrid w:val="0"/>
                <w:lang w:eastAsia="en-US"/>
              </w:rPr>
              <w:t>Measure</w:t>
            </w:r>
          </w:p>
        </w:tc>
        <w:tc>
          <w:tcPr>
            <w:tcW w:w="1022" w:type="pct"/>
            <w:shd w:val="clear" w:color="auto" w:fill="auto"/>
          </w:tcPr>
          <w:p w14:paraId="67A9910D" w14:textId="77777777" w:rsidR="0079668A" w:rsidRPr="007D1918" w:rsidRDefault="0079668A" w:rsidP="005A2FC5">
            <w:pPr>
              <w:pStyle w:val="TableHeading"/>
              <w:keepLines/>
              <w:ind w:left="111" w:right="117"/>
              <w:rPr>
                <w:snapToGrid w:val="0"/>
                <w:lang w:eastAsia="en-US"/>
              </w:rPr>
            </w:pPr>
            <w:r w:rsidRPr="007D1918">
              <w:rPr>
                <w:snapToGrid w:val="0"/>
                <w:lang w:eastAsia="en-US"/>
              </w:rPr>
              <w:t>IVIg</w:t>
            </w:r>
          </w:p>
          <w:p w14:paraId="6F2E9608" w14:textId="66BC1881" w:rsidR="0079668A" w:rsidRPr="007D1918" w:rsidRDefault="00EE0D0B" w:rsidP="005A2FC5">
            <w:pPr>
              <w:pStyle w:val="TableHeading"/>
              <w:keepLines/>
              <w:ind w:left="111" w:right="117"/>
              <w:rPr>
                <w:snapToGrid w:val="0"/>
                <w:lang w:eastAsia="en-US"/>
              </w:rPr>
            </w:pPr>
            <w:r w:rsidRPr="007D1918">
              <w:rPr>
                <w:snapToGrid w:val="0"/>
                <w:lang w:eastAsia="en-US"/>
              </w:rPr>
              <w:t>(n = 24)</w:t>
            </w:r>
          </w:p>
        </w:tc>
        <w:tc>
          <w:tcPr>
            <w:tcW w:w="1022" w:type="pct"/>
            <w:shd w:val="clear" w:color="auto" w:fill="auto"/>
          </w:tcPr>
          <w:p w14:paraId="693EA9D7" w14:textId="2BEF33D3" w:rsidR="0079668A" w:rsidRPr="007D1918" w:rsidRDefault="00EE0D0B" w:rsidP="005A2FC5">
            <w:pPr>
              <w:pStyle w:val="TableHeading"/>
              <w:keepLines/>
              <w:ind w:left="77" w:right="117"/>
              <w:rPr>
                <w:snapToGrid w:val="0"/>
                <w:lang w:eastAsia="en-US"/>
              </w:rPr>
            </w:pPr>
            <w:r w:rsidRPr="007D1918">
              <w:rPr>
                <w:snapToGrid w:val="0"/>
                <w:lang w:eastAsia="en-US"/>
              </w:rPr>
              <w:t xml:space="preserve">Placebo </w:t>
            </w:r>
          </w:p>
          <w:p w14:paraId="24067D8A" w14:textId="1DAAB774" w:rsidR="0079668A" w:rsidRPr="007D1918" w:rsidRDefault="00EE0D0B" w:rsidP="005A2FC5">
            <w:pPr>
              <w:pStyle w:val="TableHeading"/>
              <w:keepLines/>
              <w:ind w:left="77" w:right="117"/>
              <w:rPr>
                <w:snapToGrid w:val="0"/>
                <w:lang w:eastAsia="en-US"/>
              </w:rPr>
            </w:pPr>
            <w:r w:rsidRPr="007D1918">
              <w:rPr>
                <w:snapToGrid w:val="0"/>
                <w:lang w:eastAsia="en-US"/>
              </w:rPr>
              <w:t>(n = 27)</w:t>
            </w:r>
          </w:p>
        </w:tc>
        <w:tc>
          <w:tcPr>
            <w:tcW w:w="1402" w:type="pct"/>
            <w:shd w:val="clear" w:color="auto" w:fill="auto"/>
          </w:tcPr>
          <w:p w14:paraId="280AE835" w14:textId="4D0E52F4" w:rsidR="0079668A" w:rsidRPr="007D1918" w:rsidRDefault="00E96EAC" w:rsidP="005A2FC5">
            <w:pPr>
              <w:pStyle w:val="TableHeading"/>
              <w:keepLines/>
              <w:ind w:right="117"/>
              <w:rPr>
                <w:snapToGrid w:val="0"/>
                <w:lang w:eastAsia="en-US"/>
              </w:rPr>
            </w:pPr>
            <w:r w:rsidRPr="007D1918">
              <w:rPr>
                <w:snapToGrid w:val="0"/>
                <w:lang w:eastAsia="en-US"/>
              </w:rPr>
              <w:t>D</w:t>
            </w:r>
            <w:r w:rsidR="0079668A" w:rsidRPr="007D1918">
              <w:rPr>
                <w:snapToGrid w:val="0"/>
                <w:lang w:eastAsia="en-US"/>
              </w:rPr>
              <w:t>ifference</w:t>
            </w:r>
          </w:p>
          <w:p w14:paraId="457B0143" w14:textId="77777777" w:rsidR="0079668A" w:rsidRPr="007D1918" w:rsidRDefault="0079668A" w:rsidP="005A2FC5">
            <w:pPr>
              <w:pStyle w:val="TableHeading"/>
              <w:keepLines/>
              <w:ind w:right="117"/>
              <w:rPr>
                <w:snapToGrid w:val="0"/>
                <w:vertAlign w:val="superscript"/>
                <w:lang w:eastAsia="en-US"/>
              </w:rPr>
            </w:pPr>
            <w:r w:rsidRPr="007D1918">
              <w:rPr>
                <w:snapToGrid w:val="0"/>
                <w:lang w:eastAsia="en-US"/>
              </w:rPr>
              <w:t>p-value</w:t>
            </w:r>
            <w:r w:rsidRPr="007D1918">
              <w:rPr>
                <w:snapToGrid w:val="0"/>
                <w:vertAlign w:val="superscript"/>
                <w:lang w:eastAsia="en-US"/>
              </w:rPr>
              <w:t>a</w:t>
            </w:r>
          </w:p>
        </w:tc>
      </w:tr>
      <w:tr w:rsidR="0079668A" w:rsidRPr="007D1918" w14:paraId="4F6F108E" w14:textId="77777777" w:rsidTr="0075212A">
        <w:tc>
          <w:tcPr>
            <w:tcW w:w="1554" w:type="pct"/>
          </w:tcPr>
          <w:p w14:paraId="6F15949B" w14:textId="2404A389" w:rsidR="0079668A" w:rsidRPr="007D1918" w:rsidRDefault="0079668A" w:rsidP="005A2FC5">
            <w:pPr>
              <w:pStyle w:val="TableText0"/>
              <w:keepLines/>
              <w:ind w:right="119"/>
              <w:rPr>
                <w:snapToGrid w:val="0"/>
              </w:rPr>
            </w:pPr>
            <w:r w:rsidRPr="007D1918">
              <w:rPr>
                <w:snapToGrid w:val="0"/>
              </w:rPr>
              <w:t>Baseline QMGS (mean ± SD)</w:t>
            </w:r>
          </w:p>
        </w:tc>
        <w:tc>
          <w:tcPr>
            <w:tcW w:w="1022" w:type="pct"/>
            <w:shd w:val="clear" w:color="auto" w:fill="auto"/>
          </w:tcPr>
          <w:p w14:paraId="1255DDE6" w14:textId="66E85263" w:rsidR="0079668A" w:rsidRPr="007D1918" w:rsidRDefault="0079668A" w:rsidP="005A2FC5">
            <w:pPr>
              <w:pStyle w:val="TableText0"/>
              <w:keepLines/>
              <w:ind w:left="111" w:right="117"/>
              <w:rPr>
                <w:snapToGrid w:val="0"/>
              </w:rPr>
            </w:pPr>
            <w:r w:rsidRPr="007D1918">
              <w:rPr>
                <w:snapToGrid w:val="0"/>
              </w:rPr>
              <w:t>12.3 ± 4.9</w:t>
            </w:r>
          </w:p>
        </w:tc>
        <w:tc>
          <w:tcPr>
            <w:tcW w:w="1022" w:type="pct"/>
            <w:shd w:val="clear" w:color="auto" w:fill="auto"/>
          </w:tcPr>
          <w:p w14:paraId="72BF1452" w14:textId="0C61A11B" w:rsidR="0079668A" w:rsidRPr="007D1918" w:rsidRDefault="0079668A" w:rsidP="005A2FC5">
            <w:pPr>
              <w:pStyle w:val="TableText0"/>
              <w:keepLines/>
              <w:ind w:left="77" w:right="117"/>
              <w:rPr>
                <w:snapToGrid w:val="0"/>
              </w:rPr>
            </w:pPr>
            <w:r w:rsidRPr="007D1918">
              <w:rPr>
                <w:snapToGrid w:val="0"/>
              </w:rPr>
              <w:t xml:space="preserve">12.5 ± 5.5 </w:t>
            </w:r>
          </w:p>
        </w:tc>
        <w:tc>
          <w:tcPr>
            <w:tcW w:w="1402" w:type="pct"/>
            <w:shd w:val="clear" w:color="auto" w:fill="auto"/>
          </w:tcPr>
          <w:p w14:paraId="45FB2960" w14:textId="0FE7C4E8" w:rsidR="0079668A" w:rsidRPr="007D1918" w:rsidRDefault="0079668A" w:rsidP="005A2FC5">
            <w:pPr>
              <w:pStyle w:val="TableText0"/>
              <w:keepLines/>
              <w:ind w:right="117"/>
              <w:rPr>
                <w:snapToGrid w:val="0"/>
              </w:rPr>
            </w:pPr>
            <w:r w:rsidRPr="007D1918">
              <w:rPr>
                <w:snapToGrid w:val="0"/>
              </w:rPr>
              <w:t>p = 0.897</w:t>
            </w:r>
          </w:p>
        </w:tc>
      </w:tr>
      <w:tr w:rsidR="0079668A" w:rsidRPr="007D1918" w14:paraId="55E8801B" w14:textId="77777777" w:rsidTr="0075212A">
        <w:tc>
          <w:tcPr>
            <w:tcW w:w="1554" w:type="pct"/>
          </w:tcPr>
          <w:p w14:paraId="55866798" w14:textId="118BD7AC" w:rsidR="0079668A" w:rsidRPr="007D1918" w:rsidRDefault="00EE0D0B" w:rsidP="0075212A">
            <w:pPr>
              <w:pStyle w:val="TableText0"/>
              <w:ind w:left="16" w:right="117"/>
              <w:rPr>
                <w:snapToGrid w:val="0"/>
              </w:rPr>
            </w:pPr>
            <w:r w:rsidRPr="007D1918">
              <w:rPr>
                <w:snapToGrid w:val="0"/>
              </w:rPr>
              <w:t xml:space="preserve">Change in QMGS </w:t>
            </w:r>
          </w:p>
          <w:p w14:paraId="20411DBE" w14:textId="50465BD3" w:rsidR="0079668A" w:rsidRPr="007D1918" w:rsidRDefault="0079668A" w:rsidP="0075212A">
            <w:pPr>
              <w:pStyle w:val="TableText0"/>
              <w:ind w:left="113" w:right="119"/>
              <w:rPr>
                <w:snapToGrid w:val="0"/>
              </w:rPr>
            </w:pPr>
            <w:r w:rsidRPr="007D1918">
              <w:rPr>
                <w:snapToGrid w:val="0"/>
              </w:rPr>
              <w:t xml:space="preserve">Day </w:t>
            </w:r>
            <w:r w:rsidR="00EE0D0B" w:rsidRPr="007D1918">
              <w:rPr>
                <w:snapToGrid w:val="0"/>
              </w:rPr>
              <w:t>0-</w:t>
            </w:r>
            <w:r w:rsidRPr="007D1918">
              <w:rPr>
                <w:snapToGrid w:val="0"/>
              </w:rPr>
              <w:t>14</w:t>
            </w:r>
          </w:p>
          <w:p w14:paraId="7D1ECE99" w14:textId="5B513C5A" w:rsidR="0079668A" w:rsidRPr="007D1918" w:rsidRDefault="0079668A" w:rsidP="0075212A">
            <w:pPr>
              <w:pStyle w:val="TableText0"/>
              <w:ind w:left="113" w:right="119"/>
              <w:rPr>
                <w:snapToGrid w:val="0"/>
              </w:rPr>
            </w:pPr>
            <w:r w:rsidRPr="007D1918">
              <w:rPr>
                <w:snapToGrid w:val="0"/>
              </w:rPr>
              <w:t xml:space="preserve">Day </w:t>
            </w:r>
            <w:r w:rsidR="00EE0D0B" w:rsidRPr="007D1918">
              <w:rPr>
                <w:snapToGrid w:val="0"/>
              </w:rPr>
              <w:t>0-28</w:t>
            </w:r>
          </w:p>
          <w:p w14:paraId="21E8B5DA" w14:textId="388CEDCE" w:rsidR="0079668A" w:rsidRPr="007D1918" w:rsidRDefault="0079668A" w:rsidP="0075212A">
            <w:pPr>
              <w:pStyle w:val="TableText0"/>
              <w:ind w:left="113" w:right="119"/>
              <w:rPr>
                <w:snapToGrid w:val="0"/>
              </w:rPr>
            </w:pPr>
            <w:r w:rsidRPr="007D1918">
              <w:rPr>
                <w:snapToGrid w:val="0"/>
              </w:rPr>
              <w:t xml:space="preserve">Day </w:t>
            </w:r>
            <w:r w:rsidR="00EE0D0B" w:rsidRPr="007D1918">
              <w:rPr>
                <w:snapToGrid w:val="0"/>
              </w:rPr>
              <w:t>14-</w:t>
            </w:r>
            <w:r w:rsidRPr="007D1918">
              <w:rPr>
                <w:snapToGrid w:val="0"/>
              </w:rPr>
              <w:t>28</w:t>
            </w:r>
          </w:p>
        </w:tc>
        <w:tc>
          <w:tcPr>
            <w:tcW w:w="1022" w:type="pct"/>
            <w:shd w:val="clear" w:color="auto" w:fill="auto"/>
          </w:tcPr>
          <w:p w14:paraId="77951FD1" w14:textId="77777777" w:rsidR="0079668A" w:rsidRPr="007D1918" w:rsidRDefault="0079668A" w:rsidP="0075212A">
            <w:pPr>
              <w:pStyle w:val="TableText0"/>
              <w:ind w:left="111" w:right="117"/>
              <w:rPr>
                <w:snapToGrid w:val="0"/>
              </w:rPr>
            </w:pPr>
          </w:p>
          <w:p w14:paraId="2EF29AE6" w14:textId="5A5306AE" w:rsidR="0079668A" w:rsidRPr="007D1918" w:rsidRDefault="00EE0D0B" w:rsidP="0075212A">
            <w:pPr>
              <w:pStyle w:val="TableText0"/>
              <w:ind w:left="111" w:right="117"/>
              <w:rPr>
                <w:snapToGrid w:val="0"/>
              </w:rPr>
            </w:pPr>
            <w:r w:rsidRPr="007D1918">
              <w:rPr>
                <w:snapToGrid w:val="0"/>
              </w:rPr>
              <w:t>-2.54</w:t>
            </w:r>
          </w:p>
          <w:p w14:paraId="5E31DA5D" w14:textId="5E8AE59F" w:rsidR="0079668A" w:rsidRPr="007D1918" w:rsidRDefault="00EE0D0B" w:rsidP="0075212A">
            <w:pPr>
              <w:pStyle w:val="TableText0"/>
              <w:ind w:left="111" w:right="117"/>
              <w:rPr>
                <w:snapToGrid w:val="0"/>
              </w:rPr>
            </w:pPr>
            <w:r w:rsidRPr="007D1918">
              <w:rPr>
                <w:snapToGrid w:val="0"/>
              </w:rPr>
              <w:t>-3.00</w:t>
            </w:r>
          </w:p>
          <w:p w14:paraId="39930CDC" w14:textId="7A9432B8" w:rsidR="0079668A" w:rsidRPr="007D1918" w:rsidRDefault="00EE0D0B" w:rsidP="0075212A">
            <w:pPr>
              <w:pStyle w:val="TableText0"/>
              <w:ind w:left="111" w:right="117"/>
              <w:rPr>
                <w:snapToGrid w:val="0"/>
              </w:rPr>
            </w:pPr>
            <w:r w:rsidRPr="007D1918">
              <w:rPr>
                <w:snapToGrid w:val="0"/>
              </w:rPr>
              <w:t>-0.46</w:t>
            </w:r>
          </w:p>
        </w:tc>
        <w:tc>
          <w:tcPr>
            <w:tcW w:w="1022" w:type="pct"/>
            <w:shd w:val="clear" w:color="auto" w:fill="auto"/>
          </w:tcPr>
          <w:p w14:paraId="59611D0D" w14:textId="77777777" w:rsidR="0079668A" w:rsidRPr="007D1918" w:rsidRDefault="0079668A" w:rsidP="0075212A">
            <w:pPr>
              <w:pStyle w:val="TableText0"/>
              <w:ind w:left="77" w:right="117"/>
              <w:rPr>
                <w:snapToGrid w:val="0"/>
              </w:rPr>
            </w:pPr>
          </w:p>
          <w:p w14:paraId="7DA46059" w14:textId="65106A0D" w:rsidR="0079668A" w:rsidRPr="007D1918" w:rsidRDefault="00EE0D0B" w:rsidP="0075212A">
            <w:pPr>
              <w:pStyle w:val="TableText0"/>
              <w:ind w:left="77" w:right="117"/>
              <w:rPr>
                <w:snapToGrid w:val="0"/>
              </w:rPr>
            </w:pPr>
            <w:r w:rsidRPr="007D1918">
              <w:rPr>
                <w:snapToGrid w:val="0"/>
              </w:rPr>
              <w:t>-0.89</w:t>
            </w:r>
          </w:p>
          <w:p w14:paraId="2611345D" w14:textId="52EA1140" w:rsidR="0079668A" w:rsidRPr="007D1918" w:rsidRDefault="00EE0D0B" w:rsidP="0075212A">
            <w:pPr>
              <w:pStyle w:val="TableText0"/>
              <w:ind w:left="77" w:right="117"/>
              <w:rPr>
                <w:snapToGrid w:val="0"/>
              </w:rPr>
            </w:pPr>
            <w:r w:rsidRPr="007D1918">
              <w:rPr>
                <w:snapToGrid w:val="0"/>
              </w:rPr>
              <w:t>-1.19</w:t>
            </w:r>
          </w:p>
          <w:p w14:paraId="4DDE445A" w14:textId="20272932" w:rsidR="0079668A" w:rsidRPr="007D1918" w:rsidRDefault="00EE0D0B" w:rsidP="0075212A">
            <w:pPr>
              <w:pStyle w:val="TableText0"/>
              <w:ind w:left="77" w:right="117"/>
              <w:rPr>
                <w:snapToGrid w:val="0"/>
              </w:rPr>
            </w:pPr>
            <w:r w:rsidRPr="007D1918">
              <w:rPr>
                <w:snapToGrid w:val="0"/>
              </w:rPr>
              <w:t>-0.30</w:t>
            </w:r>
          </w:p>
        </w:tc>
        <w:tc>
          <w:tcPr>
            <w:tcW w:w="1402" w:type="pct"/>
            <w:shd w:val="clear" w:color="auto" w:fill="auto"/>
          </w:tcPr>
          <w:p w14:paraId="62F11253" w14:textId="77777777" w:rsidR="0079668A" w:rsidRPr="007D1918" w:rsidRDefault="0079668A" w:rsidP="0075212A">
            <w:pPr>
              <w:pStyle w:val="TableText0"/>
              <w:ind w:right="117"/>
              <w:rPr>
                <w:snapToGrid w:val="0"/>
              </w:rPr>
            </w:pPr>
          </w:p>
          <w:p w14:paraId="5558EDFE" w14:textId="35E814AE" w:rsidR="0079668A" w:rsidRPr="007D1918" w:rsidRDefault="0079668A" w:rsidP="0075212A">
            <w:pPr>
              <w:pStyle w:val="TableText0"/>
              <w:ind w:right="117"/>
              <w:rPr>
                <w:snapToGrid w:val="0"/>
                <w:vertAlign w:val="superscript"/>
              </w:rPr>
            </w:pPr>
            <w:r w:rsidRPr="007D1918">
              <w:rPr>
                <w:snapToGrid w:val="0"/>
              </w:rPr>
              <w:t>p = 0.</w:t>
            </w:r>
            <w:r w:rsidR="00C8488E" w:rsidRPr="007D1918">
              <w:rPr>
                <w:snapToGrid w:val="0"/>
              </w:rPr>
              <w:t>047</w:t>
            </w:r>
            <w:r w:rsidR="00C8488E" w:rsidRPr="007D1918">
              <w:rPr>
                <w:snapToGrid w:val="0"/>
                <w:vertAlign w:val="superscript"/>
              </w:rPr>
              <w:t>a</w:t>
            </w:r>
          </w:p>
          <w:p w14:paraId="07090D5E" w14:textId="0B6DD9FC" w:rsidR="0079668A" w:rsidRPr="007D1918" w:rsidRDefault="00EE0D0B" w:rsidP="0075212A">
            <w:pPr>
              <w:pStyle w:val="TableText0"/>
              <w:ind w:right="117"/>
              <w:rPr>
                <w:snapToGrid w:val="0"/>
              </w:rPr>
            </w:pPr>
            <w:r w:rsidRPr="007D1918">
              <w:rPr>
                <w:snapToGrid w:val="0"/>
              </w:rPr>
              <w:t>p = 0.055</w:t>
            </w:r>
          </w:p>
          <w:p w14:paraId="015285ED" w14:textId="76FF16E5" w:rsidR="0079668A" w:rsidRPr="007D1918" w:rsidRDefault="00EE0D0B" w:rsidP="0075212A">
            <w:pPr>
              <w:pStyle w:val="TableText0"/>
              <w:ind w:right="117"/>
              <w:rPr>
                <w:snapToGrid w:val="0"/>
              </w:rPr>
            </w:pPr>
            <w:r w:rsidRPr="007D1918">
              <w:rPr>
                <w:snapToGrid w:val="0"/>
              </w:rPr>
              <w:t>p = 0.823</w:t>
            </w:r>
          </w:p>
        </w:tc>
      </w:tr>
    </w:tbl>
    <w:p w14:paraId="4EF22D88" w14:textId="6A64AE57" w:rsidR="000B4173" w:rsidRPr="007D1918" w:rsidRDefault="000B4173" w:rsidP="000B4173">
      <w:pPr>
        <w:pStyle w:val="Tablenotes0"/>
        <w:spacing w:after="80"/>
        <w:contextualSpacing w:val="0"/>
      </w:pPr>
      <w:r w:rsidRPr="007D1918">
        <w:t>IVIg = intravenous immunoglobulin therapy; QMGS = quantitative myasthenia gravis score</w:t>
      </w:r>
      <w:r w:rsidR="00615277" w:rsidRPr="007D1918">
        <w:t>; SD = standard deviation</w:t>
      </w:r>
    </w:p>
    <w:p w14:paraId="20886F6B" w14:textId="4E982C14" w:rsidR="0079668A" w:rsidRPr="007D1918" w:rsidRDefault="00EE0D0B" w:rsidP="000B4173">
      <w:pPr>
        <w:pStyle w:val="Tablenotes0"/>
        <w:spacing w:after="80"/>
        <w:contextualSpacing w:val="0"/>
      </w:pPr>
      <w:r w:rsidRPr="007D1918">
        <w:rPr>
          <w:vertAlign w:val="superscript"/>
        </w:rPr>
        <w:t>a</w:t>
      </w:r>
      <w:r w:rsidRPr="007D1918">
        <w:t xml:space="preserve"> Significant by analysis of covariance </w:t>
      </w:r>
    </w:p>
    <w:p w14:paraId="2D27175E" w14:textId="77777777" w:rsidR="0079668A" w:rsidRPr="007D1918" w:rsidRDefault="0079668A" w:rsidP="002F5F18"/>
    <w:p w14:paraId="0777C8EB" w14:textId="1CE07617" w:rsidR="002250C7" w:rsidRPr="007D1918" w:rsidRDefault="002250C7" w:rsidP="00F35DE7">
      <w:pPr>
        <w:keepNext/>
        <w:keepLines/>
      </w:pPr>
      <w:r w:rsidRPr="007D1918">
        <w:rPr>
          <w:noProof/>
        </w:rPr>
        <w:drawing>
          <wp:inline distT="0" distB="0" distL="0" distR="0" wp14:anchorId="6A1F16C9" wp14:editId="1ECE4E47">
            <wp:extent cx="3438525" cy="2459025"/>
            <wp:effectExtent l="0" t="0" r="0" b="0"/>
            <wp:docPr id="12" name="Picture 12" descr="Graphical representation of change in symptoms meassured by QMGS at 0 to 28 days after receiving IVIg or placebo mainenance therapy (Indication 3)." title="Figure 7 Mean change in QMGS score in patients with moderate to severe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64671" cy="2477723"/>
                    </a:xfrm>
                    <a:prstGeom prst="rect">
                      <a:avLst/>
                    </a:prstGeom>
                  </pic:spPr>
                </pic:pic>
              </a:graphicData>
            </a:graphic>
          </wp:inline>
        </w:drawing>
      </w:r>
    </w:p>
    <w:p w14:paraId="714162A3" w14:textId="2DDEFAA9" w:rsidR="002250C7" w:rsidRPr="007D1918" w:rsidRDefault="00C47FF2" w:rsidP="00F35DE7">
      <w:pPr>
        <w:pStyle w:val="Caption"/>
        <w:keepNext/>
        <w:keepLines/>
        <w:ind w:left="1134" w:hanging="1134"/>
      </w:pPr>
      <w:bookmarkStart w:id="283" w:name="_Ref10125663"/>
      <w:bookmarkStart w:id="284" w:name="_Toc23769612"/>
      <w:r w:rsidRPr="007D1918">
        <w:t xml:space="preserve">Figure </w:t>
      </w:r>
      <w:r w:rsidR="00AA7ECC" w:rsidRPr="007D1918">
        <w:rPr>
          <w:noProof/>
        </w:rPr>
        <w:fldChar w:fldCharType="begin"/>
      </w:r>
      <w:r w:rsidR="00AA7ECC" w:rsidRPr="007D1918">
        <w:rPr>
          <w:noProof/>
        </w:rPr>
        <w:instrText xml:space="preserve"> SEQ Figure \* ARABIC </w:instrText>
      </w:r>
      <w:r w:rsidR="00AA7ECC" w:rsidRPr="007D1918">
        <w:rPr>
          <w:noProof/>
        </w:rPr>
        <w:fldChar w:fldCharType="separate"/>
      </w:r>
      <w:r w:rsidR="00153384" w:rsidRPr="007D1918">
        <w:rPr>
          <w:noProof/>
        </w:rPr>
        <w:t>7</w:t>
      </w:r>
      <w:r w:rsidR="00AA7ECC" w:rsidRPr="007D1918">
        <w:rPr>
          <w:noProof/>
        </w:rPr>
        <w:fldChar w:fldCharType="end"/>
      </w:r>
      <w:bookmarkEnd w:id="283"/>
      <w:r w:rsidRPr="007D1918">
        <w:tab/>
        <w:t xml:space="preserve">Mean change in QMGS score in patients with moderate to severe disease </w:t>
      </w:r>
      <w:r w:rsidR="00615277" w:rsidRPr="007D1918">
        <w:br/>
      </w:r>
      <w:r w:rsidRPr="007D1918">
        <w:t>(QMGS &gt; 10.5 at baseline)</w:t>
      </w:r>
      <w:r w:rsidR="002714D3" w:rsidRPr="007D1918">
        <w:t xml:space="preserve"> </w:t>
      </w:r>
      <w:r w:rsidR="008131CF" w:rsidRPr="007D1918">
        <w:fldChar w:fldCharType="begin"/>
      </w:r>
      <w:r w:rsidR="008131CF" w:rsidRPr="007D1918">
        <w:instrText xml:space="preserve"> ADDIN EN.CITE &lt;EndNote&gt;&lt;Cite&gt;&lt;Author&gt;Zinman&lt;/Author&gt;&lt;Year&gt;2007&lt;/Year&gt;&lt;RecNum&gt;44&lt;/RecNum&gt;&lt;DisplayText&gt;(Zinman, Ng &amp;amp; Bril 2007)&lt;/DisplayText&gt;&lt;record&gt;&lt;rec-number&gt;44&lt;/rec-number&gt;&lt;foreign-keys&gt;&lt;key app="EN" db-id="2aevrx2slsts5ve9sdavatf125dsx0av2v9d" timestamp="1562810907"&gt;44&lt;/key&gt;&lt;/foreign-keys&gt;&lt;ref-type name="Journal Article"&gt;17&lt;/ref-type&gt;&lt;contributors&gt;&lt;authors&gt;&lt;author&gt;Zinman, L.&lt;/author&gt;&lt;author&gt;Ng, E.&lt;/author&gt;&lt;author&gt;Bril, V.&lt;/author&gt;&lt;/authors&gt;&lt;/contributors&gt;&lt;titles&gt;&lt;title&gt;IV immunoglobulin in patients with myasthenia gravis: a randomized controlled trial&lt;/title&gt;&lt;secondary-title&gt;Neurology&lt;/secondary-title&gt;&lt;/titles&gt;&lt;periodical&gt;&lt;full-title&gt;Neurology&lt;/full-title&gt;&lt;/periodical&gt;&lt;pages&gt;837</w:instrText>
      </w:r>
      <w:r w:rsidR="008131CF" w:rsidRPr="007D1918">
        <w:rPr>
          <w:rFonts w:ascii="Cambria Math" w:hAnsi="Cambria Math" w:cs="Cambria Math"/>
        </w:rPr>
        <w:instrText>‐</w:instrText>
      </w:r>
      <w:r w:rsidR="008131CF" w:rsidRPr="007D1918">
        <w:instrText>841&lt;/pages&gt;&lt;volume&gt;68&lt;/volume&gt;&lt;number&gt;11&lt;/number&gt;&lt;keywords&gt;&lt;keyword&gt;Adult&lt;/keyword&gt;&lt;keyword&gt;Aged&lt;/keyword&gt;&lt;keyword&gt;Aged, 80 and over&lt;/keyword&gt;&lt;keyword&gt;Double</w:instrText>
      </w:r>
      <w:r w:rsidR="008131CF" w:rsidRPr="007D1918">
        <w:rPr>
          <w:rFonts w:ascii="Cambria Math" w:hAnsi="Cambria Math" w:cs="Cambria Math"/>
        </w:rPr>
        <w:instrText>‐</w:instrText>
      </w:r>
      <w:r w:rsidR="008131CF" w:rsidRPr="007D1918">
        <w:instrText>Blind Method&lt;/keyword&gt;&lt;keyword&gt;Female&lt;/keyword&gt;&lt;keyword&gt;Humans&lt;/keyword&gt;&lt;keyword&gt;Immunoglobulins, Intravenous [*therapeutic use]&lt;/keyword&gt;&lt;keyword&gt;Male&lt;/keyword&gt;&lt;keyword&gt;Middle Aged&lt;/keyword&gt;&lt;keyword&gt;Myasthenia Gravis [epidemiology, *therapy]&lt;/keyword&gt;&lt;/keywords&gt;&lt;dates&gt;&lt;year&gt;2007&lt;/year&gt;&lt;/dates&gt;&lt;accession-num&gt;CN-00579165&lt;/accession-num&gt;&lt;work-type&gt;Comparative Study; Journal Article; Randomized Controlled Trial; Research Support, Non</w:instrText>
      </w:r>
      <w:r w:rsidR="008131CF" w:rsidRPr="007D1918">
        <w:rPr>
          <w:rFonts w:ascii="Cambria Math" w:hAnsi="Cambria Math" w:cs="Cambria Math"/>
        </w:rPr>
        <w:instrText>‐</w:instrText>
      </w:r>
      <w:r w:rsidR="008131CF" w:rsidRPr="007D1918">
        <w:instrText>U.S. Gov&amp;apos;t; Validation Studies&lt;/work-type&gt;&lt;urls&gt;&lt;related-urls&gt;&lt;url&gt;https://www.cochranelibrary.com/central/doi/10.1002/central/CN-00579165/full&lt;/url&gt;&lt;url&gt;https://n.neurology.org/content/68/11/837.long&lt;/url&gt;&lt;/related-urls&gt;&lt;/urls&gt;&lt;custom3&gt;PUBMED 17353471&lt;/custom3&gt;&lt;electronic-resource-num&gt;10.1212/01.wnl.0000256698.69121.45&lt;/electronic-resource-num&gt;&lt;research-notes&gt;See Zinman &amp;amp; Bril 2008&lt;/research-notes&gt;&lt;/record&gt;&lt;/Cite&gt;&lt;/EndNote&gt;</w:instrText>
      </w:r>
      <w:r w:rsidR="008131CF" w:rsidRPr="007D1918">
        <w:fldChar w:fldCharType="separate"/>
      </w:r>
      <w:r w:rsidR="008131CF" w:rsidRPr="007D1918">
        <w:rPr>
          <w:noProof/>
        </w:rPr>
        <w:t>(</w:t>
      </w:r>
      <w:hyperlink w:anchor="_ENREF_109" w:tooltip="Zinman, 2007 #44" w:history="1">
        <w:r w:rsidR="007D4948" w:rsidRPr="007D1918">
          <w:rPr>
            <w:noProof/>
          </w:rPr>
          <w:t>Zinman, Ng &amp; Bril 2007</w:t>
        </w:r>
      </w:hyperlink>
      <w:r w:rsidR="008131CF" w:rsidRPr="007D1918">
        <w:rPr>
          <w:noProof/>
        </w:rPr>
        <w:t>)</w:t>
      </w:r>
      <w:bookmarkEnd w:id="284"/>
      <w:r w:rsidR="008131CF" w:rsidRPr="007D1918">
        <w:fldChar w:fldCharType="end"/>
      </w:r>
    </w:p>
    <w:p w14:paraId="6E8BE5EA" w14:textId="0800254B" w:rsidR="00847ECA" w:rsidRPr="007D1918" w:rsidRDefault="00847ECA" w:rsidP="005A2FC5">
      <w:pPr>
        <w:pStyle w:val="Tablenotes0"/>
        <w:keepNext/>
        <w:keepLines/>
        <w:widowControl/>
        <w:spacing w:after="0"/>
      </w:pPr>
      <w:r w:rsidRPr="007D1918">
        <w:t>IVIg = intravenous immunoglobulin therapy; QMGS = quantitative myasthenia gravis score</w:t>
      </w:r>
    </w:p>
    <w:p w14:paraId="1517C0C2" w14:textId="77777777" w:rsidR="002250C7" w:rsidRPr="007D1918" w:rsidRDefault="002250C7" w:rsidP="005A2FC5">
      <w:pPr>
        <w:pStyle w:val="Tabletext1"/>
      </w:pPr>
    </w:p>
    <w:p w14:paraId="081868C7" w14:textId="737552B2" w:rsidR="00467FA2" w:rsidRPr="007D1918" w:rsidRDefault="00467FA2" w:rsidP="005A2FC5">
      <w:pPr>
        <w:pStyle w:val="Heading4"/>
      </w:pPr>
      <w:r w:rsidRPr="007D1918">
        <w:t>Change in Quality of Life</w:t>
      </w:r>
      <w:r w:rsidR="006A3F0F" w:rsidRPr="007D1918">
        <w:t xml:space="preserve"> (MG-QoL-60 and MG QoL-15)</w:t>
      </w:r>
      <w:r w:rsidR="00D95E2D" w:rsidRPr="007D1918">
        <w:t xml:space="preserve"> in adults receiving IVIg or PE</w:t>
      </w:r>
    </w:p>
    <w:p w14:paraId="2B78447B" w14:textId="438D6C46" w:rsidR="00467FA2" w:rsidRPr="007D1918" w:rsidRDefault="00810812" w:rsidP="003F04C7">
      <w:pPr>
        <w:jc w:val="both"/>
      </w:pPr>
      <w:r w:rsidRPr="007D1918">
        <w:t xml:space="preserve">Quality of life (QoL) was measured in the RCT by </w:t>
      </w:r>
      <w:r w:rsidR="003E3B37" w:rsidRPr="007D1918">
        <w:t>Barth et al (MG-Q</w:t>
      </w:r>
      <w:r w:rsidR="006A3F0F" w:rsidRPr="007D1918">
        <w:t>o</w:t>
      </w:r>
      <w:r w:rsidR="003E3B37" w:rsidRPr="007D1918">
        <w:t>L-60)</w:t>
      </w:r>
      <w:r w:rsidR="00F070CD" w:rsidRPr="007D1918">
        <w:t xml:space="preserve">, </w:t>
      </w:r>
      <w:r w:rsidRPr="007D1918">
        <w:t xml:space="preserve">and reported in </w:t>
      </w:r>
      <w:r w:rsidR="00F070CD" w:rsidRPr="007D1918">
        <w:t xml:space="preserve">Barnett </w:t>
      </w:r>
      <w:r w:rsidRPr="007D1918">
        <w:t xml:space="preserve">et al </w:t>
      </w:r>
      <w:r w:rsidR="00F070CD" w:rsidRPr="007D1918">
        <w:t>2013</w:t>
      </w:r>
      <w:r w:rsidR="003F04C7" w:rsidRPr="007D1918">
        <w:t xml:space="preserve"> </w:t>
      </w:r>
      <w:r w:rsidR="0075212A" w:rsidRPr="007D1918">
        <w:fldChar w:fldCharType="begin"/>
      </w:r>
      <w:r w:rsidR="007D4948" w:rsidRPr="007D1918">
        <w:instrText xml:space="preserve"> ADDIN EN.CITE &lt;EndNote&gt;&lt;Cite&gt;&lt;Author&gt;Barnett&lt;/Author&gt;&lt;Year&gt;2013&lt;/Year&gt;&lt;RecNum&gt;18&lt;/RecNum&gt;&lt;DisplayText&gt;(Barnett et al. 2013)&lt;/DisplayText&gt;&lt;record&gt;&lt;rec-number&gt;18&lt;/rec-number&gt;&lt;foreign-keys&gt;&lt;key app="EN" db-id="2aevrx2slsts5ve9sdavatf125dsx0av2v9d" timestamp="1558070750"&gt;18&lt;/key&gt;&lt;/foreign-keys&gt;&lt;ref-type name="Journal Article"&gt;17&lt;/ref-type&gt;&lt;contributors&gt;&lt;authors&gt;&lt;author&gt;Barnett, C.&lt;/author&gt;&lt;author&gt;Wilson, G.&lt;/author&gt;&lt;author&gt;Barth, D.&lt;/author&gt;&lt;author&gt;Katzberg, H. D.&lt;/author&gt;&lt;author&gt;Bril, V.&lt;/author&gt;&lt;/authors&gt;&lt;/contributors&gt;&lt;titles&gt;&lt;title&gt;Changes in quality of life scores with intravenous immunoglobulin or plasmapheresis in patients with myasthenia gravis&lt;/title&gt;&lt;secondary-title&gt;Journal of neurology, neurosurgery, and psychiatry&lt;/secondary-title&gt;&lt;/titles&gt;&lt;periodical&gt;&lt;full-title&gt;Journal of neurology, neurosurgery, and psychiatry&lt;/full-title&gt;&lt;/periodical&gt;&lt;pages&gt;94‐97&lt;/pages&gt;&lt;volume&gt;84&lt;/volume&gt;&lt;number&gt;1&lt;/number&gt;&lt;keywords&gt;&lt;keyword&gt;Female&lt;/keyword&gt;&lt;keyword&gt;Humans&lt;/keyword&gt;&lt;keyword&gt;Immunoglobulins, Intravenous [*therapeutic use]&lt;/keyword&gt;&lt;keyword&gt;Immunologic Factors [therapeutic use]&lt;/keyword&gt;&lt;keyword&gt;Male&lt;/keyword&gt;&lt;keyword&gt;Middle Aged&lt;/keyword&gt;&lt;keyword&gt;Myasthenia Gravis [*drug therapy, psychology, *therapy]&lt;/keyword&gt;&lt;keyword&gt;Plasmapheresis [methods, *psychology]&lt;/keyword&gt;&lt;keyword&gt;Quality of Life [*psychology]&lt;/keyword&gt;&lt;keyword&gt;Single‐Blind Method&lt;/keyword&gt;&lt;keyword&gt;Surveys and Questionnaires&lt;/keyword&gt;&lt;/keywords&gt;&lt;dates&gt;&lt;year&gt;2013&lt;/year&gt;&lt;/dates&gt;&lt;accession-num&gt;CN-00841730&lt;/accession-num&gt;&lt;work-type&gt;Journal Article; Randomized Controlled Trial&lt;/work-type&gt;&lt;urls&gt;&lt;related-urls&gt;&lt;url&gt;https://www.cochranelibrary.com/central/doi/10.1002/central/CN-00841730/full&lt;/url&gt;&lt;url&gt;https://jnnp.bmj.com/content/jnnp/84/1/94.full.pdf&lt;/url&gt;&lt;/related-urls&gt;&lt;/urls&gt;&lt;custom3&gt;PUBMED 23154126&lt;/custom3&gt;&lt;electronic-resource-num&gt;10.1136/jnnp-2011-301449&lt;/electronic-resource-num&gt;&lt;/record&gt;&lt;/Cite&gt;&lt;/EndNote&gt;</w:instrText>
      </w:r>
      <w:r w:rsidR="0075212A" w:rsidRPr="007D1918">
        <w:fldChar w:fldCharType="separate"/>
      </w:r>
      <w:r w:rsidR="007D4948" w:rsidRPr="007D1918">
        <w:rPr>
          <w:noProof/>
        </w:rPr>
        <w:t>(</w:t>
      </w:r>
      <w:hyperlink w:anchor="_ENREF_7" w:tooltip="Barnett, 2013 #18" w:history="1">
        <w:r w:rsidR="007D4948" w:rsidRPr="007D1918">
          <w:rPr>
            <w:noProof/>
          </w:rPr>
          <w:t>Barnett et al. 2013</w:t>
        </w:r>
      </w:hyperlink>
      <w:r w:rsidR="007D4948" w:rsidRPr="007D1918">
        <w:rPr>
          <w:noProof/>
        </w:rPr>
        <w:t>)</w:t>
      </w:r>
      <w:r w:rsidR="0075212A" w:rsidRPr="007D1918">
        <w:fldChar w:fldCharType="end"/>
      </w:r>
      <w:r w:rsidR="00872DD1" w:rsidRPr="007D1918">
        <w:t xml:space="preserve">. Both the MG-QoL-60 </w:t>
      </w:r>
      <w:r w:rsidRPr="007D1918">
        <w:t xml:space="preserve">and MG-QoL-15 tools were </w:t>
      </w:r>
      <w:r w:rsidR="00E96EAC" w:rsidRPr="007D1918">
        <w:t>reported</w:t>
      </w:r>
      <w:r w:rsidRPr="007D1918">
        <w:t xml:space="preserve"> from 62 patients included in the analysis, although the MG-QoL</w:t>
      </w:r>
      <w:r w:rsidR="00CF11FF" w:rsidRPr="007D1918">
        <w:t>-15</w:t>
      </w:r>
      <w:r w:rsidRPr="007D1918">
        <w:t xml:space="preserve"> data </w:t>
      </w:r>
      <w:r w:rsidR="00B3479B" w:rsidRPr="007D1918">
        <w:t xml:space="preserve">were </w:t>
      </w:r>
      <w:r w:rsidRPr="007D1918">
        <w:t>extracted from the MG-QoL-60 questionnaire. Not all patients in the original RCT completed the MG-QoL because it was not made available at the start of the trial</w:t>
      </w:r>
      <w:r w:rsidR="00085049" w:rsidRPr="007D1918">
        <w:t xml:space="preserve">, however the baseline demographic data </w:t>
      </w:r>
      <w:r w:rsidR="00E96EAC" w:rsidRPr="007D1918">
        <w:t xml:space="preserve">of those who completed the tool </w:t>
      </w:r>
      <w:r w:rsidR="00085049" w:rsidRPr="007D1918">
        <w:t>did not differ from the original population</w:t>
      </w:r>
      <w:r w:rsidRPr="007D1918">
        <w:t xml:space="preserve">. The MG-QoL score was compared between IVIg and PE treated groups, </w:t>
      </w:r>
      <w:r w:rsidR="002726A0" w:rsidRPr="007D1918">
        <w:t>which had similar baseline QoL</w:t>
      </w:r>
      <w:r w:rsidRPr="007D1918">
        <w:t xml:space="preserve">. </w:t>
      </w:r>
    </w:p>
    <w:p w14:paraId="09C3F6A5" w14:textId="79EC0C33" w:rsidR="00085049" w:rsidRPr="007D1918" w:rsidRDefault="00085049" w:rsidP="003F04C7">
      <w:pPr>
        <w:jc w:val="both"/>
      </w:pPr>
      <w:r w:rsidRPr="007D1918">
        <w:t xml:space="preserve">There was no </w:t>
      </w:r>
      <w:r w:rsidR="00E96EAC" w:rsidRPr="007D1918">
        <w:t xml:space="preserve">statistically </w:t>
      </w:r>
      <w:r w:rsidRPr="007D1918">
        <w:t xml:space="preserve">significant difference found in change in QoL between IVIg and PE treatment groups for either </w:t>
      </w:r>
      <w:r w:rsidR="00CF11FF" w:rsidRPr="007D1918">
        <w:t xml:space="preserve">the </w:t>
      </w:r>
      <w:r w:rsidRPr="007D1918">
        <w:t xml:space="preserve">MG-QoL-60 or 15 </w:t>
      </w:r>
      <w:r w:rsidR="00340DF9" w:rsidRPr="007D1918">
        <w:t xml:space="preserve">item </w:t>
      </w:r>
      <w:r w:rsidRPr="007D1918">
        <w:t>questionnaires, 14, 21 or 28 days from start of tre</w:t>
      </w:r>
      <w:r w:rsidR="006A3F0F" w:rsidRPr="007D1918">
        <w:t>a</w:t>
      </w:r>
      <w:r w:rsidRPr="007D1918">
        <w:t xml:space="preserve">tment. QoL </w:t>
      </w:r>
      <w:r w:rsidR="00F630C1" w:rsidRPr="007D1918">
        <w:t>increas</w:t>
      </w:r>
      <w:r w:rsidRPr="007D1918">
        <w:t xml:space="preserve">ed compared to baseline at all time points, </w:t>
      </w:r>
      <w:r w:rsidR="002726A0" w:rsidRPr="007D1918">
        <w:t xml:space="preserve">but </w:t>
      </w:r>
      <w:r w:rsidRPr="007D1918">
        <w:t xml:space="preserve">it appeared to </w:t>
      </w:r>
      <w:r w:rsidR="00F630C1" w:rsidRPr="007D1918">
        <w:t>plateau</w:t>
      </w:r>
      <w:r w:rsidRPr="007D1918">
        <w:t xml:space="preserve"> in the PE group, </w:t>
      </w:r>
      <w:r w:rsidRPr="007D1918">
        <w:lastRenderedPageBreak/>
        <w:t xml:space="preserve">while continuing to </w:t>
      </w:r>
      <w:r w:rsidR="00F630C1" w:rsidRPr="007D1918">
        <w:t>in</w:t>
      </w:r>
      <w:r w:rsidRPr="007D1918">
        <w:t>crease over 28 days in the IVIg group</w:t>
      </w:r>
      <w:r w:rsidR="00F104CC" w:rsidRPr="007D1918">
        <w:t xml:space="preserve"> (</w:t>
      </w:r>
      <w:r w:rsidR="00F104CC" w:rsidRPr="007D1918">
        <w:fldChar w:fldCharType="begin"/>
      </w:r>
      <w:r w:rsidR="00F104CC" w:rsidRPr="007D1918">
        <w:instrText xml:space="preserve"> REF _Ref8909827 \h </w:instrText>
      </w:r>
      <w:r w:rsidR="00E07567" w:rsidRPr="007D1918">
        <w:instrText xml:space="preserve"> \* MERGEFORMAT </w:instrText>
      </w:r>
      <w:r w:rsidR="00F104CC" w:rsidRPr="007D1918">
        <w:fldChar w:fldCharType="separate"/>
      </w:r>
      <w:r w:rsidR="007C33AD" w:rsidRPr="007D1918">
        <w:t xml:space="preserve">Table </w:t>
      </w:r>
      <w:r w:rsidR="007C33AD" w:rsidRPr="007D1918">
        <w:rPr>
          <w:noProof/>
        </w:rPr>
        <w:t>40</w:t>
      </w:r>
      <w:r w:rsidR="00F104CC" w:rsidRPr="007D1918">
        <w:fldChar w:fldCharType="end"/>
      </w:r>
      <w:r w:rsidR="00F104CC" w:rsidRPr="007D1918">
        <w:t>)</w:t>
      </w:r>
      <w:r w:rsidRPr="007D1918">
        <w:t>.</w:t>
      </w:r>
      <w:r w:rsidR="00F630C1" w:rsidRPr="007D1918">
        <w:t xml:space="preserve"> Whilst the clinical significance of the improvement in QoL was not discussed in the study, the improvement did correspond with clinical improvement (as measured by the QMGS).</w:t>
      </w:r>
    </w:p>
    <w:p w14:paraId="064A4173" w14:textId="4B063CF6" w:rsidR="0006777A" w:rsidRPr="007D1918" w:rsidRDefault="0006777A" w:rsidP="0006777A">
      <w:pPr>
        <w:pStyle w:val="Caption"/>
        <w:keepNext/>
        <w:keepLines/>
        <w:jc w:val="both"/>
        <w:rPr>
          <w:rFonts w:cs="Arial"/>
          <w:snapToGrid w:val="0"/>
          <w:szCs w:val="16"/>
          <w:lang w:eastAsia="en-US"/>
        </w:rPr>
      </w:pPr>
      <w:bookmarkStart w:id="285" w:name="_Ref8909827"/>
      <w:bookmarkStart w:id="286" w:name="_Toc2376952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7C33AD" w:rsidRPr="007D1918">
        <w:rPr>
          <w:noProof/>
        </w:rPr>
        <w:t>40</w:t>
      </w:r>
      <w:r w:rsidRPr="007D1918">
        <w:rPr>
          <w:noProof/>
        </w:rPr>
        <w:fldChar w:fldCharType="end"/>
      </w:r>
      <w:bookmarkEnd w:id="285"/>
      <w:r w:rsidRPr="007D1918">
        <w:tab/>
      </w:r>
      <w:r w:rsidR="0092416A" w:rsidRPr="007D1918">
        <w:rPr>
          <w:rFonts w:cs="Arial"/>
          <w:snapToGrid w:val="0"/>
          <w:szCs w:val="16"/>
          <w:lang w:eastAsia="en-US"/>
        </w:rPr>
        <w:t>Change in QoL in patients</w:t>
      </w:r>
      <w:r w:rsidRPr="007D1918">
        <w:rPr>
          <w:rFonts w:cs="Arial"/>
          <w:snapToGrid w:val="0"/>
          <w:szCs w:val="16"/>
          <w:lang w:eastAsia="en-US"/>
        </w:rPr>
        <w:t xml:space="preserve"> either IVIg or PE maintenance therapy </w:t>
      </w:r>
      <w:r w:rsidR="0075212A" w:rsidRPr="007D1918">
        <w:rPr>
          <w:rFonts w:cs="Arial"/>
          <w:snapToGrid w:val="0"/>
          <w:szCs w:val="16"/>
          <w:lang w:eastAsia="en-US"/>
        </w:rPr>
        <w:fldChar w:fldCharType="begin"/>
      </w:r>
      <w:r w:rsidR="00C437BA" w:rsidRPr="007D1918">
        <w:rPr>
          <w:rFonts w:cs="Arial"/>
          <w:snapToGrid w:val="0"/>
          <w:szCs w:val="16"/>
          <w:lang w:eastAsia="en-US"/>
        </w:rPr>
        <w:instrText xml:space="preserve"> ADDIN EN.CITE &lt;EndNote&gt;&lt;Cite&gt;&lt;Author&gt;Barnett&lt;/Author&gt;&lt;Year&gt;2013&lt;/Year&gt;&lt;RecNum&gt;18&lt;/RecNum&gt;&lt;DisplayText&gt;(Barnett et al. 2013)&lt;/DisplayText&gt;&lt;record&gt;&lt;rec-number&gt;18&lt;/rec-number&gt;&lt;foreign-keys&gt;&lt;key app="EN" db-id="2aevrx2slsts5ve9sdavatf125dsx0av2v9d" timestamp="1558070750"&gt;18&lt;/key&gt;&lt;/foreign-keys&gt;&lt;ref-type name="Journal Article"&gt;17&lt;/ref-type&gt;&lt;contributors&gt;&lt;authors&gt;&lt;author&gt;Barnett, C.&lt;/author&gt;&lt;author&gt;Wilson, G.&lt;/author&gt;&lt;author&gt;Barth, D.&lt;/author&gt;&lt;author&gt;Katzberg, H. D.&lt;/author&gt;&lt;author&gt;Bril, V.&lt;/author&gt;&lt;/authors&gt;&lt;/contributors&gt;&lt;titles&gt;&lt;title&gt;Changes in quality of life scores with intravenous immunoglobulin or plasmapheresis in patients with myasthenia gravis&lt;/title&gt;&lt;secondary-title&gt;Journal of neurology, neurosurgery, and psychiatry&lt;/secondary-title&gt;&lt;/titles&gt;&lt;periodical&gt;&lt;full-title&gt;Journal of neurology, neurosurgery, and psychiatry&lt;/full-title&gt;&lt;/periodical&gt;&lt;pages&gt;94</w:instrText>
      </w:r>
      <w:r w:rsidR="00C437BA" w:rsidRPr="007D1918">
        <w:rPr>
          <w:rFonts w:ascii="Cambria Math" w:hAnsi="Cambria Math" w:cs="Cambria Math"/>
          <w:snapToGrid w:val="0"/>
          <w:szCs w:val="16"/>
          <w:lang w:eastAsia="en-US"/>
        </w:rPr>
        <w:instrText>‐</w:instrText>
      </w:r>
      <w:r w:rsidR="00C437BA" w:rsidRPr="007D1918">
        <w:rPr>
          <w:rFonts w:cs="Arial"/>
          <w:snapToGrid w:val="0"/>
          <w:szCs w:val="16"/>
          <w:lang w:eastAsia="en-US"/>
        </w:rPr>
        <w:instrText>97&lt;/pages&gt;&lt;volume&gt;84&lt;/volume&gt;&lt;number&gt;1&lt;/number&gt;&lt;keywords&gt;&lt;keyword&gt;Female&lt;/keyword&gt;&lt;keyword&gt;Humans&lt;/keyword&gt;&lt;keyword&gt;Immunoglobulins, Intravenous [*therapeutic use]&lt;/keyword&gt;&lt;keyword&gt;Immunologic Factors [therapeutic use]&lt;/keyword&gt;&lt;keyword&gt;Male&lt;/keyword&gt;&lt;keyword&gt;Middle Aged&lt;/keyword&gt;&lt;keyword&gt;Myasthenia Gravis [*drug therapy, psychology, *therapy]&lt;/keyword&gt;&lt;keyword&gt;Plasmapheresis [methods, *psychology]&lt;/keyword&gt;&lt;keyword&gt;Quality of Life [*psychology]&lt;/keyword&gt;&lt;keyword&gt;Single</w:instrText>
      </w:r>
      <w:r w:rsidR="00C437BA" w:rsidRPr="007D1918">
        <w:rPr>
          <w:rFonts w:ascii="Cambria Math" w:hAnsi="Cambria Math" w:cs="Cambria Math"/>
          <w:snapToGrid w:val="0"/>
          <w:szCs w:val="16"/>
          <w:lang w:eastAsia="en-US"/>
        </w:rPr>
        <w:instrText>‐</w:instrText>
      </w:r>
      <w:r w:rsidR="00C437BA" w:rsidRPr="007D1918">
        <w:rPr>
          <w:rFonts w:cs="Arial"/>
          <w:snapToGrid w:val="0"/>
          <w:szCs w:val="16"/>
          <w:lang w:eastAsia="en-US"/>
        </w:rPr>
        <w:instrText>Blind Method&lt;/keyword&gt;&lt;keyword&gt;Surveys and Questionnaires&lt;/keyword&gt;&lt;/keywords&gt;&lt;dates&gt;&lt;year&gt;2013&lt;/year&gt;&lt;/dates&gt;&lt;accession-num&gt;CN-00841730&lt;/accession-num&gt;&lt;work-type&gt;Journal Article; Randomized Controlled Trial&lt;/work-type&gt;&lt;urls&gt;&lt;related-urls&gt;&lt;url&gt;https://www.cochranelibrary.com/central/doi/10.1002/central/CN-00841730/full&lt;/url&gt;&lt;url&gt;https://jnnp.bmj.com/content/jnnp/84/1/94.full.pdf&lt;/url&gt;&lt;/related-urls&gt;&lt;/urls&gt;&lt;custom3&gt;PUBMED 23154126&lt;/custom3&gt;&lt;electronic-resource-num&gt;10.1136/jnnp-2011-301449&lt;/electronic-resource-num&gt;&lt;/record&gt;&lt;/Cite&gt;&lt;/EndNote&gt;</w:instrText>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7" w:tooltip="Barnett, 2013 #18" w:history="1">
        <w:r w:rsidR="007D4948" w:rsidRPr="007D1918">
          <w:rPr>
            <w:rFonts w:cs="Arial"/>
            <w:noProof/>
            <w:snapToGrid w:val="0"/>
            <w:szCs w:val="16"/>
            <w:lang w:eastAsia="en-US"/>
          </w:rPr>
          <w:t>Barnett et al. 2013</w:t>
        </w:r>
      </w:hyperlink>
      <w:r w:rsidR="0075212A" w:rsidRPr="007D1918">
        <w:rPr>
          <w:rFonts w:cs="Arial"/>
          <w:noProof/>
          <w:snapToGrid w:val="0"/>
          <w:szCs w:val="16"/>
          <w:lang w:eastAsia="en-US"/>
        </w:rPr>
        <w:t>)</w:t>
      </w:r>
      <w:bookmarkEnd w:id="286"/>
      <w:r w:rsidR="0075212A" w:rsidRPr="007D1918">
        <w:rPr>
          <w:rFonts w:cs="Arial"/>
          <w:snapToGrid w:val="0"/>
          <w:szCs w:val="16"/>
          <w:lang w:eastAsia="en-US"/>
        </w:rPr>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8 Change in QoL in patients either IVIg or PE maintenance therapy (Barnett et al. 2013)"/>
        <w:tblDescription w:val="Chaange in quality of life measured by MG-QoL-15 and MG-QoL-60 comapred between patients receiving IVIg or PE maintenance for up to 28 days (Indication 3)."/>
      </w:tblPr>
      <w:tblGrid>
        <w:gridCol w:w="2661"/>
        <w:gridCol w:w="1984"/>
        <w:gridCol w:w="1842"/>
        <w:gridCol w:w="2412"/>
      </w:tblGrid>
      <w:tr w:rsidR="006A3F0F" w:rsidRPr="007D1918" w14:paraId="0A4F3C4E" w14:textId="77777777" w:rsidTr="006A3F0F">
        <w:tc>
          <w:tcPr>
            <w:tcW w:w="1495" w:type="pct"/>
          </w:tcPr>
          <w:p w14:paraId="69BD832F" w14:textId="613EAF4F" w:rsidR="006A3F0F" w:rsidRPr="007D1918" w:rsidRDefault="006A3F0F" w:rsidP="00F64372">
            <w:pPr>
              <w:pStyle w:val="TableHeading"/>
              <w:keepLines/>
              <w:ind w:left="16" w:right="117"/>
              <w:rPr>
                <w:snapToGrid w:val="0"/>
                <w:lang w:eastAsia="en-US"/>
              </w:rPr>
            </w:pPr>
            <w:r w:rsidRPr="007D1918">
              <w:rPr>
                <w:snapToGrid w:val="0"/>
                <w:lang w:eastAsia="en-US"/>
              </w:rPr>
              <w:t>QoL measure</w:t>
            </w:r>
          </w:p>
        </w:tc>
        <w:tc>
          <w:tcPr>
            <w:tcW w:w="1115" w:type="pct"/>
            <w:shd w:val="clear" w:color="auto" w:fill="auto"/>
          </w:tcPr>
          <w:p w14:paraId="265E9AEF" w14:textId="77777777" w:rsidR="006A3F0F" w:rsidRPr="007D1918" w:rsidRDefault="006A3F0F" w:rsidP="00F64372">
            <w:pPr>
              <w:pStyle w:val="TableHeading"/>
              <w:keepLines/>
              <w:ind w:left="111" w:right="117"/>
              <w:rPr>
                <w:snapToGrid w:val="0"/>
                <w:lang w:eastAsia="en-US"/>
              </w:rPr>
            </w:pPr>
            <w:r w:rsidRPr="007D1918">
              <w:rPr>
                <w:snapToGrid w:val="0"/>
                <w:lang w:eastAsia="en-US"/>
              </w:rPr>
              <w:t>IVIg</w:t>
            </w:r>
          </w:p>
          <w:p w14:paraId="166A9C24" w14:textId="71DD4999" w:rsidR="006A3F0F" w:rsidRPr="007D1918" w:rsidRDefault="006A3F0F" w:rsidP="00F64372">
            <w:pPr>
              <w:pStyle w:val="TableHeading"/>
              <w:keepLines/>
              <w:ind w:left="111" w:right="117"/>
              <w:rPr>
                <w:snapToGrid w:val="0"/>
                <w:lang w:eastAsia="en-US"/>
              </w:rPr>
            </w:pPr>
            <w:r w:rsidRPr="007D1918">
              <w:rPr>
                <w:snapToGrid w:val="0"/>
                <w:lang w:eastAsia="en-US"/>
              </w:rPr>
              <w:t>mean ± SD</w:t>
            </w:r>
          </w:p>
        </w:tc>
        <w:tc>
          <w:tcPr>
            <w:tcW w:w="1035" w:type="pct"/>
            <w:shd w:val="clear" w:color="auto" w:fill="auto"/>
          </w:tcPr>
          <w:p w14:paraId="12F4D857" w14:textId="77777777" w:rsidR="006A3F0F" w:rsidRPr="007D1918" w:rsidRDefault="006A3F0F" w:rsidP="00F64372">
            <w:pPr>
              <w:pStyle w:val="TableHeading"/>
              <w:keepLines/>
              <w:ind w:left="77" w:right="117"/>
              <w:rPr>
                <w:snapToGrid w:val="0"/>
                <w:lang w:eastAsia="en-US"/>
              </w:rPr>
            </w:pPr>
            <w:r w:rsidRPr="007D1918">
              <w:rPr>
                <w:snapToGrid w:val="0"/>
                <w:lang w:eastAsia="en-US"/>
              </w:rPr>
              <w:t>PE</w:t>
            </w:r>
          </w:p>
          <w:p w14:paraId="561C2B1D" w14:textId="1C545EAD" w:rsidR="006A3F0F" w:rsidRPr="007D1918" w:rsidRDefault="006A3F0F" w:rsidP="00F64372">
            <w:pPr>
              <w:pStyle w:val="TableHeading"/>
              <w:keepLines/>
              <w:ind w:left="77" w:right="117"/>
              <w:rPr>
                <w:snapToGrid w:val="0"/>
                <w:lang w:eastAsia="en-US"/>
              </w:rPr>
            </w:pPr>
            <w:r w:rsidRPr="007D1918">
              <w:rPr>
                <w:snapToGrid w:val="0"/>
                <w:lang w:eastAsia="en-US"/>
              </w:rPr>
              <w:t>mean ± SD</w:t>
            </w:r>
          </w:p>
        </w:tc>
        <w:tc>
          <w:tcPr>
            <w:tcW w:w="1355" w:type="pct"/>
            <w:shd w:val="clear" w:color="auto" w:fill="auto"/>
          </w:tcPr>
          <w:p w14:paraId="7A4733D6" w14:textId="5458B807" w:rsidR="006A3F0F" w:rsidRPr="007D1918" w:rsidRDefault="000F59C3" w:rsidP="00F64372">
            <w:pPr>
              <w:pStyle w:val="TableHeading"/>
              <w:keepLines/>
              <w:ind w:right="117"/>
              <w:rPr>
                <w:snapToGrid w:val="0"/>
                <w:lang w:eastAsia="en-US"/>
              </w:rPr>
            </w:pPr>
            <w:r w:rsidRPr="007D1918">
              <w:rPr>
                <w:snapToGrid w:val="0"/>
                <w:lang w:eastAsia="en-US"/>
              </w:rPr>
              <w:t>Difference</w:t>
            </w:r>
          </w:p>
          <w:p w14:paraId="4C1CDCCB" w14:textId="200DBE20" w:rsidR="006A3F0F" w:rsidRPr="007D1918" w:rsidRDefault="006A3F0F" w:rsidP="002726A0">
            <w:pPr>
              <w:pStyle w:val="TableHeading"/>
              <w:keepLines/>
              <w:ind w:right="117"/>
              <w:rPr>
                <w:snapToGrid w:val="0"/>
                <w:vertAlign w:val="superscript"/>
                <w:lang w:eastAsia="en-US"/>
              </w:rPr>
            </w:pPr>
            <w:r w:rsidRPr="007D1918">
              <w:rPr>
                <w:snapToGrid w:val="0"/>
                <w:lang w:eastAsia="en-US"/>
              </w:rPr>
              <w:t>p-value</w:t>
            </w:r>
            <w:r w:rsidRPr="007D1918">
              <w:rPr>
                <w:snapToGrid w:val="0"/>
                <w:vertAlign w:val="superscript"/>
                <w:lang w:eastAsia="en-US"/>
              </w:rPr>
              <w:t>a</w:t>
            </w:r>
          </w:p>
        </w:tc>
      </w:tr>
      <w:tr w:rsidR="006A3F0F" w:rsidRPr="007D1918" w14:paraId="7A58C9E5" w14:textId="77777777" w:rsidTr="006A3F0F">
        <w:tc>
          <w:tcPr>
            <w:tcW w:w="1495" w:type="pct"/>
          </w:tcPr>
          <w:p w14:paraId="1CC926AC" w14:textId="5DCCBA0F" w:rsidR="006A3F0F" w:rsidRPr="007D1918" w:rsidRDefault="006A3F0F" w:rsidP="00F64372">
            <w:pPr>
              <w:pStyle w:val="TableText0"/>
              <w:ind w:left="16" w:right="117"/>
              <w:rPr>
                <w:snapToGrid w:val="0"/>
              </w:rPr>
            </w:pPr>
            <w:r w:rsidRPr="007D1918">
              <w:rPr>
                <w:snapToGrid w:val="0"/>
              </w:rPr>
              <w:t>Change in MG-QoL-60</w:t>
            </w:r>
          </w:p>
          <w:p w14:paraId="26B93087" w14:textId="64C3C885" w:rsidR="006A3F0F" w:rsidRPr="007D1918" w:rsidRDefault="006A3F0F" w:rsidP="00F64372">
            <w:pPr>
              <w:pStyle w:val="TableText0"/>
              <w:ind w:left="113" w:right="119"/>
              <w:rPr>
                <w:snapToGrid w:val="0"/>
              </w:rPr>
            </w:pPr>
            <w:r w:rsidRPr="007D1918">
              <w:rPr>
                <w:snapToGrid w:val="0"/>
              </w:rPr>
              <w:t>Day 1-14</w:t>
            </w:r>
          </w:p>
          <w:p w14:paraId="29877200" w14:textId="0413B8A1" w:rsidR="006A3F0F" w:rsidRPr="007D1918" w:rsidRDefault="006A3F0F" w:rsidP="00F64372">
            <w:pPr>
              <w:pStyle w:val="TableText0"/>
              <w:ind w:left="113" w:right="119"/>
              <w:rPr>
                <w:snapToGrid w:val="0"/>
              </w:rPr>
            </w:pPr>
            <w:r w:rsidRPr="007D1918">
              <w:rPr>
                <w:snapToGrid w:val="0"/>
              </w:rPr>
              <w:t>Day 1-21</w:t>
            </w:r>
          </w:p>
          <w:p w14:paraId="4C2D445D" w14:textId="4E9E35DB" w:rsidR="006A3F0F" w:rsidRPr="007D1918" w:rsidRDefault="006A3F0F" w:rsidP="00F64372">
            <w:pPr>
              <w:pStyle w:val="TableText0"/>
              <w:ind w:left="113" w:right="119"/>
              <w:rPr>
                <w:snapToGrid w:val="0"/>
              </w:rPr>
            </w:pPr>
            <w:r w:rsidRPr="007D1918">
              <w:rPr>
                <w:snapToGrid w:val="0"/>
              </w:rPr>
              <w:t>Day 1-28</w:t>
            </w:r>
          </w:p>
        </w:tc>
        <w:tc>
          <w:tcPr>
            <w:tcW w:w="1115" w:type="pct"/>
            <w:shd w:val="clear" w:color="auto" w:fill="auto"/>
          </w:tcPr>
          <w:p w14:paraId="64CA70EA" w14:textId="77777777" w:rsidR="006A3F0F" w:rsidRPr="007D1918" w:rsidRDefault="006A3F0F" w:rsidP="00F64372">
            <w:pPr>
              <w:pStyle w:val="TableText0"/>
              <w:ind w:left="111" w:right="117"/>
              <w:rPr>
                <w:snapToGrid w:val="0"/>
              </w:rPr>
            </w:pPr>
          </w:p>
          <w:p w14:paraId="455AB838" w14:textId="73F039BF" w:rsidR="006A3F0F" w:rsidRPr="007D1918" w:rsidRDefault="006A3F0F" w:rsidP="00F64372">
            <w:pPr>
              <w:pStyle w:val="TableText0"/>
              <w:ind w:left="111" w:right="117"/>
              <w:rPr>
                <w:snapToGrid w:val="0"/>
              </w:rPr>
            </w:pPr>
            <w:r w:rsidRPr="007D1918">
              <w:rPr>
                <w:snapToGrid w:val="0"/>
              </w:rPr>
              <w:t>-13 ± 17</w:t>
            </w:r>
          </w:p>
          <w:p w14:paraId="3667F3F5" w14:textId="6C3A95BE" w:rsidR="006A3F0F" w:rsidRPr="007D1918" w:rsidRDefault="006A3F0F" w:rsidP="0006777A">
            <w:pPr>
              <w:pStyle w:val="TableText0"/>
              <w:ind w:left="111" w:right="117"/>
              <w:rPr>
                <w:snapToGrid w:val="0"/>
              </w:rPr>
            </w:pPr>
            <w:r w:rsidRPr="007D1918">
              <w:rPr>
                <w:snapToGrid w:val="0"/>
              </w:rPr>
              <w:t>-11 ± 29</w:t>
            </w:r>
          </w:p>
          <w:p w14:paraId="4F037B64" w14:textId="7D23CA62" w:rsidR="006A3F0F" w:rsidRPr="007D1918" w:rsidRDefault="006A3F0F" w:rsidP="00085049">
            <w:pPr>
              <w:pStyle w:val="TableText0"/>
              <w:ind w:left="111" w:right="117"/>
              <w:rPr>
                <w:snapToGrid w:val="0"/>
              </w:rPr>
            </w:pPr>
            <w:r w:rsidRPr="007D1918">
              <w:rPr>
                <w:snapToGrid w:val="0"/>
              </w:rPr>
              <w:t>-23 ± 32</w:t>
            </w:r>
          </w:p>
        </w:tc>
        <w:tc>
          <w:tcPr>
            <w:tcW w:w="1035" w:type="pct"/>
            <w:shd w:val="clear" w:color="auto" w:fill="auto"/>
          </w:tcPr>
          <w:p w14:paraId="7983D180" w14:textId="77777777" w:rsidR="006A3F0F" w:rsidRPr="007D1918" w:rsidRDefault="006A3F0F" w:rsidP="00F64372">
            <w:pPr>
              <w:pStyle w:val="TableText0"/>
              <w:ind w:left="77" w:right="117"/>
              <w:rPr>
                <w:snapToGrid w:val="0"/>
              </w:rPr>
            </w:pPr>
          </w:p>
          <w:p w14:paraId="51091F39" w14:textId="0AFA3D62" w:rsidR="006A3F0F" w:rsidRPr="007D1918" w:rsidRDefault="006A3F0F" w:rsidP="00F64372">
            <w:pPr>
              <w:pStyle w:val="TableText0"/>
              <w:ind w:left="77" w:right="117"/>
              <w:rPr>
                <w:snapToGrid w:val="0"/>
              </w:rPr>
            </w:pPr>
            <w:r w:rsidRPr="007D1918">
              <w:rPr>
                <w:snapToGrid w:val="0"/>
              </w:rPr>
              <w:t>-19 ± 22</w:t>
            </w:r>
          </w:p>
          <w:p w14:paraId="5E865296" w14:textId="18E80877" w:rsidR="006A3F0F" w:rsidRPr="007D1918" w:rsidRDefault="006A3F0F" w:rsidP="0006777A">
            <w:pPr>
              <w:pStyle w:val="TableText0"/>
              <w:ind w:left="77" w:right="117"/>
              <w:rPr>
                <w:snapToGrid w:val="0"/>
              </w:rPr>
            </w:pPr>
            <w:r w:rsidRPr="007D1918">
              <w:rPr>
                <w:snapToGrid w:val="0"/>
              </w:rPr>
              <w:t>-18 ± 27</w:t>
            </w:r>
          </w:p>
          <w:p w14:paraId="1DAE61CF" w14:textId="5C871B1F" w:rsidR="006A3F0F" w:rsidRPr="007D1918" w:rsidRDefault="006A3F0F" w:rsidP="00085049">
            <w:pPr>
              <w:pStyle w:val="TableText0"/>
              <w:ind w:left="77" w:right="117"/>
              <w:rPr>
                <w:snapToGrid w:val="0"/>
              </w:rPr>
            </w:pPr>
            <w:r w:rsidRPr="007D1918">
              <w:rPr>
                <w:snapToGrid w:val="0"/>
              </w:rPr>
              <w:t>-17 ± 23</w:t>
            </w:r>
          </w:p>
        </w:tc>
        <w:tc>
          <w:tcPr>
            <w:tcW w:w="1355" w:type="pct"/>
            <w:shd w:val="clear" w:color="auto" w:fill="auto"/>
          </w:tcPr>
          <w:p w14:paraId="61898366" w14:textId="25272DD6" w:rsidR="006A3F0F" w:rsidRPr="007D1918" w:rsidRDefault="006A3F0F" w:rsidP="00F64372">
            <w:pPr>
              <w:pStyle w:val="TableText0"/>
              <w:ind w:right="117"/>
              <w:rPr>
                <w:snapToGrid w:val="0"/>
              </w:rPr>
            </w:pPr>
          </w:p>
          <w:p w14:paraId="09417CBB" w14:textId="7952F545" w:rsidR="006A3F0F" w:rsidRPr="007D1918" w:rsidRDefault="006A3F0F" w:rsidP="00F64372">
            <w:pPr>
              <w:pStyle w:val="TableText0"/>
              <w:ind w:right="117"/>
              <w:rPr>
                <w:snapToGrid w:val="0"/>
              </w:rPr>
            </w:pPr>
            <w:r w:rsidRPr="007D1918">
              <w:rPr>
                <w:snapToGrid w:val="0"/>
              </w:rPr>
              <w:t xml:space="preserve">0.41 </w:t>
            </w:r>
          </w:p>
          <w:p w14:paraId="79167DB4" w14:textId="305ACBEE" w:rsidR="006A3F0F" w:rsidRPr="007D1918" w:rsidRDefault="006A3F0F" w:rsidP="00F64372">
            <w:pPr>
              <w:pStyle w:val="TableText0"/>
              <w:ind w:right="117"/>
              <w:rPr>
                <w:snapToGrid w:val="0"/>
              </w:rPr>
            </w:pPr>
            <w:r w:rsidRPr="007D1918">
              <w:rPr>
                <w:snapToGrid w:val="0"/>
              </w:rPr>
              <w:t>0.3</w:t>
            </w:r>
          </w:p>
          <w:p w14:paraId="7382C1FC" w14:textId="58146D04" w:rsidR="006A3F0F" w:rsidRPr="007D1918" w:rsidRDefault="006A3F0F" w:rsidP="00F64372">
            <w:pPr>
              <w:pStyle w:val="TableText0"/>
              <w:ind w:right="117"/>
              <w:rPr>
                <w:snapToGrid w:val="0"/>
              </w:rPr>
            </w:pPr>
            <w:r w:rsidRPr="007D1918">
              <w:rPr>
                <w:snapToGrid w:val="0"/>
              </w:rPr>
              <w:t>0.4</w:t>
            </w:r>
          </w:p>
        </w:tc>
      </w:tr>
      <w:tr w:rsidR="006A3F0F" w:rsidRPr="007D1918" w14:paraId="2F3584D1" w14:textId="77777777" w:rsidTr="006A3F0F">
        <w:tc>
          <w:tcPr>
            <w:tcW w:w="1495" w:type="pct"/>
          </w:tcPr>
          <w:p w14:paraId="3B463F04" w14:textId="6EE16609" w:rsidR="006A3F0F" w:rsidRPr="007D1918" w:rsidRDefault="006A3F0F" w:rsidP="00F64372">
            <w:pPr>
              <w:pStyle w:val="TableText0"/>
              <w:ind w:left="16" w:right="117"/>
              <w:rPr>
                <w:snapToGrid w:val="0"/>
              </w:rPr>
            </w:pPr>
            <w:r w:rsidRPr="007D1918">
              <w:rPr>
                <w:snapToGrid w:val="0"/>
              </w:rPr>
              <w:t>Change in MG-QoL-15</w:t>
            </w:r>
          </w:p>
          <w:p w14:paraId="5663C528" w14:textId="512709DA" w:rsidR="006A3F0F" w:rsidRPr="007D1918" w:rsidRDefault="006A3F0F" w:rsidP="00F64372">
            <w:pPr>
              <w:pStyle w:val="TableText0"/>
              <w:ind w:left="113" w:right="119"/>
              <w:rPr>
                <w:snapToGrid w:val="0"/>
              </w:rPr>
            </w:pPr>
            <w:r w:rsidRPr="007D1918">
              <w:rPr>
                <w:snapToGrid w:val="0"/>
              </w:rPr>
              <w:t>Day 1-14</w:t>
            </w:r>
          </w:p>
          <w:p w14:paraId="4C8F7E33" w14:textId="56BF8A49" w:rsidR="006A3F0F" w:rsidRPr="007D1918" w:rsidRDefault="006A3F0F" w:rsidP="00F64372">
            <w:pPr>
              <w:pStyle w:val="TableText0"/>
              <w:ind w:left="113" w:right="119"/>
              <w:rPr>
                <w:snapToGrid w:val="0"/>
              </w:rPr>
            </w:pPr>
            <w:r w:rsidRPr="007D1918">
              <w:rPr>
                <w:snapToGrid w:val="0"/>
              </w:rPr>
              <w:t>Day 1-21</w:t>
            </w:r>
          </w:p>
          <w:p w14:paraId="37E94F3B" w14:textId="4C814B90" w:rsidR="006A3F0F" w:rsidRPr="007D1918" w:rsidRDefault="006A3F0F" w:rsidP="00F64372">
            <w:pPr>
              <w:pStyle w:val="TableText0"/>
              <w:ind w:left="113" w:right="119"/>
              <w:rPr>
                <w:snapToGrid w:val="0"/>
              </w:rPr>
            </w:pPr>
            <w:r w:rsidRPr="007D1918">
              <w:rPr>
                <w:snapToGrid w:val="0"/>
              </w:rPr>
              <w:t>Day 1-28</w:t>
            </w:r>
          </w:p>
        </w:tc>
        <w:tc>
          <w:tcPr>
            <w:tcW w:w="1115" w:type="pct"/>
            <w:shd w:val="clear" w:color="auto" w:fill="auto"/>
          </w:tcPr>
          <w:p w14:paraId="41789AD3" w14:textId="77777777" w:rsidR="006A3F0F" w:rsidRPr="007D1918" w:rsidRDefault="006A3F0F" w:rsidP="00F64372">
            <w:pPr>
              <w:pStyle w:val="TableText0"/>
              <w:ind w:left="111" w:right="117"/>
              <w:rPr>
                <w:snapToGrid w:val="0"/>
              </w:rPr>
            </w:pPr>
          </w:p>
          <w:p w14:paraId="4AD86ED6" w14:textId="27F99E9A" w:rsidR="006A3F0F" w:rsidRPr="007D1918" w:rsidRDefault="006A3F0F" w:rsidP="00F64372">
            <w:pPr>
              <w:pStyle w:val="TableText0"/>
              <w:ind w:left="111" w:right="117"/>
              <w:rPr>
                <w:snapToGrid w:val="0"/>
              </w:rPr>
            </w:pPr>
            <w:r w:rsidRPr="007D1918">
              <w:rPr>
                <w:snapToGrid w:val="0"/>
              </w:rPr>
              <w:t>-6 ± 9</w:t>
            </w:r>
          </w:p>
          <w:p w14:paraId="5FC215CB" w14:textId="7C817536" w:rsidR="006A3F0F" w:rsidRPr="007D1918" w:rsidRDefault="006A3F0F" w:rsidP="0006777A">
            <w:pPr>
              <w:pStyle w:val="TableText0"/>
              <w:ind w:left="111" w:right="117"/>
              <w:rPr>
                <w:snapToGrid w:val="0"/>
              </w:rPr>
            </w:pPr>
            <w:r w:rsidRPr="007D1918">
              <w:rPr>
                <w:snapToGrid w:val="0"/>
              </w:rPr>
              <w:t>-7 ± 10</w:t>
            </w:r>
          </w:p>
          <w:p w14:paraId="46552D76" w14:textId="2DF40E00" w:rsidR="006A3F0F" w:rsidRPr="007D1918" w:rsidRDefault="006A3F0F" w:rsidP="00085049">
            <w:pPr>
              <w:pStyle w:val="TableText0"/>
              <w:ind w:left="111" w:right="117"/>
              <w:rPr>
                <w:snapToGrid w:val="0"/>
              </w:rPr>
            </w:pPr>
            <w:r w:rsidRPr="007D1918">
              <w:rPr>
                <w:snapToGrid w:val="0"/>
              </w:rPr>
              <w:t>-9 ± 11</w:t>
            </w:r>
          </w:p>
        </w:tc>
        <w:tc>
          <w:tcPr>
            <w:tcW w:w="1035" w:type="pct"/>
            <w:shd w:val="clear" w:color="auto" w:fill="auto"/>
          </w:tcPr>
          <w:p w14:paraId="2D0F9CD7" w14:textId="77777777" w:rsidR="006A3F0F" w:rsidRPr="007D1918" w:rsidRDefault="006A3F0F" w:rsidP="00F64372">
            <w:pPr>
              <w:pStyle w:val="TableText0"/>
              <w:ind w:left="77" w:right="117"/>
              <w:rPr>
                <w:snapToGrid w:val="0"/>
              </w:rPr>
            </w:pPr>
          </w:p>
          <w:p w14:paraId="4B00A61E" w14:textId="4B0ADC1B" w:rsidR="006A3F0F" w:rsidRPr="007D1918" w:rsidRDefault="006A3F0F" w:rsidP="00F64372">
            <w:pPr>
              <w:pStyle w:val="TableText0"/>
              <w:ind w:left="77" w:right="117"/>
              <w:rPr>
                <w:snapToGrid w:val="0"/>
              </w:rPr>
            </w:pPr>
            <w:r w:rsidRPr="007D1918">
              <w:rPr>
                <w:snapToGrid w:val="0"/>
              </w:rPr>
              <w:t>-7 ± 8</w:t>
            </w:r>
          </w:p>
          <w:p w14:paraId="3E05BD4B" w14:textId="5BAC19A7" w:rsidR="006A3F0F" w:rsidRPr="007D1918" w:rsidRDefault="006A3F0F" w:rsidP="0006777A">
            <w:pPr>
              <w:pStyle w:val="TableText0"/>
              <w:ind w:left="77" w:right="117"/>
              <w:rPr>
                <w:snapToGrid w:val="0"/>
              </w:rPr>
            </w:pPr>
            <w:r w:rsidRPr="007D1918">
              <w:rPr>
                <w:snapToGrid w:val="0"/>
              </w:rPr>
              <w:t>-8 ± 9</w:t>
            </w:r>
          </w:p>
          <w:p w14:paraId="3BBBD0A7" w14:textId="06C9E0DB" w:rsidR="006A3F0F" w:rsidRPr="007D1918" w:rsidRDefault="006A3F0F" w:rsidP="00085049">
            <w:pPr>
              <w:pStyle w:val="TableText0"/>
              <w:ind w:left="77" w:right="117"/>
              <w:rPr>
                <w:snapToGrid w:val="0"/>
              </w:rPr>
            </w:pPr>
            <w:r w:rsidRPr="007D1918">
              <w:rPr>
                <w:snapToGrid w:val="0"/>
              </w:rPr>
              <w:t>-5 ± 5</w:t>
            </w:r>
          </w:p>
        </w:tc>
        <w:tc>
          <w:tcPr>
            <w:tcW w:w="1355" w:type="pct"/>
            <w:shd w:val="clear" w:color="auto" w:fill="auto"/>
          </w:tcPr>
          <w:p w14:paraId="53D317CC" w14:textId="1B442960" w:rsidR="006A3F0F" w:rsidRPr="007D1918" w:rsidRDefault="006A3F0F" w:rsidP="00F64372">
            <w:pPr>
              <w:pStyle w:val="TableText0"/>
              <w:ind w:right="117"/>
              <w:rPr>
                <w:snapToGrid w:val="0"/>
              </w:rPr>
            </w:pPr>
          </w:p>
          <w:p w14:paraId="6444D3AF" w14:textId="7E9848E8" w:rsidR="006A3F0F" w:rsidRPr="007D1918" w:rsidRDefault="006A3F0F" w:rsidP="00F64372">
            <w:pPr>
              <w:pStyle w:val="TableText0"/>
              <w:ind w:right="117"/>
              <w:rPr>
                <w:snapToGrid w:val="0"/>
              </w:rPr>
            </w:pPr>
            <w:r w:rsidRPr="007D1918">
              <w:rPr>
                <w:snapToGrid w:val="0"/>
              </w:rPr>
              <w:t>0.52</w:t>
            </w:r>
          </w:p>
          <w:p w14:paraId="3F79D3F7" w14:textId="65ADAA57" w:rsidR="006A3F0F" w:rsidRPr="007D1918" w:rsidRDefault="006A3F0F" w:rsidP="00F64372">
            <w:pPr>
              <w:pStyle w:val="TableText0"/>
              <w:ind w:right="117"/>
              <w:rPr>
                <w:snapToGrid w:val="0"/>
              </w:rPr>
            </w:pPr>
            <w:r w:rsidRPr="007D1918">
              <w:rPr>
                <w:snapToGrid w:val="0"/>
              </w:rPr>
              <w:t>0.8</w:t>
            </w:r>
          </w:p>
          <w:p w14:paraId="15E938D2" w14:textId="526CAB4A" w:rsidR="006A3F0F" w:rsidRPr="007D1918" w:rsidRDefault="006A3F0F" w:rsidP="00F64372">
            <w:pPr>
              <w:pStyle w:val="TableText0"/>
              <w:ind w:right="117"/>
              <w:rPr>
                <w:snapToGrid w:val="0"/>
              </w:rPr>
            </w:pPr>
            <w:r w:rsidRPr="007D1918">
              <w:rPr>
                <w:snapToGrid w:val="0"/>
              </w:rPr>
              <w:t>0.2</w:t>
            </w:r>
          </w:p>
        </w:tc>
      </w:tr>
    </w:tbl>
    <w:p w14:paraId="59F0C782" w14:textId="5135013F" w:rsidR="0006777A" w:rsidRPr="007D1918" w:rsidRDefault="0006777A" w:rsidP="00F104CC">
      <w:pPr>
        <w:pStyle w:val="Tablenotes0"/>
        <w:spacing w:after="80"/>
        <w:contextualSpacing w:val="0"/>
      </w:pPr>
      <w:r w:rsidRPr="007D1918">
        <w:t xml:space="preserve">IVIg = intravenous immunoglobulin therapy; </w:t>
      </w:r>
      <w:r w:rsidR="002726A0" w:rsidRPr="007D1918">
        <w:t>MG-QoL = myasthenia gravis quality of life questionnaire</w:t>
      </w:r>
      <w:r w:rsidR="00615277" w:rsidRPr="007D1918">
        <w:t xml:space="preserve"> (15 or 60 </w:t>
      </w:r>
      <w:r w:rsidR="00B3479B" w:rsidRPr="007D1918">
        <w:t xml:space="preserve">item </w:t>
      </w:r>
      <w:r w:rsidR="00615277" w:rsidRPr="007D1918">
        <w:t>version)</w:t>
      </w:r>
      <w:r w:rsidR="002726A0" w:rsidRPr="007D1918">
        <w:t xml:space="preserve">; </w:t>
      </w:r>
      <w:r w:rsidR="006A3F0F" w:rsidRPr="007D1918">
        <w:t xml:space="preserve">PE plasma exchange therapy; </w:t>
      </w:r>
      <w:r w:rsidR="00615277" w:rsidRPr="007D1918">
        <w:t xml:space="preserve">QoL = quality of life; </w:t>
      </w:r>
      <w:r w:rsidR="006A3F0F" w:rsidRPr="007D1918">
        <w:t>SD = standard deviation</w:t>
      </w:r>
    </w:p>
    <w:p w14:paraId="4A849939" w14:textId="724C7376" w:rsidR="006A3F0F" w:rsidRPr="007D1918" w:rsidRDefault="006A3F0F" w:rsidP="005A2FC5">
      <w:pPr>
        <w:pStyle w:val="Tablenotes0"/>
        <w:spacing w:after="0"/>
      </w:pPr>
      <w:r w:rsidRPr="007D1918">
        <w:rPr>
          <w:vertAlign w:val="superscript"/>
        </w:rPr>
        <w:t>a</w:t>
      </w:r>
      <w:r w:rsidRPr="007D1918">
        <w:t xml:space="preserve"> Student </w:t>
      </w:r>
      <w:r w:rsidRPr="007D1918">
        <w:rPr>
          <w:i/>
        </w:rPr>
        <w:t>t-</w:t>
      </w:r>
      <w:r w:rsidRPr="007D1918">
        <w:t xml:space="preserve">test </w:t>
      </w:r>
      <w:r w:rsidR="0075212A" w:rsidRPr="007D1918">
        <w:fldChar w:fldCharType="begin"/>
      </w:r>
      <w:r w:rsidR="00C437BA" w:rsidRPr="007D1918">
        <w:instrText xml:space="preserve"> ADDIN EN.CITE &lt;EndNote&gt;&lt;Cite&gt;&lt;Author&gt;Barnett&lt;/Author&gt;&lt;Year&gt;2013&lt;/Year&gt;&lt;RecNum&gt;18&lt;/RecNum&gt;&lt;DisplayText&gt;(Barnett et al. 2013)&lt;/DisplayText&gt;&lt;record&gt;&lt;rec-number&gt;18&lt;/rec-number&gt;&lt;foreign-keys&gt;&lt;key app="EN" db-id="2aevrx2slsts5ve9sdavatf125dsx0av2v9d" timestamp="1558070750"&gt;18&lt;/key&gt;&lt;/foreign-keys&gt;&lt;ref-type name="Journal Article"&gt;17&lt;/ref-type&gt;&lt;contributors&gt;&lt;authors&gt;&lt;author&gt;Barnett, C.&lt;/author&gt;&lt;author&gt;Wilson, G.&lt;/author&gt;&lt;author&gt;Barth, D.&lt;/author&gt;&lt;author&gt;Katzberg, H. D.&lt;/author&gt;&lt;author&gt;Bril, V.&lt;/author&gt;&lt;/authors&gt;&lt;/contributors&gt;&lt;titles&gt;&lt;title&gt;Changes in quality of life scores with intravenous immunoglobulin or plasmapheresis in patients with myasthenia gravis&lt;/title&gt;&lt;secondary-title&gt;Journal of neurology, neurosurgery, and psychiatry&lt;/secondary-title&gt;&lt;/titles&gt;&lt;periodical&gt;&lt;full-title&gt;Journal of neurology, neurosurgery, and psychiatry&lt;/full-title&gt;&lt;/periodical&gt;&lt;pages&gt;94</w:instrText>
      </w:r>
      <w:r w:rsidR="00C437BA" w:rsidRPr="007D1918">
        <w:rPr>
          <w:rFonts w:ascii="Cambria Math" w:hAnsi="Cambria Math" w:cs="Cambria Math"/>
        </w:rPr>
        <w:instrText>‐</w:instrText>
      </w:r>
      <w:r w:rsidR="00C437BA" w:rsidRPr="007D1918">
        <w:instrText>97&lt;/pages&gt;&lt;volume&gt;84&lt;/volume&gt;&lt;number&gt;1&lt;/number&gt;&lt;keywords&gt;&lt;keyword&gt;Female&lt;/keyword&gt;&lt;keyword&gt;Humans&lt;/keyword&gt;&lt;keyword&gt;Immunoglobulins, Intravenous [*therapeutic use]&lt;/keyword&gt;&lt;keyword&gt;Immunologic Factors [therapeutic use]&lt;/keyword&gt;&lt;keyword&gt;Male&lt;/keyword&gt;&lt;keyword&gt;Middle Aged&lt;/keyword&gt;&lt;keyword&gt;Myasthenia Gravis [*drug therapy, psychology, *therapy]&lt;/keyword&gt;&lt;keyword&gt;Plasmapheresis [methods, *psychology]&lt;/keyword&gt;&lt;keyword&gt;Quality of Life [*psychology]&lt;/keyword&gt;&lt;keyword&gt;Single</w:instrText>
      </w:r>
      <w:r w:rsidR="00C437BA" w:rsidRPr="007D1918">
        <w:rPr>
          <w:rFonts w:ascii="Cambria Math" w:hAnsi="Cambria Math" w:cs="Cambria Math"/>
        </w:rPr>
        <w:instrText>‐</w:instrText>
      </w:r>
      <w:r w:rsidR="00C437BA" w:rsidRPr="007D1918">
        <w:instrText>Blind Method&lt;/keyword&gt;&lt;keyword&gt;Surveys and Questionnaires&lt;/keyword&gt;&lt;/keywords&gt;&lt;dates&gt;&lt;year&gt;2013&lt;/year&gt;&lt;/dates&gt;&lt;accession-num&gt;CN-00841730&lt;/accession-num&gt;&lt;work-type&gt;Journal Article; Randomized Controlled Trial&lt;/work-type&gt;&lt;urls&gt;&lt;related-urls&gt;&lt;url&gt;https://www.cochranelibrary.com/central/doi/10.1002/central/CN-00841730/full&lt;/url&gt;&lt;url&gt;https://jnnp.bmj.com/content/jnnp/84/1/94.full.pdf&lt;/url&gt;&lt;/related-urls&gt;&lt;/urls&gt;&lt;custom3&gt;PUBMED 23154126&lt;/custom3&gt;&lt;electronic-resource-num&gt;10.1136/jnnp-2011-301449&lt;/electronic-resource-num&gt;&lt;/record&gt;&lt;/Cite&gt;&lt;/EndNote&gt;</w:instrText>
      </w:r>
      <w:r w:rsidR="0075212A" w:rsidRPr="007D1918">
        <w:fldChar w:fldCharType="separate"/>
      </w:r>
      <w:r w:rsidR="0075212A" w:rsidRPr="007D1918">
        <w:rPr>
          <w:noProof/>
        </w:rPr>
        <w:t>(</w:t>
      </w:r>
      <w:hyperlink w:anchor="_ENREF_7" w:tooltip="Barnett, 2013 #18" w:history="1">
        <w:r w:rsidR="007D4948" w:rsidRPr="007D1918">
          <w:rPr>
            <w:noProof/>
          </w:rPr>
          <w:t>Barnett et al. 2013</w:t>
        </w:r>
      </w:hyperlink>
      <w:r w:rsidR="0075212A" w:rsidRPr="007D1918">
        <w:rPr>
          <w:noProof/>
        </w:rPr>
        <w:t>)</w:t>
      </w:r>
      <w:r w:rsidR="0075212A" w:rsidRPr="007D1918">
        <w:fldChar w:fldCharType="end"/>
      </w:r>
    </w:p>
    <w:p w14:paraId="3A778EF3" w14:textId="77777777" w:rsidR="00F070CD" w:rsidRPr="007D1918" w:rsidRDefault="00F070CD" w:rsidP="005A2FC5">
      <w:pPr>
        <w:pStyle w:val="Tabletext1"/>
      </w:pPr>
    </w:p>
    <w:p w14:paraId="3D93C31C" w14:textId="55F45AA5" w:rsidR="00467FA2" w:rsidRPr="007D1918" w:rsidRDefault="00467FA2" w:rsidP="00467FA2">
      <w:pPr>
        <w:pStyle w:val="Heading4"/>
      </w:pPr>
      <w:r w:rsidRPr="007D1918">
        <w:t>Rate of remission</w:t>
      </w:r>
      <w:r w:rsidR="008C774D" w:rsidRPr="007D1918">
        <w:t xml:space="preserve"> in adults receiving maintenance IVIg or PE</w:t>
      </w:r>
    </w:p>
    <w:p w14:paraId="68B0CF4D" w14:textId="029B0D83" w:rsidR="00467FA2" w:rsidRPr="007D1918" w:rsidRDefault="002726A0" w:rsidP="00015998">
      <w:pPr>
        <w:jc w:val="both"/>
      </w:pPr>
      <w:r w:rsidRPr="007D1918">
        <w:t>O</w:t>
      </w:r>
      <w:r w:rsidR="0092416A" w:rsidRPr="007D1918">
        <w:t xml:space="preserve">ne RCT </w:t>
      </w:r>
      <w:r w:rsidR="00015998" w:rsidRPr="007D1918">
        <w:t xml:space="preserve">(n = 30) </w:t>
      </w:r>
      <w:r w:rsidRPr="007D1918">
        <w:t>reported on</w:t>
      </w:r>
      <w:r w:rsidR="0092416A" w:rsidRPr="007D1918">
        <w:t xml:space="preserve"> the time to </w:t>
      </w:r>
      <w:r w:rsidRPr="007D1918">
        <w:t xml:space="preserve">remission and compared the outcome between </w:t>
      </w:r>
      <w:r w:rsidR="00626112" w:rsidRPr="007D1918">
        <w:t xml:space="preserve">late-onset </w:t>
      </w:r>
      <w:r w:rsidRPr="007D1918">
        <w:t xml:space="preserve">patients treated with IVIg and PE maintenance therapy </w:t>
      </w:r>
      <w:r w:rsidR="0075212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 </w:instrText>
      </w:r>
      <w:r w:rsidR="00C437B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3" w:tooltip="Liu, 2010 #56" w:history="1">
        <w:r w:rsidR="007D4948" w:rsidRPr="007D1918">
          <w:rPr>
            <w:noProof/>
          </w:rPr>
          <w:t>Liu et al. 2010</w:t>
        </w:r>
      </w:hyperlink>
      <w:r w:rsidR="0075212A" w:rsidRPr="007D1918">
        <w:rPr>
          <w:noProof/>
        </w:rPr>
        <w:t>)</w:t>
      </w:r>
      <w:r w:rsidR="0075212A" w:rsidRPr="007D1918">
        <w:fldChar w:fldCharType="end"/>
      </w:r>
      <w:r w:rsidRPr="007D1918">
        <w:t>.</w:t>
      </w:r>
      <w:r w:rsidR="007631D0" w:rsidRPr="007D1918">
        <w:t xml:space="preserve"> </w:t>
      </w:r>
      <w:r w:rsidR="0092416A" w:rsidRPr="007D1918">
        <w:t xml:space="preserve">A classification of remission was based on relative score for therapeutic efficacy. The relative score was calculated as (pre-QMGS – post-QMGS)/pre-QMGS. A score </w:t>
      </w:r>
      <w:r w:rsidR="00015998" w:rsidRPr="007D1918">
        <w:t xml:space="preserve">of </w:t>
      </w:r>
      <w:r w:rsidR="0092416A" w:rsidRPr="007D1918">
        <w:rPr>
          <w:rFonts w:cs="Calibri"/>
        </w:rPr>
        <w:t>≥</w:t>
      </w:r>
      <w:r w:rsidR="00015998" w:rsidRPr="007D1918">
        <w:t xml:space="preserve"> </w:t>
      </w:r>
      <w:r w:rsidR="0092416A" w:rsidRPr="007D1918">
        <w:t xml:space="preserve">95% was classed as a recovery, 80-95% as partial recovery, 50-80% as notably effective, 25-50% as improvement and </w:t>
      </w:r>
      <w:r w:rsidR="0092416A" w:rsidRPr="007D1918">
        <w:rPr>
          <w:rFonts w:cs="Calibri"/>
        </w:rPr>
        <w:t>≤</w:t>
      </w:r>
      <w:r w:rsidR="0092416A" w:rsidRPr="007D1918">
        <w:t xml:space="preserve"> 25% as ineffective. </w:t>
      </w:r>
      <w:r w:rsidR="00015998" w:rsidRPr="007D1918">
        <w:t xml:space="preserve">A score above 25% was classed as clinical remission, and above 50% as clinically effective. </w:t>
      </w:r>
      <w:r w:rsidR="00346C43" w:rsidRPr="007D1918">
        <w:t xml:space="preserve">Fourteen days after the beginning of treatment, 80% of patients receiving PE had a relative score indicating treatment was clinically effective, compared to 40% of the patients receiving IVIg. The proportion of patients achieving remission was not reported. </w:t>
      </w:r>
      <w:r w:rsidR="00015998" w:rsidRPr="007D1918">
        <w:t xml:space="preserve">The relationship of remission time to </w:t>
      </w:r>
      <w:r w:rsidR="00346C43" w:rsidRPr="007D1918">
        <w:t xml:space="preserve">relative </w:t>
      </w:r>
      <w:r w:rsidR="00015998" w:rsidRPr="007D1918">
        <w:t>scores was not defined in the article, however, the time</w:t>
      </w:r>
      <w:r w:rsidR="005B141D" w:rsidRPr="007D1918">
        <w:t xml:space="preserve"> to remission</w:t>
      </w:r>
      <w:r w:rsidR="00015998" w:rsidRPr="007D1918">
        <w:t xml:space="preserve"> for the PE group was significantly lower than the IVIg group</w:t>
      </w:r>
      <w:r w:rsidR="003F04C7" w:rsidRPr="007D1918">
        <w:t xml:space="preserve"> (</w:t>
      </w:r>
      <w:r w:rsidR="00F104CC" w:rsidRPr="007D1918">
        <w:fldChar w:fldCharType="begin"/>
      </w:r>
      <w:r w:rsidR="00F104CC" w:rsidRPr="007D1918">
        <w:instrText xml:space="preserve"> REF _Ref10715166 \h </w:instrText>
      </w:r>
      <w:r w:rsidR="00E07567" w:rsidRPr="007D1918">
        <w:instrText xml:space="preserve"> \* MERGEFORMAT </w:instrText>
      </w:r>
      <w:r w:rsidR="00F104CC" w:rsidRPr="007D1918">
        <w:fldChar w:fldCharType="separate"/>
      </w:r>
      <w:r w:rsidR="00153384" w:rsidRPr="007D1918">
        <w:t xml:space="preserve">Table </w:t>
      </w:r>
      <w:r w:rsidR="00153384" w:rsidRPr="007D1918">
        <w:rPr>
          <w:noProof/>
        </w:rPr>
        <w:t>41</w:t>
      </w:r>
      <w:r w:rsidR="00F104CC" w:rsidRPr="007D1918">
        <w:fldChar w:fldCharType="end"/>
      </w:r>
      <w:r w:rsidR="003F04C7" w:rsidRPr="007D1918">
        <w:t>)</w:t>
      </w:r>
      <w:r w:rsidR="00015998" w:rsidRPr="007D1918">
        <w:t>.</w:t>
      </w:r>
    </w:p>
    <w:p w14:paraId="6E1483B2" w14:textId="1D3D5B41" w:rsidR="0092416A" w:rsidRPr="007D1918" w:rsidRDefault="0092416A" w:rsidP="0092416A">
      <w:pPr>
        <w:pStyle w:val="Caption"/>
        <w:keepNext/>
        <w:keepLines/>
        <w:jc w:val="both"/>
        <w:rPr>
          <w:rFonts w:cs="Arial"/>
          <w:snapToGrid w:val="0"/>
          <w:szCs w:val="16"/>
          <w:lang w:eastAsia="en-US"/>
        </w:rPr>
      </w:pPr>
      <w:bookmarkStart w:id="287" w:name="_Ref10715166"/>
      <w:bookmarkStart w:id="288" w:name="_Toc23769528"/>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41</w:t>
      </w:r>
      <w:r w:rsidRPr="007D1918">
        <w:rPr>
          <w:noProof/>
        </w:rPr>
        <w:fldChar w:fldCharType="end"/>
      </w:r>
      <w:bookmarkEnd w:id="287"/>
      <w:r w:rsidRPr="007D1918">
        <w:tab/>
      </w:r>
      <w:r w:rsidRPr="007D1918">
        <w:rPr>
          <w:rFonts w:cs="Arial"/>
          <w:snapToGrid w:val="0"/>
          <w:szCs w:val="16"/>
          <w:lang w:eastAsia="en-US"/>
        </w:rPr>
        <w:t xml:space="preserve">Remission time for patients receiving either IVIg or PE maintenance therapy </w:t>
      </w:r>
      <w:r w:rsidR="0075212A" w:rsidRPr="007D1918">
        <w:rPr>
          <w:rFonts w:cs="Arial"/>
          <w:snapToGrid w:val="0"/>
          <w:szCs w:val="16"/>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rFonts w:cs="Arial"/>
          <w:snapToGrid w:val="0"/>
          <w:szCs w:val="16"/>
          <w:lang w:eastAsia="en-US"/>
        </w:rPr>
        <w:instrText xml:space="preserve"> ADDIN EN.CITE </w:instrText>
      </w:r>
      <w:r w:rsidR="00C437BA" w:rsidRPr="007D1918">
        <w:rPr>
          <w:rFonts w:cs="Arial"/>
          <w:snapToGrid w:val="0"/>
          <w:szCs w:val="16"/>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rFonts w:cs="Arial"/>
          <w:snapToGrid w:val="0"/>
          <w:szCs w:val="16"/>
          <w:lang w:eastAsia="en-US"/>
        </w:rPr>
        <w:instrText xml:space="preserve"> ADDIN EN.CITE.DATA </w:instrText>
      </w:r>
      <w:r w:rsidR="00C437BA" w:rsidRPr="007D1918">
        <w:rPr>
          <w:rFonts w:cs="Arial"/>
          <w:snapToGrid w:val="0"/>
          <w:szCs w:val="16"/>
          <w:lang w:eastAsia="en-US"/>
        </w:rPr>
      </w:r>
      <w:r w:rsidR="00C437BA" w:rsidRPr="007D1918">
        <w:rPr>
          <w:rFonts w:cs="Arial"/>
          <w:snapToGrid w:val="0"/>
          <w:szCs w:val="16"/>
          <w:lang w:eastAsia="en-US"/>
        </w:rPr>
        <w:fldChar w:fldCharType="end"/>
      </w:r>
      <w:r w:rsidR="0075212A" w:rsidRPr="007D1918">
        <w:rPr>
          <w:rFonts w:cs="Arial"/>
          <w:snapToGrid w:val="0"/>
          <w:szCs w:val="16"/>
          <w:lang w:eastAsia="en-US"/>
        </w:rPr>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63" w:tooltip="Liu, 2010 #56" w:history="1">
        <w:r w:rsidR="007D4948" w:rsidRPr="007D1918">
          <w:rPr>
            <w:rFonts w:cs="Arial"/>
            <w:noProof/>
            <w:snapToGrid w:val="0"/>
            <w:szCs w:val="16"/>
            <w:lang w:eastAsia="en-US"/>
          </w:rPr>
          <w:t>Liu et al. 2010</w:t>
        </w:r>
      </w:hyperlink>
      <w:r w:rsidR="0075212A" w:rsidRPr="007D1918">
        <w:rPr>
          <w:rFonts w:cs="Arial"/>
          <w:noProof/>
          <w:snapToGrid w:val="0"/>
          <w:szCs w:val="16"/>
          <w:lang w:eastAsia="en-US"/>
        </w:rPr>
        <w:t>)</w:t>
      </w:r>
      <w:bookmarkEnd w:id="288"/>
      <w:r w:rsidR="0075212A" w:rsidRPr="007D1918">
        <w:rPr>
          <w:rFonts w:cs="Arial"/>
          <w:snapToGrid w:val="0"/>
          <w:szCs w:val="16"/>
          <w:lang w:eastAsia="en-US"/>
        </w:rPr>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39 Remission time for patients receiving either IVIg or PE maintenance therapy (Liu et al. 2010)"/>
        <w:tblDescription w:val="Remission time in days comapred between patients receiving IVIg or PE maintenance therapy (Indication 3)."/>
      </w:tblPr>
      <w:tblGrid>
        <w:gridCol w:w="2376"/>
        <w:gridCol w:w="1986"/>
        <w:gridCol w:w="2125"/>
        <w:gridCol w:w="2412"/>
      </w:tblGrid>
      <w:tr w:rsidR="0092416A" w:rsidRPr="007D1918" w14:paraId="13BB70A9" w14:textId="77777777" w:rsidTr="00CF11FF">
        <w:tc>
          <w:tcPr>
            <w:tcW w:w="1335" w:type="pct"/>
          </w:tcPr>
          <w:p w14:paraId="240D2479" w14:textId="4BECE189" w:rsidR="0092416A" w:rsidRPr="007D1918" w:rsidRDefault="0092416A" w:rsidP="00F64372">
            <w:pPr>
              <w:pStyle w:val="TableHeading"/>
              <w:keepLines/>
              <w:ind w:left="16" w:right="117"/>
              <w:rPr>
                <w:snapToGrid w:val="0"/>
                <w:lang w:eastAsia="en-US"/>
              </w:rPr>
            </w:pPr>
            <w:r w:rsidRPr="007D1918">
              <w:rPr>
                <w:snapToGrid w:val="0"/>
                <w:lang w:eastAsia="en-US"/>
              </w:rPr>
              <w:t>Measure</w:t>
            </w:r>
          </w:p>
        </w:tc>
        <w:tc>
          <w:tcPr>
            <w:tcW w:w="1116" w:type="pct"/>
            <w:shd w:val="clear" w:color="auto" w:fill="auto"/>
          </w:tcPr>
          <w:p w14:paraId="273D0382" w14:textId="77777777" w:rsidR="0092416A" w:rsidRPr="007D1918" w:rsidRDefault="0092416A" w:rsidP="00F64372">
            <w:pPr>
              <w:pStyle w:val="TableHeading"/>
              <w:keepLines/>
              <w:ind w:left="111" w:right="117"/>
              <w:rPr>
                <w:snapToGrid w:val="0"/>
                <w:lang w:eastAsia="en-US"/>
              </w:rPr>
            </w:pPr>
            <w:r w:rsidRPr="007D1918">
              <w:rPr>
                <w:snapToGrid w:val="0"/>
                <w:lang w:eastAsia="en-US"/>
              </w:rPr>
              <w:t>IVIg</w:t>
            </w:r>
          </w:p>
          <w:p w14:paraId="6ABC6BFD" w14:textId="2B24F138" w:rsidR="0092416A" w:rsidRPr="007D1918" w:rsidRDefault="00872DD1" w:rsidP="00F64372">
            <w:pPr>
              <w:pStyle w:val="TableHeading"/>
              <w:keepLines/>
              <w:ind w:left="111" w:right="117"/>
              <w:rPr>
                <w:snapToGrid w:val="0"/>
                <w:lang w:eastAsia="en-US"/>
              </w:rPr>
            </w:pPr>
            <w:r w:rsidRPr="007D1918">
              <w:rPr>
                <w:snapToGrid w:val="0"/>
                <w:lang w:eastAsia="en-US"/>
              </w:rPr>
              <w:t>mean ± SD</w:t>
            </w:r>
          </w:p>
        </w:tc>
        <w:tc>
          <w:tcPr>
            <w:tcW w:w="1194" w:type="pct"/>
            <w:shd w:val="clear" w:color="auto" w:fill="auto"/>
          </w:tcPr>
          <w:p w14:paraId="5987B9FA" w14:textId="77777777" w:rsidR="0092416A" w:rsidRPr="007D1918" w:rsidRDefault="0092416A" w:rsidP="00F64372">
            <w:pPr>
              <w:pStyle w:val="TableHeading"/>
              <w:keepLines/>
              <w:ind w:left="77" w:right="117"/>
              <w:rPr>
                <w:snapToGrid w:val="0"/>
                <w:lang w:eastAsia="en-US"/>
              </w:rPr>
            </w:pPr>
            <w:r w:rsidRPr="007D1918">
              <w:rPr>
                <w:snapToGrid w:val="0"/>
                <w:lang w:eastAsia="en-US"/>
              </w:rPr>
              <w:t>PE</w:t>
            </w:r>
          </w:p>
          <w:p w14:paraId="46F68955" w14:textId="139EB34B" w:rsidR="0092416A" w:rsidRPr="007D1918" w:rsidRDefault="00872DD1" w:rsidP="00F64372">
            <w:pPr>
              <w:pStyle w:val="TableHeading"/>
              <w:keepLines/>
              <w:ind w:left="77" w:right="117"/>
              <w:rPr>
                <w:snapToGrid w:val="0"/>
                <w:lang w:eastAsia="en-US"/>
              </w:rPr>
            </w:pPr>
            <w:r w:rsidRPr="007D1918">
              <w:rPr>
                <w:snapToGrid w:val="0"/>
                <w:lang w:eastAsia="en-US"/>
              </w:rPr>
              <w:t>mean ± SD</w:t>
            </w:r>
          </w:p>
        </w:tc>
        <w:tc>
          <w:tcPr>
            <w:tcW w:w="1355" w:type="pct"/>
            <w:shd w:val="clear" w:color="auto" w:fill="auto"/>
          </w:tcPr>
          <w:p w14:paraId="095039FD" w14:textId="2F8272F5" w:rsidR="0092416A" w:rsidRPr="007D1918" w:rsidRDefault="00755618" w:rsidP="00F64372">
            <w:pPr>
              <w:pStyle w:val="TableHeading"/>
              <w:keepLines/>
              <w:ind w:right="117"/>
              <w:rPr>
                <w:snapToGrid w:val="0"/>
                <w:lang w:eastAsia="en-US"/>
              </w:rPr>
            </w:pPr>
            <w:r w:rsidRPr="007D1918">
              <w:rPr>
                <w:snapToGrid w:val="0"/>
                <w:lang w:eastAsia="en-US"/>
              </w:rPr>
              <w:t>D</w:t>
            </w:r>
            <w:r w:rsidR="0092416A" w:rsidRPr="007D1918">
              <w:rPr>
                <w:snapToGrid w:val="0"/>
                <w:lang w:eastAsia="en-US"/>
              </w:rPr>
              <w:t>ifference</w:t>
            </w:r>
          </w:p>
          <w:p w14:paraId="65CD657E" w14:textId="10F0E609" w:rsidR="0092416A" w:rsidRPr="007D1918" w:rsidRDefault="005B141D" w:rsidP="00F64372">
            <w:pPr>
              <w:pStyle w:val="TableHeading"/>
              <w:keepLines/>
              <w:ind w:right="117"/>
              <w:rPr>
                <w:snapToGrid w:val="0"/>
                <w:vertAlign w:val="superscript"/>
                <w:lang w:eastAsia="en-US"/>
              </w:rPr>
            </w:pPr>
            <w:r w:rsidRPr="007D1918">
              <w:rPr>
                <w:snapToGrid w:val="0"/>
                <w:lang w:eastAsia="en-US"/>
              </w:rPr>
              <w:t>p-value</w:t>
            </w:r>
            <w:r w:rsidRPr="007D1918">
              <w:rPr>
                <w:snapToGrid w:val="0"/>
                <w:vertAlign w:val="superscript"/>
                <w:lang w:eastAsia="en-US"/>
              </w:rPr>
              <w:t>b</w:t>
            </w:r>
          </w:p>
        </w:tc>
      </w:tr>
      <w:tr w:rsidR="0092416A" w:rsidRPr="007D1918" w14:paraId="2257A088" w14:textId="77777777" w:rsidTr="00CF11FF">
        <w:trPr>
          <w:trHeight w:val="473"/>
        </w:trPr>
        <w:tc>
          <w:tcPr>
            <w:tcW w:w="1335" w:type="pct"/>
          </w:tcPr>
          <w:p w14:paraId="251893CD" w14:textId="4A50EDD5" w:rsidR="0092416A" w:rsidRPr="007D1918" w:rsidRDefault="0092416A" w:rsidP="0092416A">
            <w:pPr>
              <w:pStyle w:val="TableText0"/>
              <w:ind w:right="119"/>
              <w:rPr>
                <w:snapToGrid w:val="0"/>
              </w:rPr>
            </w:pPr>
            <w:r w:rsidRPr="007D1918">
              <w:rPr>
                <w:snapToGrid w:val="0"/>
              </w:rPr>
              <w:t>Remission time (days)</w:t>
            </w:r>
            <w:r w:rsidR="002D399D" w:rsidRPr="007D1918">
              <w:rPr>
                <w:snapToGrid w:val="0"/>
                <w:vertAlign w:val="superscript"/>
              </w:rPr>
              <w:t>a</w:t>
            </w:r>
          </w:p>
        </w:tc>
        <w:tc>
          <w:tcPr>
            <w:tcW w:w="1116" w:type="pct"/>
            <w:shd w:val="clear" w:color="auto" w:fill="auto"/>
          </w:tcPr>
          <w:p w14:paraId="63BC043E" w14:textId="442B61F2" w:rsidR="0092416A" w:rsidRPr="007D1918" w:rsidRDefault="0092416A" w:rsidP="0092416A">
            <w:pPr>
              <w:pStyle w:val="TableText0"/>
              <w:ind w:left="111" w:right="117"/>
              <w:rPr>
                <w:snapToGrid w:val="0"/>
              </w:rPr>
            </w:pPr>
            <w:r w:rsidRPr="007D1918">
              <w:rPr>
                <w:snapToGrid w:val="0"/>
              </w:rPr>
              <w:t>8.4 ± 1.54</w:t>
            </w:r>
          </w:p>
        </w:tc>
        <w:tc>
          <w:tcPr>
            <w:tcW w:w="1194" w:type="pct"/>
            <w:shd w:val="clear" w:color="auto" w:fill="auto"/>
          </w:tcPr>
          <w:p w14:paraId="55B30059" w14:textId="7B3EF7D7" w:rsidR="0092416A" w:rsidRPr="007D1918" w:rsidRDefault="0092416A" w:rsidP="0092416A">
            <w:pPr>
              <w:pStyle w:val="TableText0"/>
              <w:ind w:left="77" w:right="117"/>
              <w:rPr>
                <w:snapToGrid w:val="0"/>
              </w:rPr>
            </w:pPr>
            <w:r w:rsidRPr="007D1918">
              <w:rPr>
                <w:snapToGrid w:val="0"/>
              </w:rPr>
              <w:t>6.7 ± 0.34</w:t>
            </w:r>
          </w:p>
        </w:tc>
        <w:tc>
          <w:tcPr>
            <w:tcW w:w="1355" w:type="pct"/>
            <w:shd w:val="clear" w:color="auto" w:fill="auto"/>
          </w:tcPr>
          <w:p w14:paraId="7A943239" w14:textId="5B58DDB9" w:rsidR="0092416A" w:rsidRPr="007D1918" w:rsidRDefault="0092416A" w:rsidP="0092416A">
            <w:pPr>
              <w:pStyle w:val="TableText0"/>
              <w:ind w:right="117"/>
              <w:rPr>
                <w:snapToGrid w:val="0"/>
              </w:rPr>
            </w:pPr>
            <w:r w:rsidRPr="007D1918">
              <w:rPr>
                <w:snapToGrid w:val="0"/>
              </w:rPr>
              <w:t>P &lt; 0.01</w:t>
            </w:r>
          </w:p>
        </w:tc>
      </w:tr>
    </w:tbl>
    <w:p w14:paraId="6A4E2AAA" w14:textId="1410B2AF" w:rsidR="00015998" w:rsidRPr="007D1918" w:rsidRDefault="00015998" w:rsidP="00F104CC">
      <w:pPr>
        <w:pStyle w:val="Tablenotes0"/>
        <w:spacing w:after="80"/>
        <w:contextualSpacing w:val="0"/>
      </w:pPr>
      <w:r w:rsidRPr="007D1918">
        <w:t xml:space="preserve">IVIg = intravenous immunoglobulin therapy; PE plasma exchange therapy; </w:t>
      </w:r>
      <w:r w:rsidR="00615277" w:rsidRPr="007D1918">
        <w:t>SD = standard deviation</w:t>
      </w:r>
    </w:p>
    <w:p w14:paraId="56A08B41" w14:textId="316C3F73" w:rsidR="00015998" w:rsidRPr="007D1918" w:rsidRDefault="002D399D" w:rsidP="00E6429D">
      <w:pPr>
        <w:pStyle w:val="Tablenotes0"/>
      </w:pPr>
      <w:r w:rsidRPr="007D1918">
        <w:rPr>
          <w:vertAlign w:val="superscript"/>
        </w:rPr>
        <w:t>a</w:t>
      </w:r>
      <w:r w:rsidRPr="007D1918">
        <w:t xml:space="preserve"> Clinical remission was defined as a relative score &gt; 25% </w:t>
      </w:r>
    </w:p>
    <w:p w14:paraId="04B5A77D" w14:textId="5263D3F9" w:rsidR="005B141D" w:rsidRPr="007D1918" w:rsidRDefault="005B141D" w:rsidP="005A2FC5">
      <w:pPr>
        <w:pStyle w:val="Tablenotes0"/>
        <w:spacing w:after="0"/>
      </w:pPr>
      <w:r w:rsidRPr="007D1918">
        <w:rPr>
          <w:vertAlign w:val="superscript"/>
        </w:rPr>
        <w:t>b</w:t>
      </w:r>
      <w:r w:rsidRPr="007D1918">
        <w:t xml:space="preserve"> Paired </w:t>
      </w:r>
      <w:r w:rsidRPr="007D1918">
        <w:rPr>
          <w:i/>
        </w:rPr>
        <w:t>t-</w:t>
      </w:r>
      <w:r w:rsidRPr="007D1918">
        <w:t xml:space="preserve">test </w:t>
      </w:r>
      <w:r w:rsidR="0075212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 </w:instrText>
      </w:r>
      <w:r w:rsidR="00C437B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3" w:tooltip="Liu, 2010 #56" w:history="1">
        <w:r w:rsidR="007D4948" w:rsidRPr="007D1918">
          <w:rPr>
            <w:noProof/>
          </w:rPr>
          <w:t>Liu et al. 2010</w:t>
        </w:r>
      </w:hyperlink>
      <w:r w:rsidR="0075212A" w:rsidRPr="007D1918">
        <w:rPr>
          <w:noProof/>
        </w:rPr>
        <w:t>)</w:t>
      </w:r>
      <w:r w:rsidR="0075212A" w:rsidRPr="007D1918">
        <w:fldChar w:fldCharType="end"/>
      </w:r>
    </w:p>
    <w:p w14:paraId="620DBDC6" w14:textId="77777777" w:rsidR="00467FA2" w:rsidRPr="007D1918" w:rsidRDefault="00467FA2" w:rsidP="005A2FC5">
      <w:pPr>
        <w:pStyle w:val="Tabletext1"/>
      </w:pPr>
    </w:p>
    <w:p w14:paraId="443637FC" w14:textId="77777777" w:rsidR="00467FA2" w:rsidRPr="007D1918" w:rsidRDefault="00467FA2" w:rsidP="00467FA2">
      <w:pPr>
        <w:pStyle w:val="Heading4"/>
      </w:pPr>
      <w:r w:rsidRPr="007D1918">
        <w:lastRenderedPageBreak/>
        <w:t>Disease stability</w:t>
      </w:r>
    </w:p>
    <w:p w14:paraId="6F0E9D54" w14:textId="240DB863" w:rsidR="00467FA2" w:rsidRPr="007D1918" w:rsidRDefault="00BF109C" w:rsidP="00467FA2">
      <w:r w:rsidRPr="007D1918">
        <w:t xml:space="preserve">No studies </w:t>
      </w:r>
      <w:r w:rsidR="00546F11" w:rsidRPr="007D1918">
        <w:t xml:space="preserve">meeting the inclusion criteria </w:t>
      </w:r>
      <w:r w:rsidRPr="007D1918">
        <w:t>reported on this outcome</w:t>
      </w:r>
      <w:r w:rsidR="0002607A" w:rsidRPr="007D1918">
        <w:t xml:space="preserve"> in maintenance populations.</w:t>
      </w:r>
    </w:p>
    <w:p w14:paraId="5DCF9663" w14:textId="77777777" w:rsidR="00467FA2" w:rsidRPr="007D1918" w:rsidRDefault="00467FA2" w:rsidP="00467FA2">
      <w:pPr>
        <w:pStyle w:val="Heading4"/>
      </w:pPr>
      <w:r w:rsidRPr="007D1918">
        <w:t>Time to relapse</w:t>
      </w:r>
    </w:p>
    <w:p w14:paraId="7A663CC0" w14:textId="77777777" w:rsidR="00546F11" w:rsidRPr="007D1918" w:rsidRDefault="00546F11" w:rsidP="00546F11">
      <w:r w:rsidRPr="007D1918">
        <w:t>No studies meeting the inclusion criteria reported on this outcome in maintenance populations.</w:t>
      </w:r>
    </w:p>
    <w:p w14:paraId="466EFC8F" w14:textId="30E8DCCE" w:rsidR="00467FA2" w:rsidRPr="007D1918" w:rsidRDefault="00467FA2" w:rsidP="00467FA2">
      <w:pPr>
        <w:pStyle w:val="Heading4"/>
      </w:pPr>
      <w:r w:rsidRPr="007D1918">
        <w:t>Need for ventilation or other life support systems</w:t>
      </w:r>
      <w:r w:rsidR="003E3B37" w:rsidRPr="007D1918">
        <w:t xml:space="preserve"> </w:t>
      </w:r>
      <w:r w:rsidR="00D95E2D" w:rsidRPr="007D1918">
        <w:t>in adults receiving maintenance IVIg or PE</w:t>
      </w:r>
    </w:p>
    <w:p w14:paraId="2ADBC3FB" w14:textId="24265DDA" w:rsidR="00467FA2" w:rsidRPr="007D1918" w:rsidRDefault="00AA3C71" w:rsidP="00DA1A18">
      <w:pPr>
        <w:jc w:val="both"/>
      </w:pPr>
      <w:r w:rsidRPr="007D1918">
        <w:t xml:space="preserve">The </w:t>
      </w:r>
      <w:r w:rsidR="00BE1F37" w:rsidRPr="007D1918">
        <w:t xml:space="preserve">RCT by Liu et al </w:t>
      </w:r>
      <w:r w:rsidR="003736AC"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7D4948" w:rsidRPr="007D1918">
        <w:instrText xml:space="preserve"> ADDIN EN.CITE </w:instrText>
      </w:r>
      <w:r w:rsidR="007D4948"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63" w:tooltip="Liu, 2010 #56" w:history="1">
        <w:r w:rsidR="007D4948" w:rsidRPr="007D1918">
          <w:rPr>
            <w:noProof/>
          </w:rPr>
          <w:t>Liu et al. 2010</w:t>
        </w:r>
      </w:hyperlink>
      <w:r w:rsidR="007D4948" w:rsidRPr="007D1918">
        <w:rPr>
          <w:noProof/>
        </w:rPr>
        <w:t>)</w:t>
      </w:r>
      <w:r w:rsidR="003736AC" w:rsidRPr="007D1918">
        <w:fldChar w:fldCharType="end"/>
      </w:r>
      <w:r w:rsidR="00827FB0" w:rsidRPr="007D1918">
        <w:t xml:space="preserve"> </w:t>
      </w:r>
      <w:r w:rsidR="00BE1F37" w:rsidRPr="007D1918">
        <w:t>reported the number of patients requiring mechanical ventilation during the study period</w:t>
      </w:r>
      <w:r w:rsidR="00DA1A18" w:rsidRPr="007D1918">
        <w:t>, after 14 days from start of treatment</w:t>
      </w:r>
      <w:r w:rsidR="00BE1F37" w:rsidRPr="007D1918">
        <w:t xml:space="preserve">. </w:t>
      </w:r>
      <w:r w:rsidR="00DA1A18" w:rsidRPr="007D1918">
        <w:t xml:space="preserve">The </w:t>
      </w:r>
      <w:r w:rsidR="003F570C" w:rsidRPr="007D1918">
        <w:t xml:space="preserve">number needing support decreased in the group who received PE, and the outcome </w:t>
      </w:r>
      <w:r w:rsidR="00DA1A18" w:rsidRPr="007D1918">
        <w:t>f</w:t>
      </w:r>
      <w:r w:rsidR="003F570C" w:rsidRPr="007D1918">
        <w:t>avoured PE over IVIg (p &lt; 0.05).</w:t>
      </w:r>
      <w:r w:rsidR="00DA1A18" w:rsidRPr="007D1918">
        <w:t xml:space="preserve"> </w:t>
      </w:r>
      <w:r w:rsidR="003F570C" w:rsidRPr="007D1918">
        <w:t>I</w:t>
      </w:r>
      <w:r w:rsidR="00DA1A18" w:rsidRPr="007D1918">
        <w:t>t was not stated how many patients were on ventilators at the start of the trial</w:t>
      </w:r>
      <w:r w:rsidR="003F570C" w:rsidRPr="007D1918">
        <w:t xml:space="preserve"> in either group</w:t>
      </w:r>
      <w:r w:rsidR="00DA1A18" w:rsidRPr="007D1918">
        <w:t>.</w:t>
      </w:r>
    </w:p>
    <w:p w14:paraId="6392F996" w14:textId="3C1AC04E" w:rsidR="00BE1F37" w:rsidRPr="007D1918" w:rsidRDefault="00BE1F37" w:rsidP="00BE1F37">
      <w:pPr>
        <w:pStyle w:val="Caption"/>
        <w:keepNext/>
        <w:keepLines/>
        <w:jc w:val="both"/>
        <w:rPr>
          <w:rFonts w:cs="Arial"/>
          <w:snapToGrid w:val="0"/>
          <w:szCs w:val="16"/>
          <w:lang w:eastAsia="en-US"/>
        </w:rPr>
      </w:pPr>
      <w:bookmarkStart w:id="289" w:name="_Toc23769529"/>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42</w:t>
      </w:r>
      <w:r w:rsidRPr="007D1918">
        <w:rPr>
          <w:noProof/>
        </w:rPr>
        <w:fldChar w:fldCharType="end"/>
      </w:r>
      <w:r w:rsidRPr="007D1918">
        <w:tab/>
      </w:r>
      <w:r w:rsidR="00FD63F6" w:rsidRPr="007D1918">
        <w:rPr>
          <w:rFonts w:cs="Arial"/>
          <w:snapToGrid w:val="0"/>
          <w:szCs w:val="16"/>
          <w:lang w:eastAsia="en-US"/>
        </w:rPr>
        <w:t>Ventilation needs</w:t>
      </w:r>
      <w:r w:rsidRPr="007D1918">
        <w:rPr>
          <w:rFonts w:cs="Arial"/>
          <w:snapToGrid w:val="0"/>
          <w:szCs w:val="16"/>
          <w:lang w:eastAsia="en-US"/>
        </w:rPr>
        <w:t xml:space="preserve"> for patients receiving either IVIg or PE maintenance therapy </w:t>
      </w:r>
      <w:r w:rsidR="003736AC" w:rsidRPr="007D1918">
        <w:rPr>
          <w:rFonts w:cs="Arial"/>
          <w:snapToGrid w:val="0"/>
          <w:szCs w:val="16"/>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3736AC" w:rsidRPr="007D1918">
        <w:rPr>
          <w:rFonts w:cs="Arial"/>
          <w:snapToGrid w:val="0"/>
          <w:szCs w:val="16"/>
          <w:lang w:eastAsia="en-US"/>
        </w:rPr>
        <w:instrText xml:space="preserve"> ADDIN EN.CITE </w:instrText>
      </w:r>
      <w:r w:rsidR="003736AC" w:rsidRPr="007D1918">
        <w:rPr>
          <w:rFonts w:cs="Arial"/>
          <w:snapToGrid w:val="0"/>
          <w:szCs w:val="16"/>
          <w:lang w:eastAsia="en-US"/>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3736AC" w:rsidRPr="007D1918">
        <w:rPr>
          <w:rFonts w:cs="Arial"/>
          <w:snapToGrid w:val="0"/>
          <w:szCs w:val="16"/>
          <w:lang w:eastAsia="en-US"/>
        </w:rPr>
        <w:instrText xml:space="preserve"> ADDIN EN.CITE.DATA </w:instrText>
      </w:r>
      <w:r w:rsidR="003736AC" w:rsidRPr="007D1918">
        <w:rPr>
          <w:rFonts w:cs="Arial"/>
          <w:snapToGrid w:val="0"/>
          <w:szCs w:val="16"/>
          <w:lang w:eastAsia="en-US"/>
        </w:rPr>
      </w:r>
      <w:r w:rsidR="003736AC" w:rsidRPr="007D1918">
        <w:rPr>
          <w:rFonts w:cs="Arial"/>
          <w:snapToGrid w:val="0"/>
          <w:szCs w:val="16"/>
          <w:lang w:eastAsia="en-US"/>
        </w:rPr>
        <w:fldChar w:fldCharType="end"/>
      </w:r>
      <w:r w:rsidR="003736AC" w:rsidRPr="007D1918">
        <w:rPr>
          <w:rFonts w:cs="Arial"/>
          <w:snapToGrid w:val="0"/>
          <w:szCs w:val="16"/>
          <w:lang w:eastAsia="en-US"/>
        </w:rPr>
      </w:r>
      <w:r w:rsidR="003736AC" w:rsidRPr="007D1918">
        <w:rPr>
          <w:rFonts w:cs="Arial"/>
          <w:snapToGrid w:val="0"/>
          <w:szCs w:val="16"/>
          <w:lang w:eastAsia="en-US"/>
        </w:rPr>
        <w:fldChar w:fldCharType="separate"/>
      </w:r>
      <w:r w:rsidR="003736AC" w:rsidRPr="007D1918">
        <w:rPr>
          <w:rFonts w:cs="Arial"/>
          <w:noProof/>
          <w:snapToGrid w:val="0"/>
          <w:szCs w:val="16"/>
          <w:lang w:eastAsia="en-US"/>
        </w:rPr>
        <w:t>(</w:t>
      </w:r>
      <w:hyperlink w:anchor="_ENREF_63" w:tooltip="Liu, 2010 #56" w:history="1">
        <w:r w:rsidR="007D4948" w:rsidRPr="007D1918">
          <w:rPr>
            <w:rFonts w:cs="Arial"/>
            <w:noProof/>
            <w:snapToGrid w:val="0"/>
            <w:szCs w:val="16"/>
            <w:lang w:eastAsia="en-US"/>
          </w:rPr>
          <w:t>Liu et al. 2010</w:t>
        </w:r>
      </w:hyperlink>
      <w:r w:rsidR="003736AC" w:rsidRPr="007D1918">
        <w:rPr>
          <w:rFonts w:cs="Arial"/>
          <w:noProof/>
          <w:snapToGrid w:val="0"/>
          <w:szCs w:val="16"/>
          <w:lang w:eastAsia="en-US"/>
        </w:rPr>
        <w:t>)</w:t>
      </w:r>
      <w:bookmarkEnd w:id="289"/>
      <w:r w:rsidR="003736AC" w:rsidRPr="007D1918">
        <w:rPr>
          <w:rFonts w:cs="Arial"/>
          <w:snapToGrid w:val="0"/>
          <w:szCs w:val="16"/>
          <w:lang w:eastAsia="en-US"/>
        </w:rPr>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0 Ventilation needs for patients receiving either IVIg or PE maintenance therapy (Liu et al. 2010)"/>
        <w:tblDescription w:val="Ventilation requirements measured by number of patients using respiratory support after 14 days comapred between patients receiving IVIg or PE (Indication 3)."/>
      </w:tblPr>
      <w:tblGrid>
        <w:gridCol w:w="2664"/>
        <w:gridCol w:w="2124"/>
        <w:gridCol w:w="1984"/>
        <w:gridCol w:w="2127"/>
      </w:tblGrid>
      <w:tr w:rsidR="002D399D" w:rsidRPr="007D1918" w14:paraId="69C8F64D" w14:textId="77777777" w:rsidTr="002D399D">
        <w:tc>
          <w:tcPr>
            <w:tcW w:w="1496" w:type="pct"/>
          </w:tcPr>
          <w:p w14:paraId="187DCF54" w14:textId="77777777" w:rsidR="00BE1F37" w:rsidRPr="007D1918" w:rsidRDefault="00BE1F37" w:rsidP="00F64372">
            <w:pPr>
              <w:pStyle w:val="TableHeading"/>
              <w:keepLines/>
              <w:ind w:left="16" w:right="117"/>
              <w:rPr>
                <w:snapToGrid w:val="0"/>
                <w:lang w:eastAsia="en-US"/>
              </w:rPr>
            </w:pPr>
            <w:r w:rsidRPr="007D1918">
              <w:rPr>
                <w:snapToGrid w:val="0"/>
                <w:lang w:eastAsia="en-US"/>
              </w:rPr>
              <w:t>Measure</w:t>
            </w:r>
          </w:p>
        </w:tc>
        <w:tc>
          <w:tcPr>
            <w:tcW w:w="1193" w:type="pct"/>
            <w:shd w:val="clear" w:color="auto" w:fill="auto"/>
          </w:tcPr>
          <w:p w14:paraId="2D878935" w14:textId="77777777" w:rsidR="00BE1F37" w:rsidRPr="007D1918" w:rsidRDefault="00BE1F37" w:rsidP="00F64372">
            <w:pPr>
              <w:pStyle w:val="TableHeading"/>
              <w:keepLines/>
              <w:ind w:left="111" w:right="117"/>
              <w:rPr>
                <w:snapToGrid w:val="0"/>
                <w:lang w:eastAsia="en-US"/>
              </w:rPr>
            </w:pPr>
            <w:r w:rsidRPr="007D1918">
              <w:rPr>
                <w:snapToGrid w:val="0"/>
                <w:lang w:eastAsia="en-US"/>
              </w:rPr>
              <w:t>IVIg</w:t>
            </w:r>
          </w:p>
          <w:p w14:paraId="43A778DE" w14:textId="77777777" w:rsidR="00BE1F37" w:rsidRPr="007D1918" w:rsidRDefault="00BE1F37" w:rsidP="00F64372">
            <w:pPr>
              <w:pStyle w:val="TableHeading"/>
              <w:keepLines/>
              <w:ind w:left="111" w:right="117"/>
              <w:rPr>
                <w:snapToGrid w:val="0"/>
                <w:lang w:eastAsia="en-US"/>
              </w:rPr>
            </w:pPr>
            <w:r w:rsidRPr="007D1918">
              <w:rPr>
                <w:snapToGrid w:val="0"/>
                <w:lang w:eastAsia="en-US"/>
              </w:rPr>
              <w:t>n with event/N (%)</w:t>
            </w:r>
          </w:p>
        </w:tc>
        <w:tc>
          <w:tcPr>
            <w:tcW w:w="1115" w:type="pct"/>
            <w:shd w:val="clear" w:color="auto" w:fill="auto"/>
          </w:tcPr>
          <w:p w14:paraId="0AD4A27C" w14:textId="46296ACB" w:rsidR="00BE1F37" w:rsidRPr="007D1918" w:rsidRDefault="00AA3C71" w:rsidP="00F64372">
            <w:pPr>
              <w:pStyle w:val="TableHeading"/>
              <w:keepLines/>
              <w:ind w:left="77" w:right="117"/>
              <w:rPr>
                <w:snapToGrid w:val="0"/>
                <w:lang w:eastAsia="en-US"/>
              </w:rPr>
            </w:pPr>
            <w:r w:rsidRPr="007D1918">
              <w:rPr>
                <w:snapToGrid w:val="0"/>
                <w:lang w:eastAsia="en-US"/>
              </w:rPr>
              <w:t>PE</w:t>
            </w:r>
          </w:p>
          <w:p w14:paraId="1A6A2D9D" w14:textId="77777777" w:rsidR="00BE1F37" w:rsidRPr="007D1918" w:rsidRDefault="00BE1F37" w:rsidP="00F64372">
            <w:pPr>
              <w:pStyle w:val="TableHeading"/>
              <w:keepLines/>
              <w:ind w:left="77" w:right="117"/>
              <w:rPr>
                <w:snapToGrid w:val="0"/>
                <w:lang w:eastAsia="en-US"/>
              </w:rPr>
            </w:pPr>
            <w:r w:rsidRPr="007D1918">
              <w:rPr>
                <w:snapToGrid w:val="0"/>
                <w:lang w:eastAsia="en-US"/>
              </w:rPr>
              <w:t xml:space="preserve">n with event/N (%) </w:t>
            </w:r>
          </w:p>
        </w:tc>
        <w:tc>
          <w:tcPr>
            <w:tcW w:w="1195" w:type="pct"/>
            <w:shd w:val="clear" w:color="auto" w:fill="auto"/>
          </w:tcPr>
          <w:p w14:paraId="7664AD35" w14:textId="1CEE7E88" w:rsidR="00BE1F37" w:rsidRPr="007D1918" w:rsidRDefault="00755618" w:rsidP="00F64372">
            <w:pPr>
              <w:pStyle w:val="TableHeading"/>
              <w:keepLines/>
              <w:ind w:right="117"/>
              <w:rPr>
                <w:snapToGrid w:val="0"/>
                <w:lang w:eastAsia="en-US"/>
              </w:rPr>
            </w:pPr>
            <w:r w:rsidRPr="007D1918">
              <w:rPr>
                <w:snapToGrid w:val="0"/>
                <w:lang w:eastAsia="en-US"/>
              </w:rPr>
              <w:t>D</w:t>
            </w:r>
            <w:r w:rsidR="00BE1F37" w:rsidRPr="007D1918">
              <w:rPr>
                <w:snapToGrid w:val="0"/>
                <w:lang w:eastAsia="en-US"/>
              </w:rPr>
              <w:t>ifference</w:t>
            </w:r>
          </w:p>
          <w:p w14:paraId="0F55CDE8" w14:textId="77777777" w:rsidR="00BE1F37" w:rsidRPr="007D1918" w:rsidRDefault="00BE1F37" w:rsidP="00F64372">
            <w:pPr>
              <w:pStyle w:val="TableHeading"/>
              <w:keepLines/>
              <w:ind w:right="117"/>
              <w:rPr>
                <w:snapToGrid w:val="0"/>
                <w:lang w:eastAsia="en-US"/>
              </w:rPr>
            </w:pPr>
            <w:r w:rsidRPr="007D1918">
              <w:rPr>
                <w:snapToGrid w:val="0"/>
                <w:lang w:eastAsia="en-US"/>
              </w:rPr>
              <w:t xml:space="preserve">p-value </w:t>
            </w:r>
          </w:p>
        </w:tc>
      </w:tr>
      <w:tr w:rsidR="002D399D" w:rsidRPr="007D1918" w14:paraId="04D9B6A0" w14:textId="77777777" w:rsidTr="002D399D">
        <w:trPr>
          <w:trHeight w:val="473"/>
        </w:trPr>
        <w:tc>
          <w:tcPr>
            <w:tcW w:w="1496" w:type="pct"/>
          </w:tcPr>
          <w:p w14:paraId="5D9DCA94" w14:textId="4995C5A3" w:rsidR="00BE1F37" w:rsidRPr="007D1918" w:rsidRDefault="00BE1F37" w:rsidP="00AA3C71">
            <w:pPr>
              <w:pStyle w:val="TableText0"/>
              <w:ind w:right="119"/>
              <w:rPr>
                <w:snapToGrid w:val="0"/>
              </w:rPr>
            </w:pPr>
            <w:r w:rsidRPr="007D1918">
              <w:rPr>
                <w:snapToGrid w:val="0"/>
              </w:rPr>
              <w:t xml:space="preserve">Number using </w:t>
            </w:r>
            <w:r w:rsidR="00AA3C71" w:rsidRPr="007D1918">
              <w:rPr>
                <w:snapToGrid w:val="0"/>
              </w:rPr>
              <w:t>respiratory support</w:t>
            </w:r>
            <w:r w:rsidR="00DA1A18" w:rsidRPr="007D1918">
              <w:rPr>
                <w:snapToGrid w:val="0"/>
              </w:rPr>
              <w:t xml:space="preserve"> after 14 days</w:t>
            </w:r>
          </w:p>
        </w:tc>
        <w:tc>
          <w:tcPr>
            <w:tcW w:w="1193" w:type="pct"/>
            <w:shd w:val="clear" w:color="auto" w:fill="auto"/>
          </w:tcPr>
          <w:p w14:paraId="09716B1B" w14:textId="6F97C194" w:rsidR="00BE1F37" w:rsidRPr="007D1918" w:rsidRDefault="00AA3C71" w:rsidP="00AA3C71">
            <w:pPr>
              <w:pStyle w:val="TableText0"/>
              <w:ind w:left="111" w:right="117"/>
              <w:rPr>
                <w:snapToGrid w:val="0"/>
              </w:rPr>
            </w:pPr>
            <w:r w:rsidRPr="007D1918">
              <w:rPr>
                <w:snapToGrid w:val="0"/>
              </w:rPr>
              <w:t>6</w:t>
            </w:r>
            <w:r w:rsidR="00BE1F37" w:rsidRPr="007D1918">
              <w:rPr>
                <w:snapToGrid w:val="0"/>
              </w:rPr>
              <w:t>/</w:t>
            </w:r>
            <w:r w:rsidRPr="007D1918">
              <w:rPr>
                <w:snapToGrid w:val="0"/>
              </w:rPr>
              <w:t>15</w:t>
            </w:r>
            <w:r w:rsidR="00BE1F37" w:rsidRPr="007D1918">
              <w:rPr>
                <w:snapToGrid w:val="0"/>
              </w:rPr>
              <w:t xml:space="preserve"> (</w:t>
            </w:r>
            <w:r w:rsidRPr="007D1918">
              <w:rPr>
                <w:snapToGrid w:val="0"/>
              </w:rPr>
              <w:t>40</w:t>
            </w:r>
            <w:r w:rsidR="00BE1F37" w:rsidRPr="007D1918">
              <w:rPr>
                <w:snapToGrid w:val="0"/>
              </w:rPr>
              <w:t>%)</w:t>
            </w:r>
          </w:p>
        </w:tc>
        <w:tc>
          <w:tcPr>
            <w:tcW w:w="1115" w:type="pct"/>
            <w:shd w:val="clear" w:color="auto" w:fill="auto"/>
          </w:tcPr>
          <w:p w14:paraId="5F26AE64" w14:textId="41EDF813" w:rsidR="00BE1F37" w:rsidRPr="007D1918" w:rsidRDefault="00AA3C71" w:rsidP="00AA3C71">
            <w:pPr>
              <w:pStyle w:val="TableText0"/>
              <w:ind w:left="77" w:right="117"/>
              <w:rPr>
                <w:snapToGrid w:val="0"/>
              </w:rPr>
            </w:pPr>
            <w:r w:rsidRPr="007D1918">
              <w:rPr>
                <w:snapToGrid w:val="0"/>
              </w:rPr>
              <w:t>2</w:t>
            </w:r>
            <w:r w:rsidR="00BE1F37" w:rsidRPr="007D1918">
              <w:rPr>
                <w:snapToGrid w:val="0"/>
              </w:rPr>
              <w:t>/</w:t>
            </w:r>
            <w:r w:rsidRPr="007D1918">
              <w:rPr>
                <w:snapToGrid w:val="0"/>
              </w:rPr>
              <w:t>15</w:t>
            </w:r>
            <w:r w:rsidR="00BE1F37" w:rsidRPr="007D1918">
              <w:rPr>
                <w:snapToGrid w:val="0"/>
              </w:rPr>
              <w:t xml:space="preserve"> (</w:t>
            </w:r>
            <w:r w:rsidRPr="007D1918">
              <w:rPr>
                <w:snapToGrid w:val="0"/>
              </w:rPr>
              <w:t>13</w:t>
            </w:r>
            <w:r w:rsidR="00BE1F37" w:rsidRPr="007D1918">
              <w:rPr>
                <w:snapToGrid w:val="0"/>
              </w:rPr>
              <w:t>%)</w:t>
            </w:r>
          </w:p>
        </w:tc>
        <w:tc>
          <w:tcPr>
            <w:tcW w:w="1195" w:type="pct"/>
            <w:shd w:val="clear" w:color="auto" w:fill="auto"/>
          </w:tcPr>
          <w:p w14:paraId="309CA7AF" w14:textId="6979C206" w:rsidR="00BE1F37" w:rsidRPr="007D1918" w:rsidRDefault="00BE1F37" w:rsidP="00AA3C71">
            <w:pPr>
              <w:pStyle w:val="TableText0"/>
              <w:ind w:right="117"/>
              <w:rPr>
                <w:snapToGrid w:val="0"/>
                <w:vertAlign w:val="superscript"/>
              </w:rPr>
            </w:pPr>
            <w:r w:rsidRPr="007D1918">
              <w:rPr>
                <w:snapToGrid w:val="0"/>
              </w:rPr>
              <w:t xml:space="preserve">P </w:t>
            </w:r>
            <w:r w:rsidR="00AA3C71" w:rsidRPr="007D1918">
              <w:rPr>
                <w:snapToGrid w:val="0"/>
              </w:rPr>
              <w:t>&lt; 0.05</w:t>
            </w:r>
            <w:r w:rsidR="003F570C" w:rsidRPr="007D1918">
              <w:rPr>
                <w:snapToGrid w:val="0"/>
                <w:vertAlign w:val="superscript"/>
              </w:rPr>
              <w:t>a</w:t>
            </w:r>
          </w:p>
        </w:tc>
      </w:tr>
    </w:tbl>
    <w:p w14:paraId="2F3FC7A2" w14:textId="77777777" w:rsidR="00BE1F37" w:rsidRPr="007D1918" w:rsidRDefault="00BE1F37" w:rsidP="005237AE">
      <w:pPr>
        <w:pStyle w:val="Tablenotes0"/>
        <w:spacing w:after="80"/>
        <w:contextualSpacing w:val="0"/>
      </w:pPr>
      <w:r w:rsidRPr="007D1918">
        <w:t xml:space="preserve">IVIg = intravenous immunoglobulin therapy; PE plasma exchange therapy; </w:t>
      </w:r>
    </w:p>
    <w:p w14:paraId="5217CB40" w14:textId="0CC80C08" w:rsidR="0002607A" w:rsidRPr="007D1918" w:rsidRDefault="003F570C" w:rsidP="005A2FC5">
      <w:pPr>
        <w:pStyle w:val="Tablenotes0"/>
        <w:spacing w:after="0"/>
      </w:pPr>
      <w:r w:rsidRPr="007D1918">
        <w:rPr>
          <w:vertAlign w:val="superscript"/>
        </w:rPr>
        <w:t>a</w:t>
      </w:r>
      <w:r w:rsidRPr="007D1918">
        <w:t xml:space="preserve"> Paired </w:t>
      </w:r>
      <w:r w:rsidRPr="007D1918">
        <w:rPr>
          <w:i/>
        </w:rPr>
        <w:t>t-</w:t>
      </w:r>
      <w:r w:rsidRPr="007D1918">
        <w:t xml:space="preserve">test </w:t>
      </w:r>
      <w:r w:rsidR="0075212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 </w:instrText>
      </w:r>
      <w:r w:rsidR="00C437BA" w:rsidRPr="007D1918">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3" w:tooltip="Liu, 2010 #56" w:history="1">
        <w:r w:rsidR="007D4948" w:rsidRPr="007D1918">
          <w:rPr>
            <w:noProof/>
          </w:rPr>
          <w:t>Liu et al. 2010</w:t>
        </w:r>
      </w:hyperlink>
      <w:r w:rsidR="0075212A" w:rsidRPr="007D1918">
        <w:rPr>
          <w:noProof/>
        </w:rPr>
        <w:t>)</w:t>
      </w:r>
      <w:r w:rsidR="0075212A" w:rsidRPr="007D1918">
        <w:fldChar w:fldCharType="end"/>
      </w:r>
    </w:p>
    <w:p w14:paraId="53FB4AE6" w14:textId="77777777" w:rsidR="00BF109C" w:rsidRPr="007D1918" w:rsidRDefault="00BF109C" w:rsidP="00A14C6E">
      <w:pPr>
        <w:spacing w:before="240"/>
      </w:pPr>
    </w:p>
    <w:p w14:paraId="1E47EAD7" w14:textId="2A8733D5" w:rsidR="00D53274" w:rsidRPr="007D1918" w:rsidRDefault="00D53274" w:rsidP="00D53274">
      <w:pPr>
        <w:pStyle w:val="Heading3"/>
      </w:pPr>
      <w:bookmarkStart w:id="290" w:name="_Toc23766974"/>
      <w:r w:rsidRPr="007D1918">
        <w:t>Indication 3: Children undergoing IV</w:t>
      </w:r>
      <w:r w:rsidR="003F570C" w:rsidRPr="007D1918">
        <w:t>Ig</w:t>
      </w:r>
      <w:r w:rsidRPr="007D1918">
        <w:t xml:space="preserve"> maintenance therapy</w:t>
      </w:r>
      <w:bookmarkEnd w:id="290"/>
    </w:p>
    <w:p w14:paraId="3704D172" w14:textId="18163CE8" w:rsidR="00B00E10" w:rsidRPr="007D1918" w:rsidRDefault="00B00E10" w:rsidP="00B00E10">
      <w:pPr>
        <w:jc w:val="both"/>
      </w:pPr>
      <w:r w:rsidRPr="007D1918">
        <w:t xml:space="preserve">Two retrospective </w:t>
      </w:r>
      <w:r w:rsidR="00346C43" w:rsidRPr="007D1918">
        <w:t xml:space="preserve">comparative </w:t>
      </w:r>
      <w:r w:rsidRPr="007D1918">
        <w:t xml:space="preserve">studies (level III-2) specifically assessed IVIg therapy for maintenance in children </w:t>
      </w:r>
      <w:r w:rsidR="0075212A" w:rsidRPr="007D1918">
        <w:fldChar w:fldCharType="begin">
          <w:fldData xml:space="preserve">PEVuZE5vdGU+PENpdGU+PEF1dGhvcj5MaWV3PC9BdXRob3I+PFllYXI+MjAxNDwvWWVhcj48UmVj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</w:fldData>
        </w:fldChar>
      </w:r>
      <w:r w:rsidR="00C437BA" w:rsidRPr="007D1918">
        <w:instrText xml:space="preserve"> ADDIN EN.CITE </w:instrText>
      </w:r>
      <w:r w:rsidR="00C437BA" w:rsidRPr="007D1918">
        <w:fldChar w:fldCharType="begin">
          <w:fldData xml:space="preserve">PEVuZE5vdGU+PENpdGU+PEF1dGhvcj5MaWV3PC9BdXRob3I+PFllYXI+MjAxNDwvWWVhcj48UmVj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2" w:tooltip="Liew, 2014 #55" w:history="1">
        <w:r w:rsidR="007D4948" w:rsidRPr="007D1918">
          <w:rPr>
            <w:noProof/>
          </w:rPr>
          <w:t>Liew et al. 2014</w:t>
        </w:r>
      </w:hyperlink>
      <w:r w:rsidR="0075212A" w:rsidRPr="007D1918">
        <w:rPr>
          <w:noProof/>
        </w:rPr>
        <w:t xml:space="preserve">; </w:t>
      </w:r>
      <w:hyperlink w:anchor="_ENREF_104" w:tooltip="Wang, 2016 #43" w:history="1">
        <w:r w:rsidR="007D4948" w:rsidRPr="007D1918">
          <w:rPr>
            <w:noProof/>
          </w:rPr>
          <w:t>Wang et al. 2016</w:t>
        </w:r>
      </w:hyperlink>
      <w:r w:rsidR="0075212A" w:rsidRPr="007D1918">
        <w:rPr>
          <w:noProof/>
        </w:rPr>
        <w:t>)</w:t>
      </w:r>
      <w:r w:rsidR="0075212A" w:rsidRPr="007D1918">
        <w:fldChar w:fldCharType="end"/>
      </w:r>
      <w:r w:rsidRPr="007D1918">
        <w:t xml:space="preserve">. The studies did not use standardised tools to measure symptom improvement but </w:t>
      </w:r>
      <w:r w:rsidR="008C774D" w:rsidRPr="007D1918">
        <w:t xml:space="preserve">instead </w:t>
      </w:r>
      <w:r w:rsidRPr="007D1918">
        <w:t>describe</w:t>
      </w:r>
      <w:r w:rsidR="008C774D" w:rsidRPr="007D1918">
        <w:t>d</w:t>
      </w:r>
      <w:r w:rsidRPr="007D1918">
        <w:t xml:space="preserve"> th</w:t>
      </w:r>
      <w:r w:rsidR="00827FB0" w:rsidRPr="007D1918">
        <w:t>eir own methodology. Liew et al</w:t>
      </w:r>
      <w:r w:rsidRPr="007D1918">
        <w:t xml:space="preserve"> </w:t>
      </w:r>
      <w:r w:rsidR="00827FB0" w:rsidRPr="007D1918">
        <w:t>(</w:t>
      </w:r>
      <w:r w:rsidRPr="007D1918">
        <w:t>2014</w:t>
      </w:r>
      <w:r w:rsidR="00827FB0" w:rsidRPr="007D1918">
        <w:t>)</w:t>
      </w:r>
      <w:r w:rsidRPr="007D1918">
        <w:t xml:space="preserve"> compared IVIg with PE therapy in 33 juveniles with ocular and generalised MG, and analysed the groups separately. Wang et al </w:t>
      </w:r>
      <w:r w:rsidR="00827FB0" w:rsidRPr="007D1918">
        <w:t xml:space="preserve">(2016) </w:t>
      </w:r>
      <w:r w:rsidRPr="007D1918">
        <w:t xml:space="preserve">performed a retrospective case-control study comparing 35 children who had received IVIg and methylprednisolone (MPN) with 35 children who had received a high dose of </w:t>
      </w:r>
      <w:r w:rsidR="00B31D55" w:rsidRPr="007D1918">
        <w:t xml:space="preserve">IV </w:t>
      </w:r>
      <w:r w:rsidRPr="007D1918">
        <w:t xml:space="preserve">MPN </w:t>
      </w:r>
      <w:r w:rsidR="00B84BE7" w:rsidRPr="007D1918">
        <w:t xml:space="preserve">(15-20 mg/kg/day) </w:t>
      </w:r>
      <w:r w:rsidRPr="007D1918">
        <w:t>alone.</w:t>
      </w:r>
      <w:r w:rsidR="00024DA8" w:rsidRPr="007D1918">
        <w:t xml:space="preserve"> </w:t>
      </w:r>
      <w:r w:rsidR="008C7897" w:rsidRPr="007D1918">
        <w:t>This latter study was included as it has the potential to show incremental benefit of IVIg therapy over standard maintenance therapy (MPN).</w:t>
      </w:r>
    </w:p>
    <w:p w14:paraId="47E36762" w14:textId="7D284F60" w:rsidR="00B00E10" w:rsidRPr="007D1918" w:rsidRDefault="00B31D55" w:rsidP="00B00E10">
      <w:pPr>
        <w:jc w:val="both"/>
      </w:pPr>
      <w:r w:rsidRPr="007D1918">
        <w:t>Three non-comparative</w:t>
      </w:r>
      <w:r w:rsidR="00E8407A" w:rsidRPr="007D1918">
        <w:t xml:space="preserve"> stud</w:t>
      </w:r>
      <w:r w:rsidRPr="007D1918">
        <w:t>ies</w:t>
      </w:r>
      <w:r w:rsidR="00E8407A" w:rsidRPr="007D1918">
        <w:t xml:space="preserve"> </w:t>
      </w:r>
      <w:r w:rsidRPr="007D1918">
        <w:t>were also</w:t>
      </w:r>
      <w:r w:rsidR="00E8407A" w:rsidRPr="007D1918">
        <w:t xml:space="preserve"> included</w:t>
      </w:r>
      <w:r w:rsidRPr="007D1918">
        <w:t>. The first, a case series with before and after treatment data, was included</w:t>
      </w:r>
      <w:r w:rsidR="00E8407A" w:rsidRPr="007D1918">
        <w:t xml:space="preserve"> as it reported on the use of IVIg for MG in </w:t>
      </w:r>
      <w:r w:rsidR="00AC1335" w:rsidRPr="007D1918">
        <w:t>Australian</w:t>
      </w:r>
      <w:r w:rsidR="00E8407A" w:rsidRPr="007D1918">
        <w:t xml:space="preserve"> children</w:t>
      </w:r>
      <w:r w:rsidR="00AC1335" w:rsidRPr="007D1918">
        <w:t xml:space="preserve"> </w:t>
      </w:r>
      <w:r w:rsidR="003736AC" w:rsidRPr="007D1918">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003736AC" w:rsidRPr="007D1918">
        <w:instrText xml:space="preserve"> ADDIN EN.CITE </w:instrText>
      </w:r>
      <w:r w:rsidR="003736AC" w:rsidRPr="007D1918">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73" w:tooltip="Nosadini, 2016 #147" w:history="1">
        <w:r w:rsidR="007D4948" w:rsidRPr="007D1918">
          <w:rPr>
            <w:noProof/>
          </w:rPr>
          <w:t>Nosadini et al. 2016</w:t>
        </w:r>
      </w:hyperlink>
      <w:r w:rsidR="003736AC" w:rsidRPr="007D1918">
        <w:rPr>
          <w:noProof/>
        </w:rPr>
        <w:t>)</w:t>
      </w:r>
      <w:r w:rsidR="003736AC" w:rsidRPr="007D1918">
        <w:fldChar w:fldCharType="end"/>
      </w:r>
      <w:r w:rsidR="00E8407A" w:rsidRPr="007D1918">
        <w:t xml:space="preserve">. The data came from a large retrospective analysis of young patients treated at the Westmead </w:t>
      </w:r>
      <w:r w:rsidR="008C774D" w:rsidRPr="007D1918">
        <w:t>Children’s</w:t>
      </w:r>
      <w:r w:rsidR="00E8407A" w:rsidRPr="007D1918">
        <w:t xml:space="preserve"> Hospital NSW, with central or peripheral neurology diseases who had been treated with IVIg. </w:t>
      </w:r>
      <w:r w:rsidR="00615D53" w:rsidRPr="007D1918">
        <w:t>Two additional case series also provided bef</w:t>
      </w:r>
      <w:r w:rsidRPr="007D1918">
        <w:t>ore and after data following IVI</w:t>
      </w:r>
      <w:r w:rsidR="00615D53" w:rsidRPr="007D1918">
        <w:t>g</w:t>
      </w:r>
      <w:r w:rsidRPr="007D1918">
        <w:t xml:space="preserve"> treatment</w:t>
      </w:r>
      <w:r w:rsidR="00615D53" w:rsidRPr="007D1918">
        <w:t xml:space="preserve"> in children </w:t>
      </w:r>
      <w:r w:rsidR="003736AC" w:rsidRPr="007D1918">
        <w:fldChar w:fldCharType="begin">
          <w:fldData xml:space="preserve">PEVuZE5vdGU+PENpdGU+PEF1dGhvcj5TZWxjZW48L0F1dGhvcj48WWVhcj4yMDAwPC9ZZWFyPjxS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</w:fldData>
        </w:fldChar>
      </w:r>
      <w:r w:rsidR="003736AC" w:rsidRPr="007D1918">
        <w:instrText xml:space="preserve"> ADDIN EN.CITE </w:instrText>
      </w:r>
      <w:r w:rsidR="003736AC" w:rsidRPr="007D1918">
        <w:fldChar w:fldCharType="begin">
          <w:fldData xml:space="preserve">PEVuZE5vdGU+PENpdGU+PEF1dGhvcj5TZWxjZW48L0F1dGhvcj48WWVhcj4yMDAwPC9ZZWFyPjxS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88" w:tooltip="Selcen, 2000 #46" w:history="1">
        <w:r w:rsidR="007D4948" w:rsidRPr="007D1918">
          <w:rPr>
            <w:noProof/>
          </w:rPr>
          <w:t>Selcen et al. 2000</w:t>
        </w:r>
      </w:hyperlink>
      <w:r w:rsidR="003736AC" w:rsidRPr="007D1918">
        <w:rPr>
          <w:noProof/>
        </w:rPr>
        <w:t xml:space="preserve">; </w:t>
      </w:r>
      <w:hyperlink w:anchor="_ENREF_101" w:tooltip="VanderPluym, 2013 #118" w:history="1">
        <w:r w:rsidR="007D4948" w:rsidRPr="007D1918">
          <w:rPr>
            <w:noProof/>
          </w:rPr>
          <w:t>VanderPluym et al. 2013</w:t>
        </w:r>
      </w:hyperlink>
      <w:r w:rsidR="003736AC" w:rsidRPr="007D1918">
        <w:rPr>
          <w:noProof/>
        </w:rPr>
        <w:t>)</w:t>
      </w:r>
      <w:r w:rsidR="003736AC" w:rsidRPr="007D1918">
        <w:fldChar w:fldCharType="end"/>
      </w:r>
      <w:r w:rsidR="00615D53" w:rsidRPr="007D1918">
        <w:t>.</w:t>
      </w:r>
    </w:p>
    <w:p w14:paraId="573B4EA5" w14:textId="77777777" w:rsidR="00615D53" w:rsidRPr="007D1918" w:rsidRDefault="00615D53" w:rsidP="00B00E10">
      <w:pPr>
        <w:jc w:val="both"/>
      </w:pPr>
    </w:p>
    <w:p w14:paraId="5E743F5B" w14:textId="6D98DFC6" w:rsidR="00D53274" w:rsidRPr="007D1918" w:rsidRDefault="00D53274" w:rsidP="00D53274">
      <w:pPr>
        <w:pStyle w:val="Heading4"/>
      </w:pPr>
      <w:r w:rsidRPr="007D1918">
        <w:lastRenderedPageBreak/>
        <w:t xml:space="preserve">Change in </w:t>
      </w:r>
      <w:r w:rsidR="00B00E10" w:rsidRPr="007D1918">
        <w:t>symptoms (response to treatment</w:t>
      </w:r>
      <w:r w:rsidRPr="007D1918">
        <w:t xml:space="preserve">) in children receiving maintenance IVIg </w:t>
      </w:r>
      <w:r w:rsidR="00246759" w:rsidRPr="007D1918">
        <w:t>or PE</w:t>
      </w:r>
    </w:p>
    <w:p w14:paraId="5E919124" w14:textId="65C6065D" w:rsidR="00D53274" w:rsidRPr="007D1918" w:rsidRDefault="00D53274" w:rsidP="00D53274">
      <w:pPr>
        <w:jc w:val="both"/>
      </w:pPr>
      <w:r w:rsidRPr="007D1918">
        <w:t>In the study by Liew et al</w:t>
      </w:r>
      <w:r w:rsidR="00827FB0" w:rsidRPr="007D1918">
        <w:t xml:space="preserve"> </w:t>
      </w:r>
      <w:r w:rsidR="003736AC"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7D4948" w:rsidRPr="007D1918">
        <w:instrText xml:space="preserve"> ADDIN EN.CITE </w:instrText>
      </w:r>
      <w:r w:rsidR="007D4948"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62" w:tooltip="Liew, 2014 #55" w:history="1">
        <w:r w:rsidR="007D4948" w:rsidRPr="007D1918">
          <w:rPr>
            <w:noProof/>
          </w:rPr>
          <w:t>Liew et al. 2014</w:t>
        </w:r>
      </w:hyperlink>
      <w:r w:rsidR="007D4948" w:rsidRPr="007D1918">
        <w:rPr>
          <w:noProof/>
        </w:rPr>
        <w:t>)</w:t>
      </w:r>
      <w:r w:rsidR="003736AC" w:rsidRPr="007D1918">
        <w:fldChar w:fldCharType="end"/>
      </w:r>
      <w:r w:rsidRPr="007D1918">
        <w:t>, seven patients who received PE alone, and 10 who received IVIg alone, were compared separately from those who received both IVIg and PE over the course of maintenance treatment. All 17 children had generalised MG, but their age was not specified. The overall study population included 70% with pre-pubertal onset of disease (&lt; 13 years) and 30% had post-pubertal onset (</w:t>
      </w:r>
      <w:r w:rsidR="00CF11FF" w:rsidRPr="007D1918">
        <w:t>13-</w:t>
      </w:r>
      <w:r w:rsidRPr="007D1918">
        <w:t>18 years). The study reported the proportion of patients who responded to treatment. Response was evaluated by an objective physical examination (including fatigability and MMT) and patient reported improvement in functional abilities. The PE group responded better than the IVIg treatment group (patients improved IVIg 50% versus PE 100%; p = 0.04) (</w:t>
      </w:r>
      <w:r w:rsidRPr="007D1918">
        <w:fldChar w:fldCharType="begin"/>
      </w:r>
      <w:r w:rsidRPr="007D1918">
        <w:instrText xml:space="preserve"> REF _Ref8904641 \h </w:instrText>
      </w:r>
      <w:r w:rsidR="00E07567" w:rsidRPr="007D1918">
        <w:instrText xml:space="preserve"> \* MERGEFORMAT </w:instrText>
      </w:r>
      <w:r w:rsidRPr="007D1918">
        <w:fldChar w:fldCharType="separate"/>
      </w:r>
      <w:r w:rsidR="00153384" w:rsidRPr="007D1918">
        <w:t xml:space="preserve">Table </w:t>
      </w:r>
      <w:r w:rsidR="00153384" w:rsidRPr="007D1918">
        <w:rPr>
          <w:noProof/>
        </w:rPr>
        <w:t>43</w:t>
      </w:r>
      <w:r w:rsidRPr="007D1918">
        <w:fldChar w:fldCharType="end"/>
      </w:r>
      <w:r w:rsidRPr="007D1918">
        <w:t>).</w:t>
      </w:r>
    </w:p>
    <w:p w14:paraId="0DC3E364" w14:textId="2953A5FC" w:rsidR="00D53274" w:rsidRPr="007D1918" w:rsidRDefault="00464D05" w:rsidP="00D53274">
      <w:pPr>
        <w:jc w:val="both"/>
      </w:pPr>
      <w:r w:rsidRPr="007D1918">
        <w:t xml:space="preserve">Although the difference was statistically </w:t>
      </w:r>
      <w:r w:rsidR="00317CAF" w:rsidRPr="007D1918">
        <w:t>significant, t</w:t>
      </w:r>
      <w:r w:rsidR="00D53274" w:rsidRPr="007D1918">
        <w:t xml:space="preserve">he small patient numbers and the non-standardised tools used for measuring effectiveness in the study by Liew et al </w:t>
      </w:r>
      <w:r w:rsidR="00317CAF" w:rsidRPr="007D1918">
        <w:t>preclude</w:t>
      </w:r>
      <w:r w:rsidR="00D53274" w:rsidRPr="007D1918">
        <w:t xml:space="preserve"> any conclusions from being made about the </w:t>
      </w:r>
      <w:r w:rsidR="008C7897" w:rsidRPr="007D1918">
        <w:t xml:space="preserve">effectiveness of </w:t>
      </w:r>
      <w:r w:rsidR="00D53274" w:rsidRPr="007D1918">
        <w:t>IVIg</w:t>
      </w:r>
      <w:r w:rsidR="008C7897" w:rsidRPr="007D1918">
        <w:t xml:space="preserve"> or PE</w:t>
      </w:r>
      <w:r w:rsidR="00D53274" w:rsidRPr="007D1918">
        <w:t xml:space="preserve">. </w:t>
      </w:r>
    </w:p>
    <w:p w14:paraId="2EF72B73" w14:textId="3AFA378E" w:rsidR="00D53274" w:rsidRPr="007D1918" w:rsidRDefault="00D53274" w:rsidP="00D53274">
      <w:pPr>
        <w:pStyle w:val="Caption"/>
        <w:keepNext/>
        <w:keepLines/>
        <w:jc w:val="both"/>
        <w:rPr>
          <w:rFonts w:cs="Arial"/>
          <w:snapToGrid w:val="0"/>
          <w:szCs w:val="16"/>
          <w:lang w:eastAsia="en-US"/>
        </w:rPr>
      </w:pPr>
      <w:bookmarkStart w:id="291" w:name="_Ref8904641"/>
      <w:bookmarkStart w:id="292" w:name="_Toc23769530"/>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43</w:t>
      </w:r>
      <w:r w:rsidRPr="007D1918">
        <w:rPr>
          <w:noProof/>
        </w:rPr>
        <w:fldChar w:fldCharType="end"/>
      </w:r>
      <w:bookmarkEnd w:id="291"/>
      <w:r w:rsidRPr="007D1918">
        <w:tab/>
      </w:r>
      <w:r w:rsidRPr="007D1918">
        <w:rPr>
          <w:rFonts w:cs="Arial"/>
          <w:snapToGrid w:val="0"/>
          <w:szCs w:val="16"/>
          <w:lang w:eastAsia="en-US"/>
        </w:rPr>
        <w:t xml:space="preserve">Response to treatment in children given either IVIg or PE as maintenance therapy </w:t>
      </w:r>
      <w:r w:rsidR="0075212A" w:rsidRPr="007D1918">
        <w:rPr>
          <w:rFonts w:cs="Arial"/>
          <w:snapToGrid w:val="0"/>
          <w:szCs w:val="16"/>
          <w:lang w:eastAsia="en-US"/>
        </w:rPr>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rPr>
          <w:rFonts w:cs="Arial"/>
          <w:snapToGrid w:val="0"/>
          <w:szCs w:val="16"/>
          <w:lang w:eastAsia="en-US"/>
        </w:rPr>
        <w:instrText xml:space="preserve"> ADDIN EN.CITE </w:instrText>
      </w:r>
      <w:r w:rsidR="00C437BA" w:rsidRPr="007D1918">
        <w:rPr>
          <w:rFonts w:cs="Arial"/>
          <w:snapToGrid w:val="0"/>
          <w:szCs w:val="16"/>
          <w:lang w:eastAsia="en-US"/>
        </w:rPr>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rPr>
          <w:rFonts w:cs="Arial"/>
          <w:snapToGrid w:val="0"/>
          <w:szCs w:val="16"/>
          <w:lang w:eastAsia="en-US"/>
        </w:rPr>
        <w:instrText xml:space="preserve"> ADDIN EN.CITE.DATA </w:instrText>
      </w:r>
      <w:r w:rsidR="00C437BA" w:rsidRPr="007D1918">
        <w:rPr>
          <w:rFonts w:cs="Arial"/>
          <w:snapToGrid w:val="0"/>
          <w:szCs w:val="16"/>
          <w:lang w:eastAsia="en-US"/>
        </w:rPr>
      </w:r>
      <w:r w:rsidR="00C437BA" w:rsidRPr="007D1918">
        <w:rPr>
          <w:rFonts w:cs="Arial"/>
          <w:snapToGrid w:val="0"/>
          <w:szCs w:val="16"/>
          <w:lang w:eastAsia="en-US"/>
        </w:rPr>
        <w:fldChar w:fldCharType="end"/>
      </w:r>
      <w:r w:rsidR="0075212A" w:rsidRPr="007D1918">
        <w:rPr>
          <w:rFonts w:cs="Arial"/>
          <w:snapToGrid w:val="0"/>
          <w:szCs w:val="16"/>
          <w:lang w:eastAsia="en-US"/>
        </w:rPr>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62" w:tooltip="Liew, 2014 #55" w:history="1">
        <w:r w:rsidR="007D4948" w:rsidRPr="007D1918">
          <w:rPr>
            <w:rFonts w:cs="Arial"/>
            <w:noProof/>
            <w:snapToGrid w:val="0"/>
            <w:szCs w:val="16"/>
            <w:lang w:eastAsia="en-US"/>
          </w:rPr>
          <w:t>Liew et al. 2014</w:t>
        </w:r>
      </w:hyperlink>
      <w:r w:rsidR="0075212A" w:rsidRPr="007D1918">
        <w:rPr>
          <w:rFonts w:cs="Arial"/>
          <w:noProof/>
          <w:snapToGrid w:val="0"/>
          <w:szCs w:val="16"/>
          <w:lang w:eastAsia="en-US"/>
        </w:rPr>
        <w:t>)</w:t>
      </w:r>
      <w:bookmarkEnd w:id="292"/>
      <w:r w:rsidR="0075212A" w:rsidRPr="007D1918">
        <w:rPr>
          <w:rFonts w:cs="Arial"/>
          <w:snapToGrid w:val="0"/>
          <w:szCs w:val="16"/>
          <w:lang w:eastAsia="en-US"/>
        </w:rPr>
        <w:fldChar w:fldCharType="end"/>
      </w:r>
      <w:r w:rsidRPr="007D1918">
        <w:rPr>
          <w:rFonts w:cs="Arial"/>
          <w:snapToGrid w:val="0"/>
          <w:szCs w:val="16"/>
          <w:lang w:eastAsia="en-US"/>
        </w:rPr>
        <w:t xml:space="preserve"> </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1 Response to treatment in children given either IVIg or PE as maintenance therapy (Liew et al. 2014) "/>
        <w:tblDescription w:val="Proportion of children responding to treatment compared between those receiving either IVIg or PE maintenance therapy (Indication 3)"/>
      </w:tblPr>
      <w:tblGrid>
        <w:gridCol w:w="2229"/>
        <w:gridCol w:w="2122"/>
        <w:gridCol w:w="2137"/>
        <w:gridCol w:w="2528"/>
      </w:tblGrid>
      <w:tr w:rsidR="00B84BE7" w:rsidRPr="007D1918" w14:paraId="3B8D0ACC" w14:textId="77777777" w:rsidTr="00CF11FF">
        <w:tc>
          <w:tcPr>
            <w:tcW w:w="1236" w:type="pct"/>
          </w:tcPr>
          <w:p w14:paraId="5B4AB67D" w14:textId="210AA802" w:rsidR="00B84BE7" w:rsidRPr="007D1918" w:rsidRDefault="00B84BE7" w:rsidP="00F64372">
            <w:pPr>
              <w:pStyle w:val="TableHeading"/>
              <w:keepLines/>
              <w:ind w:left="16" w:right="117"/>
              <w:rPr>
                <w:snapToGrid w:val="0"/>
                <w:lang w:eastAsia="en-US"/>
              </w:rPr>
            </w:pPr>
            <w:r w:rsidRPr="007D1918">
              <w:rPr>
                <w:snapToGrid w:val="0"/>
                <w:lang w:eastAsia="en-US"/>
              </w:rPr>
              <w:t xml:space="preserve">Measure </w:t>
            </w:r>
          </w:p>
        </w:tc>
        <w:tc>
          <w:tcPr>
            <w:tcW w:w="1177" w:type="pct"/>
            <w:shd w:val="clear" w:color="auto" w:fill="auto"/>
          </w:tcPr>
          <w:p w14:paraId="5C47BFD6" w14:textId="77777777" w:rsidR="00B84BE7" w:rsidRPr="007D1918" w:rsidRDefault="00B84BE7" w:rsidP="00F64372">
            <w:pPr>
              <w:pStyle w:val="TableHeading"/>
              <w:keepLines/>
              <w:ind w:left="111" w:right="117"/>
              <w:rPr>
                <w:snapToGrid w:val="0"/>
                <w:lang w:eastAsia="en-US"/>
              </w:rPr>
            </w:pPr>
            <w:r w:rsidRPr="007D1918">
              <w:rPr>
                <w:snapToGrid w:val="0"/>
                <w:lang w:eastAsia="en-US"/>
              </w:rPr>
              <w:t>IVIg</w:t>
            </w:r>
          </w:p>
          <w:p w14:paraId="47975A32" w14:textId="77777777" w:rsidR="00B84BE7" w:rsidRPr="007D1918" w:rsidRDefault="00B84BE7" w:rsidP="00F64372">
            <w:pPr>
              <w:pStyle w:val="TableHeading"/>
              <w:keepLines/>
              <w:ind w:left="111" w:right="117"/>
              <w:rPr>
                <w:snapToGrid w:val="0"/>
                <w:lang w:eastAsia="en-US"/>
              </w:rPr>
            </w:pPr>
            <w:r w:rsidRPr="007D1918">
              <w:rPr>
                <w:snapToGrid w:val="0"/>
                <w:lang w:eastAsia="en-US"/>
              </w:rPr>
              <w:t xml:space="preserve">n with event/N (%) </w:t>
            </w:r>
          </w:p>
        </w:tc>
        <w:tc>
          <w:tcPr>
            <w:tcW w:w="1185" w:type="pct"/>
            <w:shd w:val="clear" w:color="auto" w:fill="auto"/>
          </w:tcPr>
          <w:p w14:paraId="146C07C2" w14:textId="77777777" w:rsidR="00B84BE7" w:rsidRPr="007D1918" w:rsidRDefault="00B84BE7" w:rsidP="00F64372">
            <w:pPr>
              <w:pStyle w:val="TableHeading"/>
              <w:keepLines/>
              <w:ind w:left="77" w:right="117"/>
              <w:rPr>
                <w:snapToGrid w:val="0"/>
                <w:lang w:eastAsia="en-US"/>
              </w:rPr>
            </w:pPr>
            <w:r w:rsidRPr="007D1918">
              <w:rPr>
                <w:snapToGrid w:val="0"/>
                <w:lang w:eastAsia="en-US"/>
              </w:rPr>
              <w:t>PE</w:t>
            </w:r>
          </w:p>
          <w:p w14:paraId="0F725DEB" w14:textId="77777777" w:rsidR="00B84BE7" w:rsidRPr="007D1918" w:rsidRDefault="00B84BE7" w:rsidP="00F64372">
            <w:pPr>
              <w:pStyle w:val="TableHeading"/>
              <w:keepLines/>
              <w:ind w:left="77" w:right="117"/>
              <w:rPr>
                <w:snapToGrid w:val="0"/>
                <w:lang w:eastAsia="en-US"/>
              </w:rPr>
            </w:pPr>
            <w:r w:rsidRPr="007D1918">
              <w:rPr>
                <w:snapToGrid w:val="0"/>
                <w:lang w:eastAsia="en-US"/>
              </w:rPr>
              <w:t>n with event/N (%)</w:t>
            </w:r>
          </w:p>
        </w:tc>
        <w:tc>
          <w:tcPr>
            <w:tcW w:w="1402" w:type="pct"/>
            <w:shd w:val="clear" w:color="auto" w:fill="auto"/>
          </w:tcPr>
          <w:p w14:paraId="5655A371" w14:textId="230BDBB8" w:rsidR="00B84BE7" w:rsidRPr="007D1918" w:rsidRDefault="00755618" w:rsidP="00F64372">
            <w:pPr>
              <w:pStyle w:val="TableHeading"/>
              <w:keepLines/>
              <w:ind w:right="117"/>
              <w:rPr>
                <w:snapToGrid w:val="0"/>
                <w:lang w:eastAsia="en-US"/>
              </w:rPr>
            </w:pPr>
            <w:r w:rsidRPr="007D1918">
              <w:rPr>
                <w:snapToGrid w:val="0"/>
                <w:lang w:eastAsia="en-US"/>
              </w:rPr>
              <w:t>D</w:t>
            </w:r>
            <w:r w:rsidR="00B84BE7" w:rsidRPr="007D1918">
              <w:rPr>
                <w:snapToGrid w:val="0"/>
                <w:lang w:eastAsia="en-US"/>
              </w:rPr>
              <w:t>ifference</w:t>
            </w:r>
          </w:p>
          <w:p w14:paraId="04974DB7" w14:textId="0BC58510" w:rsidR="00B84BE7" w:rsidRPr="007D1918" w:rsidRDefault="00B84BE7" w:rsidP="00B00E10">
            <w:pPr>
              <w:pStyle w:val="TableHeading"/>
              <w:keepLines/>
              <w:ind w:right="117"/>
              <w:rPr>
                <w:snapToGrid w:val="0"/>
                <w:lang w:eastAsia="en-US"/>
              </w:rPr>
            </w:pPr>
            <w:r w:rsidRPr="007D1918">
              <w:rPr>
                <w:snapToGrid w:val="0"/>
                <w:lang w:eastAsia="en-US"/>
              </w:rPr>
              <w:t xml:space="preserve">p-value </w:t>
            </w:r>
          </w:p>
        </w:tc>
      </w:tr>
      <w:tr w:rsidR="00B84BE7" w:rsidRPr="007D1918" w14:paraId="75D8AAFA" w14:textId="77777777" w:rsidTr="00CF11FF">
        <w:tc>
          <w:tcPr>
            <w:tcW w:w="1236" w:type="pct"/>
          </w:tcPr>
          <w:p w14:paraId="2CE3F91F" w14:textId="77777777" w:rsidR="00B84BE7" w:rsidRPr="007D1918" w:rsidRDefault="00B84BE7" w:rsidP="00F64372">
            <w:pPr>
              <w:pStyle w:val="TableText0"/>
              <w:keepLines/>
              <w:ind w:left="16" w:right="117"/>
              <w:rPr>
                <w:snapToGrid w:val="0"/>
              </w:rPr>
            </w:pPr>
            <w:r w:rsidRPr="007D1918">
              <w:rPr>
                <w:snapToGrid w:val="0"/>
              </w:rPr>
              <w:t>Response to treatment</w:t>
            </w:r>
            <w:r w:rsidRPr="007D1918">
              <w:rPr>
                <w:snapToGrid w:val="0"/>
                <w:vertAlign w:val="superscript"/>
              </w:rPr>
              <w:t>a</w:t>
            </w:r>
          </w:p>
        </w:tc>
        <w:tc>
          <w:tcPr>
            <w:tcW w:w="1177" w:type="pct"/>
            <w:shd w:val="clear" w:color="auto" w:fill="auto"/>
          </w:tcPr>
          <w:p w14:paraId="40D8D8E7" w14:textId="77777777" w:rsidR="00B84BE7" w:rsidRPr="007D1918" w:rsidRDefault="00B84BE7" w:rsidP="00F64372">
            <w:pPr>
              <w:pStyle w:val="TableText0"/>
              <w:keepLines/>
              <w:ind w:left="111" w:right="117"/>
              <w:rPr>
                <w:snapToGrid w:val="0"/>
              </w:rPr>
            </w:pPr>
            <w:r w:rsidRPr="007D1918">
              <w:rPr>
                <w:snapToGrid w:val="0"/>
              </w:rPr>
              <w:t>5/10 (50%)</w:t>
            </w:r>
          </w:p>
        </w:tc>
        <w:tc>
          <w:tcPr>
            <w:tcW w:w="1185" w:type="pct"/>
            <w:shd w:val="clear" w:color="auto" w:fill="auto"/>
          </w:tcPr>
          <w:p w14:paraId="5A05EA10" w14:textId="77777777" w:rsidR="00B84BE7" w:rsidRPr="007D1918" w:rsidRDefault="00B84BE7" w:rsidP="00F64372">
            <w:pPr>
              <w:pStyle w:val="TableText0"/>
              <w:keepLines/>
              <w:ind w:left="77" w:right="117"/>
              <w:rPr>
                <w:snapToGrid w:val="0"/>
              </w:rPr>
            </w:pPr>
            <w:r w:rsidRPr="007D1918">
              <w:rPr>
                <w:snapToGrid w:val="0"/>
              </w:rPr>
              <w:t>7/7 (100%)</w:t>
            </w:r>
          </w:p>
        </w:tc>
        <w:tc>
          <w:tcPr>
            <w:tcW w:w="1402" w:type="pct"/>
            <w:shd w:val="clear" w:color="auto" w:fill="auto"/>
          </w:tcPr>
          <w:p w14:paraId="55569681" w14:textId="5C597CA0" w:rsidR="00B84BE7" w:rsidRPr="007D1918" w:rsidRDefault="00B84BE7" w:rsidP="00B00E10">
            <w:pPr>
              <w:pStyle w:val="TableText0"/>
              <w:keepLines/>
              <w:ind w:right="117"/>
              <w:rPr>
                <w:snapToGrid w:val="0"/>
                <w:vertAlign w:val="superscript"/>
              </w:rPr>
            </w:pPr>
            <w:r w:rsidRPr="007D1918">
              <w:rPr>
                <w:snapToGrid w:val="0"/>
              </w:rPr>
              <w:t>P = 0.04</w:t>
            </w:r>
            <w:r w:rsidRPr="007D1918">
              <w:rPr>
                <w:snapToGrid w:val="0"/>
                <w:vertAlign w:val="superscript"/>
              </w:rPr>
              <w:t>b</w:t>
            </w:r>
          </w:p>
        </w:tc>
      </w:tr>
    </w:tbl>
    <w:p w14:paraId="14242A0A" w14:textId="03F0FF85" w:rsidR="00D53274" w:rsidRPr="007D1918" w:rsidRDefault="005237AE" w:rsidP="008C7897">
      <w:pPr>
        <w:pStyle w:val="Tablenotes0"/>
        <w:spacing w:after="80"/>
        <w:contextualSpacing w:val="0"/>
      </w:pPr>
      <w:r w:rsidRPr="007D1918">
        <w:t xml:space="preserve">IVIg = intravenous immunoglobulin therapy; </w:t>
      </w:r>
      <w:r w:rsidR="00D53274" w:rsidRPr="007D1918">
        <w:t>MMT = manual muscle test</w:t>
      </w:r>
      <w:r w:rsidRPr="007D1918">
        <w:t>; PE = plasma exchange therapy</w:t>
      </w:r>
    </w:p>
    <w:p w14:paraId="4A6D86CB" w14:textId="127EB3F3" w:rsidR="00D53274" w:rsidRPr="007D1918" w:rsidRDefault="00D53274" w:rsidP="00E6429D">
      <w:pPr>
        <w:pStyle w:val="Tablenotes0"/>
      </w:pPr>
      <w:r w:rsidRPr="007D1918">
        <w:rPr>
          <w:vertAlign w:val="superscript"/>
        </w:rPr>
        <w:t>a</w:t>
      </w:r>
      <w:r w:rsidRPr="007D1918">
        <w:t xml:space="preserve"> Combined assessment of clinical physical examination</w:t>
      </w:r>
      <w:r w:rsidR="0098428B" w:rsidRPr="007D1918">
        <w:t xml:space="preserve"> </w:t>
      </w:r>
      <w:r w:rsidRPr="007D1918">
        <w:t>(including MMT and fatigability) and patient reported improvement</w:t>
      </w:r>
    </w:p>
    <w:p w14:paraId="5FA199A9" w14:textId="4F637B47" w:rsidR="00B00E10" w:rsidRPr="007D1918" w:rsidRDefault="00B00E10" w:rsidP="00A14C6E">
      <w:pPr>
        <w:pStyle w:val="Tablenotes0"/>
        <w:spacing w:after="0"/>
      </w:pPr>
      <w:r w:rsidRPr="007D1918">
        <w:rPr>
          <w:vertAlign w:val="superscript"/>
        </w:rPr>
        <w:t>b</w:t>
      </w:r>
      <w:r w:rsidRPr="007D1918">
        <w:t xml:space="preserve"> Fisher’s exact test </w:t>
      </w:r>
      <w:r w:rsidR="0075212A"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instrText xml:space="preserve"> ADDIN EN.CITE </w:instrText>
      </w:r>
      <w:r w:rsidR="00C437BA"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62" w:tooltip="Liew, 2014 #55" w:history="1">
        <w:r w:rsidR="007D4948" w:rsidRPr="007D1918">
          <w:rPr>
            <w:noProof/>
          </w:rPr>
          <w:t>Liew et al. 2014</w:t>
        </w:r>
      </w:hyperlink>
      <w:r w:rsidR="0075212A" w:rsidRPr="007D1918">
        <w:rPr>
          <w:noProof/>
        </w:rPr>
        <w:t>)</w:t>
      </w:r>
      <w:r w:rsidR="0075212A" w:rsidRPr="007D1918">
        <w:fldChar w:fldCharType="end"/>
      </w:r>
    </w:p>
    <w:p w14:paraId="66D8E652" w14:textId="77777777" w:rsidR="00D53274" w:rsidRPr="007D1918" w:rsidRDefault="00D53274" w:rsidP="00A14C6E">
      <w:pPr>
        <w:pStyle w:val="Tabletext1"/>
      </w:pPr>
    </w:p>
    <w:p w14:paraId="7D0BAC83" w14:textId="4B8702ED" w:rsidR="00B00E10" w:rsidRPr="007D1918" w:rsidRDefault="00B00E10" w:rsidP="00B00E10">
      <w:pPr>
        <w:pStyle w:val="Heading4"/>
      </w:pPr>
      <w:r w:rsidRPr="007D1918">
        <w:t>Change in symptoms (absolute score and total effective rate) in children receiving IVIg</w:t>
      </w:r>
      <w:r w:rsidR="00D95E2D" w:rsidRPr="007D1918">
        <w:t xml:space="preserve"> plus </w:t>
      </w:r>
      <w:r w:rsidR="004C437A" w:rsidRPr="007D1918">
        <w:t xml:space="preserve">IV </w:t>
      </w:r>
      <w:r w:rsidR="00D95E2D" w:rsidRPr="007D1918">
        <w:t>MPN</w:t>
      </w:r>
      <w:r w:rsidRPr="007D1918">
        <w:t xml:space="preserve"> or </w:t>
      </w:r>
      <w:r w:rsidR="00B84BE7" w:rsidRPr="007D1918">
        <w:t>IV MPN</w:t>
      </w:r>
      <w:r w:rsidR="00D95E2D" w:rsidRPr="007D1918">
        <w:t xml:space="preserve"> alone</w:t>
      </w:r>
    </w:p>
    <w:p w14:paraId="3CEDAE69" w14:textId="7B60F263" w:rsidR="00151EAE" w:rsidRPr="007D1918" w:rsidRDefault="00151EAE" w:rsidP="00024DA8">
      <w:pPr>
        <w:jc w:val="both"/>
      </w:pPr>
      <w:r w:rsidRPr="007D1918">
        <w:t xml:space="preserve">The retrospective case control study by Wang et al </w:t>
      </w:r>
      <w:r w:rsidR="0075212A" w:rsidRPr="007D1918">
        <w:fldChar w:fldCharType="begin"/>
      </w:r>
      <w:r w:rsidR="007D4948" w:rsidRPr="007D1918">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0075212A" w:rsidRPr="007D1918">
        <w:fldChar w:fldCharType="separate"/>
      </w:r>
      <w:r w:rsidR="007D4948" w:rsidRPr="007D1918">
        <w:rPr>
          <w:noProof/>
        </w:rPr>
        <w:t>(</w:t>
      </w:r>
      <w:hyperlink w:anchor="_ENREF_104" w:tooltip="Wang, 2016 #43" w:history="1">
        <w:r w:rsidR="007D4948" w:rsidRPr="007D1918">
          <w:rPr>
            <w:noProof/>
          </w:rPr>
          <w:t>Wang et al. 2016</w:t>
        </w:r>
      </w:hyperlink>
      <w:r w:rsidR="007D4948" w:rsidRPr="007D1918">
        <w:rPr>
          <w:noProof/>
        </w:rPr>
        <w:t>)</w:t>
      </w:r>
      <w:r w:rsidR="0075212A" w:rsidRPr="007D1918">
        <w:fldChar w:fldCharType="end"/>
      </w:r>
      <w:r w:rsidRPr="007D1918">
        <w:t xml:space="preserve"> compare</w:t>
      </w:r>
      <w:r w:rsidR="001A2D7A" w:rsidRPr="007D1918">
        <w:t>d</w:t>
      </w:r>
      <w:r w:rsidRPr="007D1918">
        <w:t xml:space="preserve"> the response to treatment between observation and control groups. Data </w:t>
      </w:r>
      <w:r w:rsidR="00C450C3" w:rsidRPr="007D1918">
        <w:t xml:space="preserve">were </w:t>
      </w:r>
      <w:r w:rsidRPr="007D1918">
        <w:t xml:space="preserve">collected from a hospital neurology department on patients attending over a </w:t>
      </w:r>
      <w:r w:rsidR="00A4253D" w:rsidRPr="007D1918">
        <w:t xml:space="preserve">5 </w:t>
      </w:r>
      <w:r w:rsidRPr="007D1918">
        <w:t xml:space="preserve">year period during which they received standard treatments such as </w:t>
      </w:r>
      <w:r w:rsidR="009473E3" w:rsidRPr="007D1918">
        <w:t xml:space="preserve">PN </w:t>
      </w:r>
      <w:r w:rsidRPr="007D1918">
        <w:t xml:space="preserve">and pyridostigmine. Patients in the observation group received a </w:t>
      </w:r>
      <w:r w:rsidR="00A4253D" w:rsidRPr="007D1918">
        <w:t xml:space="preserve">5 </w:t>
      </w:r>
      <w:r w:rsidRPr="007D1918">
        <w:t>day course of IVIg (0.4g/kg/day) and a high dose of MPN (15-20 mg/kg/day) administered intravenously over 3 to 5 days, and the cont</w:t>
      </w:r>
      <w:r w:rsidR="00317CAF" w:rsidRPr="007D1918">
        <w:t>rol group received the MPN only</w:t>
      </w:r>
      <w:r w:rsidRPr="007D1918">
        <w:t xml:space="preserve">. There were 35 children in each group. </w:t>
      </w:r>
    </w:p>
    <w:p w14:paraId="60D64A59" w14:textId="360F9C35" w:rsidR="00B00E10" w:rsidRPr="007D1918" w:rsidRDefault="00B00E10" w:rsidP="00024DA8">
      <w:pPr>
        <w:jc w:val="both"/>
      </w:pPr>
      <w:r w:rsidRPr="007D1918">
        <w:t xml:space="preserve">Wang </w:t>
      </w:r>
      <w:r w:rsidR="00151EAE" w:rsidRPr="007D1918">
        <w:t xml:space="preserve">et al </w:t>
      </w:r>
      <w:r w:rsidRPr="007D1918">
        <w:t>reported response to treatment (</w:t>
      </w:r>
      <w:r w:rsidR="00A4253D" w:rsidRPr="007D1918">
        <w:t>per cent</w:t>
      </w:r>
      <w:r w:rsidRPr="007D1918">
        <w:t xml:space="preserve">) based on </w:t>
      </w:r>
      <w:r w:rsidR="004C437A" w:rsidRPr="007D1918">
        <w:t xml:space="preserve">a </w:t>
      </w:r>
      <w:r w:rsidRPr="007D1918">
        <w:t>composite ‘absolute score’</w:t>
      </w:r>
      <w:r w:rsidR="00481888" w:rsidRPr="007D1918">
        <w:t xml:space="preserve"> (MGAS)</w:t>
      </w:r>
      <w:r w:rsidRPr="007D1918">
        <w:t xml:space="preserve"> described </w:t>
      </w:r>
      <w:r w:rsidR="00C450C3" w:rsidRPr="007D1918">
        <w:t>by the authors</w:t>
      </w:r>
      <w:r w:rsidRPr="007D1918">
        <w:t xml:space="preserve">. The absolute score assessed muscle strength of upper eyelid, fatigue test of upper eyelid, horizontal eye movement, facial muscle strength, fatigue test of upper limbs, fatigue test of lower limbs, swallowing and respiration function. A maximum score of 60 points was possible. Patients given IVIg </w:t>
      </w:r>
      <w:r w:rsidR="00024DA8" w:rsidRPr="007D1918">
        <w:t xml:space="preserve">and MPN </w:t>
      </w:r>
      <w:r w:rsidRPr="007D1918">
        <w:t xml:space="preserve">were more responsive than those given </w:t>
      </w:r>
      <w:r w:rsidR="00024DA8" w:rsidRPr="007D1918">
        <w:t xml:space="preserve">IV </w:t>
      </w:r>
      <w:r w:rsidRPr="007D1918">
        <w:t xml:space="preserve">MPN alone using this measure (p &lt; 0.05). Wang et al also compared the number who were cured fully or cured to some degree and found that there were more who showed at least some improvement in the IVIg </w:t>
      </w:r>
      <w:r w:rsidR="00024DA8" w:rsidRPr="007D1918">
        <w:t xml:space="preserve">plus IV MPN </w:t>
      </w:r>
      <w:r w:rsidRPr="007D1918">
        <w:t xml:space="preserve">group than the MPN </w:t>
      </w:r>
      <w:r w:rsidR="00024DA8" w:rsidRPr="007D1918">
        <w:t xml:space="preserve">alone </w:t>
      </w:r>
      <w:r w:rsidRPr="007D1918">
        <w:t xml:space="preserve">group (p = </w:t>
      </w:r>
      <w:r w:rsidR="00D819BE" w:rsidRPr="007D1918">
        <w:t>0</w:t>
      </w:r>
      <w:r w:rsidRPr="007D1918">
        <w:t xml:space="preserve">.022). Results are summarised in </w:t>
      </w:r>
      <w:r w:rsidRPr="007D1918">
        <w:fldChar w:fldCharType="begin"/>
      </w:r>
      <w:r w:rsidRPr="007D1918">
        <w:instrText xml:space="preserve"> REF _Ref8904644 \h  \* MERGEFORMAT </w:instrText>
      </w:r>
      <w:r w:rsidRPr="007D1918">
        <w:fldChar w:fldCharType="separate"/>
      </w:r>
      <w:r w:rsidR="00153384" w:rsidRPr="007D1918">
        <w:t xml:space="preserve">Table </w:t>
      </w:r>
      <w:r w:rsidR="00153384" w:rsidRPr="007D1918">
        <w:rPr>
          <w:noProof/>
        </w:rPr>
        <w:t>44</w:t>
      </w:r>
      <w:r w:rsidRPr="007D1918">
        <w:fldChar w:fldCharType="end"/>
      </w:r>
      <w:r w:rsidRPr="007D1918">
        <w:t xml:space="preserve">. </w:t>
      </w:r>
      <w:r w:rsidR="00317CAF" w:rsidRPr="007D1918">
        <w:t xml:space="preserve">Again, although a </w:t>
      </w:r>
      <w:r w:rsidR="00317CAF" w:rsidRPr="007D1918">
        <w:lastRenderedPageBreak/>
        <w:t xml:space="preserve">statistically significant difference was found, </w:t>
      </w:r>
      <w:r w:rsidR="001A2D7A" w:rsidRPr="007D1918">
        <w:t>an incremental benefit of IVIg over MPN was not unexpected. T</w:t>
      </w:r>
      <w:r w:rsidR="00317CAF" w:rsidRPr="007D1918">
        <w:t xml:space="preserve">he </w:t>
      </w:r>
      <w:r w:rsidR="001A2D7A" w:rsidRPr="007D1918">
        <w:t>non-</w:t>
      </w:r>
      <w:r w:rsidR="00317CAF" w:rsidRPr="007D1918">
        <w:t>standardised tool means the results should be interpreted with caution.</w:t>
      </w:r>
    </w:p>
    <w:p w14:paraId="2A08CA0E" w14:textId="7F2B2589" w:rsidR="00D53274" w:rsidRPr="007D1918" w:rsidRDefault="00D53274" w:rsidP="00024DA8">
      <w:pPr>
        <w:pStyle w:val="Caption"/>
        <w:keepNext/>
        <w:keepLines/>
        <w:ind w:left="1134" w:hanging="1134"/>
        <w:jc w:val="both"/>
        <w:rPr>
          <w:rFonts w:cs="Arial"/>
          <w:snapToGrid w:val="0"/>
          <w:szCs w:val="16"/>
          <w:lang w:eastAsia="en-US"/>
        </w:rPr>
      </w:pPr>
      <w:bookmarkStart w:id="293" w:name="_Ref8904644"/>
      <w:bookmarkStart w:id="294" w:name="_Toc23769531"/>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44</w:t>
      </w:r>
      <w:r w:rsidRPr="007D1918">
        <w:rPr>
          <w:noProof/>
        </w:rPr>
        <w:fldChar w:fldCharType="end"/>
      </w:r>
      <w:bookmarkEnd w:id="293"/>
      <w:r w:rsidRPr="007D1918">
        <w:tab/>
      </w:r>
      <w:r w:rsidRPr="007D1918">
        <w:rPr>
          <w:rFonts w:cs="Arial"/>
          <w:snapToGrid w:val="0"/>
          <w:szCs w:val="16"/>
          <w:lang w:eastAsia="en-US"/>
        </w:rPr>
        <w:t xml:space="preserve">Change from baseline in absolute score and the proportion cured in patients treated with IVIg </w:t>
      </w:r>
      <w:r w:rsidR="00024DA8" w:rsidRPr="007D1918">
        <w:rPr>
          <w:rFonts w:cs="Arial"/>
          <w:snapToGrid w:val="0"/>
          <w:szCs w:val="16"/>
          <w:lang w:eastAsia="en-US"/>
        </w:rPr>
        <w:t xml:space="preserve">plus </w:t>
      </w:r>
      <w:r w:rsidR="00C450C3" w:rsidRPr="007D1918">
        <w:rPr>
          <w:rFonts w:cs="Arial"/>
          <w:snapToGrid w:val="0"/>
          <w:szCs w:val="16"/>
          <w:lang w:eastAsia="en-US"/>
        </w:rPr>
        <w:t xml:space="preserve">IV </w:t>
      </w:r>
      <w:r w:rsidR="00024DA8" w:rsidRPr="007D1918">
        <w:rPr>
          <w:rFonts w:cs="Arial"/>
          <w:snapToGrid w:val="0"/>
          <w:szCs w:val="16"/>
          <w:lang w:eastAsia="en-US"/>
        </w:rPr>
        <w:t xml:space="preserve">MPN </w:t>
      </w:r>
      <w:r w:rsidRPr="007D1918">
        <w:rPr>
          <w:rFonts w:cs="Arial"/>
          <w:snapToGrid w:val="0"/>
          <w:szCs w:val="16"/>
          <w:lang w:eastAsia="en-US"/>
        </w:rPr>
        <w:t xml:space="preserve">or </w:t>
      </w:r>
      <w:r w:rsidR="00024DA8" w:rsidRPr="007D1918">
        <w:rPr>
          <w:rFonts w:cs="Arial"/>
          <w:snapToGrid w:val="0"/>
          <w:szCs w:val="16"/>
          <w:lang w:eastAsia="en-US"/>
        </w:rPr>
        <w:t xml:space="preserve">high dose </w:t>
      </w:r>
      <w:r w:rsidRPr="007D1918">
        <w:rPr>
          <w:rFonts w:cs="Arial"/>
          <w:snapToGrid w:val="0"/>
          <w:szCs w:val="16"/>
          <w:lang w:eastAsia="en-US"/>
        </w:rPr>
        <w:t xml:space="preserve">IV MPN alone for MG maintenance </w:t>
      </w:r>
      <w:r w:rsidR="0075212A" w:rsidRPr="007D1918">
        <w:rPr>
          <w:rFonts w:cs="Arial"/>
          <w:snapToGrid w:val="0"/>
          <w:szCs w:val="16"/>
          <w:lang w:eastAsia="en-US"/>
        </w:rPr>
        <w:fldChar w:fldCharType="begin"/>
      </w:r>
      <w:r w:rsidR="00C437BA" w:rsidRPr="007D1918">
        <w:rPr>
          <w:rFonts w:cs="Arial"/>
          <w:snapToGrid w:val="0"/>
          <w:szCs w:val="16"/>
          <w:lang w:eastAsia="en-US"/>
        </w:rPr>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104" w:tooltip="Wang, 2016 #43" w:history="1">
        <w:r w:rsidR="007D4948" w:rsidRPr="007D1918">
          <w:rPr>
            <w:rFonts w:cs="Arial"/>
            <w:noProof/>
            <w:snapToGrid w:val="0"/>
            <w:szCs w:val="16"/>
            <w:lang w:eastAsia="en-US"/>
          </w:rPr>
          <w:t>Wang et al. 2016</w:t>
        </w:r>
      </w:hyperlink>
      <w:r w:rsidR="0075212A" w:rsidRPr="007D1918">
        <w:rPr>
          <w:rFonts w:cs="Arial"/>
          <w:noProof/>
          <w:snapToGrid w:val="0"/>
          <w:szCs w:val="16"/>
          <w:lang w:eastAsia="en-US"/>
        </w:rPr>
        <w:t>)</w:t>
      </w:r>
      <w:bookmarkEnd w:id="294"/>
      <w:r w:rsidR="0075212A" w:rsidRPr="007D1918">
        <w:rPr>
          <w:rFonts w:cs="Arial"/>
          <w:snapToGrid w:val="0"/>
          <w:szCs w:val="16"/>
          <w:lang w:eastAsia="en-US"/>
        </w:rPr>
        <w:fldChar w:fldCharType="end"/>
      </w:r>
      <w:r w:rsidRPr="007D1918">
        <w:rPr>
          <w:rFonts w:cs="Arial"/>
          <w:snapToGrid w:val="0"/>
          <w:szCs w:val="16"/>
          <w:lang w:eastAsia="en-US"/>
        </w:rPr>
        <w:t xml:space="preserve"> </w:t>
      </w:r>
    </w:p>
    <w:tbl>
      <w:tblPr>
        <w:tblW w:w="5000"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2 Change from baseline in absolute score and the proportion cured in patients treated with IVIg plus MPN or high dose IV MPN alone for MG maintenance (Wang et al. 2016) "/>
        <w:tblDescription w:val="Change in symptoms measured by absolute score or the proportion cured compared between those receiving IVIg + MPN or MPN alone (Indication 3)."/>
      </w:tblPr>
      <w:tblGrid>
        <w:gridCol w:w="2518"/>
        <w:gridCol w:w="1696"/>
        <w:gridCol w:w="2258"/>
        <w:gridCol w:w="2544"/>
      </w:tblGrid>
      <w:tr w:rsidR="00024DA8" w:rsidRPr="007D1918" w14:paraId="71861EB7" w14:textId="77777777" w:rsidTr="00D95E2D">
        <w:tc>
          <w:tcPr>
            <w:tcW w:w="1396" w:type="pct"/>
          </w:tcPr>
          <w:p w14:paraId="2E3C5500" w14:textId="5BF078DB" w:rsidR="00024DA8" w:rsidRPr="007D1918" w:rsidRDefault="00024DA8" w:rsidP="00F64372">
            <w:pPr>
              <w:pStyle w:val="TableHeading"/>
              <w:keepLines/>
              <w:ind w:left="16" w:right="117"/>
              <w:rPr>
                <w:snapToGrid w:val="0"/>
                <w:lang w:eastAsia="en-US"/>
              </w:rPr>
            </w:pPr>
            <w:r w:rsidRPr="007D1918">
              <w:rPr>
                <w:snapToGrid w:val="0"/>
                <w:lang w:eastAsia="en-US"/>
              </w:rPr>
              <w:t>Measure</w:t>
            </w:r>
          </w:p>
        </w:tc>
        <w:tc>
          <w:tcPr>
            <w:tcW w:w="940" w:type="pct"/>
            <w:shd w:val="clear" w:color="auto" w:fill="auto"/>
          </w:tcPr>
          <w:p w14:paraId="5B95B9A4" w14:textId="10192D90" w:rsidR="00024DA8" w:rsidRPr="007D1918" w:rsidRDefault="00024DA8" w:rsidP="00F64372">
            <w:pPr>
              <w:pStyle w:val="TableHeading"/>
              <w:keepLines/>
              <w:ind w:left="111" w:right="117"/>
              <w:rPr>
                <w:snapToGrid w:val="0"/>
                <w:lang w:eastAsia="en-US"/>
              </w:rPr>
            </w:pPr>
            <w:r w:rsidRPr="007D1918">
              <w:rPr>
                <w:snapToGrid w:val="0"/>
                <w:lang w:eastAsia="en-US"/>
              </w:rPr>
              <w:t xml:space="preserve">IVIg + </w:t>
            </w:r>
            <w:r w:rsidR="00C450C3" w:rsidRPr="007D1918">
              <w:rPr>
                <w:snapToGrid w:val="0"/>
                <w:lang w:eastAsia="en-US"/>
              </w:rPr>
              <w:t xml:space="preserve">IV </w:t>
            </w:r>
            <w:r w:rsidRPr="007D1918">
              <w:rPr>
                <w:snapToGrid w:val="0"/>
                <w:lang w:eastAsia="en-US"/>
              </w:rPr>
              <w:t xml:space="preserve">MPN </w:t>
            </w:r>
          </w:p>
          <w:p w14:paraId="19FF9DD9" w14:textId="157AFE81" w:rsidR="00024DA8" w:rsidRPr="007D1918" w:rsidRDefault="00024DA8" w:rsidP="00F64372">
            <w:pPr>
              <w:pStyle w:val="TableHeading"/>
              <w:keepLines/>
              <w:ind w:left="111" w:right="117"/>
              <w:rPr>
                <w:snapToGrid w:val="0"/>
                <w:lang w:eastAsia="en-US"/>
              </w:rPr>
            </w:pPr>
          </w:p>
        </w:tc>
        <w:tc>
          <w:tcPr>
            <w:tcW w:w="1252" w:type="pct"/>
            <w:shd w:val="clear" w:color="auto" w:fill="auto"/>
          </w:tcPr>
          <w:p w14:paraId="7E575C6E" w14:textId="610D4AE9" w:rsidR="00024DA8" w:rsidRPr="007D1918" w:rsidRDefault="00024DA8" w:rsidP="00F64372">
            <w:pPr>
              <w:pStyle w:val="TableHeading"/>
              <w:keepLines/>
              <w:ind w:left="77" w:right="117"/>
              <w:rPr>
                <w:snapToGrid w:val="0"/>
                <w:lang w:eastAsia="en-US"/>
              </w:rPr>
            </w:pPr>
            <w:r w:rsidRPr="007D1918">
              <w:rPr>
                <w:snapToGrid w:val="0"/>
                <w:lang w:eastAsia="en-US"/>
              </w:rPr>
              <w:t>High dose IV MPN</w:t>
            </w:r>
            <w:r w:rsidR="00C450C3" w:rsidRPr="007D1918">
              <w:rPr>
                <w:snapToGrid w:val="0"/>
                <w:lang w:eastAsia="en-US"/>
              </w:rPr>
              <w:t xml:space="preserve"> alone</w:t>
            </w:r>
          </w:p>
          <w:p w14:paraId="7881D68D" w14:textId="7F778928" w:rsidR="00024DA8" w:rsidRPr="007D1918" w:rsidRDefault="00024DA8" w:rsidP="00F64372">
            <w:pPr>
              <w:pStyle w:val="TableHeading"/>
              <w:keepLines/>
              <w:ind w:left="77" w:right="117"/>
              <w:rPr>
                <w:snapToGrid w:val="0"/>
                <w:lang w:eastAsia="en-US"/>
              </w:rPr>
            </w:pPr>
          </w:p>
        </w:tc>
        <w:tc>
          <w:tcPr>
            <w:tcW w:w="1411" w:type="pct"/>
            <w:shd w:val="clear" w:color="auto" w:fill="auto"/>
          </w:tcPr>
          <w:p w14:paraId="29AC752A" w14:textId="10BB3DD1" w:rsidR="00024DA8" w:rsidRPr="007D1918" w:rsidRDefault="00755618" w:rsidP="00F64372">
            <w:pPr>
              <w:pStyle w:val="TableHeading"/>
              <w:keepLines/>
              <w:ind w:right="117"/>
              <w:rPr>
                <w:snapToGrid w:val="0"/>
                <w:lang w:eastAsia="en-US"/>
              </w:rPr>
            </w:pPr>
            <w:r w:rsidRPr="007D1918">
              <w:rPr>
                <w:snapToGrid w:val="0"/>
                <w:lang w:eastAsia="en-US"/>
              </w:rPr>
              <w:t>D</w:t>
            </w:r>
            <w:r w:rsidR="00024DA8" w:rsidRPr="007D1918">
              <w:rPr>
                <w:snapToGrid w:val="0"/>
                <w:lang w:eastAsia="en-US"/>
              </w:rPr>
              <w:t>ifference</w:t>
            </w:r>
          </w:p>
          <w:p w14:paraId="1D8E274B" w14:textId="00C5DF69" w:rsidR="00024DA8" w:rsidRPr="007D1918" w:rsidRDefault="00024DA8" w:rsidP="00024DA8">
            <w:pPr>
              <w:pStyle w:val="TableHeading"/>
              <w:keepLines/>
              <w:ind w:right="117"/>
              <w:rPr>
                <w:snapToGrid w:val="0"/>
                <w:lang w:eastAsia="en-US"/>
              </w:rPr>
            </w:pPr>
            <w:r w:rsidRPr="007D1918">
              <w:rPr>
                <w:snapToGrid w:val="0"/>
                <w:lang w:eastAsia="en-US"/>
              </w:rPr>
              <w:t xml:space="preserve">p-value </w:t>
            </w:r>
          </w:p>
        </w:tc>
      </w:tr>
      <w:tr w:rsidR="00024DA8" w:rsidRPr="007D1918" w14:paraId="03AAF53F" w14:textId="77777777" w:rsidTr="00D95E2D">
        <w:tc>
          <w:tcPr>
            <w:tcW w:w="1396" w:type="pct"/>
          </w:tcPr>
          <w:p w14:paraId="415554B5" w14:textId="77777777" w:rsidR="00024DA8" w:rsidRPr="007D1918" w:rsidRDefault="00024DA8" w:rsidP="00F64372">
            <w:pPr>
              <w:pStyle w:val="TableText0"/>
              <w:keepLines/>
              <w:ind w:left="16" w:right="117"/>
              <w:rPr>
                <w:snapToGrid w:val="0"/>
                <w:vertAlign w:val="superscript"/>
              </w:rPr>
            </w:pPr>
            <w:r w:rsidRPr="007D1918">
              <w:rPr>
                <w:snapToGrid w:val="0"/>
              </w:rPr>
              <w:t>Absolute score (mean ± SD)</w:t>
            </w:r>
            <w:r w:rsidRPr="007D1918">
              <w:rPr>
                <w:snapToGrid w:val="0"/>
                <w:vertAlign w:val="superscript"/>
              </w:rPr>
              <w:t>a</w:t>
            </w:r>
          </w:p>
          <w:p w14:paraId="019F71E9" w14:textId="77777777" w:rsidR="00024DA8" w:rsidRPr="007D1918" w:rsidRDefault="00024DA8" w:rsidP="00F64372">
            <w:pPr>
              <w:pStyle w:val="TableText0"/>
              <w:keepLines/>
              <w:ind w:left="113" w:right="119"/>
              <w:rPr>
                <w:snapToGrid w:val="0"/>
              </w:rPr>
            </w:pPr>
            <w:r w:rsidRPr="007D1918">
              <w:rPr>
                <w:snapToGrid w:val="0"/>
              </w:rPr>
              <w:t>Change from baseline</w:t>
            </w:r>
          </w:p>
        </w:tc>
        <w:tc>
          <w:tcPr>
            <w:tcW w:w="940" w:type="pct"/>
            <w:shd w:val="clear" w:color="auto" w:fill="auto"/>
          </w:tcPr>
          <w:p w14:paraId="5CE19610" w14:textId="77777777" w:rsidR="00024DA8" w:rsidRPr="007D1918" w:rsidRDefault="00024DA8" w:rsidP="00F64372">
            <w:pPr>
              <w:pStyle w:val="TableText0"/>
              <w:keepLines/>
              <w:ind w:left="111" w:right="117"/>
              <w:rPr>
                <w:snapToGrid w:val="0"/>
              </w:rPr>
            </w:pPr>
          </w:p>
          <w:p w14:paraId="5546DA46" w14:textId="77777777" w:rsidR="00024DA8" w:rsidRPr="007D1918" w:rsidRDefault="00024DA8" w:rsidP="00F64372">
            <w:pPr>
              <w:pStyle w:val="TableText0"/>
              <w:keepLines/>
              <w:ind w:left="111" w:right="117"/>
              <w:rPr>
                <w:snapToGrid w:val="0"/>
              </w:rPr>
            </w:pPr>
            <w:r w:rsidRPr="007D1918">
              <w:rPr>
                <w:snapToGrid w:val="0"/>
              </w:rPr>
              <w:t>12.98 ± 7.33</w:t>
            </w:r>
          </w:p>
        </w:tc>
        <w:tc>
          <w:tcPr>
            <w:tcW w:w="1252" w:type="pct"/>
            <w:shd w:val="clear" w:color="auto" w:fill="auto"/>
          </w:tcPr>
          <w:p w14:paraId="1A309B67" w14:textId="77777777" w:rsidR="00024DA8" w:rsidRPr="007D1918" w:rsidRDefault="00024DA8" w:rsidP="00F64372">
            <w:pPr>
              <w:pStyle w:val="TableText0"/>
              <w:keepLines/>
              <w:ind w:left="77" w:right="117"/>
              <w:rPr>
                <w:snapToGrid w:val="0"/>
              </w:rPr>
            </w:pPr>
          </w:p>
          <w:p w14:paraId="55C68E71" w14:textId="77777777" w:rsidR="00024DA8" w:rsidRPr="007D1918" w:rsidRDefault="00024DA8" w:rsidP="00F64372">
            <w:pPr>
              <w:pStyle w:val="TableText0"/>
              <w:keepLines/>
              <w:ind w:left="77" w:right="117"/>
              <w:rPr>
                <w:snapToGrid w:val="0"/>
              </w:rPr>
            </w:pPr>
            <w:r w:rsidRPr="007D1918">
              <w:rPr>
                <w:snapToGrid w:val="0"/>
              </w:rPr>
              <w:t>8.84 ± 7.27</w:t>
            </w:r>
          </w:p>
        </w:tc>
        <w:tc>
          <w:tcPr>
            <w:tcW w:w="1411" w:type="pct"/>
            <w:shd w:val="clear" w:color="auto" w:fill="auto"/>
          </w:tcPr>
          <w:p w14:paraId="4260A304" w14:textId="77777777" w:rsidR="00024DA8" w:rsidRPr="007D1918" w:rsidRDefault="00024DA8" w:rsidP="00F64372">
            <w:pPr>
              <w:pStyle w:val="TableText0"/>
              <w:keepLines/>
              <w:ind w:right="117"/>
              <w:rPr>
                <w:snapToGrid w:val="0"/>
              </w:rPr>
            </w:pPr>
          </w:p>
          <w:p w14:paraId="105ABA54" w14:textId="657E735B" w:rsidR="00024DA8" w:rsidRPr="007D1918" w:rsidRDefault="00024DA8" w:rsidP="00F64372">
            <w:pPr>
              <w:pStyle w:val="TableText0"/>
              <w:keepLines/>
              <w:ind w:right="117"/>
              <w:rPr>
                <w:snapToGrid w:val="0"/>
                <w:vertAlign w:val="superscript"/>
              </w:rPr>
            </w:pPr>
            <w:r w:rsidRPr="007D1918">
              <w:rPr>
                <w:snapToGrid w:val="0"/>
              </w:rPr>
              <w:t>P &lt; 0.05</w:t>
            </w:r>
            <w:r w:rsidR="00592F90" w:rsidRPr="007D1918">
              <w:rPr>
                <w:snapToGrid w:val="0"/>
                <w:vertAlign w:val="superscript"/>
              </w:rPr>
              <w:t xml:space="preserve"> </w:t>
            </w:r>
            <w:r w:rsidR="00592F90" w:rsidRPr="007D1918">
              <w:rPr>
                <w:snapToGrid w:val="0"/>
              </w:rPr>
              <w:t>(paired</w:t>
            </w:r>
            <w:r w:rsidR="00592F90" w:rsidRPr="007D1918">
              <w:rPr>
                <w:i/>
                <w:snapToGrid w:val="0"/>
              </w:rPr>
              <w:t xml:space="preserve"> t</w:t>
            </w:r>
            <w:r w:rsidR="00592F90" w:rsidRPr="007D1918">
              <w:rPr>
                <w:snapToGrid w:val="0"/>
              </w:rPr>
              <w:t>-test)</w:t>
            </w:r>
          </w:p>
        </w:tc>
      </w:tr>
      <w:tr w:rsidR="00024DA8" w:rsidRPr="007D1918" w14:paraId="237B4D7B" w14:textId="77777777" w:rsidTr="00D95E2D">
        <w:tc>
          <w:tcPr>
            <w:tcW w:w="1396" w:type="pct"/>
          </w:tcPr>
          <w:p w14:paraId="508F255D" w14:textId="00CACF18" w:rsidR="00024DA8" w:rsidRPr="007D1918" w:rsidRDefault="00024DA8" w:rsidP="00F64372">
            <w:pPr>
              <w:pStyle w:val="TableText0"/>
              <w:keepLines/>
              <w:ind w:left="16" w:right="117"/>
              <w:rPr>
                <w:snapToGrid w:val="0"/>
                <w:vertAlign w:val="superscript"/>
              </w:rPr>
            </w:pPr>
            <w:r w:rsidRPr="007D1918">
              <w:rPr>
                <w:snapToGrid w:val="0"/>
              </w:rPr>
              <w:t>Cured (n with event/N; %)</w:t>
            </w:r>
            <w:r w:rsidRPr="007D1918">
              <w:rPr>
                <w:snapToGrid w:val="0"/>
                <w:vertAlign w:val="superscript"/>
              </w:rPr>
              <w:t>b</w:t>
            </w:r>
          </w:p>
          <w:p w14:paraId="1E993276" w14:textId="77777777" w:rsidR="00024DA8" w:rsidRPr="007D1918" w:rsidRDefault="00024DA8" w:rsidP="00F64372">
            <w:pPr>
              <w:pStyle w:val="TableText0"/>
              <w:keepLines/>
              <w:ind w:left="113" w:right="119"/>
              <w:rPr>
                <w:snapToGrid w:val="0"/>
              </w:rPr>
            </w:pPr>
            <w:r w:rsidRPr="007D1918">
              <w:rPr>
                <w:snapToGrid w:val="0"/>
              </w:rPr>
              <w:t>Recovered</w:t>
            </w:r>
          </w:p>
          <w:p w14:paraId="76318BE4" w14:textId="77777777" w:rsidR="00024DA8" w:rsidRPr="007D1918" w:rsidRDefault="00024DA8" w:rsidP="00F64372">
            <w:pPr>
              <w:pStyle w:val="TableText0"/>
              <w:keepLines/>
              <w:ind w:left="113" w:right="119"/>
              <w:rPr>
                <w:snapToGrid w:val="0"/>
              </w:rPr>
            </w:pPr>
            <w:r w:rsidRPr="007D1918">
              <w:rPr>
                <w:snapToGrid w:val="0"/>
              </w:rPr>
              <w:t>Basically cured</w:t>
            </w:r>
          </w:p>
          <w:p w14:paraId="65D09E6A" w14:textId="77777777" w:rsidR="00024DA8" w:rsidRPr="007D1918" w:rsidRDefault="00024DA8" w:rsidP="00F64372">
            <w:pPr>
              <w:pStyle w:val="TableText0"/>
              <w:keepLines/>
              <w:ind w:left="113" w:right="119"/>
              <w:rPr>
                <w:snapToGrid w:val="0"/>
              </w:rPr>
            </w:pPr>
            <w:r w:rsidRPr="007D1918">
              <w:rPr>
                <w:snapToGrid w:val="0"/>
              </w:rPr>
              <w:t>Evidence effects</w:t>
            </w:r>
          </w:p>
          <w:p w14:paraId="0F5A3AA0" w14:textId="77777777" w:rsidR="00024DA8" w:rsidRPr="007D1918" w:rsidRDefault="00024DA8" w:rsidP="00F64372">
            <w:pPr>
              <w:pStyle w:val="TableText0"/>
              <w:keepLines/>
              <w:ind w:left="113" w:right="119"/>
              <w:rPr>
                <w:snapToGrid w:val="0"/>
              </w:rPr>
            </w:pPr>
            <w:r w:rsidRPr="007D1918">
              <w:rPr>
                <w:snapToGrid w:val="0"/>
              </w:rPr>
              <w:t>Improved</w:t>
            </w:r>
          </w:p>
          <w:p w14:paraId="1387D81B" w14:textId="77777777" w:rsidR="00024DA8" w:rsidRPr="007D1918" w:rsidRDefault="00024DA8" w:rsidP="00F64372">
            <w:pPr>
              <w:pStyle w:val="TableText0"/>
              <w:keepLines/>
              <w:ind w:left="113" w:right="119"/>
              <w:rPr>
                <w:snapToGrid w:val="0"/>
              </w:rPr>
            </w:pPr>
            <w:r w:rsidRPr="007D1918">
              <w:rPr>
                <w:snapToGrid w:val="0"/>
              </w:rPr>
              <w:t>No effects</w:t>
            </w:r>
          </w:p>
          <w:p w14:paraId="5D7A3E53" w14:textId="77777777" w:rsidR="00024DA8" w:rsidRPr="007D1918" w:rsidRDefault="00024DA8" w:rsidP="00F64372">
            <w:pPr>
              <w:pStyle w:val="TableText0"/>
              <w:keepLines/>
              <w:ind w:left="113" w:right="119"/>
              <w:rPr>
                <w:snapToGrid w:val="0"/>
              </w:rPr>
            </w:pPr>
            <w:r w:rsidRPr="007D1918">
              <w:rPr>
                <w:snapToGrid w:val="0"/>
              </w:rPr>
              <w:t>Total effective rate</w:t>
            </w:r>
            <w:r w:rsidRPr="007D1918">
              <w:rPr>
                <w:snapToGrid w:val="0"/>
                <w:vertAlign w:val="superscript"/>
              </w:rPr>
              <w:t>c</w:t>
            </w:r>
            <w:r w:rsidRPr="007D1918">
              <w:rPr>
                <w:snapToGrid w:val="0"/>
              </w:rPr>
              <w:t xml:space="preserve"> </w:t>
            </w:r>
          </w:p>
        </w:tc>
        <w:tc>
          <w:tcPr>
            <w:tcW w:w="940" w:type="pct"/>
            <w:shd w:val="clear" w:color="auto" w:fill="auto"/>
          </w:tcPr>
          <w:p w14:paraId="35B5F109" w14:textId="77777777" w:rsidR="00024DA8" w:rsidRPr="007D1918" w:rsidRDefault="00024DA8" w:rsidP="00F64372">
            <w:pPr>
              <w:pStyle w:val="TableText0"/>
              <w:keepLines/>
              <w:ind w:left="111" w:right="117"/>
              <w:rPr>
                <w:snapToGrid w:val="0"/>
              </w:rPr>
            </w:pPr>
          </w:p>
          <w:p w14:paraId="1FECBBEA" w14:textId="77777777" w:rsidR="00024DA8" w:rsidRPr="007D1918" w:rsidRDefault="00024DA8" w:rsidP="00F64372">
            <w:pPr>
              <w:pStyle w:val="TableText0"/>
              <w:keepLines/>
              <w:ind w:left="111" w:right="117"/>
              <w:rPr>
                <w:snapToGrid w:val="0"/>
              </w:rPr>
            </w:pPr>
            <w:r w:rsidRPr="007D1918">
              <w:rPr>
                <w:snapToGrid w:val="0"/>
              </w:rPr>
              <w:t>9/35 (25.7%)</w:t>
            </w:r>
          </w:p>
          <w:p w14:paraId="57F1CB16" w14:textId="77777777" w:rsidR="00024DA8" w:rsidRPr="007D1918" w:rsidRDefault="00024DA8" w:rsidP="00F64372">
            <w:pPr>
              <w:pStyle w:val="TableText0"/>
              <w:keepLines/>
              <w:ind w:left="111" w:right="117"/>
              <w:rPr>
                <w:snapToGrid w:val="0"/>
              </w:rPr>
            </w:pPr>
            <w:r w:rsidRPr="007D1918">
              <w:rPr>
                <w:snapToGrid w:val="0"/>
              </w:rPr>
              <w:t>11/35 (31.4%)</w:t>
            </w:r>
          </w:p>
          <w:p w14:paraId="7208E4FA" w14:textId="77777777" w:rsidR="00024DA8" w:rsidRPr="007D1918" w:rsidRDefault="00024DA8" w:rsidP="00F64372">
            <w:pPr>
              <w:pStyle w:val="TableText0"/>
              <w:keepLines/>
              <w:ind w:left="111" w:right="117"/>
              <w:rPr>
                <w:snapToGrid w:val="0"/>
              </w:rPr>
            </w:pPr>
            <w:r w:rsidRPr="007D1918">
              <w:rPr>
                <w:snapToGrid w:val="0"/>
              </w:rPr>
              <w:t>6 (17.1%)</w:t>
            </w:r>
          </w:p>
          <w:p w14:paraId="5A4550CA" w14:textId="77777777" w:rsidR="00024DA8" w:rsidRPr="007D1918" w:rsidRDefault="00024DA8" w:rsidP="00F64372">
            <w:pPr>
              <w:pStyle w:val="TableText0"/>
              <w:keepLines/>
              <w:ind w:left="111" w:right="117"/>
              <w:rPr>
                <w:snapToGrid w:val="0"/>
              </w:rPr>
            </w:pPr>
            <w:r w:rsidRPr="007D1918">
              <w:rPr>
                <w:snapToGrid w:val="0"/>
              </w:rPr>
              <w:t>7/35 (20%)</w:t>
            </w:r>
          </w:p>
          <w:p w14:paraId="30394CE5" w14:textId="77777777" w:rsidR="00024DA8" w:rsidRPr="007D1918" w:rsidRDefault="00024DA8" w:rsidP="00F64372">
            <w:pPr>
              <w:pStyle w:val="TableText0"/>
              <w:keepLines/>
              <w:ind w:left="111" w:right="117"/>
              <w:rPr>
                <w:snapToGrid w:val="0"/>
              </w:rPr>
            </w:pPr>
            <w:r w:rsidRPr="007D1918">
              <w:rPr>
                <w:snapToGrid w:val="0"/>
              </w:rPr>
              <w:t>2 (5.7%)</w:t>
            </w:r>
          </w:p>
          <w:p w14:paraId="2147BC2B" w14:textId="77777777" w:rsidR="00024DA8" w:rsidRPr="007D1918" w:rsidRDefault="00024DA8" w:rsidP="00F64372">
            <w:pPr>
              <w:pStyle w:val="TableText0"/>
              <w:keepLines/>
              <w:ind w:left="111" w:right="117"/>
              <w:rPr>
                <w:snapToGrid w:val="0"/>
              </w:rPr>
            </w:pPr>
            <w:r w:rsidRPr="007D1918">
              <w:rPr>
                <w:snapToGrid w:val="0"/>
              </w:rPr>
              <w:t>94.29%</w:t>
            </w:r>
          </w:p>
        </w:tc>
        <w:tc>
          <w:tcPr>
            <w:tcW w:w="1252" w:type="pct"/>
            <w:shd w:val="clear" w:color="auto" w:fill="auto"/>
          </w:tcPr>
          <w:p w14:paraId="580A8254" w14:textId="77777777" w:rsidR="00024DA8" w:rsidRPr="007D1918" w:rsidRDefault="00024DA8" w:rsidP="00F64372">
            <w:pPr>
              <w:pStyle w:val="TableText0"/>
              <w:keepLines/>
              <w:ind w:left="77" w:right="117"/>
              <w:rPr>
                <w:snapToGrid w:val="0"/>
              </w:rPr>
            </w:pPr>
          </w:p>
          <w:p w14:paraId="2636C003" w14:textId="77777777" w:rsidR="00024DA8" w:rsidRPr="007D1918" w:rsidRDefault="00024DA8" w:rsidP="00F64372">
            <w:pPr>
              <w:pStyle w:val="TableText0"/>
              <w:keepLines/>
              <w:ind w:left="77" w:right="117"/>
              <w:rPr>
                <w:snapToGrid w:val="0"/>
              </w:rPr>
            </w:pPr>
            <w:r w:rsidRPr="007D1918">
              <w:rPr>
                <w:snapToGrid w:val="0"/>
              </w:rPr>
              <w:t>5/35 (14.3%)</w:t>
            </w:r>
          </w:p>
          <w:p w14:paraId="1D70F15C" w14:textId="77777777" w:rsidR="00024DA8" w:rsidRPr="007D1918" w:rsidRDefault="00024DA8" w:rsidP="00F64372">
            <w:pPr>
              <w:pStyle w:val="TableText0"/>
              <w:keepLines/>
              <w:ind w:left="77" w:right="117"/>
              <w:rPr>
                <w:snapToGrid w:val="0"/>
              </w:rPr>
            </w:pPr>
            <w:r w:rsidRPr="007D1918">
              <w:rPr>
                <w:snapToGrid w:val="0"/>
              </w:rPr>
              <w:t>8/35 (22.9%)</w:t>
            </w:r>
          </w:p>
          <w:p w14:paraId="10E807BA" w14:textId="77777777" w:rsidR="00024DA8" w:rsidRPr="007D1918" w:rsidRDefault="00024DA8" w:rsidP="00F64372">
            <w:pPr>
              <w:pStyle w:val="TableText0"/>
              <w:keepLines/>
              <w:ind w:left="77" w:right="117"/>
              <w:rPr>
                <w:snapToGrid w:val="0"/>
              </w:rPr>
            </w:pPr>
            <w:r w:rsidRPr="007D1918">
              <w:rPr>
                <w:snapToGrid w:val="0"/>
              </w:rPr>
              <w:t>7/35 (20%)</w:t>
            </w:r>
          </w:p>
          <w:p w14:paraId="307D31FA" w14:textId="77777777" w:rsidR="00024DA8" w:rsidRPr="007D1918" w:rsidRDefault="00024DA8" w:rsidP="00F64372">
            <w:pPr>
              <w:pStyle w:val="TableText0"/>
              <w:keepLines/>
              <w:ind w:left="77" w:right="117"/>
              <w:rPr>
                <w:snapToGrid w:val="0"/>
              </w:rPr>
            </w:pPr>
            <w:r w:rsidRPr="007D1918">
              <w:rPr>
                <w:snapToGrid w:val="0"/>
              </w:rPr>
              <w:t>6/35 (17.1%)</w:t>
            </w:r>
          </w:p>
          <w:p w14:paraId="4DF321A1" w14:textId="77777777" w:rsidR="00024DA8" w:rsidRPr="007D1918" w:rsidRDefault="00024DA8" w:rsidP="00F64372">
            <w:pPr>
              <w:pStyle w:val="TableText0"/>
              <w:keepLines/>
              <w:ind w:left="77" w:right="117"/>
              <w:rPr>
                <w:snapToGrid w:val="0"/>
              </w:rPr>
            </w:pPr>
            <w:r w:rsidRPr="007D1918">
              <w:rPr>
                <w:snapToGrid w:val="0"/>
              </w:rPr>
              <w:t>9/35 (25.7%)</w:t>
            </w:r>
          </w:p>
          <w:p w14:paraId="035E0737" w14:textId="77777777" w:rsidR="00024DA8" w:rsidRPr="007D1918" w:rsidRDefault="00024DA8" w:rsidP="00F64372">
            <w:pPr>
              <w:pStyle w:val="TableText0"/>
              <w:keepLines/>
              <w:ind w:left="77" w:right="117"/>
              <w:rPr>
                <w:snapToGrid w:val="0"/>
              </w:rPr>
            </w:pPr>
            <w:r w:rsidRPr="007D1918">
              <w:rPr>
                <w:snapToGrid w:val="0"/>
              </w:rPr>
              <w:t>74.29%</w:t>
            </w:r>
          </w:p>
        </w:tc>
        <w:tc>
          <w:tcPr>
            <w:tcW w:w="1411" w:type="pct"/>
            <w:shd w:val="clear" w:color="auto" w:fill="auto"/>
          </w:tcPr>
          <w:p w14:paraId="66F396FE" w14:textId="2CFB95DA" w:rsidR="00024DA8" w:rsidRPr="0011156A" w:rsidRDefault="00024DA8" w:rsidP="00F64372">
            <w:pPr>
              <w:pStyle w:val="TableText0"/>
              <w:keepLines/>
              <w:ind w:right="117"/>
              <w:rPr>
                <w:snapToGrid w:val="0"/>
                <w:sz w:val="136"/>
                <w:szCs w:val="136"/>
              </w:rPr>
            </w:pPr>
          </w:p>
          <w:p w14:paraId="29F47D65" w14:textId="12926456" w:rsidR="00024DA8" w:rsidRPr="007D1918" w:rsidRDefault="00024DA8" w:rsidP="00F64372">
            <w:pPr>
              <w:pStyle w:val="TableText0"/>
              <w:keepLines/>
              <w:ind w:right="117"/>
              <w:rPr>
                <w:snapToGrid w:val="0"/>
              </w:rPr>
            </w:pPr>
            <w:r w:rsidRPr="007D1918">
              <w:rPr>
                <w:snapToGrid w:val="0"/>
              </w:rPr>
              <w:t>P = 0.022 (</w:t>
            </w:r>
            <w:r w:rsidR="00113822" w:rsidRPr="007D1918">
              <w:rPr>
                <w:snapToGrid w:val="0"/>
              </w:rPr>
              <w:t>χ</w:t>
            </w:r>
            <w:r w:rsidR="00113822" w:rsidRPr="007D1918">
              <w:rPr>
                <w:snapToGrid w:val="0"/>
                <w:vertAlign w:val="superscript"/>
              </w:rPr>
              <w:t>2</w:t>
            </w:r>
            <w:r w:rsidR="00113822" w:rsidRPr="007D1918">
              <w:rPr>
                <w:snapToGrid w:val="0"/>
              </w:rPr>
              <w:t xml:space="preserve"> test; </w:t>
            </w:r>
            <w:r w:rsidRPr="007D1918">
              <w:rPr>
                <w:snapToGrid w:val="0"/>
              </w:rPr>
              <w:t>χ</w:t>
            </w:r>
            <w:r w:rsidRPr="007D1918">
              <w:rPr>
                <w:snapToGrid w:val="0"/>
                <w:vertAlign w:val="superscript"/>
              </w:rPr>
              <w:t>2</w:t>
            </w:r>
            <w:r w:rsidRPr="007D1918">
              <w:rPr>
                <w:snapToGrid w:val="0"/>
              </w:rPr>
              <w:t xml:space="preserve"> = 5.285)</w:t>
            </w:r>
          </w:p>
        </w:tc>
      </w:tr>
    </w:tbl>
    <w:p w14:paraId="4C582D97" w14:textId="0FFD0582" w:rsidR="00D53274" w:rsidRPr="007D1918" w:rsidRDefault="00C450C3" w:rsidP="008C7897">
      <w:pPr>
        <w:pStyle w:val="Tablenotes0"/>
        <w:spacing w:after="80"/>
        <w:contextualSpacing w:val="0"/>
      </w:pPr>
      <w:r w:rsidRPr="007D1918">
        <w:t xml:space="preserve">IV = intravenous; </w:t>
      </w:r>
      <w:r w:rsidR="00024DA8" w:rsidRPr="007D1918">
        <w:t xml:space="preserve">IVIg = intravenous immunoglobulin; </w:t>
      </w:r>
      <w:r w:rsidR="00A75571" w:rsidRPr="007D1918">
        <w:t xml:space="preserve">MG = myasthenia gravis; </w:t>
      </w:r>
      <w:r w:rsidR="00024DA8" w:rsidRPr="007D1918">
        <w:t>MPN = methylprednisolone</w:t>
      </w:r>
      <w:r w:rsidR="00ED18B1" w:rsidRPr="007D1918">
        <w:t xml:space="preserve"> therapy</w:t>
      </w:r>
      <w:r w:rsidRPr="007D1918">
        <w:t>; SD = standard deviation</w:t>
      </w:r>
    </w:p>
    <w:p w14:paraId="6DD9E5C0" w14:textId="77777777" w:rsidR="00D53274" w:rsidRPr="007D1918" w:rsidRDefault="00D53274" w:rsidP="00E6429D">
      <w:pPr>
        <w:pStyle w:val="Tablenotes0"/>
      </w:pPr>
      <w:r w:rsidRPr="007D1918">
        <w:rPr>
          <w:vertAlign w:val="superscript"/>
        </w:rPr>
        <w:t>a</w:t>
      </w:r>
      <w:r w:rsidRPr="007D1918">
        <w:t xml:space="preserve"> Items included in the absolute score were muscle strength of upper eyelid, fatigue test of upper eyelid, horizontal eye movement, facial muscle strength, fatigue test of upper limbs, fatigue test of lower limbs, swallowing and respiration function. Maximum score = 60.</w:t>
      </w:r>
    </w:p>
    <w:p w14:paraId="5B4FE62B" w14:textId="77777777" w:rsidR="00D53274" w:rsidRPr="007D1918" w:rsidRDefault="00D53274" w:rsidP="00E6429D">
      <w:pPr>
        <w:pStyle w:val="Tablenotes0"/>
      </w:pPr>
      <w:r w:rsidRPr="007D1918">
        <w:rPr>
          <w:vertAlign w:val="superscript"/>
        </w:rPr>
        <w:t>b</w:t>
      </w:r>
      <w:r w:rsidRPr="007D1918">
        <w:t xml:space="preserve"> Based on the relative score = (before treatment absolute score – after treatment absolute score)/ before treatment absolute score*100%. A score of 0.95 = recovered; 0.80 to 0.95 = basically cured; 0.50 to 0.79 = evident effects; 0.25 to 0.49 = improved condition; &lt; 0.25 = no effect</w:t>
      </w:r>
    </w:p>
    <w:p w14:paraId="233DDD5C" w14:textId="77777777" w:rsidR="00D53274" w:rsidRPr="007D1918" w:rsidRDefault="00D53274" w:rsidP="00A14C6E">
      <w:pPr>
        <w:pStyle w:val="Tablenotes0"/>
        <w:spacing w:after="0"/>
      </w:pPr>
      <w:r w:rsidRPr="007D1918">
        <w:rPr>
          <w:vertAlign w:val="superscript"/>
        </w:rPr>
        <w:t>c</w:t>
      </w:r>
      <w:r w:rsidRPr="007D1918">
        <w:t xml:space="preserve"> The total effective rate = recovery + basically cured + evident effects + improved</w:t>
      </w:r>
    </w:p>
    <w:p w14:paraId="131AC8B2" w14:textId="77777777" w:rsidR="00E8407A" w:rsidRPr="007D1918" w:rsidRDefault="00E8407A" w:rsidP="00A14C6E">
      <w:pPr>
        <w:pStyle w:val="Tabletext1"/>
      </w:pPr>
    </w:p>
    <w:p w14:paraId="08CADBD2" w14:textId="377C3EF3" w:rsidR="00AF54FC" w:rsidRPr="007D1918" w:rsidRDefault="00E8407A" w:rsidP="00317CAF">
      <w:pPr>
        <w:pStyle w:val="Heading4"/>
      </w:pPr>
      <w:r w:rsidRPr="007D1918">
        <w:t>Change in symptoms (modified Rankin Scale</w:t>
      </w:r>
      <w:r w:rsidR="00BC01CC" w:rsidRPr="007D1918">
        <w:t xml:space="preserve">, </w:t>
      </w:r>
      <w:r w:rsidR="006A74E9" w:rsidRPr="007D1918">
        <w:t>modified Osserman classification, clinical data</w:t>
      </w:r>
      <w:r w:rsidRPr="007D1918">
        <w:t>) for children receiving IVIg</w:t>
      </w:r>
    </w:p>
    <w:p w14:paraId="1DC51AD6" w14:textId="7974E545" w:rsidR="00AB6183" w:rsidRPr="007D1918" w:rsidRDefault="00AB6183" w:rsidP="00317CAF">
      <w:pPr>
        <w:jc w:val="both"/>
      </w:pPr>
      <w:r w:rsidRPr="007D1918">
        <w:t xml:space="preserve">Three case series in paediatric populations reported before and after treatment data on symptom improvement </w:t>
      </w:r>
      <w:r w:rsidR="003736AC" w:rsidRPr="007D1918">
        <w:fldChar w:fldCharType="begin">
          <w:fldData xml:space="preserve">PEVuZE5vdGU+PENpdGU+PEF1dGhvcj5Ob3NhZGluaTwvQXV0aG9yPjxZZWFyPjIwMTY8L1llYXI+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</w:fldData>
        </w:fldChar>
      </w:r>
      <w:r w:rsidR="003736AC" w:rsidRPr="007D1918">
        <w:instrText xml:space="preserve"> ADDIN EN.CITE </w:instrText>
      </w:r>
      <w:r w:rsidR="003736AC" w:rsidRPr="007D1918">
        <w:fldChar w:fldCharType="begin">
          <w:fldData xml:space="preserve">PEVuZE5vdGU+PENpdGU+PEF1dGhvcj5Ob3NhZGluaTwvQXV0aG9yPjxZZWFyPjIwMTY8L1llYXI+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73" w:tooltip="Nosadini, 2016 #147" w:history="1">
        <w:r w:rsidR="007D4948" w:rsidRPr="007D1918">
          <w:rPr>
            <w:noProof/>
          </w:rPr>
          <w:t>Nosadini et al. 2016</w:t>
        </w:r>
      </w:hyperlink>
      <w:r w:rsidR="003736AC" w:rsidRPr="007D1918">
        <w:rPr>
          <w:noProof/>
        </w:rPr>
        <w:t xml:space="preserve">; </w:t>
      </w:r>
      <w:hyperlink w:anchor="_ENREF_88" w:tooltip="Selcen, 2000 #46" w:history="1">
        <w:r w:rsidR="007D4948" w:rsidRPr="007D1918">
          <w:rPr>
            <w:noProof/>
          </w:rPr>
          <w:t>Selcen et al. 2000</w:t>
        </w:r>
      </w:hyperlink>
      <w:r w:rsidR="003736AC" w:rsidRPr="007D1918">
        <w:rPr>
          <w:noProof/>
        </w:rPr>
        <w:t xml:space="preserve">; </w:t>
      </w:r>
      <w:hyperlink w:anchor="_ENREF_101" w:tooltip="VanderPluym, 2013 #118" w:history="1">
        <w:r w:rsidR="007D4948" w:rsidRPr="007D1918">
          <w:rPr>
            <w:noProof/>
          </w:rPr>
          <w:t>VanderPluym et al. 2013</w:t>
        </w:r>
      </w:hyperlink>
      <w:r w:rsidR="003736AC" w:rsidRPr="007D1918">
        <w:rPr>
          <w:noProof/>
        </w:rPr>
        <w:t>)</w:t>
      </w:r>
      <w:r w:rsidR="003736AC" w:rsidRPr="007D1918">
        <w:fldChar w:fldCharType="end"/>
      </w:r>
      <w:r w:rsidRPr="007D1918">
        <w:t xml:space="preserve">. </w:t>
      </w:r>
      <w:r w:rsidR="00F90FCC" w:rsidRPr="007D1918">
        <w:t>From t</w:t>
      </w:r>
      <w:r w:rsidRPr="007D1918">
        <w:t xml:space="preserve">he baseline </w:t>
      </w:r>
      <w:r w:rsidR="006A74E9" w:rsidRPr="007D1918">
        <w:t xml:space="preserve">data </w:t>
      </w:r>
      <w:r w:rsidR="00F90FCC" w:rsidRPr="007D1918">
        <w:t xml:space="preserve">it is likely that cases </w:t>
      </w:r>
      <w:r w:rsidR="006A74E9" w:rsidRPr="007D1918">
        <w:t xml:space="preserve">in each series </w:t>
      </w:r>
      <w:r w:rsidR="00F90FCC" w:rsidRPr="007D1918">
        <w:t xml:space="preserve">represented a mixture of the three NBA </w:t>
      </w:r>
      <w:r w:rsidR="00EC09DA" w:rsidRPr="007D1918">
        <w:rPr>
          <w:i/>
        </w:rPr>
        <w:t>Criteria V3</w:t>
      </w:r>
      <w:r w:rsidR="000B4173" w:rsidRPr="007D1918">
        <w:t xml:space="preserve"> </w:t>
      </w:r>
      <w:r w:rsidR="00F90FCC" w:rsidRPr="007D1918">
        <w:t>indications</w:t>
      </w:r>
      <w:r w:rsidRPr="007D1918">
        <w:t>. They have been includ</w:t>
      </w:r>
      <w:r w:rsidR="00CF5F7B" w:rsidRPr="007D1918">
        <w:t xml:space="preserve">ed for Indication 3 as this is the most likely indication for the majority of </w:t>
      </w:r>
      <w:r w:rsidR="006A74E9" w:rsidRPr="007D1918">
        <w:t>patients</w:t>
      </w:r>
      <w:r w:rsidR="00CF5F7B" w:rsidRPr="007D1918">
        <w:t xml:space="preserve">. The case numbers ranged from </w:t>
      </w:r>
      <w:r w:rsidR="00AD37D1" w:rsidRPr="007D1918">
        <w:t xml:space="preserve">nine </w:t>
      </w:r>
      <w:r w:rsidR="00CF5F7B" w:rsidRPr="007D1918">
        <w:t xml:space="preserve">to </w:t>
      </w:r>
      <w:r w:rsidR="00F90FCC" w:rsidRPr="007D1918">
        <w:t>34.</w:t>
      </w:r>
    </w:p>
    <w:p w14:paraId="030FE29A" w14:textId="1B20348E" w:rsidR="004933A2" w:rsidRPr="007D1918" w:rsidRDefault="00E8407A" w:rsidP="00317CAF">
      <w:pPr>
        <w:jc w:val="both"/>
      </w:pPr>
      <w:r w:rsidRPr="007D1918">
        <w:t>Twelve children with MG received IVIg treatment at the Westmead Children’s Hospital over the period from January 2000 to June 2014</w:t>
      </w:r>
      <w:r w:rsidR="00AC1335" w:rsidRPr="007D1918">
        <w:t xml:space="preserve"> </w:t>
      </w:r>
      <w:r w:rsidR="003736AC" w:rsidRPr="007D1918">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003736AC" w:rsidRPr="007D1918">
        <w:instrText xml:space="preserve"> ADDIN EN.CITE </w:instrText>
      </w:r>
      <w:r w:rsidR="003736AC" w:rsidRPr="007D1918">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73" w:tooltip="Nosadini, 2016 #147" w:history="1">
        <w:r w:rsidR="007D4948" w:rsidRPr="007D1918">
          <w:rPr>
            <w:noProof/>
          </w:rPr>
          <w:t>Nosadini et al. 2016</w:t>
        </w:r>
      </w:hyperlink>
      <w:r w:rsidR="003736AC" w:rsidRPr="007D1918">
        <w:rPr>
          <w:noProof/>
        </w:rPr>
        <w:t>)</w:t>
      </w:r>
      <w:r w:rsidR="003736AC" w:rsidRPr="007D1918">
        <w:fldChar w:fldCharType="end"/>
      </w:r>
      <w:r w:rsidRPr="007D1918">
        <w:t xml:space="preserve">. In all, 196 children who received IVIg </w:t>
      </w:r>
      <w:r w:rsidR="00317CAF" w:rsidRPr="007D1918">
        <w:t xml:space="preserve">for </w:t>
      </w:r>
      <w:r w:rsidR="005463C3" w:rsidRPr="007D1918">
        <w:t>various</w:t>
      </w:r>
      <w:r w:rsidR="00317CAF" w:rsidRPr="007D1918">
        <w:t xml:space="preserve"> indications </w:t>
      </w:r>
      <w:r w:rsidRPr="007D1918">
        <w:t>were assessed</w:t>
      </w:r>
      <w:r w:rsidR="0075437E" w:rsidRPr="007D1918">
        <w:t>.</w:t>
      </w:r>
      <w:r w:rsidRPr="007D1918">
        <w:t xml:space="preserve"> Disease severity was measured retrospectively </w:t>
      </w:r>
      <w:r w:rsidR="00F90FCC" w:rsidRPr="007D1918">
        <w:t>from</w:t>
      </w:r>
      <w:r w:rsidR="00F55463" w:rsidRPr="007D1918">
        <w:t xml:space="preserve"> baseline and last follow-up </w:t>
      </w:r>
      <w:r w:rsidR="00F90FCC" w:rsidRPr="007D1918">
        <w:t xml:space="preserve">clinical data using the </w:t>
      </w:r>
      <w:r w:rsidR="0075437E" w:rsidRPr="007D1918">
        <w:t>modified Rankin Scale (mRS)</w:t>
      </w:r>
      <w:r w:rsidR="00D01E69" w:rsidRPr="007D1918">
        <w:t>, which</w:t>
      </w:r>
      <w:r w:rsidR="00305030" w:rsidRPr="007D1918">
        <w:t xml:space="preserve"> is used for assessing neurological disability, but is not specific to MG. </w:t>
      </w:r>
      <w:r w:rsidRPr="007D1918">
        <w:t xml:space="preserve">Scores were given for the type of ongoing impairment such as cognitive/learning, behavioural, motor, visual and epilepsy. A </w:t>
      </w:r>
      <w:r w:rsidR="00F55463" w:rsidRPr="007D1918">
        <w:t>score</w:t>
      </w:r>
      <w:r w:rsidRPr="007D1918">
        <w:t xml:space="preserve"> of 0-2 was </w:t>
      </w:r>
      <w:r w:rsidR="00F55463" w:rsidRPr="007D1918">
        <w:t>rated as a good outcome</w:t>
      </w:r>
      <w:r w:rsidR="004933A2" w:rsidRPr="007D1918">
        <w:t xml:space="preserve">, with 0 = no symptoms, 1 = no significant </w:t>
      </w:r>
      <w:r w:rsidR="00305030" w:rsidRPr="007D1918">
        <w:t>disability</w:t>
      </w:r>
      <w:r w:rsidR="004933A2" w:rsidRPr="007D1918">
        <w:t xml:space="preserve"> despite symptoms, 2 = slight disability, 3 = moderate disability, 4 = moderately severe and 5 = severe </w:t>
      </w:r>
      <w:r w:rsidR="006A74E9" w:rsidRPr="007D1918">
        <w:t>disability</w:t>
      </w:r>
      <w:r w:rsidR="00F55463" w:rsidRPr="007D1918">
        <w:t xml:space="preserve">. </w:t>
      </w:r>
    </w:p>
    <w:p w14:paraId="059209DE" w14:textId="0ED881BE" w:rsidR="00E8407A" w:rsidRPr="007D1918" w:rsidRDefault="00F55463" w:rsidP="00317CAF">
      <w:pPr>
        <w:jc w:val="both"/>
      </w:pPr>
      <w:r w:rsidRPr="007D1918">
        <w:t>Children with MG were among those who experienced the best response to IVIg. Results were reported graphically for the per</w:t>
      </w:r>
      <w:r w:rsidR="001F598F" w:rsidRPr="007D1918">
        <w:t> </w:t>
      </w:r>
      <w:r w:rsidRPr="007D1918">
        <w:t>cent mRS improvement and shown</w:t>
      </w:r>
      <w:r w:rsidR="008C774D" w:rsidRPr="007D1918">
        <w:t xml:space="preserve"> here</w:t>
      </w:r>
      <w:r w:rsidRPr="007D1918">
        <w:t xml:space="preserve"> in </w:t>
      </w:r>
      <w:r w:rsidRPr="007D1918">
        <w:fldChar w:fldCharType="begin"/>
      </w:r>
      <w:r w:rsidRPr="007D1918">
        <w:instrText xml:space="preserve"> REF _Ref10719034 \h  \* MERGEFORMAT </w:instrText>
      </w:r>
      <w:r w:rsidRPr="007D1918">
        <w:fldChar w:fldCharType="separate"/>
      </w:r>
      <w:r w:rsidR="00153384" w:rsidRPr="007D1918">
        <w:t xml:space="preserve">Figure </w:t>
      </w:r>
      <w:r w:rsidR="00153384" w:rsidRPr="007D1918">
        <w:rPr>
          <w:noProof/>
        </w:rPr>
        <w:t>8</w:t>
      </w:r>
      <w:r w:rsidRPr="007D1918">
        <w:fldChar w:fldCharType="end"/>
      </w:r>
      <w:r w:rsidRPr="007D1918">
        <w:t xml:space="preserve">. </w:t>
      </w:r>
      <w:r w:rsidR="00F90FCC" w:rsidRPr="007D1918">
        <w:t>Among</w:t>
      </w:r>
      <w:r w:rsidR="00BC01CC" w:rsidRPr="007D1918">
        <w:t xml:space="preserve"> the 12 </w:t>
      </w:r>
      <w:r w:rsidR="00BC01CC" w:rsidRPr="007D1918">
        <w:lastRenderedPageBreak/>
        <w:t xml:space="preserve">patients, the proportion with a ‘good’ outcome (mRS 0-2) increased from 16.7% to 91.6% following </w:t>
      </w:r>
      <w:r w:rsidR="008C774D" w:rsidRPr="007D1918">
        <w:t xml:space="preserve">IVIg </w:t>
      </w:r>
      <w:r w:rsidR="00BC01CC" w:rsidRPr="007D1918">
        <w:t>treatment. This results was statistically significant using the chi-squared test (MedCalc online calculator:</w:t>
      </w:r>
      <w:r w:rsidR="00F90FCC" w:rsidRPr="007D1918">
        <w:t xml:space="preserve"> 95%</w:t>
      </w:r>
      <w:r w:rsidR="00AD37D1" w:rsidRPr="007D1918">
        <w:t xml:space="preserve"> </w:t>
      </w:r>
      <w:r w:rsidR="00F90FCC" w:rsidRPr="007D1918">
        <w:t>CI 35.9%, 88.7%; p = 0.0003</w:t>
      </w:r>
      <w:r w:rsidR="00D819BE" w:rsidRPr="007D1918">
        <w:t>)</w:t>
      </w:r>
      <w:r w:rsidR="00BC01CC" w:rsidRPr="007D1918">
        <w:t>.</w:t>
      </w:r>
    </w:p>
    <w:p w14:paraId="2F68282A" w14:textId="2592DA6A" w:rsidR="00CF5F7B" w:rsidRPr="007D1918" w:rsidRDefault="00CF5F7B" w:rsidP="00317CAF">
      <w:pPr>
        <w:jc w:val="both"/>
      </w:pPr>
      <w:r w:rsidRPr="007D1918">
        <w:t xml:space="preserve">Two other </w:t>
      </w:r>
      <w:r w:rsidR="006A74E9" w:rsidRPr="007D1918">
        <w:t xml:space="preserve">case series </w:t>
      </w:r>
      <w:r w:rsidRPr="007D1918">
        <w:t>reported improvement in symptoms following IVIg therapy. Selcen et al found that eight out of nine juvenile patients</w:t>
      </w:r>
      <w:r w:rsidR="006A74E9" w:rsidRPr="007D1918">
        <w:t xml:space="preserve"> (89%)</w:t>
      </w:r>
      <w:r w:rsidRPr="007D1918">
        <w:t xml:space="preserve"> who were given IVIg had an improved functional status after infusion. Functional status was measured with the modified </w:t>
      </w:r>
      <w:r w:rsidR="005463C3" w:rsidRPr="007D1918">
        <w:t>Osserman</w:t>
      </w:r>
      <w:r w:rsidRPr="007D1918">
        <w:t xml:space="preserve"> classification, and the median duration of improvement was 25 days. A tenth patient developed severe hypotension and did not complete the infusion</w:t>
      </w:r>
      <w:r w:rsidR="006A74E9" w:rsidRPr="007D1918">
        <w:t xml:space="preserve"> </w:t>
      </w:r>
      <w:r w:rsidR="003736AC" w:rsidRPr="007D1918">
        <w:fldChar w:fldCharType="begin">
          <w:fldData xml:space="preserve">PEVuZE5vdGU+PENpdGU+PEF1dGhvcj5TZWxjZW48L0F1dGhvcj48WWVhcj4yMDAwPC9ZZWFyPjxS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</w:fldData>
        </w:fldChar>
      </w:r>
      <w:r w:rsidR="003736AC" w:rsidRPr="007D1918">
        <w:instrText xml:space="preserve"> ADDIN EN.CITE </w:instrText>
      </w:r>
      <w:r w:rsidR="003736AC" w:rsidRPr="007D1918">
        <w:fldChar w:fldCharType="begin">
          <w:fldData xml:space="preserve">PEVuZE5vdGU+PENpdGU+PEF1dGhvcj5TZWxjZW48L0F1dGhvcj48WWVhcj4yMDAwPC9ZZWFyPjxS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88" w:tooltip="Selcen, 2000 #46" w:history="1">
        <w:r w:rsidR="007D4948" w:rsidRPr="007D1918">
          <w:rPr>
            <w:noProof/>
          </w:rPr>
          <w:t>Selcen et al. 2000</w:t>
        </w:r>
      </w:hyperlink>
      <w:r w:rsidR="003736AC" w:rsidRPr="007D1918">
        <w:rPr>
          <w:noProof/>
        </w:rPr>
        <w:t>)</w:t>
      </w:r>
      <w:r w:rsidR="003736AC" w:rsidRPr="007D1918">
        <w:fldChar w:fldCharType="end"/>
      </w:r>
      <w:r w:rsidRPr="007D1918">
        <w:t xml:space="preserve">. </w:t>
      </w:r>
      <w:r w:rsidR="00F90FCC" w:rsidRPr="007D1918">
        <w:t>In the case series</w:t>
      </w:r>
      <w:r w:rsidRPr="007D1918">
        <w:t xml:space="preserve"> by VanderPluym et al</w:t>
      </w:r>
      <w:r w:rsidR="00F90FCC" w:rsidRPr="007D1918">
        <w:t xml:space="preserve">, </w:t>
      </w:r>
      <w:r w:rsidR="008C774D" w:rsidRPr="007D1918">
        <w:t xml:space="preserve">21 </w:t>
      </w:r>
      <w:r w:rsidR="00F90FCC" w:rsidRPr="007D1918">
        <w:t xml:space="preserve">of 34 </w:t>
      </w:r>
      <w:r w:rsidR="006A74E9" w:rsidRPr="007D1918">
        <w:t>juveniles</w:t>
      </w:r>
      <w:r w:rsidR="008C774D" w:rsidRPr="007D1918">
        <w:t xml:space="preserve"> (</w:t>
      </w:r>
      <w:r w:rsidR="00E02674" w:rsidRPr="007D1918">
        <w:t>62</w:t>
      </w:r>
      <w:r w:rsidR="008C774D" w:rsidRPr="007D1918">
        <w:t>%)</w:t>
      </w:r>
      <w:r w:rsidR="006A74E9" w:rsidRPr="007D1918">
        <w:t xml:space="preserve"> with generalised </w:t>
      </w:r>
      <w:r w:rsidR="008C774D" w:rsidRPr="007D1918">
        <w:t>myasthenia</w:t>
      </w:r>
      <w:r w:rsidR="00F90FCC" w:rsidRPr="007D1918">
        <w:t xml:space="preserve"> improved </w:t>
      </w:r>
      <w:r w:rsidR="006A74E9" w:rsidRPr="007D1918">
        <w:t>after short term</w:t>
      </w:r>
      <w:r w:rsidR="00F90FCC" w:rsidRPr="007D1918">
        <w:t xml:space="preserve"> IVIg</w:t>
      </w:r>
      <w:r w:rsidR="006A74E9" w:rsidRPr="007D1918">
        <w:t xml:space="preserve"> in a </w:t>
      </w:r>
      <w:r w:rsidR="00D819BE" w:rsidRPr="007D1918">
        <w:t xml:space="preserve">2 </w:t>
      </w:r>
      <w:r w:rsidR="006A74E9" w:rsidRPr="007D1918">
        <w:t xml:space="preserve">year surveillance program. Method of symptom assessment was not reported, but was likely to be based on clinical data </w:t>
      </w:r>
      <w:r w:rsidR="003736AC" w:rsidRPr="007D1918">
        <w:fldChar w:fldCharType="begin">
          <w:fldData xml:space="preserve">PEVuZE5vdGU+PENpdGU+PEF1dGhvcj5WYW5kZXJQbHV5bTwvQXV0aG9yPjxZZWFyPjIwMTM8L1ll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=
</w:fldData>
        </w:fldChar>
      </w:r>
      <w:r w:rsidR="003736AC" w:rsidRPr="007D1918">
        <w:instrText xml:space="preserve"> ADDIN EN.CITE </w:instrText>
      </w:r>
      <w:r w:rsidR="003736AC" w:rsidRPr="007D1918">
        <w:fldChar w:fldCharType="begin">
          <w:fldData xml:space="preserve">PEVuZE5vdGU+PENpdGU+PEF1dGhvcj5WYW5kZXJQbHV5bTwvQXV0aG9yPjxZZWFyPjIwMTM8L1ll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=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101" w:tooltip="VanderPluym, 2013 #118" w:history="1">
        <w:r w:rsidR="007D4948" w:rsidRPr="007D1918">
          <w:rPr>
            <w:noProof/>
          </w:rPr>
          <w:t>VanderPluym et al. 2013</w:t>
        </w:r>
      </w:hyperlink>
      <w:r w:rsidR="003736AC" w:rsidRPr="007D1918">
        <w:rPr>
          <w:noProof/>
        </w:rPr>
        <w:t>)</w:t>
      </w:r>
      <w:r w:rsidR="003736AC" w:rsidRPr="007D1918">
        <w:fldChar w:fldCharType="end"/>
      </w:r>
      <w:r w:rsidR="006A74E9" w:rsidRPr="007D1918">
        <w:t>.</w:t>
      </w:r>
    </w:p>
    <w:p w14:paraId="34AF08A0" w14:textId="64EB7709" w:rsidR="00E8407A" w:rsidRPr="007D1918" w:rsidRDefault="00F55463" w:rsidP="00AF54FC">
      <w:r w:rsidRPr="007D1918">
        <w:rPr>
          <w:noProof/>
        </w:rPr>
        <w:drawing>
          <wp:inline distT="0" distB="0" distL="0" distR="0" wp14:anchorId="38428D21" wp14:editId="4DFBDD87">
            <wp:extent cx="2724150" cy="2333625"/>
            <wp:effectExtent l="0" t="0" r="0" b="9525"/>
            <wp:docPr id="1" name="Picture 1" descr="Graphical representation of change in symptoms measured by modified Rankin Scale in children receiving IVIg maintenance therapy (Indication 3)" title="Figure 8 Change in modified Rankin Scale from the acute phase of dis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724150" cy="2333625"/>
                    </a:xfrm>
                    <a:prstGeom prst="rect">
                      <a:avLst/>
                    </a:prstGeom>
                  </pic:spPr>
                </pic:pic>
              </a:graphicData>
            </a:graphic>
          </wp:inline>
        </w:drawing>
      </w:r>
    </w:p>
    <w:p w14:paraId="39EAB8F8" w14:textId="61AA4F90" w:rsidR="00E8407A" w:rsidRPr="007D1918" w:rsidRDefault="00F55463" w:rsidP="00317CAF">
      <w:pPr>
        <w:pStyle w:val="Caption"/>
        <w:ind w:left="1134" w:hanging="1134"/>
      </w:pPr>
      <w:bookmarkStart w:id="295" w:name="_Ref10719034"/>
      <w:bookmarkStart w:id="296" w:name="_Toc23769613"/>
      <w:r w:rsidRPr="007D1918">
        <w:t xml:space="preserve">Figure </w:t>
      </w:r>
      <w:r w:rsidR="000B5B9C" w:rsidRPr="007D1918">
        <w:rPr>
          <w:noProof/>
        </w:rPr>
        <w:fldChar w:fldCharType="begin"/>
      </w:r>
      <w:r w:rsidR="000B5B9C" w:rsidRPr="007D1918">
        <w:rPr>
          <w:noProof/>
        </w:rPr>
        <w:instrText xml:space="preserve"> SEQ Figure \* ARABIC </w:instrText>
      </w:r>
      <w:r w:rsidR="000B5B9C" w:rsidRPr="007D1918">
        <w:rPr>
          <w:noProof/>
        </w:rPr>
        <w:fldChar w:fldCharType="separate"/>
      </w:r>
      <w:r w:rsidR="00153384" w:rsidRPr="007D1918">
        <w:rPr>
          <w:noProof/>
        </w:rPr>
        <w:t>8</w:t>
      </w:r>
      <w:r w:rsidR="000B5B9C" w:rsidRPr="007D1918">
        <w:rPr>
          <w:noProof/>
        </w:rPr>
        <w:fldChar w:fldCharType="end"/>
      </w:r>
      <w:bookmarkEnd w:id="295"/>
      <w:r w:rsidRPr="007D1918">
        <w:tab/>
        <w:t xml:space="preserve">Change in modified Rankin Scale </w:t>
      </w:r>
      <w:r w:rsidR="00BD19B7" w:rsidRPr="007D1918">
        <w:t xml:space="preserve">in children </w:t>
      </w:r>
      <w:r w:rsidRPr="007D1918">
        <w:t xml:space="preserve">from the acute phase of disease </w:t>
      </w:r>
      <w:r w:rsidR="00317CAF" w:rsidRPr="007D1918">
        <w:br/>
      </w:r>
      <w:r w:rsidRPr="007D1918">
        <w:t>(before IVIg ad</w:t>
      </w:r>
      <w:r w:rsidR="00AC1335" w:rsidRPr="007D1918">
        <w:t xml:space="preserve">ministration) to last follow-up </w:t>
      </w:r>
      <w:r w:rsidR="003736AC" w:rsidRPr="007D1918">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003736AC" w:rsidRPr="007D1918">
        <w:instrText xml:space="preserve"> ADDIN EN.CITE </w:instrText>
      </w:r>
      <w:r w:rsidR="003736AC" w:rsidRPr="007D1918">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73" w:tooltip="Nosadini, 2016 #147" w:history="1">
        <w:r w:rsidR="007D4948" w:rsidRPr="007D1918">
          <w:rPr>
            <w:noProof/>
          </w:rPr>
          <w:t>Nosadini et al. 2016</w:t>
        </w:r>
      </w:hyperlink>
      <w:r w:rsidR="003736AC" w:rsidRPr="007D1918">
        <w:rPr>
          <w:noProof/>
        </w:rPr>
        <w:t>)</w:t>
      </w:r>
      <w:bookmarkEnd w:id="296"/>
      <w:r w:rsidR="003736AC" w:rsidRPr="007D1918">
        <w:fldChar w:fldCharType="end"/>
      </w:r>
    </w:p>
    <w:p w14:paraId="7A817C89" w14:textId="435F3BE2" w:rsidR="00F55463" w:rsidRPr="007D1918" w:rsidRDefault="00F55463" w:rsidP="00A14C6E">
      <w:pPr>
        <w:pStyle w:val="Tablenotes0"/>
        <w:spacing w:after="0"/>
      </w:pPr>
      <w:r w:rsidRPr="007D1918">
        <w:t>IVIg = intravenous immunoglobulin therapy; mRS = modified Rankin Scale</w:t>
      </w:r>
    </w:p>
    <w:p w14:paraId="45009BD9" w14:textId="77777777" w:rsidR="00F55463" w:rsidRPr="007D1918" w:rsidRDefault="00F55463" w:rsidP="00A14C6E">
      <w:pPr>
        <w:pStyle w:val="Tabletext1"/>
      </w:pPr>
    </w:p>
    <w:p w14:paraId="62B37AF1" w14:textId="225E549A" w:rsidR="00AF54FC" w:rsidRPr="007D1918" w:rsidRDefault="00AF54FC" w:rsidP="00AF54FC">
      <w:pPr>
        <w:pStyle w:val="Heading4"/>
      </w:pPr>
      <w:r w:rsidRPr="007D1918">
        <w:t xml:space="preserve">Need for ventilation or other life support systems in children </w:t>
      </w:r>
      <w:r w:rsidR="00D95E2D" w:rsidRPr="007D1918">
        <w:t xml:space="preserve">receiving maintenance IVIg plus </w:t>
      </w:r>
      <w:r w:rsidR="00151EAE" w:rsidRPr="007D1918">
        <w:t xml:space="preserve">IV </w:t>
      </w:r>
      <w:r w:rsidR="00D95E2D" w:rsidRPr="007D1918">
        <w:t>MPN or IV MPN alone</w:t>
      </w:r>
    </w:p>
    <w:p w14:paraId="1A806929" w14:textId="2748B6E3" w:rsidR="00AF54FC" w:rsidRPr="007D1918" w:rsidRDefault="00AF54FC" w:rsidP="00AF54FC">
      <w:pPr>
        <w:jc w:val="both"/>
      </w:pPr>
      <w:r w:rsidRPr="007D1918">
        <w:t xml:space="preserve">The retrospective case control study by Wang et al </w:t>
      </w:r>
      <w:r w:rsidR="0075212A" w:rsidRPr="007D1918">
        <w:fldChar w:fldCharType="begin"/>
      </w:r>
      <w:r w:rsidR="007D4948" w:rsidRPr="007D1918">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0075212A" w:rsidRPr="007D1918">
        <w:fldChar w:fldCharType="separate"/>
      </w:r>
      <w:r w:rsidR="007D4948" w:rsidRPr="007D1918">
        <w:rPr>
          <w:noProof/>
        </w:rPr>
        <w:t>(</w:t>
      </w:r>
      <w:hyperlink w:anchor="_ENREF_104" w:tooltip="Wang, 2016 #43" w:history="1">
        <w:r w:rsidR="007D4948" w:rsidRPr="007D1918">
          <w:rPr>
            <w:noProof/>
          </w:rPr>
          <w:t>Wang et al. 2016</w:t>
        </w:r>
      </w:hyperlink>
      <w:r w:rsidR="007D4948" w:rsidRPr="007D1918">
        <w:rPr>
          <w:noProof/>
        </w:rPr>
        <w:t>)</w:t>
      </w:r>
      <w:r w:rsidR="0075212A" w:rsidRPr="007D1918">
        <w:fldChar w:fldCharType="end"/>
      </w:r>
      <w:r w:rsidR="00151EAE" w:rsidRPr="007D1918">
        <w:t xml:space="preserve"> </w:t>
      </w:r>
      <w:r w:rsidRPr="007D1918">
        <w:t>compared the number of children requiring mechanical venti</w:t>
      </w:r>
      <w:r w:rsidR="00151EAE" w:rsidRPr="007D1918">
        <w:t xml:space="preserve">lation between </w:t>
      </w:r>
      <w:r w:rsidR="00441EBE" w:rsidRPr="007D1918">
        <w:t>observation and control</w:t>
      </w:r>
      <w:r w:rsidR="00151EAE" w:rsidRPr="007D1918">
        <w:t xml:space="preserve"> groups from d</w:t>
      </w:r>
      <w:r w:rsidRPr="007D1918">
        <w:t xml:space="preserve">ata </w:t>
      </w:r>
      <w:r w:rsidR="00113822" w:rsidRPr="007D1918">
        <w:t>collected from a hospital neuro</w:t>
      </w:r>
      <w:r w:rsidRPr="007D1918">
        <w:t xml:space="preserve">logy department over a </w:t>
      </w:r>
      <w:r w:rsidR="004D5244" w:rsidRPr="007D1918">
        <w:t xml:space="preserve">5 </w:t>
      </w:r>
      <w:r w:rsidRPr="007D1918">
        <w:t xml:space="preserve">year period. </w:t>
      </w:r>
    </w:p>
    <w:p w14:paraId="4B4F1C2A" w14:textId="55216DA7" w:rsidR="00AF54FC" w:rsidRPr="007D1918" w:rsidRDefault="00AF54FC" w:rsidP="00AF54FC">
      <w:pPr>
        <w:jc w:val="both"/>
      </w:pPr>
      <w:r w:rsidRPr="007D1918">
        <w:t xml:space="preserve">There were similar results in both groups, </w:t>
      </w:r>
      <w:r w:rsidR="00755618" w:rsidRPr="007D1918">
        <w:t xml:space="preserve">with </w:t>
      </w:r>
      <w:r w:rsidRPr="007D1918">
        <w:t xml:space="preserve">two patients in the IVIg </w:t>
      </w:r>
      <w:r w:rsidR="00113822" w:rsidRPr="007D1918">
        <w:t>plus</w:t>
      </w:r>
      <w:r w:rsidR="00441EBE" w:rsidRPr="007D1918">
        <w:t xml:space="preserve"> high dose IV</w:t>
      </w:r>
      <w:r w:rsidR="00113822" w:rsidRPr="007D1918">
        <w:t xml:space="preserve"> MPN </w:t>
      </w:r>
      <w:r w:rsidRPr="007D1918">
        <w:t xml:space="preserve">group </w:t>
      </w:r>
      <w:r w:rsidR="00441EBE" w:rsidRPr="007D1918">
        <w:t xml:space="preserve">(observation group) </w:t>
      </w:r>
      <w:r w:rsidRPr="007D1918">
        <w:t xml:space="preserve">and 3 in the </w:t>
      </w:r>
      <w:r w:rsidR="00441EBE" w:rsidRPr="007D1918">
        <w:t xml:space="preserve">high dose </w:t>
      </w:r>
      <w:r w:rsidRPr="007D1918">
        <w:t xml:space="preserve">IV MPN </w:t>
      </w:r>
      <w:r w:rsidR="00441EBE" w:rsidRPr="007D1918">
        <w:t xml:space="preserve">alone </w:t>
      </w:r>
      <w:r w:rsidRPr="007D1918">
        <w:t xml:space="preserve">group </w:t>
      </w:r>
      <w:r w:rsidR="00441EBE" w:rsidRPr="007D1918">
        <w:t xml:space="preserve">(control group) </w:t>
      </w:r>
      <w:r w:rsidRPr="007D1918">
        <w:t>that required mechanical ventilation during their treatment period</w:t>
      </w:r>
      <w:r w:rsidR="008C7897" w:rsidRPr="007D1918">
        <w:t xml:space="preserve"> (</w:t>
      </w:r>
      <w:r w:rsidR="008C7897" w:rsidRPr="007D1918">
        <w:fldChar w:fldCharType="begin"/>
      </w:r>
      <w:r w:rsidR="008C7897" w:rsidRPr="007D1918">
        <w:instrText xml:space="preserve"> REF _Ref10715587 \h </w:instrText>
      </w:r>
      <w:r w:rsidR="00E07567" w:rsidRPr="007D1918">
        <w:instrText xml:space="preserve"> \* MERGEFORMAT </w:instrText>
      </w:r>
      <w:r w:rsidR="008C7897" w:rsidRPr="007D1918">
        <w:fldChar w:fldCharType="separate"/>
      </w:r>
      <w:r w:rsidR="00153384" w:rsidRPr="007D1918">
        <w:t xml:space="preserve">Table </w:t>
      </w:r>
      <w:r w:rsidR="00153384" w:rsidRPr="007D1918">
        <w:rPr>
          <w:noProof/>
        </w:rPr>
        <w:t>45</w:t>
      </w:r>
      <w:r w:rsidR="008C7897" w:rsidRPr="007D1918">
        <w:fldChar w:fldCharType="end"/>
      </w:r>
      <w:r w:rsidR="008C7897" w:rsidRPr="007D1918">
        <w:t>)</w:t>
      </w:r>
      <w:r w:rsidRPr="007D1918">
        <w:t>.</w:t>
      </w:r>
    </w:p>
    <w:p w14:paraId="34F86208" w14:textId="5102FF7B" w:rsidR="00AF54FC" w:rsidRPr="007D1918" w:rsidRDefault="00AF54FC" w:rsidP="00AF54FC">
      <w:pPr>
        <w:pStyle w:val="Caption"/>
        <w:keepNext/>
        <w:keepLines/>
        <w:jc w:val="both"/>
        <w:rPr>
          <w:rFonts w:cs="Arial"/>
          <w:snapToGrid w:val="0"/>
          <w:szCs w:val="16"/>
          <w:lang w:eastAsia="en-US"/>
        </w:rPr>
      </w:pPr>
      <w:bookmarkStart w:id="297" w:name="_Ref10715587"/>
      <w:bookmarkStart w:id="298" w:name="_Toc23769532"/>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45</w:t>
      </w:r>
      <w:r w:rsidRPr="007D1918">
        <w:rPr>
          <w:noProof/>
        </w:rPr>
        <w:fldChar w:fldCharType="end"/>
      </w:r>
      <w:bookmarkEnd w:id="297"/>
      <w:r w:rsidRPr="007D1918">
        <w:tab/>
      </w:r>
      <w:r w:rsidRPr="007D1918">
        <w:rPr>
          <w:rFonts w:cs="Arial"/>
          <w:snapToGrid w:val="0"/>
          <w:szCs w:val="16"/>
          <w:lang w:eastAsia="en-US"/>
        </w:rPr>
        <w:t xml:space="preserve">Number of patients needing breathing machines on either IVIg or PE maintenance </w:t>
      </w:r>
      <w:r w:rsidR="0075212A" w:rsidRPr="007D1918">
        <w:rPr>
          <w:rFonts w:cs="Arial"/>
          <w:snapToGrid w:val="0"/>
          <w:szCs w:val="16"/>
          <w:lang w:eastAsia="en-US"/>
        </w:rPr>
        <w:fldChar w:fldCharType="begin"/>
      </w:r>
      <w:r w:rsidR="00C437BA" w:rsidRPr="007D1918">
        <w:rPr>
          <w:rFonts w:cs="Arial"/>
          <w:snapToGrid w:val="0"/>
          <w:szCs w:val="16"/>
          <w:lang w:eastAsia="en-US"/>
        </w:rPr>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104" w:tooltip="Wang, 2016 #43" w:history="1">
        <w:r w:rsidR="007D4948" w:rsidRPr="007D1918">
          <w:rPr>
            <w:rFonts w:cs="Arial"/>
            <w:noProof/>
            <w:snapToGrid w:val="0"/>
            <w:szCs w:val="16"/>
            <w:lang w:eastAsia="en-US"/>
          </w:rPr>
          <w:t>Wang et al. 2016</w:t>
        </w:r>
      </w:hyperlink>
      <w:r w:rsidR="0075212A" w:rsidRPr="007D1918">
        <w:rPr>
          <w:rFonts w:cs="Arial"/>
          <w:noProof/>
          <w:snapToGrid w:val="0"/>
          <w:szCs w:val="16"/>
          <w:lang w:eastAsia="en-US"/>
        </w:rPr>
        <w:t>)</w:t>
      </w:r>
      <w:bookmarkEnd w:id="298"/>
      <w:r w:rsidR="0075212A" w:rsidRPr="007D1918">
        <w:rPr>
          <w:rFonts w:cs="Arial"/>
          <w:snapToGrid w:val="0"/>
          <w:szCs w:val="16"/>
          <w:lang w:eastAsia="en-US"/>
        </w:rPr>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3 Number of patients needing breathing machines on either IVIg or PE maintenance (Wang et al. 2016)"/>
        <w:tblDescription w:val="Ventilation requirements measured by thee number of children using breathing machines comapred between those receiving IVIg + MPN or IV MPN alone (Indication 3)."/>
      </w:tblPr>
      <w:tblGrid>
        <w:gridCol w:w="2663"/>
        <w:gridCol w:w="1840"/>
        <w:gridCol w:w="1844"/>
        <w:gridCol w:w="2552"/>
      </w:tblGrid>
      <w:tr w:rsidR="00AF54FC" w:rsidRPr="007D1918" w14:paraId="7D56BB74" w14:textId="77777777" w:rsidTr="0050102B">
        <w:tc>
          <w:tcPr>
            <w:tcW w:w="1496" w:type="pct"/>
          </w:tcPr>
          <w:p w14:paraId="37D5A087" w14:textId="77777777" w:rsidR="00AF54FC" w:rsidRPr="007D1918" w:rsidRDefault="00AF54FC" w:rsidP="0050102B">
            <w:pPr>
              <w:pStyle w:val="TableHeading"/>
              <w:keepLines/>
              <w:ind w:left="16" w:right="117"/>
              <w:rPr>
                <w:snapToGrid w:val="0"/>
                <w:lang w:eastAsia="en-US"/>
              </w:rPr>
            </w:pPr>
            <w:r w:rsidRPr="007D1918">
              <w:rPr>
                <w:snapToGrid w:val="0"/>
                <w:lang w:eastAsia="en-US"/>
              </w:rPr>
              <w:t>Measure</w:t>
            </w:r>
          </w:p>
        </w:tc>
        <w:tc>
          <w:tcPr>
            <w:tcW w:w="1034" w:type="pct"/>
            <w:shd w:val="clear" w:color="auto" w:fill="auto"/>
          </w:tcPr>
          <w:p w14:paraId="197C29CC" w14:textId="63519E74" w:rsidR="00AF54FC" w:rsidRPr="007D1918" w:rsidRDefault="00AF54FC" w:rsidP="0050102B">
            <w:pPr>
              <w:pStyle w:val="TableHeading"/>
              <w:keepLines/>
              <w:ind w:left="111" w:right="117"/>
              <w:rPr>
                <w:snapToGrid w:val="0"/>
                <w:lang w:eastAsia="en-US"/>
              </w:rPr>
            </w:pPr>
            <w:r w:rsidRPr="007D1918">
              <w:rPr>
                <w:snapToGrid w:val="0"/>
                <w:lang w:eastAsia="en-US"/>
              </w:rPr>
              <w:t>IVIg</w:t>
            </w:r>
            <w:r w:rsidR="00332C95" w:rsidRPr="007D1918">
              <w:rPr>
                <w:snapToGrid w:val="0"/>
                <w:lang w:eastAsia="en-US"/>
              </w:rPr>
              <w:t xml:space="preserve"> + IV MPN</w:t>
            </w:r>
          </w:p>
          <w:p w14:paraId="4B5C26EA" w14:textId="77777777" w:rsidR="00AF54FC" w:rsidRPr="007D1918" w:rsidRDefault="00AF54FC" w:rsidP="0050102B">
            <w:pPr>
              <w:pStyle w:val="TableHeading"/>
              <w:keepLines/>
              <w:ind w:left="111" w:right="117"/>
              <w:rPr>
                <w:snapToGrid w:val="0"/>
                <w:lang w:eastAsia="en-US"/>
              </w:rPr>
            </w:pPr>
            <w:r w:rsidRPr="007D1918">
              <w:rPr>
                <w:snapToGrid w:val="0"/>
                <w:lang w:eastAsia="en-US"/>
              </w:rPr>
              <w:t>n with event/N (%)</w:t>
            </w:r>
          </w:p>
        </w:tc>
        <w:tc>
          <w:tcPr>
            <w:tcW w:w="1036" w:type="pct"/>
            <w:shd w:val="clear" w:color="auto" w:fill="auto"/>
          </w:tcPr>
          <w:p w14:paraId="294DB481" w14:textId="77777777" w:rsidR="00AF54FC" w:rsidRPr="007D1918" w:rsidRDefault="00AF54FC" w:rsidP="0050102B">
            <w:pPr>
              <w:pStyle w:val="TableHeading"/>
              <w:keepLines/>
              <w:ind w:left="77" w:right="117"/>
              <w:rPr>
                <w:snapToGrid w:val="0"/>
                <w:lang w:eastAsia="en-US"/>
              </w:rPr>
            </w:pPr>
            <w:r w:rsidRPr="007D1918">
              <w:rPr>
                <w:snapToGrid w:val="0"/>
                <w:lang w:eastAsia="en-US"/>
              </w:rPr>
              <w:t>IV MPN</w:t>
            </w:r>
          </w:p>
          <w:p w14:paraId="25127602" w14:textId="77777777" w:rsidR="00AF54FC" w:rsidRPr="007D1918" w:rsidRDefault="00AF54FC" w:rsidP="0050102B">
            <w:pPr>
              <w:pStyle w:val="TableHeading"/>
              <w:keepLines/>
              <w:ind w:left="77" w:right="117"/>
              <w:rPr>
                <w:snapToGrid w:val="0"/>
                <w:lang w:eastAsia="en-US"/>
              </w:rPr>
            </w:pPr>
            <w:r w:rsidRPr="007D1918">
              <w:rPr>
                <w:snapToGrid w:val="0"/>
                <w:lang w:eastAsia="en-US"/>
              </w:rPr>
              <w:t xml:space="preserve">n with event/N (%) </w:t>
            </w:r>
          </w:p>
        </w:tc>
        <w:tc>
          <w:tcPr>
            <w:tcW w:w="1434" w:type="pct"/>
            <w:shd w:val="clear" w:color="auto" w:fill="auto"/>
          </w:tcPr>
          <w:p w14:paraId="5045E698" w14:textId="41EDD201" w:rsidR="00AF54FC" w:rsidRPr="007D1918" w:rsidRDefault="00755618" w:rsidP="0050102B">
            <w:pPr>
              <w:pStyle w:val="TableHeading"/>
              <w:keepLines/>
              <w:ind w:right="117"/>
              <w:rPr>
                <w:snapToGrid w:val="0"/>
                <w:lang w:eastAsia="en-US"/>
              </w:rPr>
            </w:pPr>
            <w:r w:rsidRPr="007D1918">
              <w:rPr>
                <w:snapToGrid w:val="0"/>
                <w:lang w:eastAsia="en-US"/>
              </w:rPr>
              <w:t>D</w:t>
            </w:r>
            <w:r w:rsidR="00AF54FC" w:rsidRPr="007D1918">
              <w:rPr>
                <w:snapToGrid w:val="0"/>
                <w:lang w:eastAsia="en-US"/>
              </w:rPr>
              <w:t>ifference</w:t>
            </w:r>
          </w:p>
          <w:p w14:paraId="24AC3414" w14:textId="5378B905" w:rsidR="00AF54FC" w:rsidRPr="007D1918" w:rsidRDefault="00AF54FC" w:rsidP="0050102B">
            <w:pPr>
              <w:pStyle w:val="TableHeading"/>
              <w:keepLines/>
              <w:ind w:right="117"/>
              <w:rPr>
                <w:snapToGrid w:val="0"/>
                <w:lang w:eastAsia="en-US"/>
              </w:rPr>
            </w:pPr>
            <w:r w:rsidRPr="007D1918">
              <w:rPr>
                <w:snapToGrid w:val="0"/>
                <w:lang w:eastAsia="en-US"/>
              </w:rPr>
              <w:t xml:space="preserve">p-value </w:t>
            </w:r>
            <w:r w:rsidR="00113822" w:rsidRPr="007D1918">
              <w:rPr>
                <w:snapToGrid w:val="0"/>
                <w:lang w:eastAsia="en-US"/>
              </w:rPr>
              <w:t>(</w:t>
            </w:r>
            <w:r w:rsidR="00781376" w:rsidRPr="007D1918">
              <w:rPr>
                <w:snapToGrid w:val="0"/>
                <w:lang w:eastAsia="en-US"/>
              </w:rPr>
              <w:t>95% CI</w:t>
            </w:r>
            <w:r w:rsidR="00113822" w:rsidRPr="007D1918">
              <w:rPr>
                <w:snapToGrid w:val="0"/>
                <w:lang w:eastAsia="en-US"/>
              </w:rPr>
              <w:t>)</w:t>
            </w:r>
          </w:p>
        </w:tc>
      </w:tr>
      <w:tr w:rsidR="00AF54FC" w:rsidRPr="007D1918" w14:paraId="6EBCC044" w14:textId="77777777" w:rsidTr="0050102B">
        <w:trPr>
          <w:trHeight w:val="473"/>
        </w:trPr>
        <w:tc>
          <w:tcPr>
            <w:tcW w:w="1496" w:type="pct"/>
          </w:tcPr>
          <w:p w14:paraId="03624954" w14:textId="77777777" w:rsidR="00AF54FC" w:rsidRPr="007D1918" w:rsidRDefault="00AF54FC" w:rsidP="0050102B">
            <w:pPr>
              <w:pStyle w:val="TableText0"/>
              <w:ind w:right="119"/>
              <w:rPr>
                <w:snapToGrid w:val="0"/>
              </w:rPr>
            </w:pPr>
            <w:r w:rsidRPr="007D1918">
              <w:rPr>
                <w:snapToGrid w:val="0"/>
              </w:rPr>
              <w:t>Number using breathing machine</w:t>
            </w:r>
          </w:p>
        </w:tc>
        <w:tc>
          <w:tcPr>
            <w:tcW w:w="1034" w:type="pct"/>
            <w:shd w:val="clear" w:color="auto" w:fill="auto"/>
          </w:tcPr>
          <w:p w14:paraId="6CA3DC7A" w14:textId="77777777" w:rsidR="00AF54FC" w:rsidRPr="007D1918" w:rsidRDefault="00AF54FC" w:rsidP="0050102B">
            <w:pPr>
              <w:pStyle w:val="TableText0"/>
              <w:ind w:left="111" w:right="117"/>
              <w:rPr>
                <w:snapToGrid w:val="0"/>
              </w:rPr>
            </w:pPr>
            <w:r w:rsidRPr="007D1918">
              <w:rPr>
                <w:snapToGrid w:val="0"/>
              </w:rPr>
              <w:t>2/35 (5.71%)</w:t>
            </w:r>
          </w:p>
        </w:tc>
        <w:tc>
          <w:tcPr>
            <w:tcW w:w="1036" w:type="pct"/>
            <w:shd w:val="clear" w:color="auto" w:fill="auto"/>
          </w:tcPr>
          <w:p w14:paraId="654E20AA" w14:textId="77777777" w:rsidR="00AF54FC" w:rsidRPr="007D1918" w:rsidRDefault="00AF54FC" w:rsidP="0050102B">
            <w:pPr>
              <w:pStyle w:val="TableText0"/>
              <w:ind w:left="77" w:right="117"/>
              <w:rPr>
                <w:snapToGrid w:val="0"/>
              </w:rPr>
            </w:pPr>
            <w:r w:rsidRPr="007D1918">
              <w:rPr>
                <w:snapToGrid w:val="0"/>
              </w:rPr>
              <w:t>3/35 (8.57%)</w:t>
            </w:r>
          </w:p>
        </w:tc>
        <w:tc>
          <w:tcPr>
            <w:tcW w:w="1434" w:type="pct"/>
            <w:shd w:val="clear" w:color="auto" w:fill="auto"/>
          </w:tcPr>
          <w:p w14:paraId="441EDACD" w14:textId="214C57CE" w:rsidR="00AF54FC" w:rsidRPr="007D1918" w:rsidRDefault="00113822" w:rsidP="00113822">
            <w:pPr>
              <w:pStyle w:val="TableText0"/>
              <w:ind w:right="117"/>
              <w:rPr>
                <w:snapToGrid w:val="0"/>
              </w:rPr>
            </w:pPr>
            <w:r w:rsidRPr="007D1918">
              <w:rPr>
                <w:snapToGrid w:val="0"/>
              </w:rPr>
              <w:t>P = 0.666 (χ</w:t>
            </w:r>
            <w:r w:rsidRPr="007D1918">
              <w:rPr>
                <w:snapToGrid w:val="0"/>
                <w:vertAlign w:val="superscript"/>
              </w:rPr>
              <w:t>2</w:t>
            </w:r>
            <w:r w:rsidRPr="007D1918">
              <w:rPr>
                <w:snapToGrid w:val="0"/>
              </w:rPr>
              <w:t xml:space="preserve"> test; χ</w:t>
            </w:r>
            <w:r w:rsidRPr="007D1918">
              <w:rPr>
                <w:snapToGrid w:val="0"/>
                <w:vertAlign w:val="superscript"/>
              </w:rPr>
              <w:t>2</w:t>
            </w:r>
            <w:r w:rsidRPr="007D1918">
              <w:rPr>
                <w:snapToGrid w:val="0"/>
              </w:rPr>
              <w:t xml:space="preserve"> = 0.186)</w:t>
            </w:r>
          </w:p>
        </w:tc>
      </w:tr>
    </w:tbl>
    <w:p w14:paraId="5A28D52E" w14:textId="0154A8C6" w:rsidR="00AF54FC" w:rsidRPr="007D1918" w:rsidRDefault="00AF54FC" w:rsidP="00A14C6E">
      <w:pPr>
        <w:pStyle w:val="Tablenotes0"/>
        <w:spacing w:after="0"/>
      </w:pPr>
      <w:r w:rsidRPr="007D1918">
        <w:t>IVIg = intravenous immunoglobulin thera</w:t>
      </w:r>
      <w:r w:rsidR="00ED18B1" w:rsidRPr="007D1918">
        <w:t>py; IV MPN = intravenous methyl</w:t>
      </w:r>
      <w:r w:rsidRPr="007D1918">
        <w:t xml:space="preserve">prednisolone therapy; PE plasma exchange therapy; </w:t>
      </w:r>
    </w:p>
    <w:p w14:paraId="1761CED1" w14:textId="77777777" w:rsidR="00D53274" w:rsidRPr="007D1918" w:rsidRDefault="00D53274" w:rsidP="00117D2B"/>
    <w:p w14:paraId="444A20BD" w14:textId="68ECF916" w:rsidR="00467FA2" w:rsidRPr="007D1918" w:rsidRDefault="00D53274" w:rsidP="00A14C6E">
      <w:pPr>
        <w:pStyle w:val="Heading3"/>
      </w:pPr>
      <w:bookmarkStart w:id="299" w:name="_Toc23766975"/>
      <w:r w:rsidRPr="007D1918">
        <w:t xml:space="preserve">Indication 3: </w:t>
      </w:r>
      <w:r w:rsidR="00581A33" w:rsidRPr="007D1918">
        <w:t>P</w:t>
      </w:r>
      <w:r w:rsidRPr="007D1918">
        <w:t xml:space="preserve">atients undergoing </w:t>
      </w:r>
      <w:r w:rsidR="002726A0" w:rsidRPr="007D1918">
        <w:t>SCIg maintenance</w:t>
      </w:r>
      <w:r w:rsidRPr="007D1918">
        <w:t xml:space="preserve"> therapy</w:t>
      </w:r>
      <w:bookmarkEnd w:id="299"/>
    </w:p>
    <w:p w14:paraId="60122CCD" w14:textId="3515B794" w:rsidR="00D53274" w:rsidRPr="007D1918" w:rsidRDefault="00D53274" w:rsidP="00D53274">
      <w:pPr>
        <w:pStyle w:val="Heading4"/>
      </w:pPr>
      <w:r w:rsidRPr="007D1918">
        <w:t xml:space="preserve">Change in </w:t>
      </w:r>
      <w:r w:rsidR="007B2145" w:rsidRPr="007D1918">
        <w:t>s</w:t>
      </w:r>
      <w:r w:rsidRPr="007D1918">
        <w:t xml:space="preserve">ymptoms (QMGS, </w:t>
      </w:r>
      <w:r w:rsidR="007B2145" w:rsidRPr="007D1918">
        <w:t xml:space="preserve">MGC, </w:t>
      </w:r>
      <w:r w:rsidRPr="007D1918">
        <w:t xml:space="preserve">MGFA, MMT) in patients receiving </w:t>
      </w:r>
      <w:r w:rsidR="00D95E2D" w:rsidRPr="007D1918">
        <w:t xml:space="preserve">maintenance </w:t>
      </w:r>
      <w:r w:rsidRPr="007D1918">
        <w:t xml:space="preserve">SCIg </w:t>
      </w:r>
    </w:p>
    <w:p w14:paraId="3440AD38" w14:textId="7D1442FF" w:rsidR="002726A0" w:rsidRPr="007D1918" w:rsidRDefault="007B2145" w:rsidP="00520095">
      <w:pPr>
        <w:jc w:val="both"/>
      </w:pPr>
      <w:r w:rsidRPr="007D1918">
        <w:t xml:space="preserve">Two </w:t>
      </w:r>
      <w:r w:rsidR="00074D51" w:rsidRPr="007D1918">
        <w:t xml:space="preserve">recent Canadian </w:t>
      </w:r>
      <w:r w:rsidRPr="007D1918">
        <w:t xml:space="preserve">case series with pre and post-treatment data (level IV) assessed the change in symptoms for patients receiving SCIg </w:t>
      </w:r>
      <w:r w:rsidR="0075212A" w:rsidRPr="007D1918">
        <w:fldChar w:fldCharType="begin">
          <w:fldData xml:space="preserve">PEVuZE5vdGU+PENpdGU+PEF1dGhvcj5CZWVjaGVyPC9BdXRob3I+PFllYXI+MjAxNzwvWWVhcj48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</w:fldData>
        </w:fldChar>
      </w:r>
      <w:r w:rsidR="00C437BA" w:rsidRPr="007D1918">
        <w:instrText xml:space="preserve"> ADDIN EN.CITE </w:instrText>
      </w:r>
      <w:r w:rsidR="00C437BA" w:rsidRPr="007D1918">
        <w:fldChar w:fldCharType="begin">
          <w:fldData xml:space="preserve">PEVuZE5vdGU+PENpdGU+PEF1dGhvcj5CZWVjaGVyPC9BdXRob3I+PFllYXI+MjAxNzwvWWVhcj48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9" w:tooltip="Beecher, 2017 #49" w:history="1">
        <w:r w:rsidR="007D4948" w:rsidRPr="007D1918">
          <w:rPr>
            <w:noProof/>
          </w:rPr>
          <w:t>Beecher, Anderson &amp; Siddiqi 2017</w:t>
        </w:r>
      </w:hyperlink>
      <w:r w:rsidR="0075212A" w:rsidRPr="007D1918">
        <w:rPr>
          <w:noProof/>
        </w:rPr>
        <w:t xml:space="preserve">; </w:t>
      </w:r>
      <w:hyperlink w:anchor="_ENREF_12" w:tooltip="Bourque, 2016 #50" w:history="1">
        <w:r w:rsidR="007D4948" w:rsidRPr="007D1918">
          <w:rPr>
            <w:noProof/>
          </w:rPr>
          <w:t>Bourque et al. 2016</w:t>
        </w:r>
      </w:hyperlink>
      <w:r w:rsidR="0075212A" w:rsidRPr="007D1918">
        <w:rPr>
          <w:noProof/>
        </w:rPr>
        <w:t>)</w:t>
      </w:r>
      <w:r w:rsidR="0075212A" w:rsidRPr="007D1918">
        <w:fldChar w:fldCharType="end"/>
      </w:r>
      <w:r w:rsidRPr="007D1918">
        <w:t xml:space="preserve">. </w:t>
      </w:r>
      <w:r w:rsidR="002D185F" w:rsidRPr="007D1918">
        <w:t xml:space="preserve">For objective measures, </w:t>
      </w:r>
      <w:r w:rsidRPr="007D1918">
        <w:t>Beecher</w:t>
      </w:r>
      <w:r w:rsidR="00154E38" w:rsidRPr="007D1918">
        <w:t>, Anderson and Siddiqi</w:t>
      </w:r>
      <w:r w:rsidRPr="007D1918">
        <w:t xml:space="preserve"> assessed symptoms using the QMGS, MMT and MGC tools, and Bourque et al used change in MGFA class. </w:t>
      </w:r>
      <w:r w:rsidR="0075378B" w:rsidRPr="007D1918">
        <w:t xml:space="preserve">Beecher, Anderson and Siddiqi (2017) </w:t>
      </w:r>
      <w:r w:rsidR="006030F7" w:rsidRPr="007D1918">
        <w:t>was the only study identified that used the MGC tool, and the data collected provides a comparison between the MGC, QMGS and MMT. The population was</w:t>
      </w:r>
      <w:r w:rsidRPr="007D1918">
        <w:t xml:space="preserve"> 22 </w:t>
      </w:r>
      <w:r w:rsidR="002D185F" w:rsidRPr="007D1918">
        <w:t>participants</w:t>
      </w:r>
      <w:r w:rsidRPr="007D1918">
        <w:t xml:space="preserve"> who were enrolled prospectively, and followed for 6 weeks </w:t>
      </w:r>
      <w:r w:rsidR="002C2B38" w:rsidRPr="007D1918">
        <w:t>with</w:t>
      </w:r>
      <w:r w:rsidRPr="007D1918">
        <w:t xml:space="preserve"> SCIg (2g/kg) infused at weekly intervals over 4 weeks. Bourque et al </w:t>
      </w:r>
      <w:r w:rsidR="00ED04C2" w:rsidRPr="007D1918">
        <w:t xml:space="preserve">(2016) </w:t>
      </w:r>
      <w:r w:rsidRPr="007D1918">
        <w:t>was a retrospective study that identified patien</w:t>
      </w:r>
      <w:r w:rsidR="002D185F" w:rsidRPr="007D1918">
        <w:t>t</w:t>
      </w:r>
      <w:r w:rsidRPr="007D1918">
        <w:t xml:space="preserve">s on a hospital database who had received SCIg at 20g/100ml infusions. Patients were encouraged to change over from maintenance IVIg </w:t>
      </w:r>
      <w:r w:rsidR="002D185F" w:rsidRPr="007D1918">
        <w:t xml:space="preserve">or to start Ig for the first time by subcutaneous infusion. Only nine patients in all </w:t>
      </w:r>
      <w:r w:rsidR="002C2B38" w:rsidRPr="007D1918">
        <w:t xml:space="preserve">had agreed to receive </w:t>
      </w:r>
      <w:r w:rsidR="00441EBE" w:rsidRPr="007D1918">
        <w:t>SC</w:t>
      </w:r>
      <w:r w:rsidR="002C2B38" w:rsidRPr="007D1918">
        <w:t xml:space="preserve">Ig </w:t>
      </w:r>
      <w:r w:rsidR="002D185F" w:rsidRPr="007D1918">
        <w:t xml:space="preserve">and </w:t>
      </w:r>
      <w:r w:rsidR="002C2B38" w:rsidRPr="007D1918">
        <w:t xml:space="preserve">were </w:t>
      </w:r>
      <w:r w:rsidR="002D185F" w:rsidRPr="007D1918">
        <w:t>included in the analysis</w:t>
      </w:r>
      <w:r w:rsidR="002C2B38" w:rsidRPr="007D1918">
        <w:t>.</w:t>
      </w:r>
      <w:r w:rsidR="00074D51" w:rsidRPr="007D1918">
        <w:t xml:space="preserve"> </w:t>
      </w:r>
      <w:r w:rsidR="002C2B38" w:rsidRPr="007D1918">
        <w:t>I</w:t>
      </w:r>
      <w:r w:rsidR="00074D51" w:rsidRPr="007D1918">
        <w:t>ndividual patient data were reported</w:t>
      </w:r>
      <w:r w:rsidR="002D185F" w:rsidRPr="007D1918">
        <w:t>.</w:t>
      </w:r>
    </w:p>
    <w:p w14:paraId="40D2569B" w14:textId="7E787C47" w:rsidR="007448D6" w:rsidRPr="007D1918" w:rsidRDefault="00165A88" w:rsidP="00520095">
      <w:pPr>
        <w:jc w:val="both"/>
      </w:pPr>
      <w:r w:rsidRPr="007D1918">
        <w:t>According to Beecher</w:t>
      </w:r>
      <w:r w:rsidR="0075378B" w:rsidRPr="007D1918">
        <w:t>, Anderson and Siddiqi,</w:t>
      </w:r>
      <w:r w:rsidRPr="007D1918">
        <w:t xml:space="preserve"> </w:t>
      </w:r>
      <w:r w:rsidR="006030F7" w:rsidRPr="007D1918">
        <w:t xml:space="preserve">patients </w:t>
      </w:r>
      <w:r w:rsidR="00894583" w:rsidRPr="007D1918">
        <w:t xml:space="preserve">showed a continuous improvement over </w:t>
      </w:r>
      <w:r w:rsidR="00072027" w:rsidRPr="007D1918">
        <w:t xml:space="preserve">6 </w:t>
      </w:r>
      <w:r w:rsidR="00894583" w:rsidRPr="007D1918">
        <w:t>weeks on SCIg and when compared to baseline, QMGS</w:t>
      </w:r>
      <w:r w:rsidR="00F64372" w:rsidRPr="007D1918">
        <w:t>, MGC</w:t>
      </w:r>
      <w:r w:rsidR="00894583" w:rsidRPr="007D1918">
        <w:t xml:space="preserve"> and MMT scores showed significant difference at all follow-up time points (</w:t>
      </w:r>
      <w:r w:rsidR="00894583" w:rsidRPr="007D1918">
        <w:fldChar w:fldCharType="begin"/>
      </w:r>
      <w:r w:rsidR="00894583" w:rsidRPr="007D1918">
        <w:instrText xml:space="preserve"> REF _Ref8917958 \h </w:instrText>
      </w:r>
      <w:r w:rsidR="00E07567" w:rsidRPr="007D1918">
        <w:instrText xml:space="preserve"> \* MERGEFORMAT </w:instrText>
      </w:r>
      <w:r w:rsidR="00894583" w:rsidRPr="007D1918">
        <w:fldChar w:fldCharType="separate"/>
      </w:r>
      <w:r w:rsidR="00153384" w:rsidRPr="007D1918">
        <w:t xml:space="preserve">Table </w:t>
      </w:r>
      <w:r w:rsidR="00153384" w:rsidRPr="007D1918">
        <w:rPr>
          <w:noProof/>
        </w:rPr>
        <w:t>46</w:t>
      </w:r>
      <w:r w:rsidR="00894583" w:rsidRPr="007D1918">
        <w:fldChar w:fldCharType="end"/>
      </w:r>
      <w:r w:rsidR="00894583" w:rsidRPr="007D1918">
        <w:t>)</w:t>
      </w:r>
      <w:r w:rsidRPr="007D1918">
        <w:t xml:space="preserve">. </w:t>
      </w:r>
    </w:p>
    <w:p w14:paraId="72D1DE22" w14:textId="26401DC2" w:rsidR="00A14C6E" w:rsidRPr="007D1918" w:rsidRDefault="00BB6E91" w:rsidP="00520095">
      <w:pPr>
        <w:jc w:val="both"/>
      </w:pPr>
      <w:r w:rsidRPr="007D1918">
        <w:t xml:space="preserve">MGFA class improved </w:t>
      </w:r>
      <w:r w:rsidR="00441EBE" w:rsidRPr="007D1918">
        <w:t xml:space="preserve">in </w:t>
      </w:r>
      <w:r w:rsidRPr="007D1918">
        <w:t>four out of nine patients in the population identified by Bou</w:t>
      </w:r>
      <w:r w:rsidR="007448D6" w:rsidRPr="007D1918">
        <w:t>r</w:t>
      </w:r>
      <w:r w:rsidRPr="007D1918">
        <w:t>que</w:t>
      </w:r>
      <w:r w:rsidR="00ED04C2" w:rsidRPr="007D1918">
        <w:t xml:space="preserve"> et al</w:t>
      </w:r>
      <w:r w:rsidRPr="007D1918">
        <w:t xml:space="preserve"> after </w:t>
      </w:r>
      <w:r w:rsidR="00072027" w:rsidRPr="007D1918">
        <w:t xml:space="preserve">4 </w:t>
      </w:r>
      <w:r w:rsidRPr="007D1918">
        <w:t>weeks on SC</w:t>
      </w:r>
      <w:r w:rsidR="002C2B38" w:rsidRPr="007D1918">
        <w:t>I</w:t>
      </w:r>
      <w:r w:rsidRPr="007D1918">
        <w:t>g. One each of three patients at MGFA class III at baseline improved to class I, II and IIb, and one MGFA class II at baseline improved to class I</w:t>
      </w:r>
      <w:r w:rsidR="00ED04C2" w:rsidRPr="007D1918">
        <w:t xml:space="preserve"> </w:t>
      </w:r>
      <w:r w:rsidR="00702BE6"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7F4CDE" w:rsidRPr="007D1918">
        <w:instrText xml:space="preserve"> ADDIN EN.CITE </w:instrText>
      </w:r>
      <w:r w:rsidR="007F4CDE"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7F4CDE" w:rsidRPr="007D1918">
        <w:instrText xml:space="preserve"> ADDIN EN.CITE.DATA </w:instrText>
      </w:r>
      <w:r w:rsidR="007F4CDE" w:rsidRPr="007D1918">
        <w:fldChar w:fldCharType="end"/>
      </w:r>
      <w:r w:rsidR="00702BE6" w:rsidRPr="007D1918">
        <w:fldChar w:fldCharType="separate"/>
      </w:r>
      <w:r w:rsidR="00702BE6" w:rsidRPr="007D1918">
        <w:rPr>
          <w:noProof/>
        </w:rPr>
        <w:t>(</w:t>
      </w:r>
      <w:hyperlink w:anchor="_ENREF_12" w:tooltip="Bourque, 2016 #50" w:history="1">
        <w:r w:rsidR="007D4948" w:rsidRPr="007D1918">
          <w:rPr>
            <w:noProof/>
          </w:rPr>
          <w:t>Bourque et al. 2016</w:t>
        </w:r>
      </w:hyperlink>
      <w:r w:rsidR="00702BE6" w:rsidRPr="007D1918">
        <w:rPr>
          <w:noProof/>
        </w:rPr>
        <w:t>)</w:t>
      </w:r>
      <w:r w:rsidR="00702BE6" w:rsidRPr="007D1918">
        <w:fldChar w:fldCharType="end"/>
      </w:r>
      <w:r w:rsidRPr="007D1918">
        <w:t>.</w:t>
      </w:r>
      <w:r w:rsidR="002C2B38" w:rsidRPr="007D1918">
        <w:t xml:space="preserve"> </w:t>
      </w:r>
    </w:p>
    <w:p w14:paraId="54273BA3" w14:textId="2AA5E405" w:rsidR="00BB6E91" w:rsidRPr="007D1918" w:rsidRDefault="00BB6E91" w:rsidP="00520095">
      <w:pPr>
        <w:jc w:val="both"/>
      </w:pPr>
      <w:r w:rsidRPr="007D1918">
        <w:t xml:space="preserve">Due to the lack of </w:t>
      </w:r>
      <w:r w:rsidR="001F1A6A" w:rsidRPr="007D1918">
        <w:t xml:space="preserve">a suitable </w:t>
      </w:r>
      <w:r w:rsidRPr="007D1918">
        <w:t xml:space="preserve">comparator in these </w:t>
      </w:r>
      <w:r w:rsidR="000B378C" w:rsidRPr="007D1918">
        <w:t>studies</w:t>
      </w:r>
      <w:r w:rsidR="00E02674" w:rsidRPr="007D1918">
        <w:t>,</w:t>
      </w:r>
      <w:r w:rsidRPr="007D1918">
        <w:t xml:space="preserve"> it is not possible to make any conclusions </w:t>
      </w:r>
      <w:r w:rsidR="000B378C" w:rsidRPr="007D1918">
        <w:t>from the data</w:t>
      </w:r>
      <w:r w:rsidRPr="007D1918">
        <w:t>.</w:t>
      </w:r>
    </w:p>
    <w:p w14:paraId="0FE94A14" w14:textId="49FC6DE2" w:rsidR="002D185F" w:rsidRPr="007D1918" w:rsidRDefault="002D185F" w:rsidP="002D185F">
      <w:pPr>
        <w:pStyle w:val="Caption"/>
        <w:keepNext/>
        <w:keepLines/>
        <w:jc w:val="both"/>
        <w:rPr>
          <w:rFonts w:cs="Arial"/>
          <w:snapToGrid w:val="0"/>
          <w:szCs w:val="16"/>
          <w:lang w:eastAsia="en-US"/>
        </w:rPr>
      </w:pPr>
      <w:bookmarkStart w:id="300" w:name="_Ref8917958"/>
      <w:bookmarkStart w:id="301" w:name="_Toc23769533"/>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46</w:t>
      </w:r>
      <w:r w:rsidRPr="007D1918">
        <w:rPr>
          <w:noProof/>
        </w:rPr>
        <w:fldChar w:fldCharType="end"/>
      </w:r>
      <w:bookmarkEnd w:id="300"/>
      <w:r w:rsidRPr="007D1918">
        <w:tab/>
      </w:r>
      <w:r w:rsidRPr="007D1918">
        <w:rPr>
          <w:rFonts w:cs="Arial"/>
          <w:snapToGrid w:val="0"/>
          <w:szCs w:val="16"/>
          <w:lang w:eastAsia="en-US"/>
        </w:rPr>
        <w:t xml:space="preserve">Change in symptoms in patients given either SCIg as maintenance </w:t>
      </w:r>
      <w:r w:rsidR="0075212A" w:rsidRPr="007D1918">
        <w:rPr>
          <w:rFonts w:cs="Arial"/>
          <w:snapToGrid w:val="0"/>
          <w:szCs w:val="16"/>
          <w:lang w:eastAsia="en-US"/>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rFonts w:cs="Arial"/>
          <w:snapToGrid w:val="0"/>
          <w:szCs w:val="16"/>
          <w:lang w:eastAsia="en-US"/>
        </w:rPr>
        <w:instrText xml:space="preserve"> ADDIN EN.CITE </w:instrText>
      </w:r>
      <w:r w:rsidR="00C437BA" w:rsidRPr="007D1918">
        <w:rPr>
          <w:rFonts w:cs="Arial"/>
          <w:snapToGrid w:val="0"/>
          <w:szCs w:val="16"/>
          <w:lang w:eastAsia="en-US"/>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rFonts w:cs="Arial"/>
          <w:snapToGrid w:val="0"/>
          <w:szCs w:val="16"/>
          <w:lang w:eastAsia="en-US"/>
        </w:rPr>
        <w:instrText xml:space="preserve"> ADDIN EN.CITE.DATA </w:instrText>
      </w:r>
      <w:r w:rsidR="00C437BA" w:rsidRPr="007D1918">
        <w:rPr>
          <w:rFonts w:cs="Arial"/>
          <w:snapToGrid w:val="0"/>
          <w:szCs w:val="16"/>
          <w:lang w:eastAsia="en-US"/>
        </w:rPr>
      </w:r>
      <w:r w:rsidR="00C437BA" w:rsidRPr="007D1918">
        <w:rPr>
          <w:rFonts w:cs="Arial"/>
          <w:snapToGrid w:val="0"/>
          <w:szCs w:val="16"/>
          <w:lang w:eastAsia="en-US"/>
        </w:rPr>
        <w:fldChar w:fldCharType="end"/>
      </w:r>
      <w:r w:rsidR="0075212A" w:rsidRPr="007D1918">
        <w:rPr>
          <w:rFonts w:cs="Arial"/>
          <w:snapToGrid w:val="0"/>
          <w:szCs w:val="16"/>
          <w:lang w:eastAsia="en-US"/>
        </w:rPr>
      </w:r>
      <w:r w:rsidR="0075212A" w:rsidRPr="007D1918">
        <w:rPr>
          <w:rFonts w:cs="Arial"/>
          <w:snapToGrid w:val="0"/>
          <w:szCs w:val="16"/>
          <w:lang w:eastAsia="en-US"/>
        </w:rPr>
        <w:fldChar w:fldCharType="separate"/>
      </w:r>
      <w:r w:rsidR="0075212A" w:rsidRPr="007D1918">
        <w:rPr>
          <w:rFonts w:cs="Arial"/>
          <w:noProof/>
          <w:snapToGrid w:val="0"/>
          <w:szCs w:val="16"/>
          <w:lang w:eastAsia="en-US"/>
        </w:rPr>
        <w:t>(</w:t>
      </w:r>
      <w:hyperlink w:anchor="_ENREF_9" w:tooltip="Beecher, 2017 #49" w:history="1">
        <w:r w:rsidR="007D4948" w:rsidRPr="007D1918">
          <w:rPr>
            <w:rFonts w:cs="Arial"/>
            <w:noProof/>
            <w:snapToGrid w:val="0"/>
            <w:szCs w:val="16"/>
            <w:lang w:eastAsia="en-US"/>
          </w:rPr>
          <w:t>Beecher, Anderson &amp; Siddiqi 2017</w:t>
        </w:r>
      </w:hyperlink>
      <w:r w:rsidR="0075212A" w:rsidRPr="007D1918">
        <w:rPr>
          <w:rFonts w:cs="Arial"/>
          <w:noProof/>
          <w:snapToGrid w:val="0"/>
          <w:szCs w:val="16"/>
          <w:lang w:eastAsia="en-US"/>
        </w:rPr>
        <w:t>)</w:t>
      </w:r>
      <w:bookmarkEnd w:id="301"/>
      <w:r w:rsidR="0075212A" w:rsidRPr="007D1918">
        <w:rPr>
          <w:rFonts w:cs="Arial"/>
          <w:snapToGrid w:val="0"/>
          <w:szCs w:val="16"/>
          <w:lang w:eastAsia="en-US"/>
        </w:rPr>
        <w:fldChar w:fldCharType="end"/>
      </w:r>
    </w:p>
    <w:tbl>
      <w:tblPr>
        <w:tblW w:w="4935"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4 Change in symptoms in patients given either SCIg as maintenance (Beecher, Anderson &amp; Siddiqi 2017)"/>
        <w:tblDescription w:val="Change in symptoms at weeks 2,4 and 6 measured by QMGS, MMT and MGC in pateints receiving SCIg maintenance therapy (Indication 3)."/>
      </w:tblPr>
      <w:tblGrid>
        <w:gridCol w:w="1099"/>
        <w:gridCol w:w="1420"/>
        <w:gridCol w:w="1984"/>
        <w:gridCol w:w="2127"/>
        <w:gridCol w:w="2269"/>
      </w:tblGrid>
      <w:tr w:rsidR="00894583" w:rsidRPr="007D1918" w14:paraId="6AB0BE60" w14:textId="77777777" w:rsidTr="00D17FA1">
        <w:tc>
          <w:tcPr>
            <w:tcW w:w="617" w:type="pct"/>
          </w:tcPr>
          <w:p w14:paraId="03CBA860" w14:textId="002A1904" w:rsidR="00894583" w:rsidRPr="007D1918" w:rsidRDefault="00894583" w:rsidP="00F64372">
            <w:pPr>
              <w:pStyle w:val="TableHeading"/>
              <w:keepLines/>
              <w:ind w:left="16" w:right="117"/>
              <w:rPr>
                <w:snapToGrid w:val="0"/>
                <w:lang w:eastAsia="en-US"/>
              </w:rPr>
            </w:pPr>
            <w:r w:rsidRPr="007D1918">
              <w:rPr>
                <w:snapToGrid w:val="0"/>
                <w:lang w:eastAsia="en-US"/>
              </w:rPr>
              <w:t xml:space="preserve">Measure </w:t>
            </w:r>
          </w:p>
        </w:tc>
        <w:tc>
          <w:tcPr>
            <w:tcW w:w="798" w:type="pct"/>
            <w:shd w:val="clear" w:color="auto" w:fill="auto"/>
          </w:tcPr>
          <w:p w14:paraId="37072CD0" w14:textId="594490C5" w:rsidR="00894583" w:rsidRPr="007D1918" w:rsidRDefault="00894583" w:rsidP="00F64372">
            <w:pPr>
              <w:pStyle w:val="TableHeading"/>
              <w:keepLines/>
              <w:ind w:left="111" w:right="117"/>
              <w:rPr>
                <w:snapToGrid w:val="0"/>
                <w:lang w:eastAsia="en-US"/>
              </w:rPr>
            </w:pPr>
            <w:r w:rsidRPr="007D1918">
              <w:rPr>
                <w:snapToGrid w:val="0"/>
                <w:lang w:eastAsia="en-US"/>
              </w:rPr>
              <w:t>Baseline</w:t>
            </w:r>
          </w:p>
          <w:p w14:paraId="294EFB69" w14:textId="40DE3ED6" w:rsidR="00894583" w:rsidRPr="007D1918" w:rsidRDefault="00894583" w:rsidP="00F64372">
            <w:pPr>
              <w:pStyle w:val="TableHeading"/>
              <w:keepLines/>
              <w:ind w:left="111" w:right="117"/>
              <w:rPr>
                <w:snapToGrid w:val="0"/>
                <w:lang w:eastAsia="en-US"/>
              </w:rPr>
            </w:pPr>
            <w:r w:rsidRPr="007D1918">
              <w:rPr>
                <w:snapToGrid w:val="0"/>
                <w:lang w:eastAsia="en-US"/>
              </w:rPr>
              <w:t>mean ± SD</w:t>
            </w:r>
          </w:p>
        </w:tc>
        <w:tc>
          <w:tcPr>
            <w:tcW w:w="1115" w:type="pct"/>
            <w:shd w:val="clear" w:color="auto" w:fill="auto"/>
          </w:tcPr>
          <w:p w14:paraId="560FA86F" w14:textId="15EFD512" w:rsidR="00894583" w:rsidRPr="007D1918" w:rsidRDefault="00894583" w:rsidP="00F64372">
            <w:pPr>
              <w:pStyle w:val="TableHeading"/>
              <w:keepLines/>
              <w:ind w:left="77" w:right="117"/>
              <w:rPr>
                <w:snapToGrid w:val="0"/>
                <w:lang w:eastAsia="en-US"/>
              </w:rPr>
            </w:pPr>
            <w:r w:rsidRPr="007D1918">
              <w:rPr>
                <w:snapToGrid w:val="0"/>
                <w:lang w:eastAsia="en-US"/>
              </w:rPr>
              <w:t xml:space="preserve">Week 2 </w:t>
            </w:r>
          </w:p>
          <w:p w14:paraId="31BD9A7E" w14:textId="10B252A1" w:rsidR="00894583" w:rsidRPr="007D1918" w:rsidRDefault="00894583" w:rsidP="00165A88">
            <w:pPr>
              <w:pStyle w:val="TableHeading"/>
              <w:keepLines/>
              <w:ind w:left="77" w:right="117"/>
              <w:rPr>
                <w:snapToGrid w:val="0"/>
                <w:vertAlign w:val="superscript"/>
                <w:lang w:eastAsia="en-US"/>
              </w:rPr>
            </w:pPr>
            <w:r w:rsidRPr="007D1918">
              <w:rPr>
                <w:snapToGrid w:val="0"/>
                <w:lang w:eastAsia="en-US"/>
              </w:rPr>
              <w:t>mean ± SD</w:t>
            </w:r>
            <w:r w:rsidR="00165A88" w:rsidRPr="007D1918">
              <w:rPr>
                <w:snapToGrid w:val="0"/>
                <w:lang w:eastAsia="en-US"/>
              </w:rPr>
              <w:t xml:space="preserve"> </w:t>
            </w:r>
            <w:r w:rsidRPr="007D1918">
              <w:rPr>
                <w:snapToGrid w:val="0"/>
                <w:lang w:eastAsia="en-US"/>
              </w:rPr>
              <w:t>(p)</w:t>
            </w:r>
            <w:r w:rsidRPr="007D1918">
              <w:rPr>
                <w:snapToGrid w:val="0"/>
                <w:vertAlign w:val="superscript"/>
                <w:lang w:eastAsia="en-US"/>
              </w:rPr>
              <w:t>a</w:t>
            </w:r>
          </w:p>
        </w:tc>
        <w:tc>
          <w:tcPr>
            <w:tcW w:w="1195" w:type="pct"/>
            <w:shd w:val="clear" w:color="auto" w:fill="auto"/>
          </w:tcPr>
          <w:p w14:paraId="6EB3BC5F" w14:textId="77777777" w:rsidR="00894583" w:rsidRPr="007D1918" w:rsidRDefault="00894583" w:rsidP="00BE1D21">
            <w:pPr>
              <w:pStyle w:val="TableHeading"/>
              <w:keepLines/>
              <w:ind w:left="41" w:right="117"/>
              <w:rPr>
                <w:snapToGrid w:val="0"/>
                <w:lang w:eastAsia="en-US"/>
              </w:rPr>
            </w:pPr>
            <w:r w:rsidRPr="007D1918">
              <w:rPr>
                <w:snapToGrid w:val="0"/>
                <w:lang w:eastAsia="en-US"/>
              </w:rPr>
              <w:t>Week 4</w:t>
            </w:r>
          </w:p>
          <w:p w14:paraId="19819745" w14:textId="7A0D3BDA" w:rsidR="00894583" w:rsidRPr="007D1918" w:rsidRDefault="00894583" w:rsidP="00165A88">
            <w:pPr>
              <w:pStyle w:val="TableHeading"/>
              <w:keepLines/>
              <w:ind w:left="41" w:right="117"/>
              <w:rPr>
                <w:snapToGrid w:val="0"/>
                <w:vertAlign w:val="superscript"/>
                <w:lang w:eastAsia="en-US"/>
              </w:rPr>
            </w:pPr>
            <w:r w:rsidRPr="007D1918">
              <w:rPr>
                <w:snapToGrid w:val="0"/>
                <w:lang w:eastAsia="en-US"/>
              </w:rPr>
              <w:t>mean ± SD</w:t>
            </w:r>
            <w:r w:rsidR="00165A88" w:rsidRPr="007D1918">
              <w:rPr>
                <w:snapToGrid w:val="0"/>
                <w:lang w:eastAsia="en-US"/>
              </w:rPr>
              <w:t xml:space="preserve"> </w:t>
            </w:r>
            <w:r w:rsidRPr="007D1918">
              <w:rPr>
                <w:snapToGrid w:val="0"/>
                <w:lang w:eastAsia="en-US"/>
              </w:rPr>
              <w:t>(p)</w:t>
            </w:r>
            <w:r w:rsidRPr="007D1918">
              <w:rPr>
                <w:snapToGrid w:val="0"/>
                <w:vertAlign w:val="superscript"/>
                <w:lang w:eastAsia="en-US"/>
              </w:rPr>
              <w:t>a</w:t>
            </w:r>
          </w:p>
        </w:tc>
        <w:tc>
          <w:tcPr>
            <w:tcW w:w="1275" w:type="pct"/>
          </w:tcPr>
          <w:p w14:paraId="1D635BC7" w14:textId="77777777" w:rsidR="00894583" w:rsidRPr="007D1918" w:rsidRDefault="00894583" w:rsidP="00F64372">
            <w:pPr>
              <w:pStyle w:val="TableHeading"/>
              <w:keepLines/>
              <w:ind w:right="117"/>
              <w:rPr>
                <w:snapToGrid w:val="0"/>
                <w:lang w:eastAsia="en-US"/>
              </w:rPr>
            </w:pPr>
            <w:r w:rsidRPr="007D1918">
              <w:rPr>
                <w:snapToGrid w:val="0"/>
                <w:lang w:eastAsia="en-US"/>
              </w:rPr>
              <w:t>Week 6</w:t>
            </w:r>
          </w:p>
          <w:p w14:paraId="65C0F6D0" w14:textId="60D3A6E2" w:rsidR="00894583" w:rsidRPr="007D1918" w:rsidRDefault="00894583" w:rsidP="00165A88">
            <w:pPr>
              <w:pStyle w:val="TableHeading"/>
              <w:keepLines/>
              <w:ind w:right="117"/>
              <w:rPr>
                <w:snapToGrid w:val="0"/>
                <w:vertAlign w:val="superscript"/>
                <w:lang w:eastAsia="en-US"/>
              </w:rPr>
            </w:pPr>
            <w:r w:rsidRPr="007D1918">
              <w:rPr>
                <w:snapToGrid w:val="0"/>
                <w:lang w:eastAsia="en-US"/>
              </w:rPr>
              <w:t>mean ± SD</w:t>
            </w:r>
            <w:r w:rsidR="00165A88" w:rsidRPr="007D1918">
              <w:rPr>
                <w:snapToGrid w:val="0"/>
                <w:lang w:eastAsia="en-US"/>
              </w:rPr>
              <w:t xml:space="preserve"> </w:t>
            </w:r>
            <w:r w:rsidRPr="007D1918">
              <w:rPr>
                <w:snapToGrid w:val="0"/>
                <w:lang w:eastAsia="en-US"/>
              </w:rPr>
              <w:t>(p)</w:t>
            </w:r>
            <w:r w:rsidRPr="007D1918">
              <w:rPr>
                <w:snapToGrid w:val="0"/>
                <w:vertAlign w:val="superscript"/>
                <w:lang w:eastAsia="en-US"/>
              </w:rPr>
              <w:t>a</w:t>
            </w:r>
          </w:p>
        </w:tc>
      </w:tr>
      <w:tr w:rsidR="00894583" w:rsidRPr="007D1918" w14:paraId="19CDD1B3" w14:textId="77777777" w:rsidTr="00D17FA1">
        <w:tc>
          <w:tcPr>
            <w:tcW w:w="617" w:type="pct"/>
          </w:tcPr>
          <w:p w14:paraId="198445F0" w14:textId="341B8321" w:rsidR="00894583" w:rsidRPr="007D1918" w:rsidRDefault="00894583" w:rsidP="00894583">
            <w:pPr>
              <w:pStyle w:val="TableText0"/>
              <w:keepLines/>
              <w:ind w:left="16" w:right="117"/>
              <w:rPr>
                <w:snapToGrid w:val="0"/>
              </w:rPr>
            </w:pPr>
            <w:r w:rsidRPr="007D1918">
              <w:rPr>
                <w:snapToGrid w:val="0"/>
              </w:rPr>
              <w:t>QMGS</w:t>
            </w:r>
          </w:p>
        </w:tc>
        <w:tc>
          <w:tcPr>
            <w:tcW w:w="798" w:type="pct"/>
            <w:shd w:val="clear" w:color="auto" w:fill="auto"/>
          </w:tcPr>
          <w:p w14:paraId="027BD298" w14:textId="4446C5B0" w:rsidR="00894583" w:rsidRPr="007D1918" w:rsidRDefault="00894583" w:rsidP="00894583">
            <w:pPr>
              <w:pStyle w:val="TableText0"/>
              <w:keepLines/>
              <w:ind w:left="111" w:right="117"/>
              <w:rPr>
                <w:snapToGrid w:val="0"/>
              </w:rPr>
            </w:pPr>
            <w:r w:rsidRPr="007D1918">
              <w:rPr>
                <w:snapToGrid w:val="0"/>
              </w:rPr>
              <w:t>14.9 ± 4.1</w:t>
            </w:r>
          </w:p>
        </w:tc>
        <w:tc>
          <w:tcPr>
            <w:tcW w:w="1115" w:type="pct"/>
            <w:shd w:val="clear" w:color="auto" w:fill="auto"/>
          </w:tcPr>
          <w:p w14:paraId="634AD2DB" w14:textId="23D5B856" w:rsidR="00894583" w:rsidRPr="007D1918" w:rsidRDefault="00894583" w:rsidP="00894583">
            <w:pPr>
              <w:pStyle w:val="TableText0"/>
              <w:keepLines/>
              <w:ind w:left="77" w:right="117"/>
              <w:rPr>
                <w:snapToGrid w:val="0"/>
              </w:rPr>
            </w:pPr>
            <w:r w:rsidRPr="007D1918">
              <w:rPr>
                <w:snapToGrid w:val="0"/>
              </w:rPr>
              <w:t>12.2 ± 4.6 (p</w:t>
            </w:r>
            <w:r w:rsidR="00ED04C2" w:rsidRPr="007D1918">
              <w:rPr>
                <w:snapToGrid w:val="0"/>
              </w:rPr>
              <w:t xml:space="preserve"> </w:t>
            </w:r>
            <w:r w:rsidRPr="007D1918">
              <w:rPr>
                <w:snapToGrid w:val="0"/>
              </w:rPr>
              <w:t>=</w:t>
            </w:r>
            <w:r w:rsidR="00ED04C2" w:rsidRPr="007D1918">
              <w:rPr>
                <w:snapToGrid w:val="0"/>
              </w:rPr>
              <w:t xml:space="preserve"> </w:t>
            </w:r>
            <w:r w:rsidRPr="007D1918">
              <w:rPr>
                <w:snapToGrid w:val="0"/>
              </w:rPr>
              <w:t>0.001)</w:t>
            </w:r>
          </w:p>
        </w:tc>
        <w:tc>
          <w:tcPr>
            <w:tcW w:w="1195" w:type="pct"/>
            <w:shd w:val="clear" w:color="auto" w:fill="auto"/>
          </w:tcPr>
          <w:p w14:paraId="4887F9E5" w14:textId="4B8313E4" w:rsidR="00894583" w:rsidRPr="007D1918" w:rsidRDefault="00894583" w:rsidP="00894583">
            <w:pPr>
              <w:pStyle w:val="TableText0"/>
              <w:keepLines/>
              <w:ind w:left="41" w:right="117"/>
              <w:rPr>
                <w:snapToGrid w:val="0"/>
              </w:rPr>
            </w:pPr>
            <w:r w:rsidRPr="007D1918">
              <w:rPr>
                <w:snapToGrid w:val="0"/>
              </w:rPr>
              <w:t>11.3 ± 4.9 (p</w:t>
            </w:r>
            <w:r w:rsidR="00ED04C2" w:rsidRPr="007D1918">
              <w:rPr>
                <w:snapToGrid w:val="0"/>
              </w:rPr>
              <w:t xml:space="preserve"> </w:t>
            </w:r>
            <w:r w:rsidRPr="007D1918">
              <w:rPr>
                <w:snapToGrid w:val="0"/>
              </w:rPr>
              <w:t>&lt;</w:t>
            </w:r>
            <w:r w:rsidR="00ED04C2" w:rsidRPr="007D1918">
              <w:rPr>
                <w:snapToGrid w:val="0"/>
              </w:rPr>
              <w:t xml:space="preserve"> </w:t>
            </w:r>
            <w:r w:rsidRPr="007D1918">
              <w:rPr>
                <w:snapToGrid w:val="0"/>
              </w:rPr>
              <w:t>0.0001)</w:t>
            </w:r>
          </w:p>
        </w:tc>
        <w:tc>
          <w:tcPr>
            <w:tcW w:w="1275" w:type="pct"/>
          </w:tcPr>
          <w:p w14:paraId="6ACE4BDC" w14:textId="1B1B3AD1" w:rsidR="00894583" w:rsidRPr="007D1918" w:rsidRDefault="00894583" w:rsidP="00894583">
            <w:pPr>
              <w:pStyle w:val="TableText0"/>
              <w:keepLines/>
              <w:ind w:right="117"/>
              <w:rPr>
                <w:snapToGrid w:val="0"/>
              </w:rPr>
            </w:pPr>
            <w:r w:rsidRPr="007D1918">
              <w:rPr>
                <w:snapToGrid w:val="0"/>
              </w:rPr>
              <w:t>9.8 ± 5.6 (p</w:t>
            </w:r>
            <w:r w:rsidR="00ED04C2" w:rsidRPr="007D1918">
              <w:rPr>
                <w:snapToGrid w:val="0"/>
              </w:rPr>
              <w:t xml:space="preserve"> </w:t>
            </w:r>
            <w:r w:rsidRPr="007D1918">
              <w:rPr>
                <w:snapToGrid w:val="0"/>
              </w:rPr>
              <w:t>&lt;</w:t>
            </w:r>
            <w:r w:rsidR="00ED04C2" w:rsidRPr="007D1918">
              <w:rPr>
                <w:snapToGrid w:val="0"/>
              </w:rPr>
              <w:t xml:space="preserve"> </w:t>
            </w:r>
            <w:r w:rsidRPr="007D1918">
              <w:rPr>
                <w:snapToGrid w:val="0"/>
              </w:rPr>
              <w:t>0.0001)</w:t>
            </w:r>
          </w:p>
        </w:tc>
      </w:tr>
      <w:tr w:rsidR="00894583" w:rsidRPr="007D1918" w14:paraId="3F0F9EFF" w14:textId="77777777" w:rsidTr="00D17FA1">
        <w:tc>
          <w:tcPr>
            <w:tcW w:w="617" w:type="pct"/>
          </w:tcPr>
          <w:p w14:paraId="0BC741B7" w14:textId="77777777" w:rsidR="00894583" w:rsidRPr="007D1918" w:rsidRDefault="00894583" w:rsidP="00F64372">
            <w:pPr>
              <w:pStyle w:val="TableText0"/>
              <w:keepLines/>
              <w:ind w:left="16" w:right="117"/>
              <w:rPr>
                <w:snapToGrid w:val="0"/>
              </w:rPr>
            </w:pPr>
            <w:r w:rsidRPr="007D1918">
              <w:rPr>
                <w:snapToGrid w:val="0"/>
              </w:rPr>
              <w:t>MMT</w:t>
            </w:r>
          </w:p>
        </w:tc>
        <w:tc>
          <w:tcPr>
            <w:tcW w:w="798" w:type="pct"/>
            <w:shd w:val="clear" w:color="auto" w:fill="auto"/>
          </w:tcPr>
          <w:p w14:paraId="46551A1B" w14:textId="77777777" w:rsidR="00894583" w:rsidRPr="007D1918" w:rsidRDefault="00894583" w:rsidP="00F64372">
            <w:pPr>
              <w:pStyle w:val="TableText0"/>
              <w:keepLines/>
              <w:ind w:left="111" w:right="117"/>
              <w:rPr>
                <w:snapToGrid w:val="0"/>
              </w:rPr>
            </w:pPr>
            <w:r w:rsidRPr="007D1918">
              <w:rPr>
                <w:snapToGrid w:val="0"/>
              </w:rPr>
              <w:t>16.8 ± 9.5</w:t>
            </w:r>
          </w:p>
        </w:tc>
        <w:tc>
          <w:tcPr>
            <w:tcW w:w="1115" w:type="pct"/>
            <w:shd w:val="clear" w:color="auto" w:fill="auto"/>
          </w:tcPr>
          <w:p w14:paraId="682A2BDE" w14:textId="4A6D1E00" w:rsidR="00894583" w:rsidRPr="007D1918" w:rsidRDefault="00894583" w:rsidP="00F64372">
            <w:pPr>
              <w:pStyle w:val="TableText0"/>
              <w:keepLines/>
              <w:ind w:left="77" w:right="117"/>
              <w:rPr>
                <w:snapToGrid w:val="0"/>
              </w:rPr>
            </w:pPr>
            <w:r w:rsidRPr="007D1918">
              <w:rPr>
                <w:snapToGrid w:val="0"/>
              </w:rPr>
              <w:t>10.8 ± 7.2 (p</w:t>
            </w:r>
            <w:r w:rsidR="00ED04C2" w:rsidRPr="007D1918">
              <w:rPr>
                <w:snapToGrid w:val="0"/>
              </w:rPr>
              <w:t xml:space="preserve"> </w:t>
            </w:r>
            <w:r w:rsidRPr="007D1918">
              <w:rPr>
                <w:snapToGrid w:val="0"/>
              </w:rPr>
              <w:t>=</w:t>
            </w:r>
            <w:r w:rsidR="00ED04C2" w:rsidRPr="007D1918">
              <w:rPr>
                <w:snapToGrid w:val="0"/>
              </w:rPr>
              <w:t xml:space="preserve"> </w:t>
            </w:r>
            <w:r w:rsidRPr="007D1918">
              <w:rPr>
                <w:snapToGrid w:val="0"/>
              </w:rPr>
              <w:t>0.002)</w:t>
            </w:r>
          </w:p>
        </w:tc>
        <w:tc>
          <w:tcPr>
            <w:tcW w:w="1195" w:type="pct"/>
            <w:shd w:val="clear" w:color="auto" w:fill="auto"/>
          </w:tcPr>
          <w:p w14:paraId="55FDD5C0" w14:textId="4A0B036F" w:rsidR="00894583" w:rsidRPr="007D1918" w:rsidRDefault="00894583" w:rsidP="00F64372">
            <w:pPr>
              <w:pStyle w:val="TableText0"/>
              <w:keepLines/>
              <w:ind w:left="41" w:right="117"/>
              <w:rPr>
                <w:snapToGrid w:val="0"/>
              </w:rPr>
            </w:pPr>
            <w:r w:rsidRPr="007D1918">
              <w:rPr>
                <w:snapToGrid w:val="0"/>
              </w:rPr>
              <w:t>6.4 ± 5.8 (p</w:t>
            </w:r>
            <w:r w:rsidR="00ED04C2" w:rsidRPr="007D1918">
              <w:rPr>
                <w:snapToGrid w:val="0"/>
              </w:rPr>
              <w:t xml:space="preserve"> </w:t>
            </w:r>
            <w:r w:rsidRPr="007D1918">
              <w:rPr>
                <w:snapToGrid w:val="0"/>
              </w:rPr>
              <w:t>&lt;</w:t>
            </w:r>
            <w:r w:rsidR="00ED04C2" w:rsidRPr="007D1918">
              <w:rPr>
                <w:snapToGrid w:val="0"/>
              </w:rPr>
              <w:t xml:space="preserve"> </w:t>
            </w:r>
            <w:r w:rsidRPr="007D1918">
              <w:rPr>
                <w:snapToGrid w:val="0"/>
              </w:rPr>
              <w:t>0.0001)</w:t>
            </w:r>
          </w:p>
        </w:tc>
        <w:tc>
          <w:tcPr>
            <w:tcW w:w="1275" w:type="pct"/>
          </w:tcPr>
          <w:p w14:paraId="7D2CE9BB" w14:textId="4E111CF6" w:rsidR="00894583" w:rsidRPr="007D1918" w:rsidRDefault="00894583" w:rsidP="00F64372">
            <w:pPr>
              <w:pStyle w:val="TableText0"/>
              <w:keepLines/>
              <w:ind w:right="117"/>
              <w:rPr>
                <w:snapToGrid w:val="0"/>
              </w:rPr>
            </w:pPr>
            <w:r w:rsidRPr="007D1918">
              <w:rPr>
                <w:snapToGrid w:val="0"/>
              </w:rPr>
              <w:t>5.2 ± 4.5 (p</w:t>
            </w:r>
            <w:r w:rsidR="00ED04C2" w:rsidRPr="007D1918">
              <w:rPr>
                <w:snapToGrid w:val="0"/>
              </w:rPr>
              <w:t xml:space="preserve"> </w:t>
            </w:r>
            <w:r w:rsidRPr="007D1918">
              <w:rPr>
                <w:snapToGrid w:val="0"/>
              </w:rPr>
              <w:t>&lt;</w:t>
            </w:r>
            <w:r w:rsidR="00ED04C2" w:rsidRPr="007D1918">
              <w:rPr>
                <w:snapToGrid w:val="0"/>
              </w:rPr>
              <w:t xml:space="preserve"> </w:t>
            </w:r>
            <w:r w:rsidRPr="007D1918">
              <w:rPr>
                <w:snapToGrid w:val="0"/>
              </w:rPr>
              <w:t>0.0001)</w:t>
            </w:r>
          </w:p>
        </w:tc>
      </w:tr>
      <w:tr w:rsidR="00F64372" w:rsidRPr="007D1918" w14:paraId="29CAF408" w14:textId="77777777" w:rsidTr="00D17FA1">
        <w:tc>
          <w:tcPr>
            <w:tcW w:w="617" w:type="pct"/>
          </w:tcPr>
          <w:p w14:paraId="154436EE" w14:textId="3C9D56B9" w:rsidR="00F64372" w:rsidRPr="007D1918" w:rsidRDefault="00F64372" w:rsidP="00F64372">
            <w:pPr>
              <w:pStyle w:val="TableText0"/>
              <w:keepLines/>
              <w:ind w:left="16" w:right="117"/>
              <w:rPr>
                <w:snapToGrid w:val="0"/>
              </w:rPr>
            </w:pPr>
            <w:r w:rsidRPr="007D1918">
              <w:rPr>
                <w:snapToGrid w:val="0"/>
              </w:rPr>
              <w:t>MGC</w:t>
            </w:r>
          </w:p>
        </w:tc>
        <w:tc>
          <w:tcPr>
            <w:tcW w:w="798" w:type="pct"/>
            <w:shd w:val="clear" w:color="auto" w:fill="auto"/>
          </w:tcPr>
          <w:p w14:paraId="74FC06CC" w14:textId="6DD90258" w:rsidR="00F64372" w:rsidRPr="007D1918" w:rsidRDefault="00F64372" w:rsidP="00F64372">
            <w:pPr>
              <w:pStyle w:val="TableText0"/>
              <w:keepLines/>
              <w:ind w:left="111" w:right="117"/>
              <w:rPr>
                <w:snapToGrid w:val="0"/>
              </w:rPr>
            </w:pPr>
            <w:r w:rsidRPr="007D1918">
              <w:rPr>
                <w:snapToGrid w:val="0"/>
              </w:rPr>
              <w:t>17.4 ± 5.2</w:t>
            </w:r>
          </w:p>
        </w:tc>
        <w:tc>
          <w:tcPr>
            <w:tcW w:w="1115" w:type="pct"/>
            <w:shd w:val="clear" w:color="auto" w:fill="auto"/>
          </w:tcPr>
          <w:p w14:paraId="039DC51C" w14:textId="3ABA9765" w:rsidR="00F64372" w:rsidRPr="007D1918" w:rsidRDefault="00F64372" w:rsidP="00F64372">
            <w:pPr>
              <w:pStyle w:val="TableText0"/>
              <w:keepLines/>
              <w:ind w:left="77" w:right="117"/>
              <w:rPr>
                <w:snapToGrid w:val="0"/>
              </w:rPr>
            </w:pPr>
            <w:r w:rsidRPr="007D1918">
              <w:rPr>
                <w:snapToGrid w:val="0"/>
              </w:rPr>
              <w:t>11.0 ± 3.9 (p</w:t>
            </w:r>
            <w:r w:rsidR="00ED04C2" w:rsidRPr="007D1918">
              <w:rPr>
                <w:snapToGrid w:val="0"/>
              </w:rPr>
              <w:t xml:space="preserve"> </w:t>
            </w:r>
            <w:r w:rsidRPr="007D1918">
              <w:rPr>
                <w:snapToGrid w:val="0"/>
              </w:rPr>
              <w:t>&lt;</w:t>
            </w:r>
            <w:r w:rsidR="00ED04C2" w:rsidRPr="007D1918">
              <w:rPr>
                <w:snapToGrid w:val="0"/>
              </w:rPr>
              <w:t xml:space="preserve"> </w:t>
            </w:r>
            <w:r w:rsidRPr="007D1918">
              <w:rPr>
                <w:snapToGrid w:val="0"/>
              </w:rPr>
              <w:t>0.0001)</w:t>
            </w:r>
          </w:p>
        </w:tc>
        <w:tc>
          <w:tcPr>
            <w:tcW w:w="1195" w:type="pct"/>
            <w:shd w:val="clear" w:color="auto" w:fill="auto"/>
          </w:tcPr>
          <w:p w14:paraId="569F8688" w14:textId="57947257" w:rsidR="00F64372" w:rsidRPr="007D1918" w:rsidRDefault="00F64372" w:rsidP="00F64372">
            <w:pPr>
              <w:pStyle w:val="TableText0"/>
              <w:keepLines/>
              <w:ind w:left="41" w:right="117"/>
              <w:rPr>
                <w:snapToGrid w:val="0"/>
              </w:rPr>
            </w:pPr>
            <w:r w:rsidRPr="007D1918">
              <w:rPr>
                <w:snapToGrid w:val="0"/>
              </w:rPr>
              <w:t>7.1 ± 4.4 (p</w:t>
            </w:r>
            <w:r w:rsidR="00ED04C2" w:rsidRPr="007D1918">
              <w:rPr>
                <w:snapToGrid w:val="0"/>
              </w:rPr>
              <w:t xml:space="preserve"> </w:t>
            </w:r>
            <w:r w:rsidRPr="007D1918">
              <w:rPr>
                <w:snapToGrid w:val="0"/>
              </w:rPr>
              <w:t>&lt;</w:t>
            </w:r>
            <w:r w:rsidR="00ED04C2" w:rsidRPr="007D1918">
              <w:rPr>
                <w:snapToGrid w:val="0"/>
              </w:rPr>
              <w:t xml:space="preserve"> </w:t>
            </w:r>
            <w:r w:rsidRPr="007D1918">
              <w:rPr>
                <w:snapToGrid w:val="0"/>
              </w:rPr>
              <w:t>0.0001)</w:t>
            </w:r>
          </w:p>
        </w:tc>
        <w:tc>
          <w:tcPr>
            <w:tcW w:w="1275" w:type="pct"/>
          </w:tcPr>
          <w:p w14:paraId="40F8F48F" w14:textId="2F5AAF10" w:rsidR="00F64372" w:rsidRPr="007D1918" w:rsidRDefault="00F64372" w:rsidP="00F64372">
            <w:pPr>
              <w:pStyle w:val="TableText0"/>
              <w:keepLines/>
              <w:ind w:right="117"/>
              <w:rPr>
                <w:snapToGrid w:val="0"/>
              </w:rPr>
            </w:pPr>
            <w:r w:rsidRPr="007D1918">
              <w:rPr>
                <w:snapToGrid w:val="0"/>
              </w:rPr>
              <w:t>5.6 ± 4.5 (p</w:t>
            </w:r>
            <w:r w:rsidR="00ED04C2" w:rsidRPr="007D1918">
              <w:rPr>
                <w:snapToGrid w:val="0"/>
              </w:rPr>
              <w:t xml:space="preserve"> </w:t>
            </w:r>
            <w:r w:rsidRPr="007D1918">
              <w:rPr>
                <w:snapToGrid w:val="0"/>
              </w:rPr>
              <w:t>&lt;</w:t>
            </w:r>
            <w:r w:rsidR="00ED04C2" w:rsidRPr="007D1918">
              <w:rPr>
                <w:snapToGrid w:val="0"/>
              </w:rPr>
              <w:t xml:space="preserve"> </w:t>
            </w:r>
            <w:r w:rsidRPr="007D1918">
              <w:rPr>
                <w:snapToGrid w:val="0"/>
              </w:rPr>
              <w:t>0.0001)</w:t>
            </w:r>
          </w:p>
        </w:tc>
      </w:tr>
    </w:tbl>
    <w:p w14:paraId="07F27F32" w14:textId="13EEF5C9" w:rsidR="002D185F" w:rsidRPr="007D1918" w:rsidRDefault="006D5388" w:rsidP="000B378C">
      <w:pPr>
        <w:pStyle w:val="Tablenotes0"/>
        <w:spacing w:after="80"/>
        <w:contextualSpacing w:val="0"/>
      </w:pPr>
      <w:r w:rsidRPr="007D1918">
        <w:t xml:space="preserve">MGC = myasthenia gravis composite score; </w:t>
      </w:r>
      <w:r w:rsidR="002D185F" w:rsidRPr="007D1918">
        <w:t>MMT = manual muscle test</w:t>
      </w:r>
      <w:r w:rsidRPr="007D1918">
        <w:t>; QMGS = quantitative myasthenia gravis score; SCIg = subcutaneous immunoglobulin therapy; SD = standard deviation</w:t>
      </w:r>
    </w:p>
    <w:p w14:paraId="52E4FD41" w14:textId="4F85257C" w:rsidR="007B2145" w:rsidRPr="007D1918" w:rsidRDefault="00BE1D21" w:rsidP="00A14C6E">
      <w:pPr>
        <w:pStyle w:val="Tablenotes0"/>
        <w:spacing w:after="0"/>
      </w:pPr>
      <w:r w:rsidRPr="007D1918">
        <w:rPr>
          <w:vertAlign w:val="superscript"/>
        </w:rPr>
        <w:lastRenderedPageBreak/>
        <w:t>a</w:t>
      </w:r>
      <w:r w:rsidRPr="007D1918">
        <w:t xml:space="preserve"> All comparisons are with baseline</w:t>
      </w:r>
      <w:r w:rsidR="005111FA" w:rsidRPr="007D1918">
        <w:t xml:space="preserve">. One-way repeated-measures analysis of variance with post hoc Tukey honesty significant difference was used. </w:t>
      </w:r>
      <w:r w:rsidR="0075212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 </w:instrText>
      </w:r>
      <w:r w:rsidR="00C437B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9" w:tooltip="Beecher, 2017 #49" w:history="1">
        <w:r w:rsidR="007D4948" w:rsidRPr="007D1918">
          <w:rPr>
            <w:noProof/>
          </w:rPr>
          <w:t>Beecher, Anderson &amp; Siddiqi 2017</w:t>
        </w:r>
      </w:hyperlink>
      <w:r w:rsidR="0075212A" w:rsidRPr="007D1918">
        <w:rPr>
          <w:noProof/>
        </w:rPr>
        <w:t>)</w:t>
      </w:r>
      <w:r w:rsidR="0075212A" w:rsidRPr="007D1918">
        <w:fldChar w:fldCharType="end"/>
      </w:r>
    </w:p>
    <w:p w14:paraId="35D49B5A" w14:textId="77777777" w:rsidR="007B2145" w:rsidRPr="007D1918" w:rsidRDefault="007B2145" w:rsidP="00A14C6E">
      <w:pPr>
        <w:pStyle w:val="Tabletext1"/>
      </w:pPr>
    </w:p>
    <w:p w14:paraId="46015520" w14:textId="57237FAA" w:rsidR="00DB3295" w:rsidRPr="007D1918" w:rsidRDefault="00D53274" w:rsidP="00D53274">
      <w:pPr>
        <w:pStyle w:val="Heading4"/>
      </w:pPr>
      <w:r w:rsidRPr="007D1918">
        <w:t xml:space="preserve">Change in </w:t>
      </w:r>
      <w:r w:rsidR="00D95E2D" w:rsidRPr="007D1918">
        <w:t>Q</w:t>
      </w:r>
      <w:r w:rsidRPr="007D1918">
        <w:t xml:space="preserve">uality of </w:t>
      </w:r>
      <w:r w:rsidR="00D95E2D" w:rsidRPr="007D1918">
        <w:t>L</w:t>
      </w:r>
      <w:r w:rsidRPr="007D1918">
        <w:t>ife (MG-ADL, MG QoL, TSQM</w:t>
      </w:r>
      <w:r w:rsidR="00F64372" w:rsidRPr="007D1918">
        <w:t>, VAS</w:t>
      </w:r>
      <w:r w:rsidRPr="007D1918">
        <w:t xml:space="preserve">) in patients receiving </w:t>
      </w:r>
      <w:r w:rsidR="00D95E2D" w:rsidRPr="007D1918">
        <w:t>SCIg</w:t>
      </w:r>
    </w:p>
    <w:p w14:paraId="25AB36DD" w14:textId="4DCF4D7A" w:rsidR="00D53274" w:rsidRPr="007D1918" w:rsidRDefault="00F64372" w:rsidP="005111FA">
      <w:pPr>
        <w:jc w:val="both"/>
      </w:pPr>
      <w:r w:rsidRPr="007D1918">
        <w:t>Beecher</w:t>
      </w:r>
      <w:r w:rsidR="0075378B" w:rsidRPr="007D1918">
        <w:t>, Anderson and Siddiqi</w:t>
      </w:r>
      <w:r w:rsidRPr="007D1918">
        <w:t xml:space="preserve"> </w:t>
      </w:r>
      <w:r w:rsidR="003736AC"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7D4948" w:rsidRPr="007D1918">
        <w:instrText xml:space="preserve"> ADDIN EN.CITE </w:instrText>
      </w:r>
      <w:r w:rsidR="007D4948"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9" w:tooltip="Beecher, 2017 #49" w:history="1">
        <w:r w:rsidR="007D4948" w:rsidRPr="007D1918">
          <w:rPr>
            <w:noProof/>
          </w:rPr>
          <w:t>Beecher, Anderson &amp; Siddiqi 2017</w:t>
        </w:r>
      </w:hyperlink>
      <w:r w:rsidR="007D4948" w:rsidRPr="007D1918">
        <w:rPr>
          <w:noProof/>
        </w:rPr>
        <w:t>)</w:t>
      </w:r>
      <w:r w:rsidR="003736AC" w:rsidRPr="007D1918">
        <w:fldChar w:fldCharType="end"/>
      </w:r>
      <w:r w:rsidR="00AF6E39" w:rsidRPr="007D1918">
        <w:t xml:space="preserve"> </w:t>
      </w:r>
      <w:r w:rsidRPr="007D1918">
        <w:t xml:space="preserve">and Bourque et al </w:t>
      </w:r>
      <w:r w:rsidR="003736AC"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7D4948" w:rsidRPr="007D1918">
        <w:instrText xml:space="preserve"> ADDIN EN.CITE </w:instrText>
      </w:r>
      <w:r w:rsidR="007D4948"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7D4948" w:rsidRPr="007D1918">
        <w:instrText xml:space="preserve"> ADDIN EN.CITE.DATA </w:instrText>
      </w:r>
      <w:r w:rsidR="007D4948" w:rsidRPr="007D1918">
        <w:fldChar w:fldCharType="end"/>
      </w:r>
      <w:r w:rsidR="003736AC" w:rsidRPr="007D1918">
        <w:fldChar w:fldCharType="separate"/>
      </w:r>
      <w:r w:rsidR="007D4948" w:rsidRPr="007D1918">
        <w:rPr>
          <w:noProof/>
        </w:rPr>
        <w:t>(</w:t>
      </w:r>
      <w:hyperlink w:anchor="_ENREF_12" w:tooltip="Bourque, 2016 #50" w:history="1">
        <w:r w:rsidR="007D4948" w:rsidRPr="007D1918">
          <w:rPr>
            <w:noProof/>
          </w:rPr>
          <w:t>Bourque et al. 2016</w:t>
        </w:r>
      </w:hyperlink>
      <w:r w:rsidR="007D4948" w:rsidRPr="007D1918">
        <w:rPr>
          <w:noProof/>
        </w:rPr>
        <w:t>)</w:t>
      </w:r>
      <w:r w:rsidR="003736AC" w:rsidRPr="007D1918">
        <w:fldChar w:fldCharType="end"/>
      </w:r>
      <w:r w:rsidR="00AF6E39" w:rsidRPr="007D1918">
        <w:t xml:space="preserve"> </w:t>
      </w:r>
      <w:r w:rsidRPr="007D1918">
        <w:t>provided data on QoL using a number of subjective tools. Beecher</w:t>
      </w:r>
      <w:r w:rsidR="00154E38" w:rsidRPr="007D1918">
        <w:t>, Anderson and Siddiqi</w:t>
      </w:r>
      <w:r w:rsidRPr="007D1918">
        <w:t xml:space="preserve"> reported data on </w:t>
      </w:r>
      <w:r w:rsidR="000D49EC" w:rsidRPr="007D1918">
        <w:t xml:space="preserve">22 patients using the MG-ADL at baseline, and </w:t>
      </w:r>
      <w:r w:rsidR="00072027" w:rsidRPr="007D1918">
        <w:t>2</w:t>
      </w:r>
      <w:r w:rsidR="000D49EC" w:rsidRPr="007D1918">
        <w:t xml:space="preserve">, </w:t>
      </w:r>
      <w:r w:rsidR="00072027" w:rsidRPr="007D1918">
        <w:t xml:space="preserve">4 </w:t>
      </w:r>
      <w:r w:rsidR="000D49EC" w:rsidRPr="007D1918">
        <w:t xml:space="preserve">and </w:t>
      </w:r>
      <w:r w:rsidR="00072027" w:rsidRPr="007D1918">
        <w:t xml:space="preserve">6 </w:t>
      </w:r>
      <w:r w:rsidR="000D49EC" w:rsidRPr="007D1918">
        <w:t>weeks after start of treatment</w:t>
      </w:r>
      <w:r w:rsidRPr="007D1918">
        <w:t>. The smaller Bourq</w:t>
      </w:r>
      <w:r w:rsidR="004D559D" w:rsidRPr="007D1918">
        <w:t>u</w:t>
      </w:r>
      <w:r w:rsidRPr="007D1918">
        <w:t xml:space="preserve">e case series </w:t>
      </w:r>
      <w:r w:rsidR="000D49EC" w:rsidRPr="007D1918">
        <w:t xml:space="preserve">(n = 9) </w:t>
      </w:r>
      <w:r w:rsidRPr="007D1918">
        <w:t xml:space="preserve">reported data on the MG-QoL, MG-ADL and </w:t>
      </w:r>
      <w:r w:rsidR="004D559D" w:rsidRPr="007D1918">
        <w:t>the visual analogue scale (</w:t>
      </w:r>
      <w:r w:rsidRPr="007D1918">
        <w:t>VAS</w:t>
      </w:r>
      <w:r w:rsidR="004D559D" w:rsidRPr="007D1918">
        <w:t>)</w:t>
      </w:r>
      <w:r w:rsidRPr="007D1918">
        <w:t xml:space="preserve"> tools at baseline and at </w:t>
      </w:r>
      <w:r w:rsidR="00072027" w:rsidRPr="007D1918">
        <w:t xml:space="preserve">4 </w:t>
      </w:r>
      <w:r w:rsidRPr="007D1918">
        <w:t>weeks.</w:t>
      </w:r>
      <w:r w:rsidR="004D559D" w:rsidRPr="007D1918">
        <w:t xml:space="preserve"> Bourque et al used the MG-QoL-15 questionnaire. The VAS is </w:t>
      </w:r>
      <w:r w:rsidR="00441EBE" w:rsidRPr="007D1918">
        <w:t xml:space="preserve">a </w:t>
      </w:r>
      <w:r w:rsidR="004D559D" w:rsidRPr="007D1918">
        <w:t xml:space="preserve">subjective patient score on response to therapy, giving a score of 0 to the worst possible control of MG </w:t>
      </w:r>
      <w:r w:rsidR="00441EBE" w:rsidRPr="007D1918">
        <w:t xml:space="preserve">up </w:t>
      </w:r>
      <w:r w:rsidR="004D559D" w:rsidRPr="007D1918">
        <w:t xml:space="preserve">to 10 for best possible control. The </w:t>
      </w:r>
      <w:r w:rsidR="00EA142B" w:rsidRPr="007D1918">
        <w:t>MG-ADL is a validated scale o</w:t>
      </w:r>
      <w:r w:rsidR="004D559D" w:rsidRPr="007D1918">
        <w:t xml:space="preserve">f 0-3 for </w:t>
      </w:r>
      <w:r w:rsidR="00EA142B" w:rsidRPr="007D1918">
        <w:t>eight specific MG characteristics related to d</w:t>
      </w:r>
      <w:r w:rsidR="00441EBE" w:rsidRPr="007D1918">
        <w:t xml:space="preserve">aily life. See </w:t>
      </w:r>
      <w:r w:rsidR="00441EBE" w:rsidRPr="007D1918">
        <w:rPr>
          <w:i/>
        </w:rPr>
        <w:t>Section B.5</w:t>
      </w:r>
      <w:r w:rsidR="00441EBE" w:rsidRPr="007D1918">
        <w:t xml:space="preserve"> for </w:t>
      </w:r>
      <w:r w:rsidR="00EA142B" w:rsidRPr="007D1918">
        <w:t xml:space="preserve">further descriptions of outcome measures for MG. </w:t>
      </w:r>
      <w:r w:rsidR="00AC4B92" w:rsidRPr="007D1918">
        <w:t xml:space="preserve">Results from the studies are provided in </w:t>
      </w:r>
      <w:r w:rsidR="00AC4B92" w:rsidRPr="007D1918">
        <w:fldChar w:fldCharType="begin"/>
      </w:r>
      <w:r w:rsidR="00AC4B92" w:rsidRPr="007D1918">
        <w:instrText xml:space="preserve"> REF _Ref10716283 \h </w:instrText>
      </w:r>
      <w:r w:rsidR="00E07567" w:rsidRPr="007D1918">
        <w:instrText xml:space="preserve"> \* MERGEFORMAT </w:instrText>
      </w:r>
      <w:r w:rsidR="00AC4B92" w:rsidRPr="007D1918">
        <w:fldChar w:fldCharType="separate"/>
      </w:r>
      <w:r w:rsidR="00153384" w:rsidRPr="007D1918">
        <w:t xml:space="preserve">Table </w:t>
      </w:r>
      <w:r w:rsidR="00153384" w:rsidRPr="007D1918">
        <w:rPr>
          <w:noProof/>
        </w:rPr>
        <w:t>47</w:t>
      </w:r>
      <w:r w:rsidR="00AC4B92" w:rsidRPr="007D1918">
        <w:fldChar w:fldCharType="end"/>
      </w:r>
      <w:r w:rsidR="00AC4B92" w:rsidRPr="007D1918">
        <w:t>.</w:t>
      </w:r>
    </w:p>
    <w:p w14:paraId="42573A6F" w14:textId="42E7F2A4" w:rsidR="004D559D" w:rsidRPr="007D1918" w:rsidRDefault="000D49EC" w:rsidP="000D49EC">
      <w:pPr>
        <w:jc w:val="both"/>
      </w:pPr>
      <w:r w:rsidRPr="007D1918">
        <w:t>The MG-ADL was significantly decreased from baseline at f</w:t>
      </w:r>
      <w:r w:rsidR="0096510D" w:rsidRPr="007D1918">
        <w:t xml:space="preserve">inal follow-ups, indicating an improvement in the ability to perform daily activities </w:t>
      </w:r>
      <w:r w:rsidRPr="007D1918">
        <w:t xml:space="preserve">after start of treatment in both studies. </w:t>
      </w:r>
      <w:r w:rsidR="0096510D" w:rsidRPr="007D1918">
        <w:t xml:space="preserve">Similarly, </w:t>
      </w:r>
      <w:r w:rsidRPr="007D1918">
        <w:t xml:space="preserve">the MG-QoL-15 and VAS </w:t>
      </w:r>
      <w:r w:rsidR="00BE315E" w:rsidRPr="007D1918">
        <w:t>indicated</w:t>
      </w:r>
      <w:r w:rsidRPr="007D1918">
        <w:t xml:space="preserve"> improvement in patient </w:t>
      </w:r>
      <w:r w:rsidR="00BE315E" w:rsidRPr="007D1918">
        <w:t>quality of life</w:t>
      </w:r>
      <w:r w:rsidRPr="007D1918">
        <w:t xml:space="preserve"> over the same </w:t>
      </w:r>
      <w:r w:rsidR="00ED04C2" w:rsidRPr="007D1918">
        <w:t xml:space="preserve">4 </w:t>
      </w:r>
      <w:r w:rsidRPr="007D1918">
        <w:t xml:space="preserve">week treatment period in the study by Bourque et al. The small number of patients </w:t>
      </w:r>
      <w:r w:rsidR="0096510D" w:rsidRPr="007D1918">
        <w:t xml:space="preserve">and lack of comparator </w:t>
      </w:r>
      <w:r w:rsidRPr="007D1918">
        <w:t>in these studies prevent clear conc</w:t>
      </w:r>
      <w:r w:rsidR="0096510D" w:rsidRPr="007D1918">
        <w:t xml:space="preserve">lusions from the results, however they are consistent with an improvement in </w:t>
      </w:r>
      <w:r w:rsidR="00AC4B92" w:rsidRPr="007D1918">
        <w:t>QoL</w:t>
      </w:r>
      <w:r w:rsidR="0096510D" w:rsidRPr="007D1918">
        <w:t xml:space="preserve"> in conjunction with SCIg therapy.</w:t>
      </w:r>
    </w:p>
    <w:p w14:paraId="04380A4F" w14:textId="040408BF" w:rsidR="00F64372" w:rsidRPr="007D1918" w:rsidRDefault="00F64372" w:rsidP="00F64372">
      <w:pPr>
        <w:pStyle w:val="Caption"/>
        <w:keepNext/>
        <w:keepLines/>
        <w:jc w:val="both"/>
        <w:rPr>
          <w:rFonts w:cs="Arial"/>
          <w:snapToGrid w:val="0"/>
          <w:szCs w:val="16"/>
          <w:lang w:eastAsia="en-US"/>
        </w:rPr>
      </w:pPr>
      <w:bookmarkStart w:id="302" w:name="_Ref10716283"/>
      <w:bookmarkStart w:id="303" w:name="_Toc23769534"/>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47</w:t>
      </w:r>
      <w:r w:rsidRPr="007D1918">
        <w:rPr>
          <w:noProof/>
        </w:rPr>
        <w:fldChar w:fldCharType="end"/>
      </w:r>
      <w:bookmarkEnd w:id="302"/>
      <w:r w:rsidRPr="007D1918">
        <w:tab/>
      </w:r>
      <w:r w:rsidRPr="007D1918">
        <w:rPr>
          <w:rFonts w:cs="Arial"/>
          <w:snapToGrid w:val="0"/>
          <w:szCs w:val="16"/>
          <w:lang w:eastAsia="en-US"/>
        </w:rPr>
        <w:t xml:space="preserve">Change in QoL </w:t>
      </w:r>
      <w:r w:rsidR="004D559D" w:rsidRPr="007D1918">
        <w:rPr>
          <w:rFonts w:cs="Arial"/>
          <w:snapToGrid w:val="0"/>
          <w:szCs w:val="16"/>
          <w:lang w:eastAsia="en-US"/>
        </w:rPr>
        <w:t xml:space="preserve">scales </w:t>
      </w:r>
      <w:r w:rsidRPr="007D1918">
        <w:rPr>
          <w:rFonts w:cs="Arial"/>
          <w:snapToGrid w:val="0"/>
          <w:szCs w:val="16"/>
          <w:lang w:eastAsia="en-US"/>
        </w:rPr>
        <w:t>in patients given either SCIg as maintenance therapy</w:t>
      </w:r>
      <w:bookmarkEnd w:id="303"/>
      <w:r w:rsidRPr="007D1918">
        <w:rPr>
          <w:rFonts w:cs="Arial"/>
          <w:snapToGrid w:val="0"/>
          <w:szCs w:val="16"/>
          <w:lang w:eastAsia="en-US"/>
        </w:rPr>
        <w:t xml:space="preserve"> </w:t>
      </w:r>
    </w:p>
    <w:tbl>
      <w:tblPr>
        <w:tblW w:w="4984" w:type="pct"/>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Caption w:val="Table 45 Change in QoL scales in patients given either SCIg as maintenance therapy "/>
        <w:tblDescription w:val="Change in quality of life at week 2, 4 and 6 measured by MG-ADL, MG-QoL-15 and VAS in patients receiving SCIg maintenance therapy (Indication 3)."/>
      </w:tblPr>
      <w:tblGrid>
        <w:gridCol w:w="1669"/>
        <w:gridCol w:w="1134"/>
        <w:gridCol w:w="1560"/>
        <w:gridCol w:w="1558"/>
        <w:gridCol w:w="1702"/>
        <w:gridCol w:w="1364"/>
      </w:tblGrid>
      <w:tr w:rsidR="005111FA" w:rsidRPr="007D1918" w14:paraId="647BC560" w14:textId="77777777" w:rsidTr="003E3C2C">
        <w:tc>
          <w:tcPr>
            <w:tcW w:w="928" w:type="pct"/>
          </w:tcPr>
          <w:p w14:paraId="568EAF41" w14:textId="11F5CCF0" w:rsidR="006B7FA3" w:rsidRPr="007D1918" w:rsidRDefault="006B7FA3" w:rsidP="00F64372">
            <w:pPr>
              <w:pStyle w:val="TableHeading"/>
              <w:keepLines/>
              <w:ind w:left="16" w:right="117"/>
              <w:rPr>
                <w:snapToGrid w:val="0"/>
                <w:lang w:eastAsia="en-US"/>
              </w:rPr>
            </w:pPr>
            <w:r w:rsidRPr="007D1918">
              <w:rPr>
                <w:snapToGrid w:val="0"/>
                <w:lang w:eastAsia="en-US"/>
              </w:rPr>
              <w:t>Study ID</w:t>
            </w:r>
            <w:r w:rsidR="005111FA" w:rsidRPr="007D1918">
              <w:rPr>
                <w:snapToGrid w:val="0"/>
                <w:lang w:eastAsia="en-US"/>
              </w:rPr>
              <w:t>, country</w:t>
            </w:r>
          </w:p>
          <w:p w14:paraId="2ADD96FA" w14:textId="77777777" w:rsidR="005111FA" w:rsidRPr="007D1918" w:rsidRDefault="005111FA" w:rsidP="00F64372">
            <w:pPr>
              <w:pStyle w:val="TableHeading"/>
              <w:keepLines/>
              <w:ind w:left="16" w:right="117"/>
              <w:rPr>
                <w:snapToGrid w:val="0"/>
                <w:lang w:eastAsia="en-US"/>
              </w:rPr>
            </w:pPr>
            <w:r w:rsidRPr="007D1918">
              <w:rPr>
                <w:snapToGrid w:val="0"/>
                <w:lang w:eastAsia="en-US"/>
              </w:rPr>
              <w:t>Level of evidence</w:t>
            </w:r>
          </w:p>
          <w:p w14:paraId="705A0EB6" w14:textId="1DC3DE0B" w:rsidR="005111FA" w:rsidRPr="007D1918" w:rsidRDefault="005111FA" w:rsidP="00F64372">
            <w:pPr>
              <w:pStyle w:val="TableHeading"/>
              <w:keepLines/>
              <w:ind w:left="16" w:right="117"/>
              <w:rPr>
                <w:snapToGrid w:val="0"/>
                <w:lang w:eastAsia="en-US"/>
              </w:rPr>
            </w:pPr>
            <w:r w:rsidRPr="007D1918">
              <w:rPr>
                <w:snapToGrid w:val="0"/>
                <w:lang w:eastAsia="en-US"/>
              </w:rPr>
              <w:t>Quality</w:t>
            </w:r>
          </w:p>
        </w:tc>
        <w:tc>
          <w:tcPr>
            <w:tcW w:w="631" w:type="pct"/>
          </w:tcPr>
          <w:p w14:paraId="74F03623" w14:textId="230ACCA8" w:rsidR="006B7FA3" w:rsidRPr="007D1918" w:rsidRDefault="006B7FA3" w:rsidP="00F64372">
            <w:pPr>
              <w:pStyle w:val="TableHeading"/>
              <w:keepLines/>
              <w:ind w:left="16" w:right="117"/>
              <w:rPr>
                <w:snapToGrid w:val="0"/>
                <w:lang w:eastAsia="en-US"/>
              </w:rPr>
            </w:pPr>
            <w:r w:rsidRPr="007D1918">
              <w:rPr>
                <w:snapToGrid w:val="0"/>
                <w:lang w:eastAsia="en-US"/>
              </w:rPr>
              <w:t xml:space="preserve">Measure </w:t>
            </w:r>
          </w:p>
        </w:tc>
        <w:tc>
          <w:tcPr>
            <w:tcW w:w="868" w:type="pct"/>
            <w:shd w:val="clear" w:color="auto" w:fill="auto"/>
          </w:tcPr>
          <w:p w14:paraId="3E59DAD2" w14:textId="77777777" w:rsidR="006B7FA3" w:rsidRPr="007D1918" w:rsidRDefault="006B7FA3" w:rsidP="00F64372">
            <w:pPr>
              <w:pStyle w:val="TableHeading"/>
              <w:keepLines/>
              <w:ind w:left="111" w:right="117"/>
              <w:rPr>
                <w:snapToGrid w:val="0"/>
                <w:lang w:eastAsia="en-US"/>
              </w:rPr>
            </w:pPr>
            <w:r w:rsidRPr="007D1918">
              <w:rPr>
                <w:snapToGrid w:val="0"/>
                <w:lang w:eastAsia="en-US"/>
              </w:rPr>
              <w:t>Baseline</w:t>
            </w:r>
          </w:p>
          <w:p w14:paraId="182C78BE" w14:textId="77777777" w:rsidR="006B7FA3" w:rsidRPr="007D1918" w:rsidRDefault="006B7FA3" w:rsidP="00F64372">
            <w:pPr>
              <w:pStyle w:val="TableHeading"/>
              <w:keepLines/>
              <w:ind w:left="111" w:right="117"/>
              <w:rPr>
                <w:snapToGrid w:val="0"/>
                <w:lang w:eastAsia="en-US"/>
              </w:rPr>
            </w:pPr>
            <w:r w:rsidRPr="007D1918">
              <w:rPr>
                <w:snapToGrid w:val="0"/>
                <w:lang w:eastAsia="en-US"/>
              </w:rPr>
              <w:t>mean ± SD</w:t>
            </w:r>
          </w:p>
        </w:tc>
        <w:tc>
          <w:tcPr>
            <w:tcW w:w="867" w:type="pct"/>
            <w:shd w:val="clear" w:color="auto" w:fill="auto"/>
          </w:tcPr>
          <w:p w14:paraId="7D20CB50" w14:textId="77777777" w:rsidR="006B7FA3" w:rsidRPr="007D1918" w:rsidRDefault="006B7FA3" w:rsidP="00F64372">
            <w:pPr>
              <w:pStyle w:val="TableHeading"/>
              <w:keepLines/>
              <w:ind w:left="77" w:right="117"/>
              <w:rPr>
                <w:snapToGrid w:val="0"/>
                <w:lang w:eastAsia="en-US"/>
              </w:rPr>
            </w:pPr>
            <w:r w:rsidRPr="007D1918">
              <w:rPr>
                <w:snapToGrid w:val="0"/>
                <w:lang w:eastAsia="en-US"/>
              </w:rPr>
              <w:t xml:space="preserve">Week 2 </w:t>
            </w:r>
          </w:p>
          <w:p w14:paraId="6E24C867" w14:textId="16104932" w:rsidR="006B7FA3" w:rsidRPr="007D1918" w:rsidRDefault="006B7FA3" w:rsidP="00F64372">
            <w:pPr>
              <w:pStyle w:val="TableHeading"/>
              <w:keepLines/>
              <w:ind w:left="77" w:right="117"/>
              <w:rPr>
                <w:snapToGrid w:val="0"/>
                <w:vertAlign w:val="superscript"/>
                <w:lang w:eastAsia="en-US"/>
              </w:rPr>
            </w:pPr>
            <w:r w:rsidRPr="007D1918">
              <w:rPr>
                <w:snapToGrid w:val="0"/>
                <w:lang w:eastAsia="en-US"/>
              </w:rPr>
              <w:t>mean ± SD (p)</w:t>
            </w:r>
          </w:p>
        </w:tc>
        <w:tc>
          <w:tcPr>
            <w:tcW w:w="947" w:type="pct"/>
            <w:shd w:val="clear" w:color="auto" w:fill="auto"/>
          </w:tcPr>
          <w:p w14:paraId="1428F981" w14:textId="77777777" w:rsidR="006B7FA3" w:rsidRPr="007D1918" w:rsidRDefault="006B7FA3" w:rsidP="00F64372">
            <w:pPr>
              <w:pStyle w:val="TableHeading"/>
              <w:keepLines/>
              <w:ind w:left="41" w:right="117"/>
              <w:rPr>
                <w:snapToGrid w:val="0"/>
                <w:lang w:eastAsia="en-US"/>
              </w:rPr>
            </w:pPr>
            <w:r w:rsidRPr="007D1918">
              <w:rPr>
                <w:snapToGrid w:val="0"/>
                <w:lang w:eastAsia="en-US"/>
              </w:rPr>
              <w:t>Week 4</w:t>
            </w:r>
          </w:p>
          <w:p w14:paraId="02F87480" w14:textId="692B9962" w:rsidR="006B7FA3" w:rsidRPr="007D1918" w:rsidRDefault="006B7FA3" w:rsidP="00F64372">
            <w:pPr>
              <w:pStyle w:val="TableHeading"/>
              <w:keepLines/>
              <w:ind w:left="41" w:right="117"/>
              <w:rPr>
                <w:snapToGrid w:val="0"/>
                <w:vertAlign w:val="superscript"/>
                <w:lang w:eastAsia="en-US"/>
              </w:rPr>
            </w:pPr>
            <w:r w:rsidRPr="007D1918">
              <w:rPr>
                <w:snapToGrid w:val="0"/>
                <w:lang w:eastAsia="en-US"/>
              </w:rPr>
              <w:t>mean ± SD (p)</w:t>
            </w:r>
          </w:p>
        </w:tc>
        <w:tc>
          <w:tcPr>
            <w:tcW w:w="759" w:type="pct"/>
          </w:tcPr>
          <w:p w14:paraId="109A138A" w14:textId="77777777" w:rsidR="006B7FA3" w:rsidRPr="007D1918" w:rsidRDefault="006B7FA3" w:rsidP="00F64372">
            <w:pPr>
              <w:pStyle w:val="TableHeading"/>
              <w:keepLines/>
              <w:ind w:right="117"/>
              <w:rPr>
                <w:snapToGrid w:val="0"/>
                <w:lang w:eastAsia="en-US"/>
              </w:rPr>
            </w:pPr>
            <w:r w:rsidRPr="007D1918">
              <w:rPr>
                <w:snapToGrid w:val="0"/>
                <w:lang w:eastAsia="en-US"/>
              </w:rPr>
              <w:t>Week 6</w:t>
            </w:r>
          </w:p>
          <w:p w14:paraId="01EC6217" w14:textId="03E36BA0" w:rsidR="006B7FA3" w:rsidRPr="007D1918" w:rsidRDefault="006B7FA3" w:rsidP="00F64372">
            <w:pPr>
              <w:pStyle w:val="TableHeading"/>
              <w:keepLines/>
              <w:ind w:right="117"/>
              <w:rPr>
                <w:snapToGrid w:val="0"/>
                <w:vertAlign w:val="superscript"/>
                <w:lang w:eastAsia="en-US"/>
              </w:rPr>
            </w:pPr>
            <w:r w:rsidRPr="007D1918">
              <w:rPr>
                <w:snapToGrid w:val="0"/>
                <w:lang w:eastAsia="en-US"/>
              </w:rPr>
              <w:t>mean ± SD (p)</w:t>
            </w:r>
          </w:p>
        </w:tc>
      </w:tr>
      <w:tr w:rsidR="005111FA" w:rsidRPr="007D1918" w14:paraId="20B6B333" w14:textId="77777777" w:rsidTr="003E3C2C">
        <w:tc>
          <w:tcPr>
            <w:tcW w:w="928" w:type="pct"/>
          </w:tcPr>
          <w:p w14:paraId="02BFAFFE" w14:textId="2E156DA4" w:rsidR="006B7FA3" w:rsidRPr="007D1918" w:rsidRDefault="003736AC" w:rsidP="00E6429D">
            <w:pPr>
              <w:pStyle w:val="TableText0"/>
              <w:keepLines/>
              <w:ind w:left="16" w:right="117"/>
              <w:rPr>
                <w:snapToGrid w:val="0"/>
              </w:rPr>
            </w:pPr>
            <w:r w:rsidRPr="007D1918">
              <w:rPr>
                <w:snapToGrid w:val="0"/>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Pr="007D1918">
              <w:rPr>
                <w:snapToGrid w:val="0"/>
              </w:rPr>
              <w:instrText xml:space="preserve"> ADDIN EN.CITE </w:instrText>
            </w:r>
            <w:r w:rsidRPr="007D1918">
              <w:rPr>
                <w:snapToGrid w:val="0"/>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Pr="007D1918">
              <w:rPr>
                <w:snapToGrid w:val="0"/>
              </w:rPr>
              <w:instrText xml:space="preserve"> ADDIN EN.CITE.DATA </w:instrText>
            </w:r>
            <w:r w:rsidRPr="007D1918">
              <w:rPr>
                <w:snapToGrid w:val="0"/>
              </w:rPr>
            </w:r>
            <w:r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9" w:tooltip="Beecher, 2017 #49" w:history="1">
              <w:r w:rsidR="007D4948" w:rsidRPr="007D1918">
                <w:rPr>
                  <w:noProof/>
                  <w:snapToGrid w:val="0"/>
                </w:rPr>
                <w:t>Beecher, Anderson &amp; Siddiqi 2017</w:t>
              </w:r>
            </w:hyperlink>
            <w:r w:rsidRPr="007D1918">
              <w:rPr>
                <w:noProof/>
                <w:snapToGrid w:val="0"/>
              </w:rPr>
              <w:t>)</w:t>
            </w:r>
            <w:r w:rsidRPr="007D1918">
              <w:rPr>
                <w:snapToGrid w:val="0"/>
              </w:rPr>
              <w:fldChar w:fldCharType="end"/>
            </w:r>
            <w:r w:rsidR="00AF6E39" w:rsidRPr="007D1918">
              <w:rPr>
                <w:snapToGrid w:val="0"/>
              </w:rPr>
              <w:t xml:space="preserve">, </w:t>
            </w:r>
            <w:r w:rsidR="005111FA" w:rsidRPr="007D1918">
              <w:rPr>
                <w:snapToGrid w:val="0"/>
              </w:rPr>
              <w:t>Canada</w:t>
            </w:r>
          </w:p>
          <w:p w14:paraId="50A2022A" w14:textId="77777777" w:rsidR="005111FA" w:rsidRPr="007D1918" w:rsidRDefault="005111FA" w:rsidP="00E6429D">
            <w:pPr>
              <w:pStyle w:val="TableText0"/>
              <w:keepLines/>
              <w:ind w:left="16" w:right="117"/>
              <w:rPr>
                <w:snapToGrid w:val="0"/>
              </w:rPr>
            </w:pPr>
            <w:r w:rsidRPr="007D1918">
              <w:rPr>
                <w:snapToGrid w:val="0"/>
              </w:rPr>
              <w:t>Level IV</w:t>
            </w:r>
          </w:p>
          <w:p w14:paraId="17BC4C74" w14:textId="4076AC7F" w:rsidR="005111FA" w:rsidRPr="007D1918" w:rsidRDefault="005111FA" w:rsidP="00E6429D">
            <w:pPr>
              <w:pStyle w:val="TableText0"/>
              <w:keepLines/>
              <w:ind w:left="16" w:right="117"/>
              <w:rPr>
                <w:snapToGrid w:val="0"/>
              </w:rPr>
            </w:pPr>
            <w:r w:rsidRPr="007D1918">
              <w:rPr>
                <w:snapToGrid w:val="0"/>
              </w:rPr>
              <w:t>Low risk of bias</w:t>
            </w:r>
          </w:p>
        </w:tc>
        <w:tc>
          <w:tcPr>
            <w:tcW w:w="631" w:type="pct"/>
          </w:tcPr>
          <w:p w14:paraId="44478C9B" w14:textId="49F35979" w:rsidR="006B7FA3" w:rsidRPr="007D1918" w:rsidRDefault="006B7FA3" w:rsidP="00E6429D">
            <w:pPr>
              <w:pStyle w:val="TableText0"/>
              <w:keepLines/>
              <w:ind w:left="16" w:right="117"/>
              <w:rPr>
                <w:snapToGrid w:val="0"/>
              </w:rPr>
            </w:pPr>
            <w:r w:rsidRPr="007D1918">
              <w:rPr>
                <w:snapToGrid w:val="0"/>
              </w:rPr>
              <w:t>MG-ADL</w:t>
            </w:r>
          </w:p>
        </w:tc>
        <w:tc>
          <w:tcPr>
            <w:tcW w:w="868" w:type="pct"/>
            <w:shd w:val="clear" w:color="auto" w:fill="auto"/>
          </w:tcPr>
          <w:p w14:paraId="07E9E271" w14:textId="0369F8B8" w:rsidR="006B7FA3" w:rsidRPr="007D1918" w:rsidRDefault="006B7FA3" w:rsidP="00E6429D">
            <w:pPr>
              <w:pStyle w:val="TableText0"/>
              <w:keepLines/>
              <w:ind w:left="111" w:right="117"/>
              <w:rPr>
                <w:snapToGrid w:val="0"/>
              </w:rPr>
            </w:pPr>
            <w:r w:rsidRPr="007D1918">
              <w:rPr>
                <w:snapToGrid w:val="0"/>
              </w:rPr>
              <w:t>9.5 ± 3.0</w:t>
            </w:r>
          </w:p>
        </w:tc>
        <w:tc>
          <w:tcPr>
            <w:tcW w:w="867" w:type="pct"/>
            <w:shd w:val="clear" w:color="auto" w:fill="auto"/>
          </w:tcPr>
          <w:p w14:paraId="32A0AB25" w14:textId="0C14CA4C" w:rsidR="006B7FA3" w:rsidRPr="007D1918" w:rsidRDefault="006B7FA3" w:rsidP="003E3C2C">
            <w:pPr>
              <w:pStyle w:val="TableText0"/>
              <w:keepLines/>
              <w:ind w:left="77" w:right="117"/>
              <w:rPr>
                <w:snapToGrid w:val="0"/>
                <w:vertAlign w:val="superscript"/>
              </w:rPr>
            </w:pPr>
            <w:r w:rsidRPr="007D1918">
              <w:rPr>
                <w:snapToGrid w:val="0"/>
              </w:rPr>
              <w:t>7.4 ± 2.4 (p=0.0009)</w:t>
            </w:r>
            <w:r w:rsidR="003E3C2C" w:rsidRPr="007D1918">
              <w:rPr>
                <w:snapToGrid w:val="0"/>
                <w:vertAlign w:val="superscript"/>
              </w:rPr>
              <w:t>a</w:t>
            </w:r>
          </w:p>
        </w:tc>
        <w:tc>
          <w:tcPr>
            <w:tcW w:w="947" w:type="pct"/>
            <w:shd w:val="clear" w:color="auto" w:fill="auto"/>
          </w:tcPr>
          <w:p w14:paraId="58D276B8" w14:textId="67294283" w:rsidR="006B7FA3" w:rsidRPr="007D1918" w:rsidRDefault="006B7FA3" w:rsidP="003E3C2C">
            <w:pPr>
              <w:pStyle w:val="TableText0"/>
              <w:keepLines/>
              <w:ind w:left="41" w:right="117"/>
              <w:rPr>
                <w:snapToGrid w:val="0"/>
                <w:vertAlign w:val="superscript"/>
              </w:rPr>
            </w:pPr>
            <w:r w:rsidRPr="007D1918">
              <w:rPr>
                <w:snapToGrid w:val="0"/>
              </w:rPr>
              <w:t>5.9 ± 3.3 (p&lt;0.0001)</w:t>
            </w:r>
            <w:r w:rsidR="003E3C2C" w:rsidRPr="007D1918">
              <w:rPr>
                <w:snapToGrid w:val="0"/>
                <w:vertAlign w:val="superscript"/>
              </w:rPr>
              <w:t>a</w:t>
            </w:r>
          </w:p>
        </w:tc>
        <w:tc>
          <w:tcPr>
            <w:tcW w:w="759" w:type="pct"/>
          </w:tcPr>
          <w:p w14:paraId="1D21473D" w14:textId="7E91BEF4" w:rsidR="006B7FA3" w:rsidRPr="007D1918" w:rsidRDefault="006B7FA3" w:rsidP="003E3C2C">
            <w:pPr>
              <w:pStyle w:val="TableText0"/>
              <w:keepLines/>
              <w:ind w:right="117"/>
              <w:rPr>
                <w:snapToGrid w:val="0"/>
                <w:vertAlign w:val="superscript"/>
              </w:rPr>
            </w:pPr>
            <w:r w:rsidRPr="007D1918">
              <w:rPr>
                <w:snapToGrid w:val="0"/>
              </w:rPr>
              <w:t>4.6 ± 3.0 (p&lt;0.0001)</w:t>
            </w:r>
            <w:r w:rsidR="003E3C2C" w:rsidRPr="007D1918">
              <w:rPr>
                <w:snapToGrid w:val="0"/>
                <w:vertAlign w:val="superscript"/>
              </w:rPr>
              <w:t>a</w:t>
            </w:r>
          </w:p>
        </w:tc>
      </w:tr>
      <w:tr w:rsidR="005111FA" w:rsidRPr="007D1918" w14:paraId="5787E83F" w14:textId="77777777" w:rsidTr="003E3C2C">
        <w:tc>
          <w:tcPr>
            <w:tcW w:w="928" w:type="pct"/>
            <w:tcBorders>
              <w:bottom w:val="single" w:sz="4" w:space="0" w:color="FFFFFF" w:themeColor="background1"/>
            </w:tcBorders>
          </w:tcPr>
          <w:p w14:paraId="549394A5" w14:textId="724D92C0" w:rsidR="006B7FA3" w:rsidRPr="007D1918" w:rsidRDefault="003736AC" w:rsidP="00E6429D">
            <w:pPr>
              <w:pStyle w:val="TableText0"/>
              <w:keepLines/>
              <w:ind w:left="16" w:right="117"/>
              <w:rPr>
                <w:snapToGrid w:val="0"/>
              </w:rPr>
            </w:pPr>
            <w:r w:rsidRPr="007D1918">
              <w:rPr>
                <w:snapToGrid w:val="0"/>
              </w:rPr>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Pr="007D1918">
              <w:rPr>
                <w:snapToGrid w:val="0"/>
              </w:rPr>
              <w:instrText xml:space="preserve"> ADDIN EN.CITE </w:instrText>
            </w:r>
            <w:r w:rsidRPr="007D1918">
              <w:rPr>
                <w:snapToGrid w:val="0"/>
              </w:rPr>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Pr="007D1918">
              <w:rPr>
                <w:snapToGrid w:val="0"/>
              </w:rPr>
              <w:instrText xml:space="preserve"> ADDIN EN.CITE.DATA </w:instrText>
            </w:r>
            <w:r w:rsidRPr="007D1918">
              <w:rPr>
                <w:snapToGrid w:val="0"/>
              </w:rPr>
            </w:r>
            <w:r w:rsidRPr="007D1918">
              <w:rPr>
                <w:snapToGrid w:val="0"/>
              </w:rPr>
              <w:fldChar w:fldCharType="end"/>
            </w:r>
            <w:r w:rsidRPr="007D1918">
              <w:rPr>
                <w:snapToGrid w:val="0"/>
              </w:rPr>
            </w:r>
            <w:r w:rsidRPr="007D1918">
              <w:rPr>
                <w:snapToGrid w:val="0"/>
              </w:rPr>
              <w:fldChar w:fldCharType="separate"/>
            </w:r>
            <w:r w:rsidRPr="007D1918">
              <w:rPr>
                <w:noProof/>
                <w:snapToGrid w:val="0"/>
              </w:rPr>
              <w:t>(</w:t>
            </w:r>
            <w:hyperlink w:anchor="_ENREF_12" w:tooltip="Bourque, 2016 #50" w:history="1">
              <w:r w:rsidR="007D4948" w:rsidRPr="007D1918">
                <w:rPr>
                  <w:noProof/>
                  <w:snapToGrid w:val="0"/>
                </w:rPr>
                <w:t>Bourque et al. 2016</w:t>
              </w:r>
            </w:hyperlink>
            <w:r w:rsidRPr="007D1918">
              <w:rPr>
                <w:noProof/>
                <w:snapToGrid w:val="0"/>
              </w:rPr>
              <w:t>)</w:t>
            </w:r>
            <w:r w:rsidRPr="007D1918">
              <w:rPr>
                <w:snapToGrid w:val="0"/>
              </w:rPr>
              <w:fldChar w:fldCharType="end"/>
            </w:r>
            <w:r w:rsidR="00AF6E39" w:rsidRPr="007D1918">
              <w:rPr>
                <w:snapToGrid w:val="0"/>
              </w:rPr>
              <w:t xml:space="preserve">, </w:t>
            </w:r>
            <w:r w:rsidR="005111FA" w:rsidRPr="007D1918">
              <w:rPr>
                <w:snapToGrid w:val="0"/>
              </w:rPr>
              <w:t>Canada</w:t>
            </w:r>
          </w:p>
          <w:p w14:paraId="48969B63" w14:textId="55B7AEF4" w:rsidR="005111FA" w:rsidRPr="007D1918" w:rsidRDefault="005111FA" w:rsidP="00E6429D">
            <w:pPr>
              <w:pStyle w:val="TableText0"/>
              <w:keepLines/>
              <w:ind w:left="16" w:right="117"/>
              <w:rPr>
                <w:snapToGrid w:val="0"/>
              </w:rPr>
            </w:pPr>
            <w:r w:rsidRPr="007D1918">
              <w:rPr>
                <w:snapToGrid w:val="0"/>
              </w:rPr>
              <w:t>Level IV</w:t>
            </w:r>
          </w:p>
        </w:tc>
        <w:tc>
          <w:tcPr>
            <w:tcW w:w="631" w:type="pct"/>
          </w:tcPr>
          <w:p w14:paraId="19C747A8" w14:textId="2DCDBB49" w:rsidR="006B7FA3" w:rsidRPr="007D1918" w:rsidRDefault="006B7FA3" w:rsidP="00E6429D">
            <w:pPr>
              <w:pStyle w:val="TableText0"/>
              <w:keepLines/>
              <w:ind w:left="16" w:right="117"/>
              <w:rPr>
                <w:snapToGrid w:val="0"/>
              </w:rPr>
            </w:pPr>
            <w:r w:rsidRPr="007D1918">
              <w:rPr>
                <w:snapToGrid w:val="0"/>
              </w:rPr>
              <w:t>MG-ADL</w:t>
            </w:r>
          </w:p>
        </w:tc>
        <w:tc>
          <w:tcPr>
            <w:tcW w:w="868" w:type="pct"/>
            <w:shd w:val="clear" w:color="auto" w:fill="auto"/>
          </w:tcPr>
          <w:p w14:paraId="0D14B52D" w14:textId="1122F5A2" w:rsidR="006B7FA3" w:rsidRPr="007D1918" w:rsidRDefault="004D559D" w:rsidP="00E6429D">
            <w:pPr>
              <w:pStyle w:val="TableText0"/>
              <w:keepLines/>
              <w:ind w:left="111" w:right="117"/>
              <w:rPr>
                <w:snapToGrid w:val="0"/>
              </w:rPr>
            </w:pPr>
            <w:r w:rsidRPr="007D1918">
              <w:rPr>
                <w:snapToGrid w:val="0"/>
              </w:rPr>
              <w:t>7.7</w:t>
            </w:r>
          </w:p>
        </w:tc>
        <w:tc>
          <w:tcPr>
            <w:tcW w:w="867" w:type="pct"/>
            <w:shd w:val="clear" w:color="auto" w:fill="auto"/>
          </w:tcPr>
          <w:p w14:paraId="6E773B36" w14:textId="3E8B6482" w:rsidR="006B7FA3" w:rsidRPr="007D1918" w:rsidRDefault="004D559D" w:rsidP="00E6429D">
            <w:pPr>
              <w:pStyle w:val="TableText0"/>
              <w:keepLines/>
              <w:ind w:left="77" w:right="117"/>
              <w:rPr>
                <w:snapToGrid w:val="0"/>
              </w:rPr>
            </w:pPr>
            <w:r w:rsidRPr="007D1918">
              <w:rPr>
                <w:snapToGrid w:val="0"/>
              </w:rPr>
              <w:t>-</w:t>
            </w:r>
          </w:p>
        </w:tc>
        <w:tc>
          <w:tcPr>
            <w:tcW w:w="947" w:type="pct"/>
            <w:shd w:val="clear" w:color="auto" w:fill="auto"/>
          </w:tcPr>
          <w:p w14:paraId="6F278BD6" w14:textId="7AFB8B97" w:rsidR="006B7FA3" w:rsidRPr="007D1918" w:rsidRDefault="004D559D" w:rsidP="003E3C2C">
            <w:pPr>
              <w:pStyle w:val="TableText0"/>
              <w:keepLines/>
              <w:ind w:left="41" w:right="117"/>
              <w:rPr>
                <w:snapToGrid w:val="0"/>
                <w:vertAlign w:val="superscript"/>
              </w:rPr>
            </w:pPr>
            <w:r w:rsidRPr="007D1918">
              <w:rPr>
                <w:snapToGrid w:val="0"/>
              </w:rPr>
              <w:t>5.6 (p=0.005)</w:t>
            </w:r>
            <w:r w:rsidR="003E3C2C" w:rsidRPr="007D1918">
              <w:rPr>
                <w:snapToGrid w:val="0"/>
                <w:vertAlign w:val="superscript"/>
              </w:rPr>
              <w:t>b</w:t>
            </w:r>
          </w:p>
        </w:tc>
        <w:tc>
          <w:tcPr>
            <w:tcW w:w="759" w:type="pct"/>
          </w:tcPr>
          <w:p w14:paraId="5B2C8F72" w14:textId="2ADF5B2A" w:rsidR="006B7FA3" w:rsidRPr="007D1918" w:rsidRDefault="004D559D" w:rsidP="00E6429D">
            <w:pPr>
              <w:pStyle w:val="TableText0"/>
              <w:keepLines/>
              <w:ind w:right="117"/>
              <w:rPr>
                <w:snapToGrid w:val="0"/>
              </w:rPr>
            </w:pPr>
            <w:r w:rsidRPr="007D1918">
              <w:rPr>
                <w:snapToGrid w:val="0"/>
              </w:rPr>
              <w:t>-</w:t>
            </w:r>
          </w:p>
        </w:tc>
      </w:tr>
      <w:tr w:rsidR="005111FA" w:rsidRPr="007D1918" w14:paraId="25116654" w14:textId="77777777" w:rsidTr="003E3C2C">
        <w:tc>
          <w:tcPr>
            <w:tcW w:w="928" w:type="pct"/>
            <w:tcBorders>
              <w:top w:val="single" w:sz="4" w:space="0" w:color="FFFFFF" w:themeColor="background1"/>
              <w:bottom w:val="single" w:sz="4" w:space="0" w:color="FFFFFF" w:themeColor="background1"/>
            </w:tcBorders>
          </w:tcPr>
          <w:p w14:paraId="64A38DD7" w14:textId="67612AC4" w:rsidR="006B7FA3" w:rsidRPr="007D1918" w:rsidRDefault="005111FA" w:rsidP="00E6429D">
            <w:pPr>
              <w:pStyle w:val="TableText0"/>
              <w:keepLines/>
              <w:ind w:left="16" w:right="117"/>
              <w:rPr>
                <w:snapToGrid w:val="0"/>
              </w:rPr>
            </w:pPr>
            <w:r w:rsidRPr="007D1918">
              <w:rPr>
                <w:snapToGrid w:val="0"/>
              </w:rPr>
              <w:t>Low risk of bias</w:t>
            </w:r>
          </w:p>
        </w:tc>
        <w:tc>
          <w:tcPr>
            <w:tcW w:w="631" w:type="pct"/>
          </w:tcPr>
          <w:p w14:paraId="2296A554" w14:textId="74E74FF7" w:rsidR="006B7FA3" w:rsidRPr="007D1918" w:rsidRDefault="006B7FA3" w:rsidP="00E6429D">
            <w:pPr>
              <w:pStyle w:val="TableText0"/>
              <w:keepLines/>
              <w:ind w:left="16" w:right="117"/>
              <w:rPr>
                <w:snapToGrid w:val="0"/>
              </w:rPr>
            </w:pPr>
            <w:r w:rsidRPr="007D1918">
              <w:rPr>
                <w:snapToGrid w:val="0"/>
              </w:rPr>
              <w:t>MG-QoL</w:t>
            </w:r>
            <w:r w:rsidR="009B62F5" w:rsidRPr="007D1918">
              <w:rPr>
                <w:snapToGrid w:val="0"/>
              </w:rPr>
              <w:t>-15</w:t>
            </w:r>
          </w:p>
        </w:tc>
        <w:tc>
          <w:tcPr>
            <w:tcW w:w="868" w:type="pct"/>
            <w:shd w:val="clear" w:color="auto" w:fill="auto"/>
          </w:tcPr>
          <w:p w14:paraId="08515332" w14:textId="1A16E169" w:rsidR="006B7FA3" w:rsidRPr="007D1918" w:rsidRDefault="004D559D" w:rsidP="00E6429D">
            <w:pPr>
              <w:pStyle w:val="TableText0"/>
              <w:keepLines/>
              <w:ind w:left="111" w:right="117"/>
              <w:rPr>
                <w:snapToGrid w:val="0"/>
              </w:rPr>
            </w:pPr>
            <w:r w:rsidRPr="007D1918">
              <w:rPr>
                <w:snapToGrid w:val="0"/>
              </w:rPr>
              <w:t>20.4</w:t>
            </w:r>
          </w:p>
        </w:tc>
        <w:tc>
          <w:tcPr>
            <w:tcW w:w="867" w:type="pct"/>
            <w:shd w:val="clear" w:color="auto" w:fill="auto"/>
          </w:tcPr>
          <w:p w14:paraId="32F16A2D" w14:textId="6D91655F" w:rsidR="006B7FA3" w:rsidRPr="007D1918" w:rsidRDefault="004D559D" w:rsidP="00E6429D">
            <w:pPr>
              <w:pStyle w:val="TableText0"/>
              <w:keepLines/>
              <w:ind w:left="77" w:right="117"/>
              <w:rPr>
                <w:snapToGrid w:val="0"/>
              </w:rPr>
            </w:pPr>
            <w:r w:rsidRPr="007D1918">
              <w:rPr>
                <w:snapToGrid w:val="0"/>
              </w:rPr>
              <w:t>-</w:t>
            </w:r>
          </w:p>
        </w:tc>
        <w:tc>
          <w:tcPr>
            <w:tcW w:w="947" w:type="pct"/>
            <w:shd w:val="clear" w:color="auto" w:fill="auto"/>
          </w:tcPr>
          <w:p w14:paraId="7282FEFC" w14:textId="3C0F7BE5" w:rsidR="006B7FA3" w:rsidRPr="007D1918" w:rsidRDefault="004D559D" w:rsidP="003E3C2C">
            <w:pPr>
              <w:pStyle w:val="TableText0"/>
              <w:keepLines/>
              <w:ind w:left="41" w:right="117"/>
              <w:rPr>
                <w:snapToGrid w:val="0"/>
                <w:vertAlign w:val="superscript"/>
              </w:rPr>
            </w:pPr>
            <w:r w:rsidRPr="007D1918">
              <w:rPr>
                <w:snapToGrid w:val="0"/>
              </w:rPr>
              <w:t>13.7 (p=0.003)</w:t>
            </w:r>
            <w:r w:rsidR="003E3C2C" w:rsidRPr="007D1918">
              <w:rPr>
                <w:snapToGrid w:val="0"/>
                <w:vertAlign w:val="superscript"/>
              </w:rPr>
              <w:t>b</w:t>
            </w:r>
          </w:p>
        </w:tc>
        <w:tc>
          <w:tcPr>
            <w:tcW w:w="759" w:type="pct"/>
          </w:tcPr>
          <w:p w14:paraId="267D040E" w14:textId="104D2D08" w:rsidR="006B7FA3" w:rsidRPr="007D1918" w:rsidRDefault="004D559D" w:rsidP="00E6429D">
            <w:pPr>
              <w:pStyle w:val="TableText0"/>
              <w:keepLines/>
              <w:ind w:right="117"/>
              <w:rPr>
                <w:snapToGrid w:val="0"/>
              </w:rPr>
            </w:pPr>
            <w:r w:rsidRPr="007D1918">
              <w:rPr>
                <w:snapToGrid w:val="0"/>
              </w:rPr>
              <w:t>-</w:t>
            </w:r>
          </w:p>
        </w:tc>
      </w:tr>
      <w:tr w:rsidR="005111FA" w:rsidRPr="007D1918" w14:paraId="4356C005" w14:textId="77777777" w:rsidTr="003E3C2C">
        <w:tc>
          <w:tcPr>
            <w:tcW w:w="928" w:type="pct"/>
            <w:tcBorders>
              <w:top w:val="single" w:sz="4" w:space="0" w:color="FFFFFF" w:themeColor="background1"/>
            </w:tcBorders>
          </w:tcPr>
          <w:p w14:paraId="26252336" w14:textId="77777777" w:rsidR="006B7FA3" w:rsidRPr="007D1918" w:rsidRDefault="006B7FA3" w:rsidP="00F64372">
            <w:pPr>
              <w:pStyle w:val="TableText0"/>
              <w:keepLines/>
              <w:ind w:left="16" w:right="117"/>
              <w:rPr>
                <w:snapToGrid w:val="0"/>
              </w:rPr>
            </w:pPr>
          </w:p>
        </w:tc>
        <w:tc>
          <w:tcPr>
            <w:tcW w:w="631" w:type="pct"/>
          </w:tcPr>
          <w:p w14:paraId="2AC54871" w14:textId="7185694A" w:rsidR="006B7FA3" w:rsidRPr="007D1918" w:rsidRDefault="006B7FA3" w:rsidP="00F64372">
            <w:pPr>
              <w:pStyle w:val="TableText0"/>
              <w:keepLines/>
              <w:ind w:left="16" w:right="117"/>
              <w:rPr>
                <w:snapToGrid w:val="0"/>
              </w:rPr>
            </w:pPr>
            <w:r w:rsidRPr="007D1918">
              <w:rPr>
                <w:snapToGrid w:val="0"/>
              </w:rPr>
              <w:t>VAS</w:t>
            </w:r>
          </w:p>
        </w:tc>
        <w:tc>
          <w:tcPr>
            <w:tcW w:w="868" w:type="pct"/>
            <w:shd w:val="clear" w:color="auto" w:fill="auto"/>
          </w:tcPr>
          <w:p w14:paraId="6D78D8FC" w14:textId="7BC54B4B" w:rsidR="006B7FA3" w:rsidRPr="007D1918" w:rsidRDefault="004D559D" w:rsidP="00F64372">
            <w:pPr>
              <w:pStyle w:val="TableText0"/>
              <w:keepLines/>
              <w:ind w:left="111" w:right="117"/>
              <w:rPr>
                <w:snapToGrid w:val="0"/>
              </w:rPr>
            </w:pPr>
            <w:r w:rsidRPr="007D1918">
              <w:rPr>
                <w:snapToGrid w:val="0"/>
              </w:rPr>
              <w:t>5.8</w:t>
            </w:r>
          </w:p>
        </w:tc>
        <w:tc>
          <w:tcPr>
            <w:tcW w:w="867" w:type="pct"/>
            <w:shd w:val="clear" w:color="auto" w:fill="auto"/>
          </w:tcPr>
          <w:p w14:paraId="502935C1" w14:textId="77777777" w:rsidR="006B7FA3" w:rsidRPr="007D1918" w:rsidRDefault="006B7FA3" w:rsidP="00F64372">
            <w:pPr>
              <w:pStyle w:val="TableText0"/>
              <w:keepLines/>
              <w:ind w:left="77" w:right="117"/>
              <w:rPr>
                <w:snapToGrid w:val="0"/>
              </w:rPr>
            </w:pPr>
          </w:p>
        </w:tc>
        <w:tc>
          <w:tcPr>
            <w:tcW w:w="947" w:type="pct"/>
            <w:shd w:val="clear" w:color="auto" w:fill="auto"/>
          </w:tcPr>
          <w:p w14:paraId="580010D7" w14:textId="57D98772" w:rsidR="006B7FA3" w:rsidRPr="007D1918" w:rsidRDefault="004D559D" w:rsidP="003E3C2C">
            <w:pPr>
              <w:pStyle w:val="TableText0"/>
              <w:keepLines/>
              <w:ind w:left="41" w:right="117"/>
              <w:rPr>
                <w:snapToGrid w:val="0"/>
                <w:vertAlign w:val="superscript"/>
              </w:rPr>
            </w:pPr>
            <w:r w:rsidRPr="007D1918">
              <w:rPr>
                <w:snapToGrid w:val="0"/>
              </w:rPr>
              <w:t>8.2 (p=0.005)</w:t>
            </w:r>
            <w:r w:rsidR="003E3C2C" w:rsidRPr="007D1918">
              <w:rPr>
                <w:snapToGrid w:val="0"/>
                <w:vertAlign w:val="superscript"/>
              </w:rPr>
              <w:t>b</w:t>
            </w:r>
          </w:p>
        </w:tc>
        <w:tc>
          <w:tcPr>
            <w:tcW w:w="759" w:type="pct"/>
          </w:tcPr>
          <w:p w14:paraId="1592FF3F" w14:textId="3CBAB8A0" w:rsidR="006B7FA3" w:rsidRPr="007D1918" w:rsidRDefault="004D559D" w:rsidP="00F64372">
            <w:pPr>
              <w:pStyle w:val="TableText0"/>
              <w:keepLines/>
              <w:ind w:right="117"/>
              <w:rPr>
                <w:snapToGrid w:val="0"/>
              </w:rPr>
            </w:pPr>
            <w:r w:rsidRPr="007D1918">
              <w:rPr>
                <w:snapToGrid w:val="0"/>
              </w:rPr>
              <w:t>-</w:t>
            </w:r>
          </w:p>
        </w:tc>
      </w:tr>
    </w:tbl>
    <w:p w14:paraId="75A55775" w14:textId="4494FFB4" w:rsidR="00F64372" w:rsidRPr="007D1918" w:rsidRDefault="004D559D" w:rsidP="00AC4B92">
      <w:pPr>
        <w:pStyle w:val="Tablenotes0"/>
        <w:spacing w:after="80"/>
        <w:contextualSpacing w:val="0"/>
      </w:pPr>
      <w:r w:rsidRPr="007D1918">
        <w:t>MG-ADL = myasthenia gravis activities of daily living</w:t>
      </w:r>
      <w:r w:rsidR="009B62F5" w:rsidRPr="007D1918">
        <w:t xml:space="preserve"> scale</w:t>
      </w:r>
      <w:r w:rsidRPr="007D1918">
        <w:t>; MG-QoL</w:t>
      </w:r>
      <w:r w:rsidR="009B62F5" w:rsidRPr="007D1918">
        <w:t xml:space="preserve">-15 </w:t>
      </w:r>
      <w:r w:rsidRPr="007D1918">
        <w:t>= myasthenia gravis quality of life questionnaire</w:t>
      </w:r>
      <w:r w:rsidR="009B62F5" w:rsidRPr="007D1918">
        <w:t xml:space="preserve"> (15 question version)</w:t>
      </w:r>
      <w:r w:rsidRPr="007D1918">
        <w:t xml:space="preserve">; SCIg = subcutaneous immunoglobulin therapy; </w:t>
      </w:r>
      <w:r w:rsidR="009B62F5" w:rsidRPr="007D1918">
        <w:t xml:space="preserve">SD = standard deviation; </w:t>
      </w:r>
      <w:r w:rsidRPr="007D1918">
        <w:t>VAS = visual analogue scale</w:t>
      </w:r>
    </w:p>
    <w:p w14:paraId="0913CA18" w14:textId="0D21FE38" w:rsidR="0096510D" w:rsidRPr="007D1918" w:rsidRDefault="003E3C2C" w:rsidP="00E6429D">
      <w:pPr>
        <w:pStyle w:val="Tablenotes0"/>
      </w:pPr>
      <w:r w:rsidRPr="007D1918">
        <w:rPr>
          <w:vertAlign w:val="superscript"/>
        </w:rPr>
        <w:t>a</w:t>
      </w:r>
      <w:r w:rsidR="0096510D" w:rsidRPr="007D1918">
        <w:t xml:space="preserve"> </w:t>
      </w:r>
      <w:r w:rsidRPr="007D1918">
        <w:t xml:space="preserve">All comparisons are with baseline; one-way repeated-measures analysis of variance with post hoc Tukey honesty significant difference was used. </w:t>
      </w:r>
      <w:r w:rsidR="0075212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 </w:instrText>
      </w:r>
      <w:r w:rsidR="00C437BA" w:rsidRPr="007D1918">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9" w:tooltip="Beecher, 2017 #49" w:history="1">
        <w:r w:rsidR="007D4948" w:rsidRPr="007D1918">
          <w:rPr>
            <w:noProof/>
          </w:rPr>
          <w:t>Beecher, Anderson &amp; Siddiqi 2017</w:t>
        </w:r>
      </w:hyperlink>
      <w:r w:rsidR="0075212A" w:rsidRPr="007D1918">
        <w:rPr>
          <w:noProof/>
        </w:rPr>
        <w:t>)</w:t>
      </w:r>
      <w:r w:rsidR="0075212A" w:rsidRPr="007D1918">
        <w:fldChar w:fldCharType="end"/>
      </w:r>
    </w:p>
    <w:p w14:paraId="63192368" w14:textId="1E44C2A6" w:rsidR="00F64372" w:rsidRPr="007D1918" w:rsidRDefault="003E3C2C" w:rsidP="00E6429D">
      <w:pPr>
        <w:pStyle w:val="Tablenotes0"/>
      </w:pPr>
      <w:r w:rsidRPr="007D1918">
        <w:rPr>
          <w:vertAlign w:val="superscript"/>
        </w:rPr>
        <w:t>b</w:t>
      </w:r>
      <w:r w:rsidR="0096510D" w:rsidRPr="007D1918">
        <w:t xml:space="preserve"> </w:t>
      </w:r>
      <w:r w:rsidRPr="007D1918">
        <w:t>All comparisons are with baseline; p</w:t>
      </w:r>
      <w:r w:rsidR="0096510D" w:rsidRPr="007D1918">
        <w:t xml:space="preserve">aired two-tailed </w:t>
      </w:r>
      <w:r w:rsidR="0096510D" w:rsidRPr="007D1918">
        <w:rPr>
          <w:i/>
        </w:rPr>
        <w:t>t-</w:t>
      </w:r>
      <w:r w:rsidR="0096510D" w:rsidRPr="007D1918">
        <w:t>test</w:t>
      </w:r>
      <w:r w:rsidRPr="007D1918">
        <w:t xml:space="preserve"> </w:t>
      </w:r>
      <w:r w:rsidR="0075212A"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instrText xml:space="preserve"> ADDIN EN.CITE </w:instrText>
      </w:r>
      <w:r w:rsidR="00C437BA" w:rsidRPr="007D1918">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instrText xml:space="preserve"> ADDIN EN.CITE.DATA </w:instrText>
      </w:r>
      <w:r w:rsidR="00C437BA" w:rsidRPr="007D1918">
        <w:fldChar w:fldCharType="end"/>
      </w:r>
      <w:r w:rsidR="0075212A" w:rsidRPr="007D1918">
        <w:fldChar w:fldCharType="separate"/>
      </w:r>
      <w:r w:rsidR="0075212A" w:rsidRPr="007D1918">
        <w:rPr>
          <w:noProof/>
        </w:rPr>
        <w:t>(</w:t>
      </w:r>
      <w:hyperlink w:anchor="_ENREF_12" w:tooltip="Bourque, 2016 #50" w:history="1">
        <w:r w:rsidR="007D4948" w:rsidRPr="007D1918">
          <w:rPr>
            <w:noProof/>
          </w:rPr>
          <w:t>Bourque et al. 2016</w:t>
        </w:r>
      </w:hyperlink>
      <w:r w:rsidR="0075212A" w:rsidRPr="007D1918">
        <w:rPr>
          <w:noProof/>
        </w:rPr>
        <w:t>)</w:t>
      </w:r>
      <w:r w:rsidR="0075212A" w:rsidRPr="007D1918">
        <w:fldChar w:fldCharType="end"/>
      </w:r>
    </w:p>
    <w:p w14:paraId="4998730E" w14:textId="77777777" w:rsidR="00746E1B" w:rsidRPr="007D1918" w:rsidRDefault="00746E1B" w:rsidP="00DB3295"/>
    <w:p w14:paraId="3A3B21A4" w14:textId="0DF7C83C" w:rsidR="00DB3295" w:rsidRPr="007D1918" w:rsidRDefault="00DB3295" w:rsidP="00CE3A8B">
      <w:pPr>
        <w:pStyle w:val="Heading2"/>
        <w:numPr>
          <w:ilvl w:val="1"/>
          <w:numId w:val="10"/>
        </w:numPr>
      </w:pPr>
      <w:bookmarkStart w:id="304" w:name="_Ref421189603"/>
      <w:bookmarkStart w:id="305" w:name="_Ref421189625"/>
      <w:bookmarkStart w:id="306" w:name="_Toc23766976"/>
      <w:r w:rsidRPr="007D1918">
        <w:lastRenderedPageBreak/>
        <w:t>Interpretation of the Clinical Evidence</w:t>
      </w:r>
      <w:bookmarkEnd w:id="304"/>
      <w:bookmarkEnd w:id="305"/>
      <w:bookmarkEnd w:id="306"/>
    </w:p>
    <w:p w14:paraId="09865358" w14:textId="63D406F6" w:rsidR="003C7A14" w:rsidRPr="007D1918" w:rsidRDefault="00402FBA" w:rsidP="00A436AC">
      <w:pPr>
        <w:spacing w:after="0"/>
        <w:jc w:val="both"/>
      </w:pPr>
      <w:r w:rsidRPr="007D1918">
        <w:t>It is important to classify the therapeutic profile of the proposed therapeutic medical service</w:t>
      </w:r>
      <w:r w:rsidR="00B622F6" w:rsidRPr="007D1918">
        <w:t xml:space="preserve"> (IVIg therapy)</w:t>
      </w:r>
      <w:r w:rsidRPr="007D1918">
        <w:t xml:space="preserve"> in relation to its comparator</w:t>
      </w:r>
      <w:r w:rsidR="00FB20AB" w:rsidRPr="007D1918">
        <w:t>s</w:t>
      </w:r>
      <w:r w:rsidR="00B622F6" w:rsidRPr="007D1918">
        <w:t xml:space="preserve"> </w:t>
      </w:r>
      <w:r w:rsidRPr="007D1918">
        <w:t xml:space="preserve">(i.e. whether it is therapeutically superior, inferior or equivalent to the comparator). </w:t>
      </w:r>
      <w:r w:rsidR="003967F2" w:rsidRPr="007D1918">
        <w:t>See Appendix D for detailed evidence profile tables.</w:t>
      </w:r>
    </w:p>
    <w:p w14:paraId="2EB9E04C" w14:textId="77777777" w:rsidR="00A436AC" w:rsidRPr="007D1918" w:rsidRDefault="00A436AC" w:rsidP="008D5C96">
      <w:pPr>
        <w:jc w:val="both"/>
      </w:pPr>
    </w:p>
    <w:p w14:paraId="5776AE60" w14:textId="7F0C6E37" w:rsidR="00E67D07" w:rsidRPr="007D1918" w:rsidRDefault="00E67D07" w:rsidP="008D5C96">
      <w:pPr>
        <w:pStyle w:val="Heading3"/>
      </w:pPr>
      <w:bookmarkStart w:id="307" w:name="_Toc23766977"/>
      <w:r w:rsidRPr="007D1918">
        <w:t>Indication 1</w:t>
      </w:r>
      <w:bookmarkEnd w:id="307"/>
    </w:p>
    <w:p w14:paraId="01380461" w14:textId="364C3BF9" w:rsidR="00402FBA" w:rsidRPr="007D1918" w:rsidRDefault="00402FBA" w:rsidP="00402FBA">
      <w:pPr>
        <w:jc w:val="both"/>
        <w:rPr>
          <w:b/>
        </w:rPr>
      </w:pPr>
      <w:r w:rsidRPr="007D1918">
        <w:t xml:space="preserve">On the basis of the </w:t>
      </w:r>
      <w:r w:rsidR="0027645A" w:rsidRPr="007D1918">
        <w:t>evidence profile</w:t>
      </w:r>
      <w:r w:rsidRPr="007D1918">
        <w:t xml:space="preserve"> (</w:t>
      </w:r>
      <w:r w:rsidR="003C7A14" w:rsidRPr="007D1918">
        <w:t>summarised in</w:t>
      </w:r>
      <w:r w:rsidR="00FE2DC6" w:rsidRPr="007D1918">
        <w:t xml:space="preserve"> </w:t>
      </w:r>
      <w:r w:rsidR="00FE2DC6" w:rsidRPr="007D1918">
        <w:fldChar w:fldCharType="begin"/>
      </w:r>
      <w:r w:rsidR="00FE2DC6" w:rsidRPr="007D1918">
        <w:instrText xml:space="preserve"> REF _Ref12884166 \h </w:instrText>
      </w:r>
      <w:r w:rsidR="00E07567" w:rsidRPr="007D1918">
        <w:instrText xml:space="preserve"> \* MERGEFORMAT </w:instrText>
      </w:r>
      <w:r w:rsidR="00FE2DC6" w:rsidRPr="007D1918">
        <w:fldChar w:fldCharType="separate"/>
      </w:r>
      <w:r w:rsidR="00153384" w:rsidRPr="007D1918">
        <w:t xml:space="preserve">Table </w:t>
      </w:r>
      <w:r w:rsidR="00153384" w:rsidRPr="007D1918">
        <w:rPr>
          <w:noProof/>
        </w:rPr>
        <w:t>48</w:t>
      </w:r>
      <w:r w:rsidR="00FE2DC6" w:rsidRPr="007D1918">
        <w:fldChar w:fldCharType="end"/>
      </w:r>
      <w:r w:rsidRPr="007D1918">
        <w:t xml:space="preserve">), </w:t>
      </w:r>
      <w:r w:rsidRPr="007D1918">
        <w:rPr>
          <w:b/>
        </w:rPr>
        <w:t xml:space="preserve">it is suggested that, relative to </w:t>
      </w:r>
      <w:r w:rsidR="00B622F6" w:rsidRPr="007D1918">
        <w:rPr>
          <w:b/>
        </w:rPr>
        <w:t>PE</w:t>
      </w:r>
      <w:r w:rsidRPr="007D1918">
        <w:rPr>
          <w:b/>
        </w:rPr>
        <w:t xml:space="preserve">, </w:t>
      </w:r>
      <w:r w:rsidR="00B622F6" w:rsidRPr="007D1918">
        <w:rPr>
          <w:b/>
        </w:rPr>
        <w:t>IVIg</w:t>
      </w:r>
      <w:r w:rsidRPr="007D1918">
        <w:rPr>
          <w:b/>
        </w:rPr>
        <w:t xml:space="preserve"> has superior safety </w:t>
      </w:r>
      <w:r w:rsidR="00E12B09" w:rsidRPr="007D1918">
        <w:rPr>
          <w:b/>
        </w:rPr>
        <w:t xml:space="preserve">(GRADE </w:t>
      </w:r>
      <w:r w:rsidR="00E12B09" w:rsidRPr="007D1918">
        <w:rPr>
          <w:rFonts w:ascii="Cambria Math" w:hAnsi="Cambria Math" w:cs="Cambria Math"/>
          <w:color w:val="00B050"/>
          <w:sz w:val="18"/>
          <w:szCs w:val="18"/>
        </w:rPr>
        <w:t>⊕⊕⊕</w:t>
      </w:r>
      <w:r w:rsidR="00E12B09" w:rsidRPr="007D1918">
        <w:rPr>
          <w:rFonts w:ascii="Cambria Math" w:hAnsi="Cambria Math" w:cs="Cambria Math"/>
          <w:color w:val="C00000"/>
          <w:sz w:val="18"/>
          <w:szCs w:val="18"/>
        </w:rPr>
        <w:t>⊝</w:t>
      </w:r>
      <w:r w:rsidR="00E12B09" w:rsidRPr="007D1918">
        <w:rPr>
          <w:b/>
        </w:rPr>
        <w:t xml:space="preserve">) </w:t>
      </w:r>
      <w:r w:rsidRPr="007D1918">
        <w:rPr>
          <w:b/>
        </w:rPr>
        <w:t>and non-inferior effectiveness</w:t>
      </w:r>
      <w:r w:rsidR="00FD14D3" w:rsidRPr="007D1918">
        <w:rPr>
          <w:b/>
        </w:rPr>
        <w:t xml:space="preserve"> </w:t>
      </w:r>
      <w:r w:rsidR="00E12B09" w:rsidRPr="007D1918">
        <w:rPr>
          <w:b/>
        </w:rPr>
        <w:t xml:space="preserve">(GRADE </w:t>
      </w:r>
      <w:r w:rsidR="00E12B09" w:rsidRPr="007D1918">
        <w:rPr>
          <w:rFonts w:ascii="Cambria Math" w:hAnsi="Cambria Math" w:cs="Cambria Math"/>
          <w:color w:val="00B050"/>
          <w:sz w:val="18"/>
          <w:szCs w:val="18"/>
        </w:rPr>
        <w:t>⊕⊕</w:t>
      </w:r>
      <w:r w:rsidR="00E12B09" w:rsidRPr="007D1918">
        <w:rPr>
          <w:rFonts w:ascii="Cambria Math" w:hAnsi="Cambria Math" w:cs="Cambria Math"/>
          <w:color w:val="C00000"/>
          <w:sz w:val="18"/>
          <w:szCs w:val="18"/>
        </w:rPr>
        <w:t>⊝⊝</w:t>
      </w:r>
      <w:r w:rsidR="00E12B09" w:rsidRPr="007D1918">
        <w:rPr>
          <w:b/>
        </w:rPr>
        <w:t xml:space="preserve">) </w:t>
      </w:r>
      <w:r w:rsidR="00FD14D3" w:rsidRPr="007D1918">
        <w:rPr>
          <w:b/>
        </w:rPr>
        <w:t>for MG patients in or at risk of crisis (</w:t>
      </w:r>
      <w:r w:rsidR="0088065E" w:rsidRPr="007D1918">
        <w:rPr>
          <w:b/>
          <w:i/>
        </w:rPr>
        <w:t>Criteria V3</w:t>
      </w:r>
      <w:r w:rsidR="0088065E" w:rsidRPr="007D1918">
        <w:rPr>
          <w:b/>
        </w:rPr>
        <w:t xml:space="preserve"> </w:t>
      </w:r>
      <w:r w:rsidR="00FD14D3" w:rsidRPr="007D1918">
        <w:rPr>
          <w:b/>
        </w:rPr>
        <w:t>Indication 1)</w:t>
      </w:r>
      <w:r w:rsidRPr="007D1918">
        <w:rPr>
          <w:b/>
        </w:rPr>
        <w:t>.</w:t>
      </w:r>
    </w:p>
    <w:p w14:paraId="00076D5B" w14:textId="65253032" w:rsidR="00FB20AB" w:rsidRPr="007D1918" w:rsidRDefault="00E12B09" w:rsidP="00A436AC">
      <w:pPr>
        <w:spacing w:after="0"/>
        <w:jc w:val="both"/>
      </w:pPr>
      <w:r w:rsidRPr="007D1918">
        <w:t>One RCT and several cohort studies were consistent in the</w:t>
      </w:r>
      <w:r w:rsidR="00471D52" w:rsidRPr="007D1918">
        <w:t>ir</w:t>
      </w:r>
      <w:r w:rsidRPr="007D1918">
        <w:t xml:space="preserve"> finding</w:t>
      </w:r>
      <w:r w:rsidR="00471D52" w:rsidRPr="007D1918">
        <w:t>s</w:t>
      </w:r>
      <w:r w:rsidRPr="007D1918">
        <w:t xml:space="preserve"> that IVIg </w:t>
      </w:r>
      <w:r w:rsidR="00471D52" w:rsidRPr="007D1918">
        <w:t>was</w:t>
      </w:r>
      <w:r w:rsidRPr="007D1918">
        <w:t xml:space="preserve"> safer th</w:t>
      </w:r>
      <w:r w:rsidR="00471D52" w:rsidRPr="007D1918">
        <w:t>an PE for MG patients in crisis.</w:t>
      </w:r>
      <w:r w:rsidRPr="007D1918">
        <w:t xml:space="preserve"> </w:t>
      </w:r>
      <w:r w:rsidR="00471D52" w:rsidRPr="007D1918">
        <w:t xml:space="preserve">The difference reached statistical significance in the RCT and a large cohort study. </w:t>
      </w:r>
      <w:r w:rsidR="00CC0D1A" w:rsidRPr="007D1918">
        <w:t>However, s</w:t>
      </w:r>
      <w:r w:rsidR="00471D52" w:rsidRPr="007D1918">
        <w:t>election bias was suspected in the cohort studies, as PE is a favoured treatment for myasthenic crisis due to its suspected faster action. The evidence was less consistent for effectiveness, but overall it supported a conclusion of non-inferiority of IVIg compared to PE.</w:t>
      </w:r>
    </w:p>
    <w:p w14:paraId="2BDE8745" w14:textId="77777777" w:rsidR="00A436AC" w:rsidRPr="007D1918" w:rsidRDefault="00A436AC" w:rsidP="008D5C96">
      <w:pPr>
        <w:jc w:val="both"/>
      </w:pPr>
    </w:p>
    <w:p w14:paraId="1AED2FEA" w14:textId="1853E845" w:rsidR="00E67D07" w:rsidRPr="007D1918" w:rsidRDefault="00E67D07" w:rsidP="008D5C96">
      <w:pPr>
        <w:pStyle w:val="Heading3"/>
      </w:pPr>
      <w:bookmarkStart w:id="308" w:name="_Toc23766978"/>
      <w:r w:rsidRPr="007D1918">
        <w:t>Indication 2</w:t>
      </w:r>
      <w:bookmarkEnd w:id="308"/>
    </w:p>
    <w:p w14:paraId="4830662F" w14:textId="2F772132" w:rsidR="00FD14D3" w:rsidRPr="007D1918" w:rsidRDefault="00FD14D3" w:rsidP="00402FBA">
      <w:pPr>
        <w:jc w:val="both"/>
        <w:rPr>
          <w:b/>
        </w:rPr>
      </w:pPr>
      <w:r w:rsidRPr="007D1918">
        <w:t xml:space="preserve">On the basis of the </w:t>
      </w:r>
      <w:r w:rsidR="0015779E" w:rsidRPr="007D1918">
        <w:t xml:space="preserve">low quality </w:t>
      </w:r>
      <w:r w:rsidRPr="007D1918">
        <w:t xml:space="preserve">evidence profile (summarised in </w:t>
      </w:r>
      <w:r w:rsidR="00FE2DC6" w:rsidRPr="007D1918">
        <w:fldChar w:fldCharType="begin"/>
      </w:r>
      <w:r w:rsidR="00FE2DC6" w:rsidRPr="007D1918">
        <w:instrText xml:space="preserve"> REF _Ref12884169 \h </w:instrText>
      </w:r>
      <w:r w:rsidR="00ED0B42" w:rsidRPr="007D1918">
        <w:instrText xml:space="preserve"> \* MERGEFORMAT </w:instrText>
      </w:r>
      <w:r w:rsidR="00FE2DC6" w:rsidRPr="007D1918">
        <w:fldChar w:fldCharType="separate"/>
      </w:r>
      <w:r w:rsidR="00153384" w:rsidRPr="007D1918">
        <w:t xml:space="preserve">Table </w:t>
      </w:r>
      <w:r w:rsidR="00153384" w:rsidRPr="007D1918">
        <w:rPr>
          <w:noProof/>
        </w:rPr>
        <w:t>49</w:t>
      </w:r>
      <w:r w:rsidR="00FE2DC6" w:rsidRPr="007D1918">
        <w:fldChar w:fldCharType="end"/>
      </w:r>
      <w:r w:rsidRPr="007D1918">
        <w:t xml:space="preserve">), </w:t>
      </w:r>
      <w:r w:rsidR="00E628FE" w:rsidRPr="007D1918">
        <w:rPr>
          <w:b/>
        </w:rPr>
        <w:t>it is suggested</w:t>
      </w:r>
      <w:r w:rsidR="0015779E" w:rsidRPr="007D1918">
        <w:rPr>
          <w:b/>
        </w:rPr>
        <w:t xml:space="preserve"> that</w:t>
      </w:r>
      <w:r w:rsidRPr="007D1918">
        <w:rPr>
          <w:b/>
        </w:rPr>
        <w:t xml:space="preserve">, relative to PE, IVIg has </w:t>
      </w:r>
      <w:r w:rsidR="00D01E69" w:rsidRPr="007D1918">
        <w:rPr>
          <w:b/>
        </w:rPr>
        <w:t>uncertain</w:t>
      </w:r>
      <w:r w:rsidRPr="007D1918">
        <w:rPr>
          <w:b/>
        </w:rPr>
        <w:t xml:space="preserve"> </w:t>
      </w:r>
      <w:r w:rsidR="00D01E69" w:rsidRPr="007D1918">
        <w:rPr>
          <w:b/>
        </w:rPr>
        <w:t>safety</w:t>
      </w:r>
      <w:r w:rsidR="00CC0D1A" w:rsidRPr="007D1918">
        <w:rPr>
          <w:b/>
        </w:rPr>
        <w:t xml:space="preserve"> (GRADE </w:t>
      </w:r>
      <w:r w:rsidR="00CC0D1A" w:rsidRPr="007D1918">
        <w:rPr>
          <w:rFonts w:ascii="Cambria Math" w:hAnsi="Cambria Math" w:cs="Cambria Math"/>
          <w:color w:val="00B050"/>
          <w:sz w:val="18"/>
          <w:szCs w:val="18"/>
        </w:rPr>
        <w:t>⊕⊕</w:t>
      </w:r>
      <w:r w:rsidR="00CC0D1A" w:rsidRPr="007D1918">
        <w:rPr>
          <w:rFonts w:ascii="Cambria Math" w:hAnsi="Cambria Math" w:cs="Cambria Math"/>
          <w:color w:val="C00000"/>
          <w:sz w:val="18"/>
          <w:szCs w:val="18"/>
        </w:rPr>
        <w:t>⊝⊝</w:t>
      </w:r>
      <w:r w:rsidR="00CC0D1A" w:rsidRPr="007D1918">
        <w:rPr>
          <w:b/>
        </w:rPr>
        <w:t>)</w:t>
      </w:r>
      <w:r w:rsidR="00D01E69" w:rsidRPr="007D1918">
        <w:rPr>
          <w:b/>
        </w:rPr>
        <w:t xml:space="preserve"> and </w:t>
      </w:r>
      <w:r w:rsidR="002E300C" w:rsidRPr="007D1918">
        <w:rPr>
          <w:b/>
        </w:rPr>
        <w:t xml:space="preserve">uncertain </w:t>
      </w:r>
      <w:r w:rsidRPr="007D1918">
        <w:rPr>
          <w:b/>
        </w:rPr>
        <w:t xml:space="preserve">effectiveness </w:t>
      </w:r>
      <w:r w:rsidR="00CC0D1A" w:rsidRPr="007D1918">
        <w:rPr>
          <w:b/>
        </w:rPr>
        <w:t xml:space="preserve">(insufficient evidence for GRADE) </w:t>
      </w:r>
      <w:r w:rsidRPr="007D1918">
        <w:rPr>
          <w:b/>
        </w:rPr>
        <w:t>for MG patients preparing for surgery (</w:t>
      </w:r>
      <w:r w:rsidR="0088065E" w:rsidRPr="007D1918">
        <w:rPr>
          <w:b/>
          <w:i/>
        </w:rPr>
        <w:t>Criteria V3</w:t>
      </w:r>
      <w:r w:rsidR="0088065E" w:rsidRPr="007D1918">
        <w:rPr>
          <w:b/>
        </w:rPr>
        <w:t xml:space="preserve"> </w:t>
      </w:r>
      <w:r w:rsidRPr="007D1918">
        <w:rPr>
          <w:b/>
        </w:rPr>
        <w:t>Indication 2).</w:t>
      </w:r>
    </w:p>
    <w:p w14:paraId="5FEE540F" w14:textId="6BC13B07" w:rsidR="00CC0D1A" w:rsidRPr="007D1918" w:rsidRDefault="00CC0D1A" w:rsidP="00ED0B42">
      <w:pPr>
        <w:spacing w:after="0"/>
        <w:jc w:val="both"/>
      </w:pPr>
      <w:r w:rsidRPr="007D1918">
        <w:t xml:space="preserve">Evidence from one small RCT found no significant difference in </w:t>
      </w:r>
      <w:r w:rsidR="005502DD" w:rsidRPr="007D1918">
        <w:t>the frequency of AEs</w:t>
      </w:r>
      <w:r w:rsidRPr="007D1918">
        <w:t xml:space="preserve"> between IVIg and PE treatments for patients undergoing thymectomy, but </w:t>
      </w:r>
      <w:r w:rsidR="005502DD" w:rsidRPr="007D1918">
        <w:t>t</w:t>
      </w:r>
      <w:r w:rsidRPr="007D1918">
        <w:t xml:space="preserve">he body of evidence was </w:t>
      </w:r>
      <w:r w:rsidR="00907586" w:rsidRPr="007D1918">
        <w:t xml:space="preserve">considered </w:t>
      </w:r>
      <w:r w:rsidRPr="007D1918">
        <w:t xml:space="preserve">too small to make a confident conclusion about the safety of </w:t>
      </w:r>
      <w:r w:rsidR="005502DD" w:rsidRPr="007D1918">
        <w:t>IVIg compared to PE.</w:t>
      </w:r>
      <w:r w:rsidRPr="007D1918">
        <w:t xml:space="preserve"> The quality of evidence on effectiveness was </w:t>
      </w:r>
      <w:r w:rsidR="00907586" w:rsidRPr="007D1918">
        <w:t xml:space="preserve">considered </w:t>
      </w:r>
      <w:r w:rsidRPr="007D1918">
        <w:t>too low to make any conclusions about IVIg compared to PE.</w:t>
      </w:r>
    </w:p>
    <w:p w14:paraId="12F83CBC" w14:textId="77777777" w:rsidR="00A436AC" w:rsidRPr="007D1918" w:rsidRDefault="00A436AC" w:rsidP="00CC0D1A"/>
    <w:p w14:paraId="660264BF" w14:textId="04DFF0BF" w:rsidR="00E67D07" w:rsidRPr="007D1918" w:rsidRDefault="00E67D07" w:rsidP="00CC0D1A">
      <w:pPr>
        <w:pStyle w:val="Heading3"/>
      </w:pPr>
      <w:bookmarkStart w:id="309" w:name="_Toc23766979"/>
      <w:r w:rsidRPr="007D1918">
        <w:t>Indication 3</w:t>
      </w:r>
      <w:bookmarkEnd w:id="309"/>
    </w:p>
    <w:p w14:paraId="1890DB4B" w14:textId="25A5A297" w:rsidR="00FD14D3" w:rsidRPr="007D1918" w:rsidRDefault="00FD14D3" w:rsidP="00FD14D3">
      <w:pPr>
        <w:jc w:val="both"/>
        <w:rPr>
          <w:b/>
        </w:rPr>
      </w:pPr>
      <w:r w:rsidRPr="007D1918">
        <w:t>On the basis of the evidence profile (summarised in</w:t>
      </w:r>
      <w:r w:rsidR="00886108" w:rsidRPr="007D1918">
        <w:t xml:space="preserve"> </w:t>
      </w:r>
      <w:r w:rsidR="00886108" w:rsidRPr="007D1918">
        <w:fldChar w:fldCharType="begin"/>
      </w:r>
      <w:r w:rsidR="00886108" w:rsidRPr="007D1918">
        <w:instrText xml:space="preserve"> REF _Ref13568066 \h  \* MERGEFORMAT </w:instrText>
      </w:r>
      <w:r w:rsidR="00886108" w:rsidRPr="007D1918">
        <w:fldChar w:fldCharType="separate"/>
      </w:r>
      <w:r w:rsidR="00153384" w:rsidRPr="007D1918">
        <w:t xml:space="preserve">Table </w:t>
      </w:r>
      <w:r w:rsidR="00153384" w:rsidRPr="007D1918">
        <w:rPr>
          <w:noProof/>
        </w:rPr>
        <w:t>50</w:t>
      </w:r>
      <w:r w:rsidR="00886108" w:rsidRPr="007D1918">
        <w:fldChar w:fldCharType="end"/>
      </w:r>
      <w:r w:rsidRPr="007D1918">
        <w:t xml:space="preserve"> </w:t>
      </w:r>
      <w:r w:rsidR="00886108" w:rsidRPr="007D1918">
        <w:t xml:space="preserve">and </w:t>
      </w:r>
      <w:r w:rsidR="00477814" w:rsidRPr="007D1918">
        <w:fldChar w:fldCharType="begin"/>
      </w:r>
      <w:r w:rsidR="00477814" w:rsidRPr="007D1918">
        <w:instrText xml:space="preserve"> REF _Ref12884171 \h </w:instrText>
      </w:r>
      <w:r w:rsidR="00E07567" w:rsidRPr="007D1918">
        <w:instrText xml:space="preserve"> \* MERGEFORMAT </w:instrText>
      </w:r>
      <w:r w:rsidR="00477814" w:rsidRPr="007D1918">
        <w:fldChar w:fldCharType="separate"/>
      </w:r>
      <w:r w:rsidR="00153384" w:rsidRPr="007D1918">
        <w:t xml:space="preserve">Table </w:t>
      </w:r>
      <w:r w:rsidR="00153384" w:rsidRPr="007D1918">
        <w:rPr>
          <w:noProof/>
        </w:rPr>
        <w:t>51</w:t>
      </w:r>
      <w:r w:rsidR="00477814" w:rsidRPr="007D1918">
        <w:fldChar w:fldCharType="end"/>
      </w:r>
      <w:r w:rsidRPr="007D1918">
        <w:t xml:space="preserve">), </w:t>
      </w:r>
      <w:r w:rsidRPr="007D1918">
        <w:rPr>
          <w:b/>
        </w:rPr>
        <w:t xml:space="preserve">it is suggested that, relative to </w:t>
      </w:r>
      <w:r w:rsidR="00CE76B7" w:rsidRPr="007D1918">
        <w:rPr>
          <w:b/>
        </w:rPr>
        <w:t>standard therapies (</w:t>
      </w:r>
      <w:r w:rsidR="002E300C" w:rsidRPr="007D1918">
        <w:rPr>
          <w:b/>
        </w:rPr>
        <w:t>with the exception of</w:t>
      </w:r>
      <w:r w:rsidR="00CE76B7" w:rsidRPr="007D1918">
        <w:rPr>
          <w:b/>
        </w:rPr>
        <w:t xml:space="preserve"> PE) no conclusions can be made regarding the safety </w:t>
      </w:r>
      <w:r w:rsidR="0051522F" w:rsidRPr="007D1918">
        <w:rPr>
          <w:b/>
        </w:rPr>
        <w:t xml:space="preserve">(GRADE </w:t>
      </w:r>
      <w:r w:rsidR="0051522F" w:rsidRPr="007D1918">
        <w:rPr>
          <w:rFonts w:ascii="Cambria Math" w:hAnsi="Cambria Math" w:cs="Cambria Math"/>
          <w:color w:val="00B050"/>
          <w:sz w:val="18"/>
          <w:szCs w:val="18"/>
        </w:rPr>
        <w:t>⊕⊕</w:t>
      </w:r>
      <w:r w:rsidR="0051522F" w:rsidRPr="007D1918">
        <w:rPr>
          <w:rFonts w:ascii="Cambria Math" w:hAnsi="Cambria Math" w:cs="Cambria Math"/>
          <w:color w:val="C00000"/>
          <w:sz w:val="18"/>
          <w:szCs w:val="18"/>
        </w:rPr>
        <w:t>⊝⊝</w:t>
      </w:r>
      <w:r w:rsidR="0051522F" w:rsidRPr="007D1918">
        <w:rPr>
          <w:b/>
        </w:rPr>
        <w:t xml:space="preserve">) </w:t>
      </w:r>
      <w:r w:rsidR="00CE76B7" w:rsidRPr="007D1918">
        <w:rPr>
          <w:b/>
        </w:rPr>
        <w:t xml:space="preserve">and effectiveness </w:t>
      </w:r>
      <w:r w:rsidR="0051522F" w:rsidRPr="007D1918">
        <w:rPr>
          <w:b/>
        </w:rPr>
        <w:t xml:space="preserve">(GRADE </w:t>
      </w:r>
      <w:r w:rsidR="0051522F" w:rsidRPr="007D1918">
        <w:rPr>
          <w:rFonts w:ascii="Cambria Math" w:hAnsi="Cambria Math" w:cs="Cambria Math"/>
          <w:color w:val="00B050"/>
          <w:sz w:val="18"/>
          <w:szCs w:val="18"/>
        </w:rPr>
        <w:t>⊕⊕</w:t>
      </w:r>
      <w:r w:rsidR="0051522F" w:rsidRPr="007D1918">
        <w:rPr>
          <w:rFonts w:ascii="Cambria Math" w:hAnsi="Cambria Math" w:cs="Cambria Math"/>
          <w:color w:val="C00000"/>
          <w:sz w:val="18"/>
          <w:szCs w:val="18"/>
        </w:rPr>
        <w:t>⊝⊝</w:t>
      </w:r>
      <w:r w:rsidR="0051522F" w:rsidRPr="007D1918">
        <w:rPr>
          <w:b/>
        </w:rPr>
        <w:t xml:space="preserve">) </w:t>
      </w:r>
      <w:r w:rsidR="00CE76B7" w:rsidRPr="007D1918">
        <w:rPr>
          <w:b/>
        </w:rPr>
        <w:t>of IVIg</w:t>
      </w:r>
      <w:r w:rsidR="002E300C" w:rsidRPr="007D1918">
        <w:rPr>
          <w:b/>
        </w:rPr>
        <w:t xml:space="preserve">. In </w:t>
      </w:r>
      <w:r w:rsidR="00CE76B7" w:rsidRPr="007D1918">
        <w:rPr>
          <w:b/>
        </w:rPr>
        <w:t xml:space="preserve">the </w:t>
      </w:r>
      <w:r w:rsidR="002E300C" w:rsidRPr="007D1918">
        <w:rPr>
          <w:b/>
        </w:rPr>
        <w:t xml:space="preserve">comparison with </w:t>
      </w:r>
      <w:r w:rsidR="00CE76B7" w:rsidRPr="007D1918">
        <w:rPr>
          <w:b/>
        </w:rPr>
        <w:t>PE</w:t>
      </w:r>
      <w:r w:rsidRPr="007D1918">
        <w:rPr>
          <w:b/>
        </w:rPr>
        <w:t xml:space="preserve">, IVIg has non-inferior safety </w:t>
      </w:r>
      <w:r w:rsidR="000836F9" w:rsidRPr="007D1918">
        <w:rPr>
          <w:b/>
        </w:rPr>
        <w:t xml:space="preserve">(GRADE </w:t>
      </w:r>
      <w:r w:rsidR="000836F9" w:rsidRPr="007D1918">
        <w:rPr>
          <w:rFonts w:ascii="Cambria Math" w:hAnsi="Cambria Math" w:cs="Cambria Math"/>
          <w:color w:val="00B050"/>
          <w:sz w:val="18"/>
          <w:szCs w:val="18"/>
        </w:rPr>
        <w:t>⊕⊕⊕</w:t>
      </w:r>
      <w:r w:rsidR="000836F9" w:rsidRPr="007D1918">
        <w:rPr>
          <w:rFonts w:ascii="Cambria Math" w:hAnsi="Cambria Math" w:cs="Cambria Math"/>
          <w:color w:val="C00000"/>
          <w:sz w:val="18"/>
          <w:szCs w:val="18"/>
        </w:rPr>
        <w:t>⊝</w:t>
      </w:r>
      <w:r w:rsidR="000836F9" w:rsidRPr="007D1918">
        <w:rPr>
          <w:b/>
        </w:rPr>
        <w:t xml:space="preserve">) </w:t>
      </w:r>
      <w:r w:rsidRPr="007D1918">
        <w:rPr>
          <w:b/>
        </w:rPr>
        <w:t>and non-inferior effectiveness</w:t>
      </w:r>
      <w:r w:rsidR="000836F9" w:rsidRPr="007D1918">
        <w:rPr>
          <w:b/>
        </w:rPr>
        <w:t xml:space="preserve"> (GRADE </w:t>
      </w:r>
      <w:r w:rsidR="000836F9" w:rsidRPr="007D1918">
        <w:rPr>
          <w:rFonts w:ascii="Cambria Math" w:hAnsi="Cambria Math" w:cs="Cambria Math"/>
          <w:color w:val="00B050"/>
          <w:sz w:val="18"/>
          <w:szCs w:val="18"/>
        </w:rPr>
        <w:t>⊕⊕⊕</w:t>
      </w:r>
      <w:r w:rsidR="000836F9" w:rsidRPr="007D1918">
        <w:rPr>
          <w:rFonts w:ascii="Cambria Math" w:hAnsi="Cambria Math" w:cs="Cambria Math"/>
          <w:color w:val="C00000"/>
          <w:sz w:val="18"/>
          <w:szCs w:val="18"/>
        </w:rPr>
        <w:t>⊝</w:t>
      </w:r>
      <w:r w:rsidR="000836F9" w:rsidRPr="007D1918">
        <w:rPr>
          <w:b/>
        </w:rPr>
        <w:t>)</w:t>
      </w:r>
      <w:r w:rsidRPr="007D1918">
        <w:rPr>
          <w:b/>
        </w:rPr>
        <w:t xml:space="preserve"> for MG patients needing a change of maintenance therapy (</w:t>
      </w:r>
      <w:r w:rsidR="0088065E" w:rsidRPr="007D1918">
        <w:rPr>
          <w:b/>
          <w:i/>
        </w:rPr>
        <w:t>Criteria V3</w:t>
      </w:r>
      <w:r w:rsidR="0088065E" w:rsidRPr="007D1918">
        <w:rPr>
          <w:b/>
        </w:rPr>
        <w:t xml:space="preserve"> </w:t>
      </w:r>
      <w:r w:rsidRPr="007D1918">
        <w:rPr>
          <w:b/>
        </w:rPr>
        <w:t>Indication 3).</w:t>
      </w:r>
    </w:p>
    <w:p w14:paraId="211FA047" w14:textId="77777777" w:rsidR="005502DD" w:rsidRPr="007D1918" w:rsidRDefault="00FD14D3" w:rsidP="00875271">
      <w:pPr>
        <w:jc w:val="both"/>
      </w:pPr>
      <w:r w:rsidRPr="007D1918">
        <w:t xml:space="preserve">The evidence comparing IVIg with other </w:t>
      </w:r>
      <w:r w:rsidR="005502DD" w:rsidRPr="007D1918">
        <w:t xml:space="preserve">maintenance </w:t>
      </w:r>
      <w:r w:rsidRPr="007D1918">
        <w:t xml:space="preserve">therapies </w:t>
      </w:r>
      <w:r w:rsidR="005502DD" w:rsidRPr="007D1918">
        <w:t xml:space="preserve">(excluding PE) </w:t>
      </w:r>
      <w:r w:rsidRPr="007D1918">
        <w:t xml:space="preserve">was not sufficient to make any conclusions </w:t>
      </w:r>
      <w:r w:rsidR="00875271" w:rsidRPr="007D1918">
        <w:t xml:space="preserve">on the </w:t>
      </w:r>
      <w:r w:rsidR="005502DD" w:rsidRPr="007D1918">
        <w:t>questions of safety and effectiveness</w:t>
      </w:r>
      <w:r w:rsidRPr="007D1918">
        <w:t>.</w:t>
      </w:r>
    </w:p>
    <w:p w14:paraId="25BDD4BD" w14:textId="50859FAD" w:rsidR="005502DD" w:rsidRPr="007D1918" w:rsidRDefault="005502DD" w:rsidP="00875271">
      <w:pPr>
        <w:jc w:val="both"/>
      </w:pPr>
      <w:r w:rsidRPr="007D1918">
        <w:lastRenderedPageBreak/>
        <w:t xml:space="preserve">Compared to PE, </w:t>
      </w:r>
      <w:r w:rsidR="000836F9" w:rsidRPr="007D1918">
        <w:t xml:space="preserve">IVIg was found to have non-inferior safety and non-inferior effectiveness for MG patients given these maintenance therapies. </w:t>
      </w:r>
      <w:r w:rsidR="00C57DAC" w:rsidRPr="007D1918">
        <w:t>This conclusion was</w:t>
      </w:r>
      <w:r w:rsidR="003967F2" w:rsidRPr="007D1918">
        <w:t xml:space="preserve"> largely </w:t>
      </w:r>
      <w:r w:rsidR="00C57DAC" w:rsidRPr="007D1918">
        <w:t>based</w:t>
      </w:r>
      <w:r w:rsidR="003967F2" w:rsidRPr="007D1918">
        <w:t xml:space="preserve"> on</w:t>
      </w:r>
      <w:r w:rsidR="00C57DAC" w:rsidRPr="007D1918">
        <w:t xml:space="preserve"> </w:t>
      </w:r>
      <w:r w:rsidR="003967F2" w:rsidRPr="007D1918">
        <w:t xml:space="preserve">symptom improvement measured by the QMGS that </w:t>
      </w:r>
      <w:r w:rsidR="00440736" w:rsidRPr="007D1918">
        <w:t xml:space="preserve">favoured PE, but </w:t>
      </w:r>
      <w:r w:rsidR="003967F2" w:rsidRPr="007D1918">
        <w:t>was found to be n</w:t>
      </w:r>
      <w:r w:rsidR="00440736" w:rsidRPr="007D1918">
        <w:t xml:space="preserve">ot </w:t>
      </w:r>
      <w:r w:rsidR="003967F2" w:rsidRPr="007D1918">
        <w:t>statisticall</w:t>
      </w:r>
      <w:r w:rsidR="00440736" w:rsidRPr="007D1918">
        <w:t>y different between IVIg and PE. The evidence came from</w:t>
      </w:r>
      <w:r w:rsidR="003967F2" w:rsidRPr="007D1918">
        <w:t xml:space="preserve"> </w:t>
      </w:r>
      <w:r w:rsidR="00C57DAC" w:rsidRPr="007D1918">
        <w:t>one RCT of low risk of bias and several lower level studies. Overall the evidence was of moderate GRADE quality.</w:t>
      </w:r>
    </w:p>
    <w:p w14:paraId="6D1DF217" w14:textId="617074AE" w:rsidR="00C57DAC" w:rsidRPr="007D1918" w:rsidRDefault="00C57DAC" w:rsidP="00875271">
      <w:pPr>
        <w:jc w:val="both"/>
      </w:pPr>
      <w:r w:rsidRPr="007D1918">
        <w:t>The evidence on IVIg in the juvenile MG population and for SCIg in MG was insufficient to make any conclusions.</w:t>
      </w:r>
    </w:p>
    <w:p w14:paraId="6FED3771" w14:textId="32B0D5B3" w:rsidR="003C7A14" w:rsidRPr="007D1918" w:rsidRDefault="003C7A14" w:rsidP="00402FBA">
      <w:pPr>
        <w:jc w:val="both"/>
      </w:pPr>
    </w:p>
    <w:p w14:paraId="7A74CD2D" w14:textId="77777777" w:rsidR="003C7A14" w:rsidRPr="007D1918" w:rsidRDefault="003C7A14" w:rsidP="00402FBA">
      <w:pPr>
        <w:jc w:val="both"/>
        <w:sectPr w:rsidR="003C7A14" w:rsidRPr="007D1918" w:rsidSect="00945DB8">
          <w:footerReference w:type="even" r:id="rId55"/>
          <w:type w:val="oddPage"/>
          <w:pgSz w:w="11906" w:h="16838"/>
          <w:pgMar w:top="1440" w:right="1440" w:bottom="1440" w:left="1440" w:header="720" w:footer="720" w:gutter="0"/>
          <w:paperSrc w:first="7" w:other="7"/>
          <w:cols w:space="720"/>
        </w:sectPr>
      </w:pPr>
    </w:p>
    <w:p w14:paraId="7A038520" w14:textId="4714E933" w:rsidR="007F6056" w:rsidRPr="007D1918" w:rsidRDefault="007F6056" w:rsidP="00D90ED2">
      <w:pPr>
        <w:pStyle w:val="Caption"/>
        <w:ind w:left="1134" w:hanging="1134"/>
        <w:rPr>
          <w:rFonts w:cs="Arial"/>
          <w:sz w:val="18"/>
          <w:szCs w:val="18"/>
        </w:rPr>
      </w:pPr>
      <w:bookmarkStart w:id="310" w:name="_Ref12884166"/>
      <w:bookmarkStart w:id="311" w:name="_Toc23769535"/>
      <w:bookmarkStart w:id="312" w:name="_Ref141600866"/>
      <w:bookmarkStart w:id="313" w:name="_Toc122538733"/>
      <w:r w:rsidRPr="007D1918">
        <w:lastRenderedPageBreak/>
        <w:t xml:space="preserve">Table </w:t>
      </w:r>
      <w:r w:rsidR="00F9011F" w:rsidRPr="007D1918">
        <w:rPr>
          <w:noProof/>
        </w:rPr>
        <w:fldChar w:fldCharType="begin"/>
      </w:r>
      <w:r w:rsidR="00F9011F" w:rsidRPr="007D1918">
        <w:rPr>
          <w:noProof/>
        </w:rPr>
        <w:instrText xml:space="preserve"> SEQ Table \* ARABIC </w:instrText>
      </w:r>
      <w:r w:rsidR="00F9011F" w:rsidRPr="007D1918">
        <w:rPr>
          <w:noProof/>
        </w:rPr>
        <w:fldChar w:fldCharType="separate"/>
      </w:r>
      <w:r w:rsidR="007C33AD" w:rsidRPr="007D1918">
        <w:rPr>
          <w:noProof/>
        </w:rPr>
        <w:t>48</w:t>
      </w:r>
      <w:r w:rsidR="00F9011F" w:rsidRPr="007D1918">
        <w:rPr>
          <w:noProof/>
        </w:rPr>
        <w:fldChar w:fldCharType="end"/>
      </w:r>
      <w:bookmarkEnd w:id="310"/>
      <w:r w:rsidRPr="007D1918">
        <w:tab/>
        <w:t xml:space="preserve">Balance of clinical benefits and harms of </w:t>
      </w:r>
      <w:r w:rsidRPr="007D1918">
        <w:rPr>
          <w:u w:val="single"/>
        </w:rPr>
        <w:t>IVIg relative to PE</w:t>
      </w:r>
      <w:r w:rsidRPr="007D1918">
        <w:t xml:space="preserve"> in MG patients in or at risk of MG crisis</w:t>
      </w:r>
      <w:r w:rsidR="002C5F9D" w:rsidRPr="007D1918">
        <w:t xml:space="preserve"> (</w:t>
      </w:r>
      <w:r w:rsidR="0088065E" w:rsidRPr="007D1918">
        <w:rPr>
          <w:i/>
        </w:rPr>
        <w:t xml:space="preserve">Criteria V3 </w:t>
      </w:r>
      <w:r w:rsidR="002C5F9D" w:rsidRPr="007D1918">
        <w:t>Indication 1)</w:t>
      </w:r>
      <w:r w:rsidRPr="007D1918">
        <w:t xml:space="preserve">, as measured by the </w:t>
      </w:r>
      <w:r w:rsidRPr="007D1918">
        <w:rPr>
          <w:u w:val="single"/>
        </w:rPr>
        <w:t>critical</w:t>
      </w:r>
      <w:r w:rsidRPr="007D1918">
        <w:t xml:space="preserve"> patient re</w:t>
      </w:r>
      <w:r w:rsidR="002C5F9D" w:rsidRPr="007D1918">
        <w:t>levant outcomes in</w:t>
      </w:r>
      <w:r w:rsidRPr="007D1918">
        <w:t xml:space="preserve"> the key studies</w:t>
      </w:r>
      <w:bookmarkEnd w:id="311"/>
      <w:r w:rsidRPr="007D1918">
        <w:t xml:space="preserve"> </w:t>
      </w:r>
    </w:p>
    <w:tbl>
      <w:tblPr>
        <w:tblW w:w="5028" w:type="pct"/>
        <w:tblLook w:val="04A0" w:firstRow="1" w:lastRow="0" w:firstColumn="1" w:lastColumn="0" w:noHBand="0" w:noVBand="1"/>
        <w:tblCaption w:val="Table 46 Balance of clinical benefits and harms of IVIg relative to PE in MG patients in or at risk of MG crisis (NBA Criteria V3 Indication 1), as measured by the critical patient relevant outcomes in the key studies "/>
        <w:tblDescription w:val="Summary of GRADE assessment for thee critical safety and effectiveness outcomes in patients receiving IVIg compared with those receiving PE (Indication 1)."/>
      </w:tblPr>
      <w:tblGrid>
        <w:gridCol w:w="2411"/>
        <w:gridCol w:w="1842"/>
        <w:gridCol w:w="2835"/>
        <w:gridCol w:w="1701"/>
        <w:gridCol w:w="5247"/>
      </w:tblGrid>
      <w:tr w:rsidR="0035507C" w:rsidRPr="007D1918" w14:paraId="3F39FA1B" w14:textId="77777777" w:rsidTr="00756F59">
        <w:trPr>
          <w:trHeight w:val="518"/>
          <w:tblHeader/>
        </w:trPr>
        <w:tc>
          <w:tcPr>
            <w:tcW w:w="859" w:type="pct"/>
            <w:tcBorders>
              <w:top w:val="single" w:sz="12" w:space="0" w:color="auto"/>
              <w:right w:val="single" w:sz="4" w:space="0" w:color="auto"/>
            </w:tcBorders>
            <w:shd w:val="clear" w:color="auto" w:fill="EEECE1" w:themeFill="background2"/>
          </w:tcPr>
          <w:p w14:paraId="08918238" w14:textId="5DB6D8F5" w:rsidR="0035507C" w:rsidRPr="007D1918" w:rsidRDefault="0035507C" w:rsidP="0035507C">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tc>
        <w:tc>
          <w:tcPr>
            <w:tcW w:w="656" w:type="pct"/>
            <w:tcBorders>
              <w:top w:val="single" w:sz="12" w:space="0" w:color="auto"/>
              <w:right w:val="single" w:sz="4" w:space="0" w:color="auto"/>
            </w:tcBorders>
            <w:shd w:val="clear" w:color="auto" w:fill="EEECE1" w:themeFill="background2"/>
          </w:tcPr>
          <w:p w14:paraId="1E52AA26" w14:textId="77777777" w:rsidR="0035507C" w:rsidRPr="007D1918" w:rsidRDefault="0035507C" w:rsidP="002C5F9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3898731E" w14:textId="6456458D" w:rsidR="0035507C" w:rsidRPr="007D1918" w:rsidRDefault="0035507C" w:rsidP="003750C9">
            <w:pPr>
              <w:spacing w:before="40" w:after="40" w:line="240" w:lineRule="auto"/>
              <w:rPr>
                <w:rFonts w:ascii="Arial Narrow" w:hAnsi="Arial Narrow"/>
                <w:b/>
                <w:sz w:val="20"/>
                <w:szCs w:val="20"/>
                <w:lang w:eastAsia="en-US"/>
              </w:rPr>
            </w:pPr>
            <w:r w:rsidRPr="007D1918">
              <w:rPr>
                <w:rFonts w:ascii="Arial Narrow" w:hAnsi="Arial Narrow"/>
                <w:b/>
                <w:sz w:val="20"/>
                <w:szCs w:val="20"/>
                <w:lang w:eastAsia="en-US"/>
              </w:rPr>
              <w:t>Studies</w:t>
            </w:r>
          </w:p>
        </w:tc>
        <w:tc>
          <w:tcPr>
            <w:tcW w:w="1010" w:type="pct"/>
            <w:tcBorders>
              <w:top w:val="single" w:sz="12" w:space="0" w:color="auto"/>
              <w:left w:val="single" w:sz="4" w:space="0" w:color="auto"/>
              <w:right w:val="single" w:sz="4" w:space="0" w:color="auto"/>
            </w:tcBorders>
            <w:shd w:val="clear" w:color="auto" w:fill="EEECE1" w:themeFill="background2"/>
          </w:tcPr>
          <w:p w14:paraId="4B850510" w14:textId="49DD3159" w:rsidR="0035507C" w:rsidRPr="007D1918" w:rsidRDefault="0035507C" w:rsidP="003279EA">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Effect </w:t>
            </w:r>
          </w:p>
        </w:tc>
        <w:tc>
          <w:tcPr>
            <w:tcW w:w="606" w:type="pct"/>
            <w:tcBorders>
              <w:top w:val="single" w:sz="12" w:space="0" w:color="auto"/>
              <w:left w:val="single" w:sz="4" w:space="0" w:color="auto"/>
              <w:bottom w:val="single" w:sz="4" w:space="0" w:color="auto"/>
              <w:right w:val="single" w:sz="4" w:space="0" w:color="auto"/>
            </w:tcBorders>
            <w:shd w:val="clear" w:color="auto" w:fill="EEECE1" w:themeFill="background2"/>
          </w:tcPr>
          <w:p w14:paraId="4920155F" w14:textId="27ABB6AD" w:rsidR="0035507C" w:rsidRPr="007D1918" w:rsidRDefault="0035507C" w:rsidP="002C5F9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GRADE </w:t>
            </w:r>
          </w:p>
        </w:tc>
        <w:tc>
          <w:tcPr>
            <w:tcW w:w="1869" w:type="pct"/>
            <w:tcBorders>
              <w:top w:val="single" w:sz="12" w:space="0" w:color="auto"/>
              <w:left w:val="single" w:sz="4" w:space="0" w:color="auto"/>
              <w:bottom w:val="single" w:sz="4" w:space="0" w:color="auto"/>
            </w:tcBorders>
            <w:shd w:val="clear" w:color="auto" w:fill="EEECE1" w:themeFill="background2"/>
          </w:tcPr>
          <w:p w14:paraId="6EE0C031" w14:textId="69263910" w:rsidR="0035507C" w:rsidRPr="007D1918" w:rsidRDefault="0035507C" w:rsidP="002C5F9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Comments</w:t>
            </w:r>
          </w:p>
        </w:tc>
      </w:tr>
      <w:tr w:rsidR="0035507C" w:rsidRPr="007D1918" w14:paraId="5650B40F" w14:textId="77777777" w:rsidTr="0035507C">
        <w:tc>
          <w:tcPr>
            <w:tcW w:w="5000" w:type="pct"/>
            <w:gridSpan w:val="5"/>
            <w:tcBorders>
              <w:top w:val="single" w:sz="4" w:space="0" w:color="auto"/>
              <w:bottom w:val="single" w:sz="4" w:space="0" w:color="auto"/>
            </w:tcBorders>
          </w:tcPr>
          <w:p w14:paraId="5C0210F0" w14:textId="7C274053" w:rsidR="0035507C" w:rsidRPr="007D1918" w:rsidRDefault="0035507C" w:rsidP="00D90ED2">
            <w:pPr>
              <w:spacing w:before="40" w:after="40" w:line="240" w:lineRule="auto"/>
              <w:rPr>
                <w:rFonts w:ascii="Arial Narrow" w:hAnsi="Arial Narrow"/>
                <w:b/>
                <w:sz w:val="18"/>
                <w:szCs w:val="18"/>
                <w:lang w:eastAsia="en-US"/>
              </w:rPr>
            </w:pPr>
            <w:r w:rsidRPr="007D1918">
              <w:rPr>
                <w:rFonts w:ascii="Arial Narrow" w:hAnsi="Arial Narrow"/>
                <w:b/>
                <w:sz w:val="18"/>
                <w:szCs w:val="18"/>
                <w:lang w:eastAsia="en-US"/>
              </w:rPr>
              <w:t>Safety</w:t>
            </w:r>
          </w:p>
        </w:tc>
      </w:tr>
      <w:tr w:rsidR="0035507C" w:rsidRPr="007D1918" w14:paraId="2EEC99FB" w14:textId="77777777" w:rsidTr="00756F59">
        <w:tc>
          <w:tcPr>
            <w:tcW w:w="859" w:type="pct"/>
            <w:tcBorders>
              <w:top w:val="single" w:sz="4" w:space="0" w:color="auto"/>
              <w:bottom w:val="single" w:sz="4" w:space="0" w:color="auto"/>
              <w:right w:val="single" w:sz="4" w:space="0" w:color="auto"/>
            </w:tcBorders>
          </w:tcPr>
          <w:p w14:paraId="02370F9E" w14:textId="00A8A1E1" w:rsidR="0035507C" w:rsidRPr="007D1918" w:rsidRDefault="0035507C" w:rsidP="00623BF7">
            <w:pPr>
              <w:spacing w:before="40" w:after="40" w:line="240" w:lineRule="auto"/>
              <w:rPr>
                <w:rFonts w:ascii="Arial Narrow" w:hAnsi="Arial Narrow"/>
                <w:sz w:val="18"/>
                <w:szCs w:val="18"/>
                <w:lang w:eastAsia="en-US"/>
              </w:rPr>
            </w:pPr>
            <w:r w:rsidRPr="007D1918">
              <w:rPr>
                <w:rFonts w:ascii="Arial Narrow" w:hAnsi="Arial Narrow" w:cs="Arial"/>
                <w:sz w:val="18"/>
                <w:szCs w:val="18"/>
              </w:rPr>
              <w:t xml:space="preserve">Adverse events </w:t>
            </w:r>
            <w:r w:rsidRPr="007D1918">
              <w:rPr>
                <w:rFonts w:ascii="Arial Narrow" w:hAnsi="Arial Narrow" w:cs="Arial"/>
                <w:sz w:val="18"/>
                <w:szCs w:val="18"/>
              </w:rPr>
              <w:br/>
              <w:t>(% patients with an event)</w:t>
            </w:r>
          </w:p>
        </w:tc>
        <w:tc>
          <w:tcPr>
            <w:tcW w:w="656" w:type="pct"/>
            <w:tcBorders>
              <w:top w:val="single" w:sz="4" w:space="0" w:color="auto"/>
              <w:left w:val="single" w:sz="4" w:space="0" w:color="auto"/>
              <w:bottom w:val="single" w:sz="4" w:space="0" w:color="auto"/>
              <w:right w:val="single" w:sz="4" w:space="0" w:color="auto"/>
            </w:tcBorders>
          </w:tcPr>
          <w:p w14:paraId="67C89A80" w14:textId="77777777" w:rsidR="0035507C" w:rsidRPr="007D1918" w:rsidRDefault="0035507C"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n=897</w:t>
            </w:r>
          </w:p>
          <w:p w14:paraId="0862833F" w14:textId="15DBFCAA" w:rsidR="0035507C" w:rsidRPr="007D1918" w:rsidRDefault="0035507C"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 5 Ret CoH</w:t>
            </w:r>
          </w:p>
        </w:tc>
        <w:tc>
          <w:tcPr>
            <w:tcW w:w="1010" w:type="pct"/>
            <w:tcBorders>
              <w:top w:val="single" w:sz="4" w:space="0" w:color="auto"/>
              <w:left w:val="single" w:sz="4" w:space="0" w:color="auto"/>
              <w:bottom w:val="single" w:sz="4" w:space="0" w:color="auto"/>
              <w:right w:val="single" w:sz="4" w:space="0" w:color="auto"/>
            </w:tcBorders>
          </w:tcPr>
          <w:p w14:paraId="7CD48ED4" w14:textId="4714B944" w:rsidR="0035507C" w:rsidRPr="007D1918" w:rsidRDefault="0035507C" w:rsidP="0035507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were fewer adverse events associated with IVIg compared to PE</w:t>
            </w:r>
          </w:p>
        </w:tc>
        <w:tc>
          <w:tcPr>
            <w:tcW w:w="606" w:type="pct"/>
            <w:tcBorders>
              <w:top w:val="single" w:sz="4" w:space="0" w:color="auto"/>
              <w:left w:val="single" w:sz="4" w:space="0" w:color="auto"/>
              <w:bottom w:val="single" w:sz="4" w:space="0" w:color="auto"/>
              <w:right w:val="single" w:sz="4" w:space="0" w:color="auto"/>
            </w:tcBorders>
          </w:tcPr>
          <w:p w14:paraId="6043F24D" w14:textId="77777777" w:rsidR="0035507C" w:rsidRPr="007D1918" w:rsidRDefault="0035507C" w:rsidP="002C5F9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017852E8" w14:textId="1BD684F6" w:rsidR="0035507C" w:rsidRPr="007D1918" w:rsidRDefault="0035507C" w:rsidP="002C5F9D">
            <w:pPr>
              <w:spacing w:before="40" w:after="40" w:line="240" w:lineRule="auto"/>
              <w:jc w:val="both"/>
              <w:rPr>
                <w:rFonts w:ascii="Arial Narrow" w:hAnsi="Arial Narrow" w:cstheme="minorHAnsi"/>
                <w:sz w:val="18"/>
                <w:szCs w:val="18"/>
                <w:lang w:eastAsia="en-US"/>
              </w:rPr>
            </w:pPr>
            <w:r w:rsidRPr="007D1918">
              <w:rPr>
                <w:rFonts w:ascii="Arial Narrow" w:hAnsi="Arial Narrow" w:cstheme="minorHAnsi"/>
                <w:sz w:val="18"/>
                <w:szCs w:val="18"/>
              </w:rPr>
              <w:t>Moderate quality</w:t>
            </w:r>
          </w:p>
        </w:tc>
        <w:tc>
          <w:tcPr>
            <w:tcW w:w="1869" w:type="pct"/>
            <w:tcBorders>
              <w:top w:val="single" w:sz="4" w:space="0" w:color="auto"/>
              <w:left w:val="single" w:sz="4" w:space="0" w:color="auto"/>
              <w:bottom w:val="single" w:sz="4" w:space="0" w:color="auto"/>
            </w:tcBorders>
          </w:tcPr>
          <w:p w14:paraId="00113360" w14:textId="33E5146A" w:rsidR="0035507C" w:rsidRPr="007D1918" w:rsidRDefault="0035507C" w:rsidP="00D90ED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were fewer AEs overall occurring in patients who received IVIg compared to PE. This result was consistent across studies. Selection bias could not be ruled out in the cohort studies, and this may reduce the effect, but benefit is still likely.</w:t>
            </w:r>
          </w:p>
        </w:tc>
      </w:tr>
      <w:tr w:rsidR="0035507C" w:rsidRPr="007D1918" w14:paraId="1334BEAC" w14:textId="77777777" w:rsidTr="0035507C">
        <w:tc>
          <w:tcPr>
            <w:tcW w:w="5000" w:type="pct"/>
            <w:gridSpan w:val="5"/>
            <w:tcBorders>
              <w:top w:val="single" w:sz="4" w:space="0" w:color="auto"/>
              <w:bottom w:val="single" w:sz="4" w:space="0" w:color="auto"/>
            </w:tcBorders>
          </w:tcPr>
          <w:p w14:paraId="34E368B5" w14:textId="2710C881" w:rsidR="0035507C" w:rsidRPr="007D1918" w:rsidRDefault="003340C4" w:rsidP="0035507C">
            <w:pPr>
              <w:spacing w:before="40" w:after="40" w:line="240" w:lineRule="auto"/>
              <w:rPr>
                <w:rFonts w:ascii="Arial Narrow" w:hAnsi="Arial Narrow"/>
                <w:b/>
                <w:sz w:val="18"/>
                <w:szCs w:val="18"/>
                <w:lang w:eastAsia="en-US"/>
              </w:rPr>
            </w:pPr>
            <w:r w:rsidRPr="007D1918">
              <w:rPr>
                <w:rFonts w:ascii="Arial Narrow" w:hAnsi="Arial Narrow"/>
                <w:b/>
                <w:sz w:val="18"/>
                <w:szCs w:val="18"/>
                <w:lang w:eastAsia="en-US"/>
              </w:rPr>
              <w:t>Effectiveness</w:t>
            </w:r>
          </w:p>
        </w:tc>
      </w:tr>
      <w:tr w:rsidR="0035507C" w:rsidRPr="007D1918" w14:paraId="339B301B" w14:textId="77777777" w:rsidTr="00756F59">
        <w:tc>
          <w:tcPr>
            <w:tcW w:w="859" w:type="pct"/>
            <w:tcBorders>
              <w:top w:val="single" w:sz="4" w:space="0" w:color="auto"/>
              <w:bottom w:val="single" w:sz="4" w:space="0" w:color="auto"/>
              <w:right w:val="single" w:sz="4" w:space="0" w:color="auto"/>
            </w:tcBorders>
          </w:tcPr>
          <w:p w14:paraId="661C3008" w14:textId="77777777" w:rsidR="0035507C" w:rsidRPr="007D1918" w:rsidRDefault="0035507C" w:rsidP="002C5F9D">
            <w:pPr>
              <w:spacing w:before="40" w:after="40" w:line="240" w:lineRule="auto"/>
              <w:rPr>
                <w:rFonts w:ascii="Arial Narrow" w:hAnsi="Arial Narrow" w:cs="Arial"/>
                <w:sz w:val="18"/>
                <w:szCs w:val="18"/>
              </w:rPr>
            </w:pPr>
            <w:r w:rsidRPr="007D1918">
              <w:rPr>
                <w:rFonts w:ascii="Arial Narrow" w:hAnsi="Arial Narrow" w:cs="Arial"/>
                <w:sz w:val="18"/>
                <w:szCs w:val="18"/>
              </w:rPr>
              <w:t>Mortality</w:t>
            </w:r>
          </w:p>
          <w:p w14:paraId="53385F0E" w14:textId="2F879D41" w:rsidR="0035507C" w:rsidRPr="007D1918" w:rsidRDefault="0035507C" w:rsidP="00623BF7">
            <w:pPr>
              <w:spacing w:before="40" w:after="40" w:line="240" w:lineRule="auto"/>
              <w:rPr>
                <w:rFonts w:ascii="Arial Narrow" w:hAnsi="Arial Narrow"/>
                <w:sz w:val="18"/>
                <w:szCs w:val="18"/>
                <w:lang w:eastAsia="en-US"/>
              </w:rPr>
            </w:pPr>
            <w:r w:rsidRPr="007D1918">
              <w:rPr>
                <w:rFonts w:ascii="Arial Narrow" w:hAnsi="Arial Narrow" w:cs="Arial"/>
                <w:sz w:val="18"/>
                <w:szCs w:val="18"/>
              </w:rPr>
              <w:t>(% patients)</w:t>
            </w:r>
          </w:p>
        </w:tc>
        <w:tc>
          <w:tcPr>
            <w:tcW w:w="656" w:type="pct"/>
            <w:tcBorders>
              <w:top w:val="single" w:sz="4" w:space="0" w:color="auto"/>
              <w:left w:val="single" w:sz="4" w:space="0" w:color="auto"/>
              <w:bottom w:val="single" w:sz="4" w:space="0" w:color="auto"/>
              <w:right w:val="single" w:sz="4" w:space="0" w:color="auto"/>
            </w:tcBorders>
          </w:tcPr>
          <w:p w14:paraId="2F7DCAF5" w14:textId="77777777" w:rsidR="0035507C" w:rsidRPr="007D1918" w:rsidRDefault="0035507C"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n=773</w:t>
            </w:r>
          </w:p>
          <w:p w14:paraId="1BC8F1D9" w14:textId="07DFE4FC" w:rsidR="0035507C" w:rsidRPr="007D1918" w:rsidRDefault="0035507C" w:rsidP="002C5F9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k=3 Ret CoH</w:t>
            </w:r>
          </w:p>
        </w:tc>
        <w:tc>
          <w:tcPr>
            <w:tcW w:w="1010" w:type="pct"/>
            <w:tcBorders>
              <w:top w:val="single" w:sz="4" w:space="0" w:color="auto"/>
              <w:left w:val="single" w:sz="4" w:space="0" w:color="auto"/>
              <w:bottom w:val="single" w:sz="4" w:space="0" w:color="auto"/>
              <w:right w:val="single" w:sz="4" w:space="0" w:color="auto"/>
            </w:tcBorders>
          </w:tcPr>
          <w:p w14:paraId="4AA91B9C" w14:textId="6D6FDCE4" w:rsidR="0035507C" w:rsidRPr="007D1918" w:rsidRDefault="0035507C" w:rsidP="003279EA">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606" w:type="pct"/>
            <w:tcBorders>
              <w:top w:val="single" w:sz="4" w:space="0" w:color="auto"/>
              <w:left w:val="single" w:sz="4" w:space="0" w:color="auto"/>
              <w:bottom w:val="single" w:sz="4" w:space="0" w:color="auto"/>
              <w:right w:val="single" w:sz="4" w:space="0" w:color="auto"/>
            </w:tcBorders>
          </w:tcPr>
          <w:p w14:paraId="0FB7945B" w14:textId="77777777" w:rsidR="0035507C" w:rsidRPr="007D1918" w:rsidRDefault="0035507C" w:rsidP="002C5F9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54950683" w14:textId="646C90FB" w:rsidR="0035507C" w:rsidRPr="007D1918" w:rsidRDefault="0035507C" w:rsidP="002C5F9D">
            <w:pPr>
              <w:spacing w:before="40" w:after="40" w:line="240" w:lineRule="auto"/>
              <w:jc w:val="both"/>
              <w:rPr>
                <w:rFonts w:ascii="Arial Narrow" w:hAnsi="Arial Narrow" w:cstheme="minorHAnsi"/>
                <w:sz w:val="18"/>
                <w:szCs w:val="18"/>
                <w:lang w:eastAsia="en-US"/>
              </w:rPr>
            </w:pPr>
            <w:r w:rsidRPr="007D1918">
              <w:rPr>
                <w:rFonts w:ascii="Arial Narrow" w:hAnsi="Arial Narrow" w:cstheme="minorHAnsi"/>
                <w:sz w:val="18"/>
                <w:szCs w:val="18"/>
              </w:rPr>
              <w:t>Low quality</w:t>
            </w:r>
          </w:p>
        </w:tc>
        <w:tc>
          <w:tcPr>
            <w:tcW w:w="1869" w:type="pct"/>
            <w:tcBorders>
              <w:top w:val="single" w:sz="4" w:space="0" w:color="auto"/>
              <w:left w:val="single" w:sz="4" w:space="0" w:color="auto"/>
              <w:bottom w:val="single" w:sz="4" w:space="0" w:color="auto"/>
            </w:tcBorders>
          </w:tcPr>
          <w:p w14:paraId="7427BD6F" w14:textId="5F5A423A" w:rsidR="0035507C" w:rsidRPr="007D1918" w:rsidRDefault="0035507C" w:rsidP="00D90ED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were fewer deaths occurring in patients who received IVIg compared to PE, but suspicion of selection bias in one large cohort study prevents this result from being reliable</w:t>
            </w:r>
            <w:r w:rsidR="002C7E09" w:rsidRPr="007D1918">
              <w:rPr>
                <w:rFonts w:ascii="Arial Narrow" w:hAnsi="Arial Narrow"/>
                <w:sz w:val="18"/>
                <w:szCs w:val="18"/>
                <w:lang w:eastAsia="en-US"/>
              </w:rPr>
              <w:t>.</w:t>
            </w:r>
          </w:p>
        </w:tc>
      </w:tr>
      <w:tr w:rsidR="0035507C" w:rsidRPr="007D1918" w14:paraId="1D013B6F" w14:textId="77777777" w:rsidTr="00756F59">
        <w:tc>
          <w:tcPr>
            <w:tcW w:w="859" w:type="pct"/>
            <w:tcBorders>
              <w:top w:val="single" w:sz="4" w:space="0" w:color="auto"/>
              <w:bottom w:val="single" w:sz="4" w:space="0" w:color="auto"/>
              <w:right w:val="single" w:sz="4" w:space="0" w:color="auto"/>
            </w:tcBorders>
          </w:tcPr>
          <w:p w14:paraId="559600C2" w14:textId="4751FDEF" w:rsidR="0035507C" w:rsidRPr="007D1918" w:rsidRDefault="0035507C" w:rsidP="00623BF7">
            <w:pPr>
              <w:spacing w:before="40" w:after="40" w:line="240" w:lineRule="auto"/>
              <w:rPr>
                <w:rFonts w:ascii="Arial Narrow" w:hAnsi="Arial Narrow"/>
                <w:sz w:val="18"/>
                <w:szCs w:val="18"/>
                <w:lang w:eastAsia="en-US"/>
              </w:rPr>
            </w:pPr>
            <w:r w:rsidRPr="007D1918">
              <w:rPr>
                <w:rFonts w:ascii="Arial Narrow" w:hAnsi="Arial Narrow" w:cs="Arial"/>
                <w:sz w:val="18"/>
                <w:szCs w:val="18"/>
              </w:rPr>
              <w:t xml:space="preserve">Infection rate </w:t>
            </w:r>
            <w:r w:rsidRPr="007D1918">
              <w:rPr>
                <w:rFonts w:ascii="Arial Narrow" w:hAnsi="Arial Narrow" w:cs="Arial"/>
                <w:sz w:val="18"/>
                <w:szCs w:val="18"/>
              </w:rPr>
              <w:br/>
              <w:t>(% patients with an event)</w:t>
            </w:r>
          </w:p>
        </w:tc>
        <w:tc>
          <w:tcPr>
            <w:tcW w:w="656" w:type="pct"/>
            <w:tcBorders>
              <w:top w:val="single" w:sz="4" w:space="0" w:color="auto"/>
              <w:left w:val="single" w:sz="4" w:space="0" w:color="auto"/>
              <w:bottom w:val="single" w:sz="4" w:space="0" w:color="auto"/>
              <w:right w:val="single" w:sz="4" w:space="0" w:color="auto"/>
            </w:tcBorders>
          </w:tcPr>
          <w:p w14:paraId="10C370E1" w14:textId="77777777" w:rsidR="0035507C" w:rsidRPr="007D1918" w:rsidRDefault="0035507C"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n=778</w:t>
            </w:r>
          </w:p>
          <w:p w14:paraId="6A379C21" w14:textId="34CE191E" w:rsidR="0035507C" w:rsidRPr="007D1918" w:rsidRDefault="0035507C" w:rsidP="002C5F9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k=3 Ret CoH</w:t>
            </w:r>
          </w:p>
        </w:tc>
        <w:tc>
          <w:tcPr>
            <w:tcW w:w="1010" w:type="pct"/>
            <w:tcBorders>
              <w:top w:val="single" w:sz="4" w:space="0" w:color="auto"/>
              <w:left w:val="single" w:sz="4" w:space="0" w:color="auto"/>
              <w:bottom w:val="single" w:sz="4" w:space="0" w:color="auto"/>
              <w:right w:val="single" w:sz="4" w:space="0" w:color="auto"/>
            </w:tcBorders>
          </w:tcPr>
          <w:p w14:paraId="4CB1AB36" w14:textId="590DA226" w:rsidR="0035507C" w:rsidRPr="007D1918" w:rsidRDefault="0035507C" w:rsidP="00360EB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606" w:type="pct"/>
            <w:tcBorders>
              <w:top w:val="single" w:sz="4" w:space="0" w:color="auto"/>
              <w:left w:val="single" w:sz="4" w:space="0" w:color="auto"/>
              <w:bottom w:val="single" w:sz="4" w:space="0" w:color="auto"/>
              <w:right w:val="single" w:sz="4" w:space="0" w:color="auto"/>
            </w:tcBorders>
          </w:tcPr>
          <w:p w14:paraId="3402E632" w14:textId="77777777" w:rsidR="0035507C" w:rsidRPr="007D1918" w:rsidRDefault="0035507C" w:rsidP="002C5F9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57021FBE" w14:textId="2FBBF91C" w:rsidR="0035507C" w:rsidRPr="007D1918" w:rsidRDefault="0035507C" w:rsidP="002C5F9D">
            <w:pPr>
              <w:spacing w:before="40" w:after="40" w:line="240" w:lineRule="auto"/>
              <w:jc w:val="both"/>
              <w:rPr>
                <w:rFonts w:ascii="Arial Narrow" w:hAnsi="Arial Narrow" w:cstheme="minorHAnsi"/>
                <w:color w:val="00B050"/>
                <w:sz w:val="18"/>
                <w:szCs w:val="18"/>
              </w:rPr>
            </w:pPr>
            <w:r w:rsidRPr="007D1918">
              <w:rPr>
                <w:rFonts w:ascii="Arial Narrow" w:hAnsi="Arial Narrow" w:cstheme="minorHAnsi"/>
                <w:sz w:val="18"/>
                <w:szCs w:val="18"/>
              </w:rPr>
              <w:t>Low quality</w:t>
            </w:r>
          </w:p>
        </w:tc>
        <w:tc>
          <w:tcPr>
            <w:tcW w:w="1869" w:type="pct"/>
            <w:tcBorders>
              <w:top w:val="single" w:sz="4" w:space="0" w:color="auto"/>
              <w:left w:val="single" w:sz="4" w:space="0" w:color="auto"/>
              <w:bottom w:val="single" w:sz="4" w:space="0" w:color="auto"/>
            </w:tcBorders>
          </w:tcPr>
          <w:p w14:paraId="07888FCC" w14:textId="2308351B" w:rsidR="0035507C" w:rsidRPr="007D1918" w:rsidRDefault="0035507C" w:rsidP="00D90ED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There were fewer infections overall occurring in patients who received IVIg compared to PE. Suspicion of selection bias in one large cohort study, and inconsistent reporting of infections prevents this result from being reliable. </w:t>
            </w:r>
          </w:p>
        </w:tc>
      </w:tr>
      <w:tr w:rsidR="0035507C" w:rsidRPr="007D1918" w14:paraId="5783DBA6" w14:textId="77777777" w:rsidTr="00756F59">
        <w:tc>
          <w:tcPr>
            <w:tcW w:w="859" w:type="pct"/>
            <w:tcBorders>
              <w:top w:val="single" w:sz="4" w:space="0" w:color="auto"/>
              <w:bottom w:val="single" w:sz="4" w:space="0" w:color="auto"/>
              <w:right w:val="single" w:sz="4" w:space="0" w:color="auto"/>
            </w:tcBorders>
          </w:tcPr>
          <w:p w14:paraId="06EE707F" w14:textId="1D405037" w:rsidR="0035507C" w:rsidRPr="007D1918" w:rsidRDefault="0035507C" w:rsidP="00623BF7">
            <w:pPr>
              <w:spacing w:before="40" w:after="40" w:line="240" w:lineRule="auto"/>
              <w:rPr>
                <w:rFonts w:ascii="Arial Narrow" w:hAnsi="Arial Narrow"/>
                <w:sz w:val="18"/>
                <w:szCs w:val="18"/>
                <w:lang w:eastAsia="en-US"/>
              </w:rPr>
            </w:pPr>
            <w:r w:rsidRPr="007D1918">
              <w:rPr>
                <w:rFonts w:ascii="Arial Narrow" w:hAnsi="Arial Narrow" w:cs="Arial"/>
                <w:sz w:val="18"/>
                <w:szCs w:val="18"/>
              </w:rPr>
              <w:t>Change in MMS (change in score at 15 days from baseline)</w:t>
            </w:r>
          </w:p>
        </w:tc>
        <w:tc>
          <w:tcPr>
            <w:tcW w:w="656" w:type="pct"/>
            <w:tcBorders>
              <w:top w:val="single" w:sz="4" w:space="0" w:color="auto"/>
              <w:left w:val="single" w:sz="4" w:space="0" w:color="auto"/>
              <w:bottom w:val="single" w:sz="4" w:space="0" w:color="auto"/>
              <w:right w:val="single" w:sz="4" w:space="0" w:color="auto"/>
            </w:tcBorders>
          </w:tcPr>
          <w:p w14:paraId="3E7CE94C" w14:textId="77777777" w:rsidR="0035507C" w:rsidRPr="007D1918" w:rsidRDefault="0035507C" w:rsidP="002C5F9D">
            <w:pPr>
              <w:spacing w:before="40" w:after="40" w:line="240" w:lineRule="auto"/>
              <w:rPr>
                <w:rFonts w:ascii="Arial Narrow" w:hAnsi="Arial Narrow" w:cs="Arial"/>
                <w:sz w:val="18"/>
                <w:szCs w:val="18"/>
              </w:rPr>
            </w:pPr>
            <w:r w:rsidRPr="007D1918">
              <w:rPr>
                <w:rFonts w:ascii="Arial Narrow" w:hAnsi="Arial Narrow" w:cs="Arial"/>
                <w:sz w:val="18"/>
                <w:szCs w:val="18"/>
              </w:rPr>
              <w:t>n=87</w:t>
            </w:r>
          </w:p>
          <w:p w14:paraId="28E25FFC" w14:textId="590ECD2B" w:rsidR="0035507C" w:rsidRPr="007D1918" w:rsidRDefault="0035507C" w:rsidP="002C5F9D">
            <w:pPr>
              <w:spacing w:before="40" w:after="40" w:line="240" w:lineRule="auto"/>
              <w:jc w:val="both"/>
              <w:rPr>
                <w:rFonts w:ascii="Arial Narrow" w:hAnsi="Arial Narrow"/>
                <w:sz w:val="18"/>
                <w:szCs w:val="18"/>
                <w:lang w:eastAsia="en-US"/>
              </w:rPr>
            </w:pPr>
            <w:r w:rsidRPr="007D1918">
              <w:rPr>
                <w:rFonts w:ascii="Arial Narrow" w:hAnsi="Arial Narrow" w:cs="Arial"/>
                <w:sz w:val="18"/>
                <w:szCs w:val="18"/>
              </w:rPr>
              <w:t>k=1 RCT</w:t>
            </w:r>
          </w:p>
        </w:tc>
        <w:tc>
          <w:tcPr>
            <w:tcW w:w="1010" w:type="pct"/>
            <w:tcBorders>
              <w:top w:val="single" w:sz="4" w:space="0" w:color="auto"/>
              <w:left w:val="single" w:sz="4" w:space="0" w:color="auto"/>
              <w:bottom w:val="single" w:sz="4" w:space="0" w:color="auto"/>
              <w:right w:val="single" w:sz="4" w:space="0" w:color="auto"/>
            </w:tcBorders>
          </w:tcPr>
          <w:p w14:paraId="518891D9" w14:textId="570F573D" w:rsidR="0035507C" w:rsidRPr="007D1918" w:rsidRDefault="0035507C" w:rsidP="002C5F9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606" w:type="pct"/>
            <w:tcBorders>
              <w:top w:val="single" w:sz="4" w:space="0" w:color="auto"/>
              <w:left w:val="single" w:sz="4" w:space="0" w:color="auto"/>
              <w:bottom w:val="single" w:sz="4" w:space="0" w:color="auto"/>
              <w:right w:val="single" w:sz="4" w:space="0" w:color="auto"/>
            </w:tcBorders>
          </w:tcPr>
          <w:p w14:paraId="595062F7" w14:textId="77777777" w:rsidR="0035507C" w:rsidRPr="007D1918" w:rsidRDefault="0035507C" w:rsidP="002C5F9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7F502285" w14:textId="1EE42F68" w:rsidR="0035507C" w:rsidRPr="007D1918" w:rsidRDefault="0035507C" w:rsidP="002C5F9D">
            <w:pPr>
              <w:spacing w:before="40" w:after="40" w:line="240" w:lineRule="auto"/>
              <w:jc w:val="both"/>
              <w:rPr>
                <w:rFonts w:ascii="Arial Narrow" w:hAnsi="Arial Narrow" w:cstheme="minorHAnsi"/>
                <w:sz w:val="18"/>
                <w:szCs w:val="18"/>
                <w:lang w:eastAsia="en-US"/>
              </w:rPr>
            </w:pPr>
            <w:r w:rsidRPr="007D1918">
              <w:rPr>
                <w:rFonts w:ascii="Arial Narrow" w:hAnsi="Arial Narrow" w:cstheme="minorHAnsi"/>
                <w:sz w:val="18"/>
                <w:szCs w:val="18"/>
              </w:rPr>
              <w:t>Moderate quality</w:t>
            </w:r>
          </w:p>
        </w:tc>
        <w:tc>
          <w:tcPr>
            <w:tcW w:w="1869" w:type="pct"/>
            <w:tcBorders>
              <w:top w:val="single" w:sz="4" w:space="0" w:color="auto"/>
              <w:left w:val="single" w:sz="4" w:space="0" w:color="auto"/>
              <w:bottom w:val="single" w:sz="4" w:space="0" w:color="auto"/>
            </w:tcBorders>
          </w:tcPr>
          <w:p w14:paraId="40494FB6" w14:textId="600EE23A" w:rsidR="0035507C" w:rsidRPr="007D1918" w:rsidRDefault="0035507C" w:rsidP="00360EB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benefit for patients receiving IVIg over those who received PE found by change in MMS at 15 days.</w:t>
            </w:r>
          </w:p>
        </w:tc>
      </w:tr>
      <w:tr w:rsidR="007F6056" w:rsidRPr="007D1918" w14:paraId="52DB471E" w14:textId="77777777" w:rsidTr="00E321FF">
        <w:tc>
          <w:tcPr>
            <w:tcW w:w="5000" w:type="pct"/>
            <w:gridSpan w:val="5"/>
            <w:tcBorders>
              <w:top w:val="single" w:sz="4" w:space="0" w:color="auto"/>
              <w:left w:val="nil"/>
              <w:bottom w:val="single" w:sz="12" w:space="0" w:color="000000"/>
              <w:right w:val="nil"/>
            </w:tcBorders>
            <w:tcMar>
              <w:top w:w="15" w:type="dxa"/>
              <w:left w:w="15" w:type="dxa"/>
              <w:bottom w:w="15" w:type="dxa"/>
              <w:right w:w="15" w:type="dxa"/>
            </w:tcMar>
            <w:vAlign w:val="center"/>
            <w:hideMark/>
          </w:tcPr>
          <w:p w14:paraId="5E789439" w14:textId="77777777" w:rsidR="007F6056" w:rsidRPr="007D1918" w:rsidRDefault="007F6056" w:rsidP="002C5F9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6CB129A4" w14:textId="7CC640AF" w:rsidR="00623BF7" w:rsidRPr="007D1918" w:rsidRDefault="001C4319" w:rsidP="00623BF7">
      <w:pPr>
        <w:pStyle w:val="Tablenotes0"/>
      </w:pPr>
      <w:r w:rsidRPr="007D1918">
        <w:t xml:space="preserve">AE = adverse event; </w:t>
      </w:r>
      <w:r w:rsidR="00623BF7" w:rsidRPr="007D1918">
        <w:t>IVIg = intravenous immunoglobulin therapy; MG = myasthenia gravis; MMS = myasthenia muscle score; NA = not applicable; PE = plasma exchange therapy; R</w:t>
      </w:r>
      <w:r w:rsidR="005463C3" w:rsidRPr="007D1918">
        <w:t xml:space="preserve">et </w:t>
      </w:r>
      <w:r w:rsidR="00623BF7" w:rsidRPr="007D1918">
        <w:t xml:space="preserve">CoH = retrospective cohort study; RCT = randomised controlled trial; </w:t>
      </w:r>
    </w:p>
    <w:p w14:paraId="48D7E8DA" w14:textId="77777777" w:rsidR="007F6056" w:rsidRPr="007D1918" w:rsidRDefault="007F6056" w:rsidP="008D3ED9">
      <w:pPr>
        <w:rPr>
          <w:rFonts w:ascii="Arial Narrow" w:hAnsi="Arial Narrow" w:cs="Arial"/>
          <w:sz w:val="18"/>
          <w:szCs w:val="18"/>
        </w:rPr>
      </w:pPr>
    </w:p>
    <w:p w14:paraId="30288173" w14:textId="3609A309" w:rsidR="002C5F9D" w:rsidRPr="007D1918" w:rsidRDefault="002C5F9D" w:rsidP="000836F9">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ind w:left="1140" w:hanging="1140"/>
      </w:pPr>
      <w:bookmarkStart w:id="314" w:name="_Ref12884169"/>
      <w:bookmarkStart w:id="315" w:name="_Toc23769536"/>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49</w:t>
      </w:r>
      <w:r w:rsidRPr="007D1918">
        <w:rPr>
          <w:noProof/>
        </w:rPr>
        <w:fldChar w:fldCharType="end"/>
      </w:r>
      <w:bookmarkEnd w:id="314"/>
      <w:r w:rsidRPr="007D1918">
        <w:tab/>
        <w:t xml:space="preserve">Balance of clinical benefits and harms of </w:t>
      </w:r>
      <w:r w:rsidRPr="007D1918">
        <w:rPr>
          <w:u w:val="single"/>
        </w:rPr>
        <w:t>IVIg relative to PE</w:t>
      </w:r>
      <w:r w:rsidRPr="007D1918">
        <w:t xml:space="preserve"> in MG patients preparing for surgery (</w:t>
      </w:r>
      <w:r w:rsidR="0088065E" w:rsidRPr="007D1918">
        <w:rPr>
          <w:i/>
        </w:rPr>
        <w:t xml:space="preserve">Criteria V3 </w:t>
      </w:r>
      <w:r w:rsidRPr="007D1918">
        <w:t xml:space="preserve">Indication 2) as measured by the </w:t>
      </w:r>
      <w:r w:rsidRPr="007D1918">
        <w:rPr>
          <w:u w:val="single"/>
        </w:rPr>
        <w:t>critical</w:t>
      </w:r>
      <w:r w:rsidRPr="007D1918">
        <w:t xml:space="preserve"> patient relevant outcomes in the key studies</w:t>
      </w:r>
      <w:bookmarkEnd w:id="315"/>
      <w:r w:rsidRPr="007D1918">
        <w:t xml:space="preserve"> </w:t>
      </w:r>
    </w:p>
    <w:tbl>
      <w:tblPr>
        <w:tblW w:w="5000" w:type="pct"/>
        <w:tblLook w:val="04A0" w:firstRow="1" w:lastRow="0" w:firstColumn="1" w:lastColumn="0" w:noHBand="0" w:noVBand="1"/>
        <w:tblCaption w:val="Table 47 Balance of clinical benefits and harms of IVIg relative to PE in MG patients preparing for surgery (Criteria V3 Indication 2) as measured by the critical patient relevant outcomes in the key studies "/>
        <w:tblDescription w:val="Summary of the GRADE assessmentt of critical safety and effectiveness outcomes for patients receiving IVIg comapred to those receiving PE (Indication 2)"/>
      </w:tblPr>
      <w:tblGrid>
        <w:gridCol w:w="1843"/>
        <w:gridCol w:w="2127"/>
        <w:gridCol w:w="2552"/>
        <w:gridCol w:w="1842"/>
        <w:gridCol w:w="5594"/>
      </w:tblGrid>
      <w:tr w:rsidR="003340C4" w:rsidRPr="007D1918" w14:paraId="5033542F" w14:textId="77777777" w:rsidTr="008402CF">
        <w:trPr>
          <w:trHeight w:val="918"/>
          <w:tblHeader/>
        </w:trPr>
        <w:tc>
          <w:tcPr>
            <w:tcW w:w="660" w:type="pct"/>
            <w:tcBorders>
              <w:top w:val="single" w:sz="12" w:space="0" w:color="auto"/>
              <w:bottom w:val="single" w:sz="12" w:space="0" w:color="auto"/>
              <w:right w:val="single" w:sz="4" w:space="0" w:color="auto"/>
            </w:tcBorders>
            <w:shd w:val="clear" w:color="auto" w:fill="EEECE1" w:themeFill="background2"/>
          </w:tcPr>
          <w:p w14:paraId="21857559" w14:textId="77777777" w:rsidR="003340C4" w:rsidRPr="007D1918" w:rsidRDefault="003340C4" w:rsidP="002C5F9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p w14:paraId="0FB2690C" w14:textId="77777777" w:rsidR="003340C4" w:rsidRPr="007D1918" w:rsidRDefault="003340C4" w:rsidP="002C5F9D">
            <w:pPr>
              <w:spacing w:before="40" w:after="40" w:line="240" w:lineRule="auto"/>
              <w:jc w:val="both"/>
              <w:rPr>
                <w:rFonts w:ascii="Arial Narrow" w:hAnsi="Arial Narrow"/>
                <w:b/>
                <w:sz w:val="20"/>
                <w:szCs w:val="20"/>
                <w:lang w:eastAsia="en-US"/>
              </w:rPr>
            </w:pPr>
          </w:p>
        </w:tc>
        <w:tc>
          <w:tcPr>
            <w:tcW w:w="762" w:type="pct"/>
            <w:tcBorders>
              <w:top w:val="single" w:sz="12" w:space="0" w:color="auto"/>
              <w:bottom w:val="single" w:sz="12" w:space="0" w:color="auto"/>
              <w:right w:val="single" w:sz="4" w:space="0" w:color="auto"/>
            </w:tcBorders>
            <w:shd w:val="clear" w:color="auto" w:fill="EEECE1" w:themeFill="background2"/>
          </w:tcPr>
          <w:p w14:paraId="052B6965" w14:textId="77777777" w:rsidR="003340C4" w:rsidRPr="007D1918" w:rsidRDefault="003340C4" w:rsidP="002C5F9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0249E56B" w14:textId="6D76F71E" w:rsidR="003340C4" w:rsidRPr="007D1918" w:rsidRDefault="003340C4" w:rsidP="003750C9">
            <w:pPr>
              <w:spacing w:before="40" w:after="40" w:line="240" w:lineRule="auto"/>
              <w:rPr>
                <w:rFonts w:ascii="Arial Narrow" w:hAnsi="Arial Narrow"/>
                <w:b/>
                <w:sz w:val="20"/>
                <w:szCs w:val="20"/>
                <w:lang w:eastAsia="en-US"/>
              </w:rPr>
            </w:pPr>
            <w:r w:rsidRPr="007D1918">
              <w:rPr>
                <w:rFonts w:ascii="Arial Narrow" w:hAnsi="Arial Narrow"/>
                <w:b/>
                <w:sz w:val="20"/>
                <w:szCs w:val="20"/>
                <w:lang w:eastAsia="en-US"/>
              </w:rPr>
              <w:t>Studies</w:t>
            </w:r>
          </w:p>
        </w:tc>
        <w:tc>
          <w:tcPr>
            <w:tcW w:w="914" w:type="pct"/>
            <w:tcBorders>
              <w:top w:val="single" w:sz="12" w:space="0" w:color="auto"/>
              <w:left w:val="single" w:sz="4" w:space="0" w:color="auto"/>
              <w:bottom w:val="single" w:sz="12" w:space="0" w:color="auto"/>
              <w:right w:val="single" w:sz="4" w:space="0" w:color="auto"/>
            </w:tcBorders>
            <w:shd w:val="clear" w:color="auto" w:fill="EEECE1" w:themeFill="background2"/>
          </w:tcPr>
          <w:p w14:paraId="67F2EF5E" w14:textId="40AFFF86" w:rsidR="003340C4" w:rsidRPr="007D1918" w:rsidRDefault="008402CF" w:rsidP="002C5F9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660" w:type="pct"/>
            <w:tcBorders>
              <w:top w:val="single" w:sz="12" w:space="0" w:color="auto"/>
              <w:left w:val="single" w:sz="4" w:space="0" w:color="auto"/>
              <w:bottom w:val="single" w:sz="12" w:space="0" w:color="auto"/>
              <w:right w:val="single" w:sz="4" w:space="0" w:color="auto"/>
            </w:tcBorders>
            <w:shd w:val="clear" w:color="auto" w:fill="EEECE1" w:themeFill="background2"/>
          </w:tcPr>
          <w:p w14:paraId="6DD5DD83" w14:textId="77777777" w:rsidR="003340C4" w:rsidRPr="007D1918" w:rsidRDefault="003340C4" w:rsidP="00C47FF3">
            <w:pPr>
              <w:spacing w:before="40" w:after="40" w:line="240" w:lineRule="auto"/>
              <w:rPr>
                <w:rFonts w:ascii="Arial Narrow" w:hAnsi="Arial Narrow"/>
                <w:b/>
                <w:sz w:val="20"/>
                <w:szCs w:val="20"/>
                <w:lang w:eastAsia="en-US"/>
              </w:rPr>
            </w:pPr>
            <w:r w:rsidRPr="007D1918">
              <w:rPr>
                <w:rFonts w:ascii="Arial Narrow" w:hAnsi="Arial Narrow"/>
                <w:b/>
                <w:sz w:val="20"/>
                <w:szCs w:val="20"/>
                <w:lang w:eastAsia="en-US"/>
              </w:rPr>
              <w:t>GRADE</w:t>
            </w:r>
          </w:p>
        </w:tc>
        <w:tc>
          <w:tcPr>
            <w:tcW w:w="2004" w:type="pct"/>
            <w:tcBorders>
              <w:top w:val="single" w:sz="12" w:space="0" w:color="auto"/>
              <w:left w:val="single" w:sz="4" w:space="0" w:color="auto"/>
              <w:bottom w:val="single" w:sz="12" w:space="0" w:color="auto"/>
            </w:tcBorders>
            <w:shd w:val="clear" w:color="auto" w:fill="EEECE1" w:themeFill="background2"/>
          </w:tcPr>
          <w:p w14:paraId="409FDECE" w14:textId="700FB1C3" w:rsidR="003340C4" w:rsidRPr="007D1918" w:rsidRDefault="003340C4" w:rsidP="00C47FF3">
            <w:pPr>
              <w:spacing w:before="40" w:after="40" w:line="240" w:lineRule="auto"/>
              <w:rPr>
                <w:rFonts w:ascii="Arial Narrow" w:hAnsi="Arial Narrow"/>
                <w:b/>
                <w:sz w:val="20"/>
                <w:szCs w:val="20"/>
                <w:lang w:eastAsia="en-US"/>
              </w:rPr>
            </w:pPr>
            <w:r w:rsidRPr="007D1918">
              <w:rPr>
                <w:rFonts w:ascii="Arial Narrow" w:hAnsi="Arial Narrow"/>
                <w:b/>
                <w:sz w:val="20"/>
                <w:szCs w:val="20"/>
                <w:lang w:eastAsia="en-US"/>
              </w:rPr>
              <w:t>Comments</w:t>
            </w:r>
          </w:p>
        </w:tc>
      </w:tr>
      <w:tr w:rsidR="008402CF" w:rsidRPr="007D1918" w14:paraId="0E9C7B0F" w14:textId="77777777" w:rsidTr="008402CF">
        <w:tc>
          <w:tcPr>
            <w:tcW w:w="5000" w:type="pct"/>
            <w:gridSpan w:val="5"/>
            <w:tcBorders>
              <w:top w:val="single" w:sz="12" w:space="0" w:color="auto"/>
              <w:bottom w:val="single" w:sz="4" w:space="0" w:color="auto"/>
            </w:tcBorders>
          </w:tcPr>
          <w:p w14:paraId="523677BD" w14:textId="1090BC34" w:rsidR="008402CF" w:rsidRPr="007D1918" w:rsidRDefault="008402CF" w:rsidP="002C5F9D">
            <w:pPr>
              <w:spacing w:before="40" w:after="40" w:line="240" w:lineRule="auto"/>
              <w:jc w:val="both"/>
              <w:rPr>
                <w:rFonts w:ascii="Arial Narrow" w:hAnsi="Arial Narrow"/>
                <w:b/>
                <w:sz w:val="18"/>
                <w:szCs w:val="18"/>
                <w:lang w:eastAsia="en-US"/>
              </w:rPr>
            </w:pPr>
            <w:r w:rsidRPr="007D1918">
              <w:rPr>
                <w:rFonts w:ascii="Arial Narrow" w:hAnsi="Arial Narrow" w:cs="Arial"/>
                <w:b/>
                <w:sz w:val="18"/>
                <w:szCs w:val="18"/>
              </w:rPr>
              <w:t>Safety</w:t>
            </w:r>
          </w:p>
        </w:tc>
      </w:tr>
      <w:tr w:rsidR="003340C4" w:rsidRPr="007D1918" w14:paraId="65FD68D9" w14:textId="77777777" w:rsidTr="008402CF">
        <w:tc>
          <w:tcPr>
            <w:tcW w:w="660" w:type="pct"/>
            <w:tcBorders>
              <w:top w:val="single" w:sz="4" w:space="0" w:color="auto"/>
              <w:bottom w:val="single" w:sz="6" w:space="0" w:color="auto"/>
              <w:right w:val="single" w:sz="4" w:space="0" w:color="auto"/>
            </w:tcBorders>
          </w:tcPr>
          <w:p w14:paraId="65648B80" w14:textId="245CD2DF" w:rsidR="003340C4" w:rsidRPr="007D1918" w:rsidRDefault="003340C4" w:rsidP="001C4319">
            <w:pPr>
              <w:spacing w:before="40" w:after="40" w:line="240" w:lineRule="auto"/>
              <w:rPr>
                <w:rFonts w:ascii="Arial Narrow" w:hAnsi="Arial Narrow"/>
                <w:sz w:val="18"/>
                <w:szCs w:val="18"/>
                <w:lang w:eastAsia="en-US"/>
              </w:rPr>
            </w:pPr>
            <w:r w:rsidRPr="007D1918">
              <w:rPr>
                <w:rFonts w:ascii="Arial Narrow" w:hAnsi="Arial Narrow" w:cs="Arial"/>
                <w:sz w:val="18"/>
                <w:szCs w:val="18"/>
              </w:rPr>
              <w:lastRenderedPageBreak/>
              <w:t xml:space="preserve">Adverse events </w:t>
            </w:r>
            <w:r w:rsidRPr="007D1918">
              <w:rPr>
                <w:rFonts w:ascii="Arial Narrow" w:hAnsi="Arial Narrow" w:cs="Arial"/>
                <w:sz w:val="18"/>
                <w:szCs w:val="18"/>
              </w:rPr>
              <w:br/>
              <w:t>(% patients intubated)</w:t>
            </w:r>
          </w:p>
        </w:tc>
        <w:tc>
          <w:tcPr>
            <w:tcW w:w="762" w:type="pct"/>
            <w:tcBorders>
              <w:top w:val="single" w:sz="4" w:space="0" w:color="auto"/>
              <w:left w:val="single" w:sz="4" w:space="0" w:color="auto"/>
              <w:bottom w:val="single" w:sz="6" w:space="0" w:color="auto"/>
              <w:right w:val="single" w:sz="4" w:space="0" w:color="auto"/>
            </w:tcBorders>
          </w:tcPr>
          <w:p w14:paraId="1B21CE35" w14:textId="77777777" w:rsidR="003340C4" w:rsidRPr="007D1918" w:rsidRDefault="003340C4"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n=24</w:t>
            </w:r>
          </w:p>
          <w:p w14:paraId="783A86E8" w14:textId="7AF0855E" w:rsidR="003340C4" w:rsidRPr="007D1918" w:rsidRDefault="003340C4"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914" w:type="pct"/>
            <w:tcBorders>
              <w:top w:val="single" w:sz="4" w:space="0" w:color="auto"/>
              <w:left w:val="single" w:sz="4" w:space="0" w:color="auto"/>
              <w:bottom w:val="single" w:sz="6" w:space="0" w:color="auto"/>
              <w:right w:val="single" w:sz="4" w:space="0" w:color="auto"/>
            </w:tcBorders>
          </w:tcPr>
          <w:p w14:paraId="5AE40071" w14:textId="76F0C237" w:rsidR="003340C4" w:rsidRPr="007D1918" w:rsidRDefault="008402CF" w:rsidP="009A7EC7">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No conclusion could be made</w:t>
            </w:r>
          </w:p>
        </w:tc>
        <w:tc>
          <w:tcPr>
            <w:tcW w:w="660" w:type="pct"/>
            <w:tcBorders>
              <w:top w:val="single" w:sz="4" w:space="0" w:color="auto"/>
              <w:left w:val="single" w:sz="4" w:space="0" w:color="auto"/>
              <w:bottom w:val="single" w:sz="6" w:space="0" w:color="auto"/>
              <w:right w:val="single" w:sz="4" w:space="0" w:color="auto"/>
            </w:tcBorders>
          </w:tcPr>
          <w:p w14:paraId="5FEF352E" w14:textId="77777777" w:rsidR="003340C4" w:rsidRPr="007D1918" w:rsidRDefault="003340C4" w:rsidP="002C5F9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77F1C597" w14:textId="7B052079" w:rsidR="003340C4" w:rsidRPr="007D1918" w:rsidRDefault="003340C4" w:rsidP="002C5F9D">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Low quality</w:t>
            </w:r>
          </w:p>
        </w:tc>
        <w:tc>
          <w:tcPr>
            <w:tcW w:w="2004" w:type="pct"/>
            <w:tcBorders>
              <w:top w:val="single" w:sz="4" w:space="0" w:color="auto"/>
              <w:left w:val="single" w:sz="4" w:space="0" w:color="auto"/>
              <w:bottom w:val="single" w:sz="6" w:space="0" w:color="auto"/>
            </w:tcBorders>
          </w:tcPr>
          <w:p w14:paraId="11362A32" w14:textId="1ED44F48" w:rsidR="003340C4" w:rsidRPr="007D1918" w:rsidRDefault="003340C4"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Overall there were fewer AEs occurring in patients who received IVIg compared to PE, however the participant numbers in the RCT were so small that the study did not have power to make a strong conclusion.</w:t>
            </w:r>
          </w:p>
        </w:tc>
      </w:tr>
      <w:tr w:rsidR="008402CF" w:rsidRPr="007D1918" w14:paraId="24BC20A5" w14:textId="77777777" w:rsidTr="008402CF">
        <w:tc>
          <w:tcPr>
            <w:tcW w:w="5000" w:type="pct"/>
            <w:gridSpan w:val="5"/>
            <w:tcBorders>
              <w:top w:val="single" w:sz="6" w:space="0" w:color="auto"/>
              <w:bottom w:val="single" w:sz="4" w:space="0" w:color="auto"/>
            </w:tcBorders>
          </w:tcPr>
          <w:p w14:paraId="067DD760" w14:textId="20B41F2D" w:rsidR="008402CF" w:rsidRPr="007D1918" w:rsidRDefault="008402CF" w:rsidP="00CD2E28">
            <w:pPr>
              <w:spacing w:before="40" w:after="40" w:line="240" w:lineRule="auto"/>
              <w:jc w:val="both"/>
              <w:rPr>
                <w:rFonts w:ascii="Arial Narrow" w:hAnsi="Arial Narrow"/>
                <w:b/>
                <w:sz w:val="18"/>
                <w:szCs w:val="18"/>
                <w:lang w:eastAsia="en-US"/>
              </w:rPr>
            </w:pPr>
            <w:r w:rsidRPr="007D1918">
              <w:rPr>
                <w:rFonts w:ascii="Arial Narrow" w:hAnsi="Arial Narrow" w:cs="Arial"/>
                <w:b/>
                <w:sz w:val="18"/>
                <w:szCs w:val="18"/>
              </w:rPr>
              <w:t>Effectiveness</w:t>
            </w:r>
          </w:p>
        </w:tc>
      </w:tr>
      <w:tr w:rsidR="003340C4" w:rsidRPr="007D1918" w14:paraId="3F1DEECF" w14:textId="77777777" w:rsidTr="008402CF">
        <w:tc>
          <w:tcPr>
            <w:tcW w:w="660" w:type="pct"/>
            <w:tcBorders>
              <w:top w:val="single" w:sz="4" w:space="0" w:color="auto"/>
              <w:bottom w:val="single" w:sz="12" w:space="0" w:color="auto"/>
              <w:right w:val="single" w:sz="4" w:space="0" w:color="auto"/>
            </w:tcBorders>
          </w:tcPr>
          <w:p w14:paraId="3C28DEA5" w14:textId="7A5F42C1" w:rsidR="003340C4" w:rsidRPr="007D1918" w:rsidRDefault="003340C4" w:rsidP="002C5F9D">
            <w:pPr>
              <w:spacing w:before="40" w:after="40" w:line="240" w:lineRule="auto"/>
              <w:rPr>
                <w:rFonts w:ascii="Arial Narrow" w:hAnsi="Arial Narrow" w:cs="Arial"/>
                <w:sz w:val="18"/>
                <w:szCs w:val="18"/>
              </w:rPr>
            </w:pPr>
            <w:r w:rsidRPr="007D1918">
              <w:rPr>
                <w:rFonts w:ascii="Arial Narrow" w:hAnsi="Arial Narrow" w:cs="Arial"/>
                <w:sz w:val="18"/>
                <w:szCs w:val="18"/>
              </w:rPr>
              <w:t>Effectiveness</w:t>
            </w:r>
          </w:p>
        </w:tc>
        <w:tc>
          <w:tcPr>
            <w:tcW w:w="762" w:type="pct"/>
            <w:tcBorders>
              <w:top w:val="single" w:sz="4" w:space="0" w:color="auto"/>
              <w:left w:val="single" w:sz="4" w:space="0" w:color="auto"/>
              <w:bottom w:val="single" w:sz="12" w:space="0" w:color="auto"/>
              <w:right w:val="single" w:sz="4" w:space="0" w:color="auto"/>
            </w:tcBorders>
          </w:tcPr>
          <w:p w14:paraId="13A59618" w14:textId="4DE7F7F6" w:rsidR="003340C4" w:rsidRPr="007D1918" w:rsidRDefault="008402CF" w:rsidP="002C5F9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w:t>
            </w:r>
          </w:p>
        </w:tc>
        <w:tc>
          <w:tcPr>
            <w:tcW w:w="914" w:type="pct"/>
            <w:tcBorders>
              <w:top w:val="single" w:sz="4" w:space="0" w:color="auto"/>
              <w:left w:val="single" w:sz="4" w:space="0" w:color="auto"/>
              <w:bottom w:val="single" w:sz="12" w:space="0" w:color="auto"/>
              <w:right w:val="single" w:sz="4" w:space="0" w:color="auto"/>
            </w:tcBorders>
          </w:tcPr>
          <w:p w14:paraId="75AC53B3" w14:textId="78422D00" w:rsidR="003340C4" w:rsidRPr="007D1918" w:rsidRDefault="008402CF" w:rsidP="009A7EC7">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No conclusion could be made</w:t>
            </w:r>
          </w:p>
        </w:tc>
        <w:tc>
          <w:tcPr>
            <w:tcW w:w="660" w:type="pct"/>
            <w:tcBorders>
              <w:top w:val="single" w:sz="4" w:space="0" w:color="auto"/>
              <w:left w:val="single" w:sz="4" w:space="0" w:color="auto"/>
              <w:bottom w:val="single" w:sz="12" w:space="0" w:color="auto"/>
              <w:right w:val="single" w:sz="4" w:space="0" w:color="auto"/>
            </w:tcBorders>
          </w:tcPr>
          <w:p w14:paraId="6F13F176" w14:textId="1D807854" w:rsidR="003340C4" w:rsidRPr="007D1918" w:rsidRDefault="003340C4" w:rsidP="002C5F9D">
            <w:pPr>
              <w:spacing w:before="40" w:after="40" w:line="240" w:lineRule="auto"/>
              <w:jc w:val="both"/>
              <w:rPr>
                <w:rFonts w:ascii="Cambria Math" w:hAnsi="Cambria Math" w:cs="Cambria Math"/>
                <w:color w:val="00B050"/>
                <w:sz w:val="18"/>
                <w:szCs w:val="18"/>
              </w:rPr>
            </w:pPr>
            <w:r w:rsidRPr="007D1918">
              <w:rPr>
                <w:rFonts w:ascii="Cambria Math" w:hAnsi="Cambria Math" w:cs="Cambria Math"/>
                <w:sz w:val="18"/>
                <w:szCs w:val="18"/>
              </w:rPr>
              <w:t>-</w:t>
            </w:r>
          </w:p>
        </w:tc>
        <w:tc>
          <w:tcPr>
            <w:tcW w:w="2004" w:type="pct"/>
            <w:tcBorders>
              <w:top w:val="single" w:sz="4" w:space="0" w:color="auto"/>
              <w:left w:val="single" w:sz="4" w:space="0" w:color="auto"/>
              <w:bottom w:val="single" w:sz="12" w:space="0" w:color="auto"/>
            </w:tcBorders>
          </w:tcPr>
          <w:p w14:paraId="6B232A62" w14:textId="510ED97B" w:rsidR="003340C4" w:rsidRPr="007D1918" w:rsidRDefault="003340C4" w:rsidP="00CD2E28">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The evidence for effectiveness was of too poor quality to make any conclusions about the effectiveness of IVIg compared to PE</w:t>
            </w:r>
          </w:p>
        </w:tc>
      </w:tr>
      <w:tr w:rsidR="002C5F9D" w:rsidRPr="007D1918" w14:paraId="62DD5C96" w14:textId="77777777" w:rsidTr="008F5A0C">
        <w:tc>
          <w:tcPr>
            <w:tcW w:w="5000" w:type="pct"/>
            <w:gridSpan w:val="5"/>
            <w:tcBorders>
              <w:top w:val="single" w:sz="12" w:space="0" w:color="auto"/>
              <w:left w:val="nil"/>
              <w:bottom w:val="single" w:sz="12" w:space="0" w:color="000000"/>
              <w:right w:val="nil"/>
            </w:tcBorders>
            <w:tcMar>
              <w:top w:w="15" w:type="dxa"/>
              <w:left w:w="15" w:type="dxa"/>
              <w:bottom w:w="15" w:type="dxa"/>
              <w:right w:w="15" w:type="dxa"/>
            </w:tcMar>
            <w:vAlign w:val="center"/>
            <w:hideMark/>
          </w:tcPr>
          <w:p w14:paraId="407BA7B3" w14:textId="77777777" w:rsidR="002C5F9D" w:rsidRPr="007D1918" w:rsidRDefault="002C5F9D" w:rsidP="002C5F9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6135C92C" w14:textId="0257AEC8" w:rsidR="002C5F9D" w:rsidRPr="007D1918" w:rsidRDefault="001C4319" w:rsidP="002C5F9D">
      <w:pPr>
        <w:pStyle w:val="Tablenotes0"/>
      </w:pPr>
      <w:r w:rsidRPr="007D1918">
        <w:t xml:space="preserve">AE = adverse event; </w:t>
      </w:r>
      <w:r w:rsidR="002C5F9D" w:rsidRPr="007D1918">
        <w:t xml:space="preserve">IVIg = intravenous immunoglobulin therapy; MG = </w:t>
      </w:r>
      <w:r w:rsidR="005463C3" w:rsidRPr="007D1918">
        <w:t>myasthenia</w:t>
      </w:r>
      <w:r w:rsidR="002C5F9D" w:rsidRPr="007D1918">
        <w:t xml:space="preserve"> gravis; PE = plasma exchange therapy; RCT = randomised controlled trial; </w:t>
      </w:r>
    </w:p>
    <w:p w14:paraId="6FB45B07" w14:textId="77777777" w:rsidR="002C5F9D" w:rsidRPr="007D1918" w:rsidRDefault="002C5F9D" w:rsidP="00AB2776"/>
    <w:p w14:paraId="081B4086" w14:textId="092CA2B1" w:rsidR="00AB2776" w:rsidRPr="007D1918" w:rsidRDefault="00AB2776" w:rsidP="00AB2776">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ind w:left="1134" w:hanging="1134"/>
      </w:pPr>
      <w:bookmarkStart w:id="316" w:name="_Ref13568066"/>
      <w:bookmarkStart w:id="317" w:name="_Toc2376953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50</w:t>
      </w:r>
      <w:r w:rsidRPr="007D1918">
        <w:rPr>
          <w:noProof/>
        </w:rPr>
        <w:fldChar w:fldCharType="end"/>
      </w:r>
      <w:bookmarkEnd w:id="316"/>
      <w:r w:rsidRPr="007D1918">
        <w:tab/>
        <w:t xml:space="preserve">Balance of clinical benefits and harms of </w:t>
      </w:r>
      <w:r w:rsidRPr="007D1918">
        <w:rPr>
          <w:u w:val="single"/>
        </w:rPr>
        <w:t xml:space="preserve">IVIg relative to </w:t>
      </w:r>
      <w:r w:rsidR="00B521A5" w:rsidRPr="007D1918">
        <w:rPr>
          <w:u w:val="single"/>
        </w:rPr>
        <w:t>comparators</w:t>
      </w:r>
      <w:r w:rsidRPr="007D1918">
        <w:rPr>
          <w:u w:val="single"/>
        </w:rPr>
        <w:t xml:space="preserve"> (</w:t>
      </w:r>
      <w:r w:rsidR="00B521A5" w:rsidRPr="007D1918">
        <w:rPr>
          <w:u w:val="single"/>
        </w:rPr>
        <w:t>therapeutics other</w:t>
      </w:r>
      <w:r w:rsidRPr="007D1918">
        <w:rPr>
          <w:u w:val="single"/>
        </w:rPr>
        <w:t xml:space="preserve"> than PE)</w:t>
      </w:r>
      <w:r w:rsidRPr="007D1918">
        <w:t xml:space="preserve"> in MG patients changing maintenance therapy (</w:t>
      </w:r>
      <w:r w:rsidRPr="007D1918">
        <w:rPr>
          <w:i/>
        </w:rPr>
        <w:t>Criteria V3</w:t>
      </w:r>
      <w:r w:rsidRPr="007D1918">
        <w:t xml:space="preserve"> Indication 3) as measured by the </w:t>
      </w:r>
      <w:r w:rsidRPr="007D1918">
        <w:rPr>
          <w:u w:val="single"/>
        </w:rPr>
        <w:t>critical</w:t>
      </w:r>
      <w:r w:rsidRPr="007D1918">
        <w:t xml:space="preserve"> patient relevant outcomes in the key studies</w:t>
      </w:r>
      <w:bookmarkEnd w:id="317"/>
    </w:p>
    <w:tbl>
      <w:tblPr>
        <w:tblW w:w="4977" w:type="pct"/>
        <w:tblLook w:val="04A0" w:firstRow="1" w:lastRow="0" w:firstColumn="1" w:lastColumn="0" w:noHBand="0" w:noVBand="1"/>
        <w:tblCaption w:val="Table 48 Balance of clinical benefits and harms of IVIg relative to comparators (therapeutics other than PE) in MG patients changing maintenance therapy (Criteria V3 Indication 3) as measured by the critical patient relevant outcomes in the key studies"/>
        <w:tblDescription w:val="Summary of the GRADE assessment of critical safety and effectiveness outcomes for patients receiving IVIg compared to those receiving standard MG therapies (but not PE) (Indication 3)."/>
      </w:tblPr>
      <w:tblGrid>
        <w:gridCol w:w="2552"/>
        <w:gridCol w:w="1845"/>
        <w:gridCol w:w="2834"/>
        <w:gridCol w:w="1275"/>
        <w:gridCol w:w="5388"/>
      </w:tblGrid>
      <w:tr w:rsidR="00694811" w:rsidRPr="007D1918" w14:paraId="33737C4B" w14:textId="77777777" w:rsidTr="00694811">
        <w:trPr>
          <w:trHeight w:val="541"/>
          <w:tblHeader/>
        </w:trPr>
        <w:tc>
          <w:tcPr>
            <w:tcW w:w="918" w:type="pct"/>
            <w:tcBorders>
              <w:top w:val="single" w:sz="12" w:space="0" w:color="auto"/>
              <w:right w:val="single" w:sz="4" w:space="0" w:color="auto"/>
            </w:tcBorders>
            <w:shd w:val="clear" w:color="auto" w:fill="EEECE1" w:themeFill="background2"/>
          </w:tcPr>
          <w:p w14:paraId="227FB0DB" w14:textId="02187B7E" w:rsidR="00694811" w:rsidRPr="007D1918" w:rsidRDefault="00694811" w:rsidP="00694811">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tc>
        <w:tc>
          <w:tcPr>
            <w:tcW w:w="664" w:type="pct"/>
            <w:tcBorders>
              <w:top w:val="single" w:sz="12" w:space="0" w:color="auto"/>
              <w:right w:val="single" w:sz="4" w:space="0" w:color="auto"/>
            </w:tcBorders>
            <w:shd w:val="clear" w:color="auto" w:fill="EEECE1" w:themeFill="background2"/>
          </w:tcPr>
          <w:p w14:paraId="4FD9C46D" w14:textId="77777777" w:rsidR="00694811" w:rsidRPr="007D1918" w:rsidRDefault="00694811" w:rsidP="008202EB">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1886F953" w14:textId="705165D5" w:rsidR="00694811" w:rsidRPr="007D1918" w:rsidRDefault="00694811" w:rsidP="008202EB">
            <w:pPr>
              <w:spacing w:before="40" w:after="40" w:line="240" w:lineRule="auto"/>
              <w:rPr>
                <w:rFonts w:ascii="Arial Narrow" w:hAnsi="Arial Narrow"/>
                <w:b/>
                <w:sz w:val="20"/>
                <w:szCs w:val="20"/>
                <w:lang w:eastAsia="en-US"/>
              </w:rPr>
            </w:pPr>
            <w:r w:rsidRPr="007D1918">
              <w:rPr>
                <w:rFonts w:ascii="Arial Narrow" w:hAnsi="Arial Narrow"/>
                <w:b/>
                <w:sz w:val="20"/>
                <w:szCs w:val="20"/>
                <w:lang w:eastAsia="en-US"/>
              </w:rPr>
              <w:t>Studies</w:t>
            </w:r>
          </w:p>
        </w:tc>
        <w:tc>
          <w:tcPr>
            <w:tcW w:w="1020" w:type="pct"/>
            <w:tcBorders>
              <w:top w:val="single" w:sz="12" w:space="0" w:color="auto"/>
              <w:left w:val="single" w:sz="4" w:space="0" w:color="auto"/>
              <w:right w:val="single" w:sz="4" w:space="0" w:color="auto"/>
            </w:tcBorders>
            <w:shd w:val="clear" w:color="auto" w:fill="EEECE1" w:themeFill="background2"/>
          </w:tcPr>
          <w:p w14:paraId="0D1791D0" w14:textId="77777777" w:rsidR="00694811" w:rsidRPr="007D1918" w:rsidRDefault="00694811" w:rsidP="008202EB">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459" w:type="pct"/>
            <w:tcBorders>
              <w:top w:val="single" w:sz="12" w:space="0" w:color="auto"/>
              <w:left w:val="single" w:sz="4" w:space="0" w:color="auto"/>
              <w:bottom w:val="single" w:sz="4" w:space="0" w:color="auto"/>
              <w:right w:val="single" w:sz="4" w:space="0" w:color="auto"/>
            </w:tcBorders>
            <w:shd w:val="clear" w:color="auto" w:fill="EEECE1" w:themeFill="background2"/>
          </w:tcPr>
          <w:p w14:paraId="5C4195ED" w14:textId="77777777" w:rsidR="00694811" w:rsidRPr="007D1918" w:rsidRDefault="00694811" w:rsidP="008202EB">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1939" w:type="pct"/>
            <w:tcBorders>
              <w:top w:val="single" w:sz="12" w:space="0" w:color="auto"/>
              <w:left w:val="single" w:sz="4" w:space="0" w:color="auto"/>
              <w:bottom w:val="single" w:sz="4" w:space="0" w:color="auto"/>
            </w:tcBorders>
            <w:shd w:val="clear" w:color="auto" w:fill="EEECE1" w:themeFill="background2"/>
          </w:tcPr>
          <w:p w14:paraId="5B219C3B" w14:textId="77777777" w:rsidR="00694811" w:rsidRPr="007D1918" w:rsidRDefault="00694811" w:rsidP="008202EB">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Comments</w:t>
            </w:r>
          </w:p>
        </w:tc>
      </w:tr>
      <w:tr w:rsidR="008D0D2A" w:rsidRPr="007D1918" w14:paraId="00D9F07B" w14:textId="77777777" w:rsidTr="008D0D2A">
        <w:tc>
          <w:tcPr>
            <w:tcW w:w="5000" w:type="pct"/>
            <w:gridSpan w:val="5"/>
            <w:tcBorders>
              <w:top w:val="single" w:sz="12" w:space="0" w:color="auto"/>
              <w:bottom w:val="single" w:sz="4" w:space="0" w:color="auto"/>
            </w:tcBorders>
          </w:tcPr>
          <w:p w14:paraId="138F7075" w14:textId="7FE3EBF9" w:rsidR="008D0D2A" w:rsidRPr="007D1918" w:rsidRDefault="008D0D2A" w:rsidP="00883B42">
            <w:pPr>
              <w:spacing w:before="40" w:after="40" w:line="240" w:lineRule="auto"/>
              <w:rPr>
                <w:rFonts w:ascii="Arial Narrow" w:hAnsi="Arial Narrow"/>
                <w:b/>
                <w:sz w:val="18"/>
                <w:szCs w:val="18"/>
                <w:lang w:eastAsia="en-US"/>
              </w:rPr>
            </w:pPr>
            <w:r w:rsidRPr="007D1918">
              <w:rPr>
                <w:rFonts w:ascii="Arial Narrow" w:hAnsi="Arial Narrow"/>
                <w:b/>
                <w:sz w:val="18"/>
                <w:szCs w:val="18"/>
                <w:lang w:eastAsia="en-US"/>
              </w:rPr>
              <w:t>Safety</w:t>
            </w:r>
          </w:p>
        </w:tc>
      </w:tr>
      <w:tr w:rsidR="00694811" w:rsidRPr="007D1918" w14:paraId="78BF4EF0" w14:textId="77777777" w:rsidTr="00694811">
        <w:tc>
          <w:tcPr>
            <w:tcW w:w="918" w:type="pct"/>
            <w:tcBorders>
              <w:top w:val="single" w:sz="4" w:space="0" w:color="auto"/>
              <w:bottom w:val="single" w:sz="4" w:space="0" w:color="auto"/>
              <w:right w:val="single" w:sz="4" w:space="0" w:color="auto"/>
            </w:tcBorders>
          </w:tcPr>
          <w:p w14:paraId="79DB9ED0" w14:textId="77777777" w:rsidR="00694811" w:rsidRPr="007D1918" w:rsidRDefault="00694811" w:rsidP="00AB2776">
            <w:pPr>
              <w:spacing w:before="40" w:after="40" w:line="240" w:lineRule="auto"/>
              <w:rPr>
                <w:rFonts w:ascii="Arial Narrow" w:hAnsi="Arial Narrow" w:cs="Arial"/>
                <w:sz w:val="18"/>
                <w:szCs w:val="18"/>
              </w:rPr>
            </w:pPr>
            <w:r w:rsidRPr="007D1918">
              <w:rPr>
                <w:rFonts w:ascii="Arial Narrow" w:hAnsi="Arial Narrow" w:cs="Arial"/>
                <w:sz w:val="18"/>
                <w:szCs w:val="18"/>
              </w:rPr>
              <w:t>Adverse events (% patients with any event)</w:t>
            </w:r>
          </w:p>
          <w:p w14:paraId="03F30905" w14:textId="3812278A" w:rsidR="00694811" w:rsidRPr="007D1918" w:rsidRDefault="00694811" w:rsidP="00AB2776">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placebo</w:t>
            </w:r>
            <w:r w:rsidRPr="007D1918">
              <w:rPr>
                <w:rFonts w:ascii="Arial Narrow" w:hAnsi="Arial Narrow"/>
                <w:sz w:val="18"/>
                <w:szCs w:val="18"/>
                <w:lang w:eastAsia="en-US"/>
              </w:rPr>
              <w:t xml:space="preserve"> </w:t>
            </w:r>
          </w:p>
        </w:tc>
        <w:tc>
          <w:tcPr>
            <w:tcW w:w="664" w:type="pct"/>
            <w:tcBorders>
              <w:top w:val="single" w:sz="4" w:space="0" w:color="auto"/>
              <w:left w:val="single" w:sz="4" w:space="0" w:color="auto"/>
              <w:bottom w:val="single" w:sz="4" w:space="0" w:color="auto"/>
              <w:right w:val="single" w:sz="4" w:space="0" w:color="auto"/>
            </w:tcBorders>
          </w:tcPr>
          <w:p w14:paraId="56C5F24B" w14:textId="77777777" w:rsidR="00694811" w:rsidRPr="007D1918" w:rsidRDefault="00694811" w:rsidP="00AB277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n=62</w:t>
            </w:r>
          </w:p>
          <w:p w14:paraId="6C380A1A" w14:textId="02ECFEFE" w:rsidR="00694811" w:rsidRPr="007D1918" w:rsidRDefault="00694811" w:rsidP="00732567">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k=1 RCT</w:t>
            </w:r>
          </w:p>
        </w:tc>
        <w:tc>
          <w:tcPr>
            <w:tcW w:w="1020" w:type="pct"/>
            <w:tcBorders>
              <w:top w:val="single" w:sz="4" w:space="0" w:color="auto"/>
              <w:left w:val="single" w:sz="4" w:space="0" w:color="auto"/>
              <w:bottom w:val="single" w:sz="4" w:space="0" w:color="auto"/>
              <w:right w:val="single" w:sz="4" w:space="0" w:color="auto"/>
            </w:tcBorders>
          </w:tcPr>
          <w:p w14:paraId="76DEB258" w14:textId="3EDF0AE2" w:rsidR="00694811" w:rsidRPr="007D1918" w:rsidRDefault="00694811" w:rsidP="00883B4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No conclusions could be made</w:t>
            </w:r>
          </w:p>
        </w:tc>
        <w:tc>
          <w:tcPr>
            <w:tcW w:w="459" w:type="pct"/>
            <w:tcBorders>
              <w:top w:val="single" w:sz="4" w:space="0" w:color="auto"/>
              <w:left w:val="single" w:sz="4" w:space="0" w:color="auto"/>
              <w:bottom w:val="single" w:sz="4" w:space="0" w:color="auto"/>
              <w:right w:val="single" w:sz="4" w:space="0" w:color="auto"/>
            </w:tcBorders>
          </w:tcPr>
          <w:p w14:paraId="67D2B40F" w14:textId="77777777" w:rsidR="00694811" w:rsidRPr="007D1918" w:rsidRDefault="00694811" w:rsidP="008202EB">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586CCB56" w14:textId="390DFB53" w:rsidR="00694811" w:rsidRPr="007D1918" w:rsidRDefault="00694811" w:rsidP="008202EB">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Low quality</w:t>
            </w:r>
          </w:p>
        </w:tc>
        <w:tc>
          <w:tcPr>
            <w:tcW w:w="1939" w:type="pct"/>
            <w:tcBorders>
              <w:top w:val="single" w:sz="4" w:space="0" w:color="auto"/>
              <w:left w:val="single" w:sz="4" w:space="0" w:color="auto"/>
              <w:bottom w:val="single" w:sz="4" w:space="0" w:color="auto"/>
            </w:tcBorders>
          </w:tcPr>
          <w:p w14:paraId="60C17556" w14:textId="73EE267E" w:rsidR="00694811" w:rsidRPr="007D1918" w:rsidRDefault="00694811" w:rsidP="00883B4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of AEs detected between groups. Patients in both arms were on other maintenance therapies, the impact of which was not determined.</w:t>
            </w:r>
          </w:p>
        </w:tc>
      </w:tr>
      <w:tr w:rsidR="008D0D2A" w:rsidRPr="007D1918" w14:paraId="7896EC3C" w14:textId="77777777" w:rsidTr="008D0D2A">
        <w:tc>
          <w:tcPr>
            <w:tcW w:w="5000" w:type="pct"/>
            <w:gridSpan w:val="5"/>
            <w:tcBorders>
              <w:top w:val="single" w:sz="4" w:space="0" w:color="auto"/>
              <w:bottom w:val="single" w:sz="6" w:space="0" w:color="auto"/>
            </w:tcBorders>
          </w:tcPr>
          <w:p w14:paraId="74ABA99D" w14:textId="791469F8" w:rsidR="008D0D2A" w:rsidRPr="007D1918" w:rsidRDefault="008D0D2A" w:rsidP="00883B42">
            <w:pPr>
              <w:spacing w:before="40" w:after="40" w:line="240" w:lineRule="auto"/>
              <w:rPr>
                <w:rFonts w:ascii="Arial Narrow" w:hAnsi="Arial Narrow"/>
                <w:b/>
                <w:sz w:val="18"/>
                <w:szCs w:val="18"/>
                <w:lang w:eastAsia="en-US"/>
              </w:rPr>
            </w:pPr>
            <w:r w:rsidRPr="007D1918">
              <w:rPr>
                <w:rFonts w:ascii="Arial Narrow" w:hAnsi="Arial Narrow"/>
                <w:b/>
                <w:sz w:val="18"/>
                <w:szCs w:val="18"/>
                <w:lang w:eastAsia="en-US"/>
              </w:rPr>
              <w:t>Effectiveness</w:t>
            </w:r>
          </w:p>
        </w:tc>
      </w:tr>
      <w:tr w:rsidR="00694811" w:rsidRPr="007D1918" w14:paraId="45521813" w14:textId="77777777" w:rsidTr="00694811">
        <w:tc>
          <w:tcPr>
            <w:tcW w:w="918" w:type="pct"/>
            <w:tcBorders>
              <w:top w:val="single" w:sz="4" w:space="0" w:color="auto"/>
              <w:bottom w:val="single" w:sz="6" w:space="0" w:color="auto"/>
              <w:right w:val="single" w:sz="4" w:space="0" w:color="auto"/>
            </w:tcBorders>
          </w:tcPr>
          <w:p w14:paraId="2FB570B4" w14:textId="77777777" w:rsidR="00694811" w:rsidRPr="007D1918" w:rsidRDefault="00694811" w:rsidP="00304FB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Mortality (% patients with event)</w:t>
            </w:r>
          </w:p>
          <w:p w14:paraId="42F481F1" w14:textId="5EB16BED" w:rsidR="00694811" w:rsidRPr="007D1918" w:rsidRDefault="00694811" w:rsidP="00304FB9">
            <w:pPr>
              <w:spacing w:before="40" w:after="40" w:line="240" w:lineRule="auto"/>
              <w:rPr>
                <w:rFonts w:ascii="Arial Narrow" w:hAnsi="Arial Narrow" w:cs="Arial"/>
                <w:sz w:val="18"/>
                <w:szCs w:val="18"/>
              </w:rPr>
            </w:pPr>
            <w:r w:rsidRPr="007D1918">
              <w:rPr>
                <w:rFonts w:ascii="Arial Narrow" w:hAnsi="Arial Narrow"/>
                <w:sz w:val="18"/>
                <w:szCs w:val="18"/>
                <w:lang w:eastAsia="en-US"/>
              </w:rPr>
              <w:t>IVIg v placebo</w:t>
            </w:r>
          </w:p>
        </w:tc>
        <w:tc>
          <w:tcPr>
            <w:tcW w:w="664" w:type="pct"/>
            <w:tcBorders>
              <w:top w:val="single" w:sz="4" w:space="0" w:color="auto"/>
              <w:left w:val="single" w:sz="4" w:space="0" w:color="auto"/>
              <w:bottom w:val="single" w:sz="6" w:space="0" w:color="auto"/>
              <w:right w:val="single" w:sz="4" w:space="0" w:color="auto"/>
            </w:tcBorders>
          </w:tcPr>
          <w:p w14:paraId="61EAD11B" w14:textId="77777777" w:rsidR="00694811" w:rsidRPr="007D1918" w:rsidRDefault="00694811" w:rsidP="00304FB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n=62</w:t>
            </w:r>
          </w:p>
          <w:p w14:paraId="1594C8B1" w14:textId="0864D559" w:rsidR="00694811" w:rsidRPr="007D1918" w:rsidRDefault="00694811" w:rsidP="0073256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1020" w:type="pct"/>
            <w:tcBorders>
              <w:top w:val="single" w:sz="4" w:space="0" w:color="auto"/>
              <w:left w:val="single" w:sz="4" w:space="0" w:color="auto"/>
              <w:bottom w:val="single" w:sz="6" w:space="0" w:color="auto"/>
              <w:right w:val="single" w:sz="4" w:space="0" w:color="auto"/>
            </w:tcBorders>
          </w:tcPr>
          <w:p w14:paraId="1BAB82E9" w14:textId="6BCFD724" w:rsidR="00694811" w:rsidRPr="007D1918" w:rsidRDefault="00694811" w:rsidP="00304FB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No conclusions could be made</w:t>
            </w:r>
          </w:p>
        </w:tc>
        <w:tc>
          <w:tcPr>
            <w:tcW w:w="459" w:type="pct"/>
            <w:tcBorders>
              <w:top w:val="single" w:sz="4" w:space="0" w:color="auto"/>
              <w:left w:val="single" w:sz="4" w:space="0" w:color="auto"/>
              <w:bottom w:val="single" w:sz="6" w:space="0" w:color="auto"/>
              <w:right w:val="single" w:sz="4" w:space="0" w:color="auto"/>
            </w:tcBorders>
          </w:tcPr>
          <w:p w14:paraId="13293876" w14:textId="77777777" w:rsidR="00694811" w:rsidRPr="007D1918" w:rsidRDefault="00694811" w:rsidP="008202EB">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1DC9D6D9" w14:textId="1E67E7ED" w:rsidR="00694811" w:rsidRPr="007D1918" w:rsidRDefault="00694811" w:rsidP="008202EB">
            <w:pPr>
              <w:spacing w:before="40" w:after="40" w:line="240" w:lineRule="auto"/>
              <w:jc w:val="both"/>
              <w:rPr>
                <w:rFonts w:ascii="Cambria Math" w:hAnsi="Cambria Math" w:cs="Cambria Math"/>
                <w:color w:val="00B050"/>
                <w:sz w:val="18"/>
                <w:szCs w:val="18"/>
              </w:rPr>
            </w:pPr>
            <w:r w:rsidRPr="007D1918">
              <w:rPr>
                <w:rFonts w:ascii="Arial Narrow" w:hAnsi="Arial Narrow" w:cs="Cambria Math"/>
                <w:sz w:val="18"/>
                <w:szCs w:val="18"/>
              </w:rPr>
              <w:t>Low quality</w:t>
            </w:r>
          </w:p>
        </w:tc>
        <w:tc>
          <w:tcPr>
            <w:tcW w:w="1939" w:type="pct"/>
            <w:tcBorders>
              <w:top w:val="single" w:sz="4" w:space="0" w:color="auto"/>
              <w:left w:val="single" w:sz="4" w:space="0" w:color="auto"/>
              <w:bottom w:val="single" w:sz="6" w:space="0" w:color="auto"/>
            </w:tcBorders>
          </w:tcPr>
          <w:p w14:paraId="63441121" w14:textId="49744A35" w:rsidR="00694811" w:rsidRPr="007D1918" w:rsidRDefault="00694811" w:rsidP="00883B4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between groups. . Patients in both arms were on other maintenance therapies, the impact of which was not determined.</w:t>
            </w:r>
          </w:p>
        </w:tc>
      </w:tr>
      <w:tr w:rsidR="00694811" w:rsidRPr="007D1918" w14:paraId="5BA6F015" w14:textId="77777777" w:rsidTr="00694811">
        <w:tc>
          <w:tcPr>
            <w:tcW w:w="918" w:type="pct"/>
            <w:tcBorders>
              <w:top w:val="single" w:sz="4" w:space="0" w:color="auto"/>
              <w:bottom w:val="single" w:sz="4" w:space="0" w:color="auto"/>
              <w:right w:val="single" w:sz="4" w:space="0" w:color="auto"/>
            </w:tcBorders>
          </w:tcPr>
          <w:p w14:paraId="12B7F721" w14:textId="77777777" w:rsidR="00694811" w:rsidRPr="007D1918" w:rsidRDefault="00694811" w:rsidP="00883B4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 (change in score from baseline to day 28)</w:t>
            </w:r>
          </w:p>
          <w:p w14:paraId="5E444033" w14:textId="369057C6" w:rsidR="00694811" w:rsidRPr="007D1918" w:rsidRDefault="00694811" w:rsidP="00883B4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placebo</w:t>
            </w:r>
          </w:p>
        </w:tc>
        <w:tc>
          <w:tcPr>
            <w:tcW w:w="664" w:type="pct"/>
            <w:tcBorders>
              <w:top w:val="single" w:sz="4" w:space="0" w:color="auto"/>
              <w:left w:val="single" w:sz="4" w:space="0" w:color="auto"/>
              <w:bottom w:val="single" w:sz="4" w:space="0" w:color="auto"/>
              <w:right w:val="single" w:sz="4" w:space="0" w:color="auto"/>
            </w:tcBorders>
          </w:tcPr>
          <w:p w14:paraId="0F19A6C5" w14:textId="77777777" w:rsidR="00694811" w:rsidRPr="007D1918" w:rsidRDefault="00694811" w:rsidP="00883B42">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n=51</w:t>
            </w:r>
          </w:p>
          <w:p w14:paraId="4CFBEF09" w14:textId="661F7C40" w:rsidR="00694811" w:rsidRPr="007D1918" w:rsidRDefault="00694811" w:rsidP="00883B4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k=1 RCT</w:t>
            </w:r>
          </w:p>
        </w:tc>
        <w:tc>
          <w:tcPr>
            <w:tcW w:w="1020" w:type="pct"/>
            <w:tcBorders>
              <w:top w:val="single" w:sz="4" w:space="0" w:color="auto"/>
              <w:left w:val="single" w:sz="4" w:space="0" w:color="auto"/>
              <w:bottom w:val="single" w:sz="4" w:space="0" w:color="auto"/>
              <w:right w:val="single" w:sz="4" w:space="0" w:color="auto"/>
            </w:tcBorders>
          </w:tcPr>
          <w:p w14:paraId="00715423" w14:textId="535ACDFF" w:rsidR="00694811" w:rsidRPr="007D1918" w:rsidRDefault="00694811" w:rsidP="008202EB">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No conclusions could be made</w:t>
            </w:r>
          </w:p>
        </w:tc>
        <w:tc>
          <w:tcPr>
            <w:tcW w:w="459" w:type="pct"/>
            <w:tcBorders>
              <w:top w:val="single" w:sz="4" w:space="0" w:color="auto"/>
              <w:left w:val="single" w:sz="4" w:space="0" w:color="auto"/>
              <w:bottom w:val="single" w:sz="4" w:space="0" w:color="auto"/>
              <w:right w:val="single" w:sz="4" w:space="0" w:color="auto"/>
            </w:tcBorders>
          </w:tcPr>
          <w:p w14:paraId="176BB118" w14:textId="77777777" w:rsidR="00694811" w:rsidRPr="007D1918" w:rsidRDefault="00694811" w:rsidP="008202EB">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16B57B83" w14:textId="186E308B" w:rsidR="00694811" w:rsidRPr="007D1918" w:rsidRDefault="00694811" w:rsidP="008202EB">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Low quality</w:t>
            </w:r>
          </w:p>
        </w:tc>
        <w:tc>
          <w:tcPr>
            <w:tcW w:w="1939" w:type="pct"/>
            <w:tcBorders>
              <w:top w:val="single" w:sz="4" w:space="0" w:color="auto"/>
              <w:left w:val="single" w:sz="4" w:space="0" w:color="auto"/>
              <w:bottom w:val="single" w:sz="4" w:space="0" w:color="auto"/>
            </w:tcBorders>
          </w:tcPr>
          <w:p w14:paraId="4B501E4B" w14:textId="5E9AB762" w:rsidR="00694811" w:rsidRPr="007D1918" w:rsidRDefault="00694811" w:rsidP="00B521A5">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 symptom improvement in the IVIg group at 28 days was not statistically significant. At 14 days the difference was stronger (p = 0.03). Some patients in both arms were taking one or more standard therapies. This outcome may show an incremental benefit of IVIg over standard therapies</w:t>
            </w:r>
          </w:p>
        </w:tc>
      </w:tr>
      <w:tr w:rsidR="00694811" w:rsidRPr="007D1918" w14:paraId="71B60D97" w14:textId="77777777" w:rsidTr="00694811">
        <w:tc>
          <w:tcPr>
            <w:tcW w:w="918" w:type="pct"/>
            <w:tcBorders>
              <w:top w:val="single" w:sz="4" w:space="0" w:color="auto"/>
              <w:bottom w:val="single" w:sz="4" w:space="0" w:color="auto"/>
              <w:right w:val="single" w:sz="4" w:space="0" w:color="auto"/>
            </w:tcBorders>
          </w:tcPr>
          <w:p w14:paraId="6FDC8CC4" w14:textId="77777777" w:rsidR="00694811" w:rsidRPr="007D1918" w:rsidRDefault="00694811" w:rsidP="00304FB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lastRenderedPageBreak/>
              <w:t>Change in absolute score in children (mean change from baseline)</w:t>
            </w:r>
          </w:p>
          <w:p w14:paraId="2E554D11" w14:textId="7F6DAB7D" w:rsidR="00694811" w:rsidRPr="007D1918" w:rsidRDefault="00694811" w:rsidP="00732567">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 MPN v MPN alone</w:t>
            </w:r>
          </w:p>
        </w:tc>
        <w:tc>
          <w:tcPr>
            <w:tcW w:w="664" w:type="pct"/>
            <w:tcBorders>
              <w:top w:val="single" w:sz="4" w:space="0" w:color="auto"/>
              <w:left w:val="single" w:sz="4" w:space="0" w:color="auto"/>
              <w:bottom w:val="single" w:sz="4" w:space="0" w:color="auto"/>
              <w:right w:val="single" w:sz="4" w:space="0" w:color="auto"/>
            </w:tcBorders>
          </w:tcPr>
          <w:p w14:paraId="276B7FE7" w14:textId="77777777" w:rsidR="00694811" w:rsidRPr="007D1918" w:rsidRDefault="00694811" w:rsidP="00304FB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n=70</w:t>
            </w:r>
          </w:p>
          <w:p w14:paraId="35C2EAE0" w14:textId="62169B21" w:rsidR="00694811" w:rsidRPr="007D1918" w:rsidRDefault="00694811" w:rsidP="00304FB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Ret CoH</w:t>
            </w:r>
          </w:p>
        </w:tc>
        <w:tc>
          <w:tcPr>
            <w:tcW w:w="1020" w:type="pct"/>
            <w:tcBorders>
              <w:top w:val="single" w:sz="4" w:space="0" w:color="auto"/>
              <w:left w:val="single" w:sz="4" w:space="0" w:color="auto"/>
              <w:bottom w:val="single" w:sz="4" w:space="0" w:color="auto"/>
              <w:right w:val="single" w:sz="4" w:space="0" w:color="auto"/>
            </w:tcBorders>
          </w:tcPr>
          <w:p w14:paraId="10FBC927" w14:textId="61B31E78" w:rsidR="00694811" w:rsidRPr="007D1918" w:rsidRDefault="00694811" w:rsidP="00304FB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No conclusions could be made</w:t>
            </w:r>
          </w:p>
        </w:tc>
        <w:tc>
          <w:tcPr>
            <w:tcW w:w="459" w:type="pct"/>
            <w:tcBorders>
              <w:top w:val="single" w:sz="4" w:space="0" w:color="auto"/>
              <w:left w:val="single" w:sz="4" w:space="0" w:color="auto"/>
              <w:bottom w:val="single" w:sz="4" w:space="0" w:color="auto"/>
              <w:right w:val="single" w:sz="4" w:space="0" w:color="auto"/>
            </w:tcBorders>
          </w:tcPr>
          <w:p w14:paraId="7DC535B9" w14:textId="77777777" w:rsidR="00694811" w:rsidRPr="007D1918" w:rsidRDefault="00694811" w:rsidP="008202EB">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2660AA92" w14:textId="488187C6" w:rsidR="00694811" w:rsidRPr="007D1918" w:rsidRDefault="00694811" w:rsidP="008202EB">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Low quality</w:t>
            </w:r>
          </w:p>
        </w:tc>
        <w:tc>
          <w:tcPr>
            <w:tcW w:w="1939" w:type="pct"/>
            <w:tcBorders>
              <w:top w:val="single" w:sz="4" w:space="0" w:color="auto"/>
              <w:left w:val="single" w:sz="4" w:space="0" w:color="auto"/>
              <w:bottom w:val="single" w:sz="4" w:space="0" w:color="auto"/>
            </w:tcBorders>
          </w:tcPr>
          <w:p w14:paraId="657C6EDD" w14:textId="48C1032D" w:rsidR="00694811" w:rsidRPr="007D1918" w:rsidRDefault="00694811" w:rsidP="00E5641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Symptom improvement favoured IVIg but may be unreliable due to poor study quality. Patients were also given other standard therapies over the course of the study. This outcome may show incremental benefit of IVIg over high dose IV MPN.</w:t>
            </w:r>
          </w:p>
        </w:tc>
      </w:tr>
      <w:tr w:rsidR="00AB2776" w:rsidRPr="007D1918" w14:paraId="77923C1B" w14:textId="77777777" w:rsidTr="008202EB">
        <w:tc>
          <w:tcPr>
            <w:tcW w:w="5000" w:type="pct"/>
            <w:gridSpan w:val="5"/>
            <w:tcBorders>
              <w:top w:val="single" w:sz="12" w:space="0" w:color="auto"/>
              <w:left w:val="nil"/>
              <w:bottom w:val="single" w:sz="12" w:space="0" w:color="000000"/>
              <w:right w:val="nil"/>
            </w:tcBorders>
            <w:tcMar>
              <w:top w:w="15" w:type="dxa"/>
              <w:left w:w="15" w:type="dxa"/>
              <w:bottom w:w="15" w:type="dxa"/>
              <w:right w:w="15" w:type="dxa"/>
            </w:tcMar>
            <w:vAlign w:val="center"/>
            <w:hideMark/>
          </w:tcPr>
          <w:p w14:paraId="385A3439" w14:textId="77777777" w:rsidR="00AB2776" w:rsidRPr="007D1918" w:rsidRDefault="00AB2776" w:rsidP="008202EB">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4018CA00" w14:textId="55BBC991" w:rsidR="00AB2776" w:rsidRPr="007D1918" w:rsidRDefault="00AB2776" w:rsidP="00732567">
      <w:pPr>
        <w:pStyle w:val="Tablenotes0"/>
        <w:spacing w:after="120"/>
        <w:contextualSpacing w:val="0"/>
      </w:pPr>
      <w:r w:rsidRPr="007D1918">
        <w:t xml:space="preserve">AE = adverse events; IVIg = intravenous immunoglobulin therapy; MG = myasthenia gravis; </w:t>
      </w:r>
      <w:r w:rsidR="004C622F" w:rsidRPr="007D1918">
        <w:t xml:space="preserve">MPN = methylprednisolone therapy; </w:t>
      </w:r>
      <w:r w:rsidRPr="007D1918">
        <w:t xml:space="preserve">PE = plasma exchange therapy; QMGS = quantitative myasthenia gravis score; Ret CoH = retrospective cohort study; RCT = randomised controlled trial; </w:t>
      </w:r>
    </w:p>
    <w:p w14:paraId="0C9AE0B3" w14:textId="77777777" w:rsidR="00AB2776" w:rsidRPr="007D1918" w:rsidRDefault="00AB2776" w:rsidP="00AB2776"/>
    <w:p w14:paraId="4205A0F2" w14:textId="707A166C" w:rsidR="008F5A0C" w:rsidRPr="007D1918" w:rsidRDefault="008F5A0C" w:rsidP="00B358C3">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ind w:left="1134" w:hanging="1134"/>
      </w:pPr>
      <w:bookmarkStart w:id="318" w:name="_Ref12884171"/>
      <w:bookmarkStart w:id="319" w:name="_Toc23769538"/>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51</w:t>
      </w:r>
      <w:r w:rsidRPr="007D1918">
        <w:rPr>
          <w:noProof/>
        </w:rPr>
        <w:fldChar w:fldCharType="end"/>
      </w:r>
      <w:bookmarkEnd w:id="318"/>
      <w:r w:rsidRPr="007D1918">
        <w:tab/>
        <w:t xml:space="preserve">Balance of clinical benefits and harms of </w:t>
      </w:r>
      <w:r w:rsidRPr="007D1918">
        <w:rPr>
          <w:u w:val="single"/>
        </w:rPr>
        <w:t>IVIg relative to PE</w:t>
      </w:r>
      <w:r w:rsidRPr="007D1918">
        <w:t xml:space="preserve"> in MG patients changing maintenance therapy (</w:t>
      </w:r>
      <w:r w:rsidR="0088065E" w:rsidRPr="007D1918">
        <w:rPr>
          <w:i/>
        </w:rPr>
        <w:t>Criteria V3</w:t>
      </w:r>
      <w:r w:rsidR="0088065E" w:rsidRPr="007D1918">
        <w:t xml:space="preserve"> </w:t>
      </w:r>
      <w:r w:rsidRPr="007D1918">
        <w:t xml:space="preserve">Indication 3) as measured by the </w:t>
      </w:r>
      <w:r w:rsidRPr="007D1918">
        <w:rPr>
          <w:u w:val="single"/>
        </w:rPr>
        <w:t>critical</w:t>
      </w:r>
      <w:r w:rsidRPr="007D1918">
        <w:t xml:space="preserve"> patient relevant outcomes in the key studies</w:t>
      </w:r>
      <w:bookmarkEnd w:id="319"/>
    </w:p>
    <w:tbl>
      <w:tblPr>
        <w:tblW w:w="4977" w:type="pct"/>
        <w:tblLook w:val="04A0" w:firstRow="1" w:lastRow="0" w:firstColumn="1" w:lastColumn="0" w:noHBand="0" w:noVBand="1"/>
        <w:tblCaption w:val="Table 49 Balance of clinical benefits and harms of IVIg relative to PE in MG patients changing maintenance therapy (Criteria V3 Indication 3) as measured by the critical patient relevant outcomes in the key studies"/>
        <w:tblDescription w:val="Summary of the GRADE assessment of critical safety and effectiveness outcomes for patients receiving IVIg compared to those,receiving PE (Indication 3)."/>
      </w:tblPr>
      <w:tblGrid>
        <w:gridCol w:w="2410"/>
        <w:gridCol w:w="1845"/>
        <w:gridCol w:w="2976"/>
        <w:gridCol w:w="1417"/>
        <w:gridCol w:w="5246"/>
      </w:tblGrid>
      <w:tr w:rsidR="00B83E67" w:rsidRPr="007D1918" w14:paraId="6500F7F3" w14:textId="77777777" w:rsidTr="00694811">
        <w:trPr>
          <w:trHeight w:val="639"/>
          <w:tblHeader/>
        </w:trPr>
        <w:tc>
          <w:tcPr>
            <w:tcW w:w="867" w:type="pct"/>
            <w:tcBorders>
              <w:top w:val="single" w:sz="12" w:space="0" w:color="auto"/>
              <w:bottom w:val="single" w:sz="12" w:space="0" w:color="auto"/>
              <w:right w:val="single" w:sz="4" w:space="0" w:color="auto"/>
            </w:tcBorders>
            <w:shd w:val="clear" w:color="auto" w:fill="EEECE1" w:themeFill="background2"/>
          </w:tcPr>
          <w:p w14:paraId="2A5DFB6E" w14:textId="309C79C6" w:rsidR="00B83E67" w:rsidRPr="007D1918" w:rsidRDefault="00B83E67" w:rsidP="00B83E67">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tc>
        <w:tc>
          <w:tcPr>
            <w:tcW w:w="664" w:type="pct"/>
            <w:tcBorders>
              <w:top w:val="single" w:sz="12" w:space="0" w:color="auto"/>
              <w:bottom w:val="single" w:sz="12" w:space="0" w:color="auto"/>
              <w:right w:val="single" w:sz="4" w:space="0" w:color="auto"/>
            </w:tcBorders>
            <w:shd w:val="clear" w:color="auto" w:fill="EEECE1" w:themeFill="background2"/>
          </w:tcPr>
          <w:p w14:paraId="4B52AA6E" w14:textId="77777777" w:rsidR="00B83E67" w:rsidRPr="007D1918" w:rsidRDefault="00B83E67" w:rsidP="00B83E67">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12B7FD5E" w14:textId="3D612510" w:rsidR="00B83E67" w:rsidRPr="007D1918" w:rsidRDefault="00B83E67" w:rsidP="00B83E67">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Studies</w:t>
            </w:r>
          </w:p>
        </w:tc>
        <w:tc>
          <w:tcPr>
            <w:tcW w:w="1071" w:type="pct"/>
            <w:tcBorders>
              <w:top w:val="single" w:sz="12" w:space="0" w:color="auto"/>
              <w:left w:val="single" w:sz="4" w:space="0" w:color="auto"/>
              <w:bottom w:val="single" w:sz="12" w:space="0" w:color="auto"/>
              <w:right w:val="single" w:sz="4" w:space="0" w:color="auto"/>
            </w:tcBorders>
            <w:shd w:val="clear" w:color="auto" w:fill="EEECE1" w:themeFill="background2"/>
          </w:tcPr>
          <w:p w14:paraId="377FBE2A" w14:textId="77777777" w:rsidR="00B83E67" w:rsidRPr="007D1918" w:rsidRDefault="00B83E67" w:rsidP="00D0376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510" w:type="pct"/>
            <w:tcBorders>
              <w:top w:val="single" w:sz="12" w:space="0" w:color="auto"/>
              <w:left w:val="single" w:sz="4" w:space="0" w:color="auto"/>
              <w:bottom w:val="single" w:sz="12" w:space="0" w:color="auto"/>
              <w:right w:val="single" w:sz="4" w:space="0" w:color="auto"/>
            </w:tcBorders>
            <w:shd w:val="clear" w:color="auto" w:fill="EEECE1" w:themeFill="background2"/>
          </w:tcPr>
          <w:p w14:paraId="3AAF21E2" w14:textId="77777777" w:rsidR="00B83E67" w:rsidRPr="007D1918" w:rsidRDefault="00B83E67" w:rsidP="00D0376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1888" w:type="pct"/>
            <w:tcBorders>
              <w:top w:val="single" w:sz="12" w:space="0" w:color="auto"/>
              <w:left w:val="single" w:sz="4" w:space="0" w:color="auto"/>
              <w:bottom w:val="single" w:sz="12" w:space="0" w:color="auto"/>
            </w:tcBorders>
            <w:shd w:val="clear" w:color="auto" w:fill="EEECE1" w:themeFill="background2"/>
          </w:tcPr>
          <w:p w14:paraId="6BB39FA9" w14:textId="7800093C" w:rsidR="00B83E67" w:rsidRPr="007D1918" w:rsidRDefault="00B83E67" w:rsidP="00D0376D">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Comments</w:t>
            </w:r>
          </w:p>
        </w:tc>
      </w:tr>
      <w:tr w:rsidR="00B83E67" w:rsidRPr="007D1918" w14:paraId="60DABD0F" w14:textId="77777777" w:rsidTr="00B83E67">
        <w:tc>
          <w:tcPr>
            <w:tcW w:w="5000" w:type="pct"/>
            <w:gridSpan w:val="5"/>
            <w:tcBorders>
              <w:top w:val="single" w:sz="12" w:space="0" w:color="auto"/>
              <w:bottom w:val="single" w:sz="4" w:space="0" w:color="auto"/>
            </w:tcBorders>
          </w:tcPr>
          <w:p w14:paraId="302D9C87" w14:textId="30409CB7" w:rsidR="00B83E67" w:rsidRPr="007D1918" w:rsidRDefault="00B83E67" w:rsidP="00E7166E">
            <w:pPr>
              <w:spacing w:before="40" w:after="40" w:line="240" w:lineRule="auto"/>
              <w:rPr>
                <w:rFonts w:ascii="Arial Narrow" w:hAnsi="Arial Narrow"/>
                <w:b/>
                <w:sz w:val="18"/>
                <w:szCs w:val="18"/>
                <w:lang w:eastAsia="en-US"/>
              </w:rPr>
            </w:pPr>
            <w:r w:rsidRPr="007D1918">
              <w:rPr>
                <w:rFonts w:ascii="Arial Narrow" w:hAnsi="Arial Narrow"/>
                <w:b/>
                <w:sz w:val="18"/>
                <w:szCs w:val="18"/>
                <w:lang w:eastAsia="en-US"/>
              </w:rPr>
              <w:t>Safety</w:t>
            </w:r>
          </w:p>
        </w:tc>
      </w:tr>
      <w:tr w:rsidR="00B83E67" w:rsidRPr="007D1918" w14:paraId="5F686C95" w14:textId="77777777" w:rsidTr="00694811">
        <w:tc>
          <w:tcPr>
            <w:tcW w:w="867" w:type="pct"/>
            <w:tcBorders>
              <w:top w:val="single" w:sz="4" w:space="0" w:color="auto"/>
              <w:bottom w:val="single" w:sz="6" w:space="0" w:color="auto"/>
              <w:right w:val="single" w:sz="4" w:space="0" w:color="auto"/>
            </w:tcBorders>
          </w:tcPr>
          <w:p w14:paraId="62A19D0F" w14:textId="31053BF7" w:rsidR="00B83E67" w:rsidRPr="007D1918" w:rsidRDefault="00B83E67" w:rsidP="00B83E67">
            <w:pPr>
              <w:spacing w:before="40" w:after="40" w:line="240" w:lineRule="auto"/>
              <w:rPr>
                <w:rFonts w:ascii="Arial Narrow" w:hAnsi="Arial Narrow"/>
                <w:sz w:val="18"/>
                <w:szCs w:val="18"/>
                <w:lang w:eastAsia="en-US"/>
              </w:rPr>
            </w:pPr>
            <w:r w:rsidRPr="007D1918">
              <w:rPr>
                <w:rFonts w:ascii="Arial Narrow" w:hAnsi="Arial Narrow" w:cs="Arial"/>
                <w:sz w:val="18"/>
                <w:szCs w:val="18"/>
              </w:rPr>
              <w:t xml:space="preserve">Adverse events </w:t>
            </w:r>
            <w:r w:rsidRPr="007D1918">
              <w:rPr>
                <w:rFonts w:ascii="Arial Narrow" w:hAnsi="Arial Narrow" w:cs="Arial"/>
                <w:sz w:val="18"/>
                <w:szCs w:val="18"/>
              </w:rPr>
              <w:br/>
              <w:t>(% patients with any event)</w:t>
            </w:r>
          </w:p>
        </w:tc>
        <w:tc>
          <w:tcPr>
            <w:tcW w:w="664" w:type="pct"/>
            <w:tcBorders>
              <w:top w:val="single" w:sz="4" w:space="0" w:color="auto"/>
              <w:left w:val="single" w:sz="4" w:space="0" w:color="auto"/>
              <w:bottom w:val="single" w:sz="6" w:space="0" w:color="auto"/>
              <w:right w:val="single" w:sz="4" w:space="0" w:color="auto"/>
            </w:tcBorders>
          </w:tcPr>
          <w:p w14:paraId="34E479A3" w14:textId="77777777" w:rsidR="00B83E67" w:rsidRPr="007D1918" w:rsidRDefault="00B83E67" w:rsidP="00E321F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n=1,034</w:t>
            </w:r>
          </w:p>
          <w:p w14:paraId="71450A13" w14:textId="3C1B26B3"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k=3 RCTs, 1 Ret CoH</w:t>
            </w:r>
          </w:p>
        </w:tc>
        <w:tc>
          <w:tcPr>
            <w:tcW w:w="1071" w:type="pct"/>
            <w:tcBorders>
              <w:top w:val="single" w:sz="4" w:space="0" w:color="auto"/>
              <w:left w:val="single" w:sz="4" w:space="0" w:color="auto"/>
              <w:bottom w:val="single" w:sz="6" w:space="0" w:color="auto"/>
              <w:right w:val="single" w:sz="4" w:space="0" w:color="auto"/>
            </w:tcBorders>
          </w:tcPr>
          <w:p w14:paraId="59BB0D19" w14:textId="2EBAB7C9"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510" w:type="pct"/>
            <w:tcBorders>
              <w:top w:val="single" w:sz="4" w:space="0" w:color="auto"/>
              <w:left w:val="single" w:sz="4" w:space="0" w:color="auto"/>
              <w:bottom w:val="single" w:sz="6" w:space="0" w:color="auto"/>
              <w:right w:val="single" w:sz="4" w:space="0" w:color="auto"/>
            </w:tcBorders>
          </w:tcPr>
          <w:p w14:paraId="2F7E6A78" w14:textId="77777777" w:rsidR="00B83E67" w:rsidRPr="007D1918" w:rsidRDefault="00B83E67" w:rsidP="00D0376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77F25EA8" w14:textId="6102E689"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Moderate quality</w:t>
            </w:r>
          </w:p>
        </w:tc>
        <w:tc>
          <w:tcPr>
            <w:tcW w:w="1888" w:type="pct"/>
            <w:tcBorders>
              <w:top w:val="single" w:sz="4" w:space="0" w:color="auto"/>
              <w:left w:val="single" w:sz="4" w:space="0" w:color="auto"/>
              <w:bottom w:val="single" w:sz="6" w:space="0" w:color="auto"/>
            </w:tcBorders>
          </w:tcPr>
          <w:p w14:paraId="2826466C" w14:textId="7E3826FB"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of AEs detected between groups. This outcome may be impacted by selection bias in the cohort studies, however the results are consistent across all studies.</w:t>
            </w:r>
          </w:p>
        </w:tc>
      </w:tr>
      <w:tr w:rsidR="00B83E67" w:rsidRPr="007D1918" w14:paraId="53436A85" w14:textId="77777777" w:rsidTr="00694811">
        <w:tc>
          <w:tcPr>
            <w:tcW w:w="867" w:type="pct"/>
            <w:tcBorders>
              <w:top w:val="single" w:sz="4" w:space="0" w:color="auto"/>
              <w:bottom w:val="single" w:sz="4" w:space="0" w:color="auto"/>
              <w:right w:val="single" w:sz="4" w:space="0" w:color="auto"/>
            </w:tcBorders>
          </w:tcPr>
          <w:p w14:paraId="3EEFE243" w14:textId="77777777" w:rsidR="00B83E67" w:rsidRPr="007D1918" w:rsidRDefault="00B83E67" w:rsidP="002C7E09">
            <w:pPr>
              <w:spacing w:before="40" w:after="40" w:line="240" w:lineRule="auto"/>
              <w:rPr>
                <w:rFonts w:ascii="Arial Narrow" w:hAnsi="Arial Narrow"/>
                <w:sz w:val="18"/>
                <w:szCs w:val="18"/>
                <w:lang w:eastAsia="en-US"/>
              </w:rPr>
            </w:pPr>
            <w:r w:rsidRPr="007D1918">
              <w:rPr>
                <w:rFonts w:ascii="Arial Narrow" w:hAnsi="Arial Narrow" w:cs="Arial"/>
                <w:sz w:val="18"/>
                <w:szCs w:val="18"/>
              </w:rPr>
              <w:t xml:space="preserve">Adverse events </w:t>
            </w:r>
            <w:r w:rsidRPr="007D1918">
              <w:rPr>
                <w:rFonts w:ascii="Arial Narrow" w:hAnsi="Arial Narrow" w:cs="Arial"/>
                <w:sz w:val="18"/>
                <w:szCs w:val="18"/>
              </w:rPr>
              <w:br/>
              <w:t>(% children with pyrexia and rigors or central line sepsis)</w:t>
            </w:r>
          </w:p>
        </w:tc>
        <w:tc>
          <w:tcPr>
            <w:tcW w:w="664" w:type="pct"/>
            <w:tcBorders>
              <w:top w:val="single" w:sz="4" w:space="0" w:color="auto"/>
              <w:left w:val="single" w:sz="4" w:space="0" w:color="auto"/>
              <w:bottom w:val="single" w:sz="4" w:space="0" w:color="auto"/>
              <w:right w:val="single" w:sz="4" w:space="0" w:color="auto"/>
            </w:tcBorders>
          </w:tcPr>
          <w:p w14:paraId="13C7F650" w14:textId="77777777" w:rsidR="00B83E67" w:rsidRPr="007D1918" w:rsidRDefault="00B83E67" w:rsidP="002C7E0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n=17</w:t>
            </w:r>
          </w:p>
          <w:p w14:paraId="794129F5" w14:textId="77777777" w:rsidR="00B83E67" w:rsidRPr="007D1918" w:rsidRDefault="00B83E67" w:rsidP="002C7E0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Ret CoH</w:t>
            </w:r>
          </w:p>
        </w:tc>
        <w:tc>
          <w:tcPr>
            <w:tcW w:w="1071" w:type="pct"/>
            <w:tcBorders>
              <w:top w:val="single" w:sz="4" w:space="0" w:color="auto"/>
              <w:left w:val="single" w:sz="4" w:space="0" w:color="auto"/>
              <w:bottom w:val="single" w:sz="4" w:space="0" w:color="auto"/>
              <w:right w:val="single" w:sz="4" w:space="0" w:color="auto"/>
            </w:tcBorders>
          </w:tcPr>
          <w:p w14:paraId="53F3A678" w14:textId="77777777" w:rsidR="00B83E67" w:rsidRPr="007D1918" w:rsidRDefault="00B83E67" w:rsidP="002C7E0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No conclusions could be made</w:t>
            </w:r>
          </w:p>
        </w:tc>
        <w:tc>
          <w:tcPr>
            <w:tcW w:w="510" w:type="pct"/>
            <w:tcBorders>
              <w:top w:val="single" w:sz="4" w:space="0" w:color="auto"/>
              <w:left w:val="single" w:sz="4" w:space="0" w:color="auto"/>
              <w:bottom w:val="single" w:sz="4" w:space="0" w:color="auto"/>
              <w:right w:val="single" w:sz="4" w:space="0" w:color="auto"/>
            </w:tcBorders>
          </w:tcPr>
          <w:p w14:paraId="45463D35" w14:textId="77777777" w:rsidR="00B83E67" w:rsidRPr="007D1918" w:rsidRDefault="00B83E67" w:rsidP="002C7E09">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32A6FE82" w14:textId="77777777" w:rsidR="00B83E67" w:rsidRPr="007D1918" w:rsidRDefault="00B83E67" w:rsidP="002C7E09">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Very low quality</w:t>
            </w:r>
          </w:p>
        </w:tc>
        <w:tc>
          <w:tcPr>
            <w:tcW w:w="1888" w:type="pct"/>
            <w:tcBorders>
              <w:top w:val="single" w:sz="4" w:space="0" w:color="auto"/>
              <w:left w:val="single" w:sz="4" w:space="0" w:color="auto"/>
              <w:bottom w:val="single" w:sz="4" w:space="0" w:color="auto"/>
            </w:tcBorders>
          </w:tcPr>
          <w:p w14:paraId="4B7E9C6A" w14:textId="77777777" w:rsidR="00B83E67" w:rsidRPr="007D1918" w:rsidRDefault="00B83E67" w:rsidP="002C7E0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 frequency of AEs was lower in children given PE but the difference was not statistically significant. This result may be unreliable due to small participant numbers.</w:t>
            </w:r>
          </w:p>
        </w:tc>
      </w:tr>
      <w:tr w:rsidR="00B83E67" w:rsidRPr="007D1918" w14:paraId="385E46C8" w14:textId="77777777" w:rsidTr="00B83E67">
        <w:tc>
          <w:tcPr>
            <w:tcW w:w="5000" w:type="pct"/>
            <w:gridSpan w:val="5"/>
            <w:tcBorders>
              <w:top w:val="single" w:sz="4" w:space="0" w:color="auto"/>
              <w:bottom w:val="single" w:sz="4" w:space="0" w:color="auto"/>
            </w:tcBorders>
          </w:tcPr>
          <w:p w14:paraId="0068324C" w14:textId="3528A85A" w:rsidR="00B83E67" w:rsidRPr="007D1918" w:rsidRDefault="00B83E67" w:rsidP="00E7166E">
            <w:pPr>
              <w:spacing w:before="40" w:after="40" w:line="240" w:lineRule="auto"/>
              <w:rPr>
                <w:rFonts w:ascii="Arial Narrow" w:hAnsi="Arial Narrow"/>
                <w:b/>
                <w:sz w:val="18"/>
                <w:szCs w:val="18"/>
                <w:lang w:eastAsia="en-US"/>
              </w:rPr>
            </w:pPr>
            <w:r w:rsidRPr="007D1918">
              <w:rPr>
                <w:rFonts w:ascii="Arial Narrow" w:hAnsi="Arial Narrow"/>
                <w:b/>
                <w:sz w:val="18"/>
                <w:szCs w:val="18"/>
                <w:lang w:eastAsia="en-US"/>
              </w:rPr>
              <w:t>Effectiveness</w:t>
            </w:r>
          </w:p>
        </w:tc>
      </w:tr>
      <w:tr w:rsidR="00B83E67" w:rsidRPr="007D1918" w14:paraId="5CABB43E" w14:textId="77777777" w:rsidTr="00694811">
        <w:tc>
          <w:tcPr>
            <w:tcW w:w="867" w:type="pct"/>
            <w:tcBorders>
              <w:top w:val="single" w:sz="4" w:space="0" w:color="auto"/>
              <w:bottom w:val="single" w:sz="4" w:space="0" w:color="auto"/>
              <w:right w:val="single" w:sz="4" w:space="0" w:color="auto"/>
            </w:tcBorders>
          </w:tcPr>
          <w:p w14:paraId="2AA89F49" w14:textId="407B8A4A"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Infection rate </w:t>
            </w:r>
            <w:r w:rsidRPr="007D1918">
              <w:rPr>
                <w:rFonts w:ascii="Arial Narrow" w:hAnsi="Arial Narrow"/>
                <w:sz w:val="18"/>
                <w:szCs w:val="18"/>
                <w:lang w:eastAsia="en-US"/>
              </w:rPr>
              <w:br/>
              <w:t>(% patients with event)</w:t>
            </w:r>
          </w:p>
        </w:tc>
        <w:tc>
          <w:tcPr>
            <w:tcW w:w="664" w:type="pct"/>
            <w:tcBorders>
              <w:top w:val="single" w:sz="4" w:space="0" w:color="auto"/>
              <w:left w:val="single" w:sz="4" w:space="0" w:color="auto"/>
              <w:bottom w:val="single" w:sz="4" w:space="0" w:color="auto"/>
              <w:right w:val="single" w:sz="4" w:space="0" w:color="auto"/>
            </w:tcBorders>
          </w:tcPr>
          <w:p w14:paraId="003D1440" w14:textId="77777777"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n=920</w:t>
            </w:r>
          </w:p>
          <w:p w14:paraId="01FE7B0D" w14:textId="423E89DB"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k=1 RCT, 1 Ret CoH</w:t>
            </w:r>
          </w:p>
        </w:tc>
        <w:tc>
          <w:tcPr>
            <w:tcW w:w="1071" w:type="pct"/>
            <w:tcBorders>
              <w:top w:val="single" w:sz="4" w:space="0" w:color="auto"/>
              <w:left w:val="single" w:sz="4" w:space="0" w:color="auto"/>
              <w:bottom w:val="single" w:sz="4" w:space="0" w:color="auto"/>
              <w:right w:val="single" w:sz="4" w:space="0" w:color="auto"/>
            </w:tcBorders>
          </w:tcPr>
          <w:p w14:paraId="3B7BE0CA" w14:textId="6506F1C6"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510" w:type="pct"/>
            <w:tcBorders>
              <w:top w:val="single" w:sz="4" w:space="0" w:color="auto"/>
              <w:left w:val="single" w:sz="4" w:space="0" w:color="auto"/>
              <w:bottom w:val="single" w:sz="4" w:space="0" w:color="auto"/>
              <w:right w:val="single" w:sz="4" w:space="0" w:color="auto"/>
            </w:tcBorders>
          </w:tcPr>
          <w:p w14:paraId="7C0B2A5C" w14:textId="77777777" w:rsidR="00B83E67" w:rsidRPr="007D1918" w:rsidRDefault="00B83E67" w:rsidP="00D0376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1A6B6A3F" w14:textId="4FC597D2"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Low quality</w:t>
            </w:r>
          </w:p>
        </w:tc>
        <w:tc>
          <w:tcPr>
            <w:tcW w:w="1888" w:type="pct"/>
            <w:tcBorders>
              <w:top w:val="single" w:sz="4" w:space="0" w:color="auto"/>
              <w:left w:val="single" w:sz="4" w:space="0" w:color="auto"/>
              <w:bottom w:val="single" w:sz="4" w:space="0" w:color="auto"/>
            </w:tcBorders>
          </w:tcPr>
          <w:p w14:paraId="25D7A398" w14:textId="13B6404D"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of infections between groups. This outcome may be impacted by selection bias in the cohort study, and the RCT was underpowered for a strong conclusion.</w:t>
            </w:r>
          </w:p>
        </w:tc>
      </w:tr>
      <w:tr w:rsidR="00B83E67" w:rsidRPr="007D1918" w14:paraId="4F06DEC2" w14:textId="77777777" w:rsidTr="00694811">
        <w:tc>
          <w:tcPr>
            <w:tcW w:w="867" w:type="pct"/>
            <w:tcBorders>
              <w:top w:val="single" w:sz="4" w:space="0" w:color="auto"/>
              <w:bottom w:val="single" w:sz="4" w:space="0" w:color="auto"/>
              <w:right w:val="single" w:sz="4" w:space="0" w:color="auto"/>
            </w:tcBorders>
          </w:tcPr>
          <w:p w14:paraId="0DFB8BEB" w14:textId="36253B36"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 (mean change in score from baseline to 14 days or % change from baseline)</w:t>
            </w:r>
          </w:p>
        </w:tc>
        <w:tc>
          <w:tcPr>
            <w:tcW w:w="664" w:type="pct"/>
            <w:tcBorders>
              <w:top w:val="single" w:sz="4" w:space="0" w:color="auto"/>
              <w:left w:val="single" w:sz="4" w:space="0" w:color="auto"/>
              <w:bottom w:val="single" w:sz="4" w:space="0" w:color="auto"/>
              <w:right w:val="single" w:sz="4" w:space="0" w:color="auto"/>
            </w:tcBorders>
          </w:tcPr>
          <w:p w14:paraId="11767C7A" w14:textId="77777777"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n=124</w:t>
            </w:r>
          </w:p>
          <w:p w14:paraId="2CCCF0C1" w14:textId="0992028E"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k=2 RCTs</w:t>
            </w:r>
          </w:p>
        </w:tc>
        <w:tc>
          <w:tcPr>
            <w:tcW w:w="1071" w:type="pct"/>
            <w:tcBorders>
              <w:top w:val="single" w:sz="4" w:space="0" w:color="auto"/>
              <w:left w:val="single" w:sz="4" w:space="0" w:color="auto"/>
              <w:bottom w:val="single" w:sz="4" w:space="0" w:color="auto"/>
              <w:right w:val="single" w:sz="4" w:space="0" w:color="auto"/>
            </w:tcBorders>
          </w:tcPr>
          <w:p w14:paraId="316B2B2B" w14:textId="3AD31481"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510" w:type="pct"/>
            <w:tcBorders>
              <w:top w:val="single" w:sz="4" w:space="0" w:color="auto"/>
              <w:left w:val="single" w:sz="4" w:space="0" w:color="auto"/>
              <w:bottom w:val="single" w:sz="4" w:space="0" w:color="auto"/>
              <w:right w:val="single" w:sz="4" w:space="0" w:color="auto"/>
            </w:tcBorders>
          </w:tcPr>
          <w:p w14:paraId="169BD642" w14:textId="77777777" w:rsidR="00B83E67" w:rsidRPr="007D1918" w:rsidRDefault="00B83E67" w:rsidP="00D0376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7763D51A" w14:textId="378F1370"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Low quality</w:t>
            </w:r>
          </w:p>
        </w:tc>
        <w:tc>
          <w:tcPr>
            <w:tcW w:w="1888" w:type="pct"/>
            <w:tcBorders>
              <w:top w:val="single" w:sz="4" w:space="0" w:color="auto"/>
              <w:left w:val="single" w:sz="4" w:space="0" w:color="auto"/>
              <w:bottom w:val="single" w:sz="4" w:space="0" w:color="auto"/>
            </w:tcBorders>
          </w:tcPr>
          <w:p w14:paraId="4BF34766" w14:textId="0ABEC34F" w:rsidR="00B83E67" w:rsidRPr="007D1918" w:rsidRDefault="00B83E67" w:rsidP="000504B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 RCTs </w:t>
            </w:r>
            <w:r w:rsidR="002B0A01" w:rsidRPr="007D1918">
              <w:rPr>
                <w:rFonts w:ascii="Arial Narrow" w:hAnsi="Arial Narrow"/>
                <w:sz w:val="18"/>
                <w:szCs w:val="18"/>
                <w:lang w:eastAsia="en-US"/>
              </w:rPr>
              <w:t>both</w:t>
            </w:r>
            <w:r w:rsidRPr="007D1918">
              <w:rPr>
                <w:rFonts w:ascii="Arial Narrow" w:hAnsi="Arial Narrow"/>
                <w:sz w:val="18"/>
                <w:szCs w:val="18"/>
                <w:lang w:eastAsia="en-US"/>
              </w:rPr>
              <w:t xml:space="preserve"> favou</w:t>
            </w:r>
            <w:r w:rsidR="002B0A01" w:rsidRPr="007D1918">
              <w:rPr>
                <w:rFonts w:ascii="Arial Narrow" w:hAnsi="Arial Narrow"/>
                <w:sz w:val="18"/>
                <w:szCs w:val="18"/>
                <w:lang w:eastAsia="en-US"/>
              </w:rPr>
              <w:t>red</w:t>
            </w:r>
            <w:r w:rsidRPr="007D1918">
              <w:rPr>
                <w:rFonts w:ascii="Arial Narrow" w:hAnsi="Arial Narrow"/>
                <w:sz w:val="18"/>
                <w:szCs w:val="18"/>
                <w:lang w:eastAsia="en-US"/>
              </w:rPr>
              <w:t xml:space="preserve"> PE</w:t>
            </w:r>
            <w:r w:rsidR="002B0A01" w:rsidRPr="007D1918">
              <w:rPr>
                <w:rFonts w:ascii="Arial Narrow" w:hAnsi="Arial Narrow"/>
                <w:sz w:val="18"/>
                <w:szCs w:val="18"/>
                <w:lang w:eastAsia="en-US"/>
              </w:rPr>
              <w:t xml:space="preserve"> with one trial finding clinically important improvements in both IVIg and PE groups without</w:t>
            </w:r>
            <w:r w:rsidR="000504BC" w:rsidRPr="007D1918">
              <w:rPr>
                <w:rFonts w:ascii="Arial Narrow" w:hAnsi="Arial Narrow"/>
                <w:sz w:val="18"/>
                <w:szCs w:val="18"/>
                <w:lang w:eastAsia="en-US"/>
              </w:rPr>
              <w:t xml:space="preserve"> a</w:t>
            </w:r>
            <w:r w:rsidR="002B0A01" w:rsidRPr="007D1918">
              <w:rPr>
                <w:rFonts w:ascii="Arial Narrow" w:hAnsi="Arial Narrow"/>
                <w:sz w:val="18"/>
                <w:szCs w:val="18"/>
                <w:lang w:eastAsia="en-US"/>
              </w:rPr>
              <w:t xml:space="preserve"> statistical</w:t>
            </w:r>
            <w:r w:rsidR="000504BC" w:rsidRPr="007D1918">
              <w:rPr>
                <w:rFonts w:ascii="Arial Narrow" w:hAnsi="Arial Narrow"/>
                <w:sz w:val="18"/>
                <w:szCs w:val="18"/>
                <w:lang w:eastAsia="en-US"/>
              </w:rPr>
              <w:t>ly significant difference between groups</w:t>
            </w:r>
            <w:r w:rsidR="002B0A01" w:rsidRPr="007D1918">
              <w:rPr>
                <w:rFonts w:ascii="Arial Narrow" w:hAnsi="Arial Narrow"/>
                <w:sz w:val="18"/>
                <w:szCs w:val="18"/>
                <w:lang w:eastAsia="en-US"/>
              </w:rPr>
              <w:t>, and the other finding a statistically significant</w:t>
            </w:r>
            <w:r w:rsidR="000504BC" w:rsidRPr="007D1918">
              <w:rPr>
                <w:rFonts w:ascii="Arial Narrow" w:hAnsi="Arial Narrow"/>
                <w:sz w:val="18"/>
                <w:szCs w:val="18"/>
                <w:lang w:eastAsia="en-US"/>
              </w:rPr>
              <w:t>ly greater</w:t>
            </w:r>
            <w:r w:rsidR="002B0A01" w:rsidRPr="007D1918">
              <w:rPr>
                <w:rFonts w:ascii="Arial Narrow" w:hAnsi="Arial Narrow"/>
                <w:sz w:val="18"/>
                <w:szCs w:val="18"/>
                <w:lang w:eastAsia="en-US"/>
              </w:rPr>
              <w:t xml:space="preserve"> improvement in the PE group</w:t>
            </w:r>
            <w:r w:rsidR="000504BC" w:rsidRPr="007D1918">
              <w:rPr>
                <w:rFonts w:ascii="Arial Narrow" w:hAnsi="Arial Narrow"/>
                <w:sz w:val="18"/>
                <w:szCs w:val="18"/>
                <w:lang w:eastAsia="en-US"/>
              </w:rPr>
              <w:t xml:space="preserve"> compared to the IVIg group, but it is </w:t>
            </w:r>
            <w:r w:rsidR="000504BC" w:rsidRPr="007D1918">
              <w:rPr>
                <w:rFonts w:ascii="Arial Narrow" w:hAnsi="Arial Narrow"/>
                <w:sz w:val="18"/>
                <w:szCs w:val="18"/>
                <w:lang w:eastAsia="en-US"/>
              </w:rPr>
              <w:lastRenderedPageBreak/>
              <w:t>not possible to tell if this is clinically significant</w:t>
            </w:r>
            <w:r w:rsidR="002B0A01" w:rsidRPr="007D1918">
              <w:rPr>
                <w:rFonts w:ascii="Arial Narrow" w:hAnsi="Arial Narrow"/>
                <w:sz w:val="18"/>
                <w:szCs w:val="18"/>
                <w:lang w:eastAsia="en-US"/>
              </w:rPr>
              <w:t xml:space="preserve">. </w:t>
            </w:r>
            <w:r w:rsidR="000504BC" w:rsidRPr="007D1918">
              <w:rPr>
                <w:rFonts w:ascii="Arial Narrow" w:hAnsi="Arial Narrow"/>
                <w:sz w:val="18"/>
                <w:szCs w:val="18"/>
                <w:lang w:eastAsia="en-US"/>
              </w:rPr>
              <w:t>These</w:t>
            </w:r>
            <w:r w:rsidR="002B0A01" w:rsidRPr="007D1918">
              <w:rPr>
                <w:rFonts w:ascii="Arial Narrow" w:hAnsi="Arial Narrow"/>
                <w:sz w:val="18"/>
                <w:szCs w:val="18"/>
                <w:lang w:eastAsia="en-US"/>
              </w:rPr>
              <w:t xml:space="preserve"> result</w:t>
            </w:r>
            <w:r w:rsidR="000504BC" w:rsidRPr="007D1918">
              <w:rPr>
                <w:rFonts w:ascii="Arial Narrow" w:hAnsi="Arial Narrow"/>
                <w:sz w:val="18"/>
                <w:szCs w:val="18"/>
                <w:lang w:eastAsia="en-US"/>
              </w:rPr>
              <w:t>s</w:t>
            </w:r>
            <w:r w:rsidR="002B0A01" w:rsidRPr="007D1918">
              <w:rPr>
                <w:rFonts w:ascii="Arial Narrow" w:hAnsi="Arial Narrow"/>
                <w:sz w:val="18"/>
                <w:szCs w:val="18"/>
                <w:lang w:eastAsia="en-US"/>
              </w:rPr>
              <w:t xml:space="preserve"> </w:t>
            </w:r>
            <w:r w:rsidR="000504BC" w:rsidRPr="007D1918">
              <w:rPr>
                <w:rFonts w:ascii="Arial Narrow" w:hAnsi="Arial Narrow"/>
                <w:sz w:val="18"/>
                <w:szCs w:val="18"/>
                <w:lang w:eastAsia="en-US"/>
              </w:rPr>
              <w:t>are</w:t>
            </w:r>
            <w:r w:rsidR="002B0A01" w:rsidRPr="007D1918">
              <w:rPr>
                <w:rFonts w:ascii="Arial Narrow" w:hAnsi="Arial Narrow"/>
                <w:sz w:val="18"/>
                <w:szCs w:val="18"/>
                <w:lang w:eastAsia="en-US"/>
              </w:rPr>
              <w:t xml:space="preserve"> based on</w:t>
            </w:r>
            <w:r w:rsidR="002C7E09" w:rsidRPr="007D1918">
              <w:rPr>
                <w:rFonts w:ascii="Arial Narrow" w:hAnsi="Arial Narrow"/>
                <w:sz w:val="18"/>
                <w:szCs w:val="18"/>
                <w:lang w:eastAsia="en-US"/>
              </w:rPr>
              <w:t xml:space="preserve"> </w:t>
            </w:r>
            <w:r w:rsidRPr="007D1918">
              <w:rPr>
                <w:rFonts w:ascii="Arial Narrow" w:hAnsi="Arial Narrow"/>
                <w:sz w:val="18"/>
                <w:szCs w:val="18"/>
                <w:lang w:eastAsia="en-US"/>
              </w:rPr>
              <w:t>small participant number</w:t>
            </w:r>
            <w:r w:rsidR="002C7E09" w:rsidRPr="007D1918">
              <w:rPr>
                <w:rFonts w:ascii="Arial Narrow" w:hAnsi="Arial Narrow"/>
                <w:sz w:val="18"/>
                <w:szCs w:val="18"/>
                <w:lang w:eastAsia="en-US"/>
              </w:rPr>
              <w:t>s.</w:t>
            </w:r>
            <w:r w:rsidRPr="007D1918">
              <w:rPr>
                <w:rFonts w:ascii="Arial Narrow" w:hAnsi="Arial Narrow"/>
                <w:sz w:val="18"/>
                <w:szCs w:val="18"/>
                <w:lang w:eastAsia="en-US"/>
              </w:rPr>
              <w:t xml:space="preserve"> </w:t>
            </w:r>
          </w:p>
        </w:tc>
      </w:tr>
      <w:tr w:rsidR="00B83E67" w:rsidRPr="007D1918" w14:paraId="18ACDC60" w14:textId="77777777" w:rsidTr="00694811">
        <w:tc>
          <w:tcPr>
            <w:tcW w:w="867" w:type="pct"/>
            <w:tcBorders>
              <w:top w:val="single" w:sz="4" w:space="0" w:color="auto"/>
              <w:bottom w:val="single" w:sz="4" w:space="0" w:color="auto"/>
              <w:right w:val="single" w:sz="4" w:space="0" w:color="auto"/>
            </w:tcBorders>
          </w:tcPr>
          <w:p w14:paraId="7332D8C2" w14:textId="39E58B7E"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lastRenderedPageBreak/>
              <w:t>Change in QMGS (mean change in score from baseline to 21 days)</w:t>
            </w:r>
          </w:p>
        </w:tc>
        <w:tc>
          <w:tcPr>
            <w:tcW w:w="664" w:type="pct"/>
            <w:tcBorders>
              <w:top w:val="single" w:sz="4" w:space="0" w:color="auto"/>
              <w:left w:val="single" w:sz="4" w:space="0" w:color="auto"/>
              <w:bottom w:val="single" w:sz="4" w:space="0" w:color="auto"/>
              <w:right w:val="single" w:sz="4" w:space="0" w:color="auto"/>
            </w:tcBorders>
          </w:tcPr>
          <w:p w14:paraId="07A51A25" w14:textId="77777777"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n=84</w:t>
            </w:r>
          </w:p>
          <w:p w14:paraId="4150924C" w14:textId="63E8BC01"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1071" w:type="pct"/>
            <w:tcBorders>
              <w:top w:val="single" w:sz="4" w:space="0" w:color="auto"/>
              <w:left w:val="single" w:sz="4" w:space="0" w:color="auto"/>
              <w:bottom w:val="single" w:sz="4" w:space="0" w:color="auto"/>
              <w:right w:val="single" w:sz="4" w:space="0" w:color="auto"/>
            </w:tcBorders>
          </w:tcPr>
          <w:p w14:paraId="29C7E7D9" w14:textId="4F578DC9"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510" w:type="pct"/>
            <w:tcBorders>
              <w:top w:val="single" w:sz="4" w:space="0" w:color="auto"/>
              <w:left w:val="single" w:sz="4" w:space="0" w:color="auto"/>
              <w:bottom w:val="single" w:sz="4" w:space="0" w:color="auto"/>
              <w:right w:val="single" w:sz="4" w:space="0" w:color="auto"/>
            </w:tcBorders>
          </w:tcPr>
          <w:p w14:paraId="10644479" w14:textId="77777777" w:rsidR="00B83E67" w:rsidRPr="007D1918" w:rsidRDefault="00B83E67" w:rsidP="00D0376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75162926" w14:textId="2D095B8C"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Moderate quality</w:t>
            </w:r>
          </w:p>
        </w:tc>
        <w:tc>
          <w:tcPr>
            <w:tcW w:w="1888" w:type="pct"/>
            <w:tcBorders>
              <w:top w:val="single" w:sz="4" w:space="0" w:color="auto"/>
              <w:left w:val="single" w:sz="4" w:space="0" w:color="auto"/>
              <w:bottom w:val="single" w:sz="4" w:space="0" w:color="auto"/>
            </w:tcBorders>
          </w:tcPr>
          <w:p w14:paraId="6E359548" w14:textId="08AB315C"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Symptom improvement favoured PE at 21 days but was not statistically significant. Results were from a single</w:t>
            </w:r>
            <w:r w:rsidR="002C7E09" w:rsidRPr="007D1918">
              <w:rPr>
                <w:rFonts w:ascii="Arial Narrow" w:hAnsi="Arial Narrow"/>
                <w:sz w:val="18"/>
                <w:szCs w:val="18"/>
                <w:lang w:eastAsia="en-US"/>
              </w:rPr>
              <w:t xml:space="preserve"> small</w:t>
            </w:r>
            <w:r w:rsidRPr="007D1918">
              <w:rPr>
                <w:rFonts w:ascii="Arial Narrow" w:hAnsi="Arial Narrow"/>
                <w:sz w:val="18"/>
                <w:szCs w:val="18"/>
                <w:lang w:eastAsia="en-US"/>
              </w:rPr>
              <w:t xml:space="preserve"> RCT with low risk of bias.</w:t>
            </w:r>
          </w:p>
        </w:tc>
      </w:tr>
      <w:tr w:rsidR="00B83E67" w:rsidRPr="007D1918" w14:paraId="5E52BE11" w14:textId="77777777" w:rsidTr="00694811">
        <w:tc>
          <w:tcPr>
            <w:tcW w:w="867" w:type="pct"/>
            <w:tcBorders>
              <w:top w:val="single" w:sz="4" w:space="0" w:color="auto"/>
              <w:bottom w:val="single" w:sz="4" w:space="0" w:color="auto"/>
              <w:right w:val="single" w:sz="4" w:space="0" w:color="auto"/>
            </w:tcBorders>
          </w:tcPr>
          <w:p w14:paraId="1E0069D9" w14:textId="71B14D0B"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 (mean change in score from baseline to 28 days)</w:t>
            </w:r>
          </w:p>
        </w:tc>
        <w:tc>
          <w:tcPr>
            <w:tcW w:w="664" w:type="pct"/>
            <w:tcBorders>
              <w:top w:val="single" w:sz="4" w:space="0" w:color="auto"/>
              <w:left w:val="single" w:sz="4" w:space="0" w:color="auto"/>
              <w:bottom w:val="single" w:sz="4" w:space="0" w:color="auto"/>
              <w:right w:val="single" w:sz="4" w:space="0" w:color="auto"/>
            </w:tcBorders>
          </w:tcPr>
          <w:p w14:paraId="2EE1FDF2" w14:textId="77777777"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n=84</w:t>
            </w:r>
          </w:p>
          <w:p w14:paraId="7571DB3E" w14:textId="2ED80BD9"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1071" w:type="pct"/>
            <w:tcBorders>
              <w:top w:val="single" w:sz="4" w:space="0" w:color="auto"/>
              <w:left w:val="single" w:sz="4" w:space="0" w:color="auto"/>
              <w:bottom w:val="single" w:sz="4" w:space="0" w:color="auto"/>
              <w:right w:val="single" w:sz="4" w:space="0" w:color="auto"/>
            </w:tcBorders>
          </w:tcPr>
          <w:p w14:paraId="77E6CA42" w14:textId="3D692FCB"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510" w:type="pct"/>
            <w:tcBorders>
              <w:top w:val="single" w:sz="4" w:space="0" w:color="auto"/>
              <w:left w:val="single" w:sz="4" w:space="0" w:color="auto"/>
              <w:bottom w:val="single" w:sz="4" w:space="0" w:color="auto"/>
              <w:right w:val="single" w:sz="4" w:space="0" w:color="auto"/>
            </w:tcBorders>
          </w:tcPr>
          <w:p w14:paraId="1AC2B5CF" w14:textId="77777777" w:rsidR="00B83E67" w:rsidRPr="007D1918" w:rsidRDefault="00B83E67" w:rsidP="00D0376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6BEA505E" w14:textId="7549A6CD"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Moderate quality</w:t>
            </w:r>
          </w:p>
        </w:tc>
        <w:tc>
          <w:tcPr>
            <w:tcW w:w="1888" w:type="pct"/>
            <w:tcBorders>
              <w:top w:val="single" w:sz="4" w:space="0" w:color="auto"/>
              <w:left w:val="single" w:sz="4" w:space="0" w:color="auto"/>
              <w:bottom w:val="single" w:sz="4" w:space="0" w:color="auto"/>
            </w:tcBorders>
          </w:tcPr>
          <w:p w14:paraId="171A12DF" w14:textId="4A6F5439"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Symptom improvement favoured PE at 28 days but was not statistically significant. Results were from a single</w:t>
            </w:r>
            <w:r w:rsidR="000504BC" w:rsidRPr="007D1918">
              <w:rPr>
                <w:rFonts w:ascii="Arial Narrow" w:hAnsi="Arial Narrow"/>
                <w:sz w:val="18"/>
                <w:szCs w:val="18"/>
                <w:lang w:eastAsia="en-US"/>
              </w:rPr>
              <w:t xml:space="preserve"> small</w:t>
            </w:r>
            <w:r w:rsidRPr="007D1918">
              <w:rPr>
                <w:rFonts w:ascii="Arial Narrow" w:hAnsi="Arial Narrow"/>
                <w:sz w:val="18"/>
                <w:szCs w:val="18"/>
                <w:lang w:eastAsia="en-US"/>
              </w:rPr>
              <w:t xml:space="preserve"> RCT with low risk of bias.</w:t>
            </w:r>
          </w:p>
        </w:tc>
      </w:tr>
      <w:tr w:rsidR="00B83E67" w:rsidRPr="007D1918" w14:paraId="46167F72" w14:textId="77777777" w:rsidTr="00694811">
        <w:tc>
          <w:tcPr>
            <w:tcW w:w="867" w:type="pct"/>
            <w:tcBorders>
              <w:top w:val="single" w:sz="4" w:space="0" w:color="auto"/>
              <w:bottom w:val="single" w:sz="6" w:space="0" w:color="auto"/>
              <w:right w:val="single" w:sz="4" w:space="0" w:color="auto"/>
            </w:tcBorders>
          </w:tcPr>
          <w:p w14:paraId="2E8A5D2C" w14:textId="2C3112F7"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QoL (change in MG-QoL-60 from baseline to day 28)</w:t>
            </w:r>
          </w:p>
        </w:tc>
        <w:tc>
          <w:tcPr>
            <w:tcW w:w="664" w:type="pct"/>
            <w:tcBorders>
              <w:top w:val="single" w:sz="4" w:space="0" w:color="auto"/>
              <w:left w:val="single" w:sz="4" w:space="0" w:color="auto"/>
              <w:bottom w:val="single" w:sz="6" w:space="0" w:color="auto"/>
              <w:right w:val="single" w:sz="4" w:space="0" w:color="auto"/>
            </w:tcBorders>
          </w:tcPr>
          <w:p w14:paraId="16A28C69" w14:textId="77777777"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n=62</w:t>
            </w:r>
          </w:p>
          <w:p w14:paraId="2EEC46FB" w14:textId="74F15CDA"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1071" w:type="pct"/>
            <w:tcBorders>
              <w:top w:val="single" w:sz="4" w:space="0" w:color="auto"/>
              <w:left w:val="single" w:sz="4" w:space="0" w:color="auto"/>
              <w:bottom w:val="single" w:sz="6" w:space="0" w:color="auto"/>
              <w:right w:val="single" w:sz="4" w:space="0" w:color="auto"/>
            </w:tcBorders>
          </w:tcPr>
          <w:p w14:paraId="0151457A" w14:textId="2C02698C"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between IVIg and PE</w:t>
            </w:r>
          </w:p>
        </w:tc>
        <w:tc>
          <w:tcPr>
            <w:tcW w:w="510" w:type="pct"/>
            <w:tcBorders>
              <w:top w:val="single" w:sz="4" w:space="0" w:color="auto"/>
              <w:left w:val="single" w:sz="4" w:space="0" w:color="auto"/>
              <w:bottom w:val="single" w:sz="6" w:space="0" w:color="auto"/>
              <w:right w:val="single" w:sz="4" w:space="0" w:color="auto"/>
            </w:tcBorders>
          </w:tcPr>
          <w:p w14:paraId="00605FEF" w14:textId="77777777" w:rsidR="00B83E67" w:rsidRPr="007D1918" w:rsidRDefault="00B83E67" w:rsidP="00D0376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25E2FA5E" w14:textId="56E4C833"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Moderate quality</w:t>
            </w:r>
          </w:p>
        </w:tc>
        <w:tc>
          <w:tcPr>
            <w:tcW w:w="1888" w:type="pct"/>
            <w:tcBorders>
              <w:top w:val="single" w:sz="4" w:space="0" w:color="auto"/>
              <w:left w:val="single" w:sz="4" w:space="0" w:color="auto"/>
              <w:bottom w:val="single" w:sz="6" w:space="0" w:color="auto"/>
            </w:tcBorders>
          </w:tcPr>
          <w:p w14:paraId="0FAB9F9A" w14:textId="77CDC5FA"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Improvement in QoL favoured IVIg but there was no statistical difference between groups. Results were from a single RCT with low risk of bias.</w:t>
            </w:r>
          </w:p>
        </w:tc>
      </w:tr>
      <w:tr w:rsidR="00B83E67" w:rsidRPr="007D1918" w14:paraId="65E5856A" w14:textId="77777777" w:rsidTr="00694811">
        <w:tc>
          <w:tcPr>
            <w:tcW w:w="867" w:type="pct"/>
            <w:tcBorders>
              <w:top w:val="single" w:sz="6" w:space="0" w:color="auto"/>
              <w:bottom w:val="single" w:sz="4" w:space="0" w:color="auto"/>
              <w:right w:val="single" w:sz="4" w:space="0" w:color="auto"/>
            </w:tcBorders>
          </w:tcPr>
          <w:p w14:paraId="276FA008" w14:textId="2B4D40E8" w:rsidR="00B83E67" w:rsidRPr="007D1918" w:rsidRDefault="00B83E67" w:rsidP="00B358C3">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Response to treatment in children (% children who responded measured with non-standardised tools)</w:t>
            </w:r>
          </w:p>
        </w:tc>
        <w:tc>
          <w:tcPr>
            <w:tcW w:w="664" w:type="pct"/>
            <w:tcBorders>
              <w:top w:val="single" w:sz="6" w:space="0" w:color="auto"/>
              <w:left w:val="single" w:sz="4" w:space="0" w:color="auto"/>
              <w:bottom w:val="single" w:sz="4" w:space="0" w:color="auto"/>
              <w:right w:val="single" w:sz="4" w:space="0" w:color="auto"/>
            </w:tcBorders>
          </w:tcPr>
          <w:p w14:paraId="295E4535" w14:textId="77777777" w:rsidR="00B83E67" w:rsidRPr="007D1918" w:rsidRDefault="00B83E67" w:rsidP="00B83E6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n=17</w:t>
            </w:r>
          </w:p>
          <w:p w14:paraId="3A77FDC0" w14:textId="2091BB47" w:rsidR="00B83E67" w:rsidRPr="007D1918" w:rsidRDefault="00B83E67" w:rsidP="00D0376D">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Ret CoH</w:t>
            </w:r>
          </w:p>
        </w:tc>
        <w:tc>
          <w:tcPr>
            <w:tcW w:w="1071" w:type="pct"/>
            <w:tcBorders>
              <w:top w:val="single" w:sz="6" w:space="0" w:color="auto"/>
              <w:left w:val="single" w:sz="4" w:space="0" w:color="auto"/>
              <w:bottom w:val="single" w:sz="4" w:space="0" w:color="auto"/>
              <w:right w:val="single" w:sz="4" w:space="0" w:color="auto"/>
            </w:tcBorders>
          </w:tcPr>
          <w:p w14:paraId="566571FA" w14:textId="0D075F71" w:rsidR="00B83E67" w:rsidRPr="007D1918" w:rsidRDefault="00B83E67"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No conclusions could be made</w:t>
            </w:r>
          </w:p>
        </w:tc>
        <w:tc>
          <w:tcPr>
            <w:tcW w:w="510" w:type="pct"/>
            <w:tcBorders>
              <w:top w:val="single" w:sz="6" w:space="0" w:color="auto"/>
              <w:left w:val="single" w:sz="4" w:space="0" w:color="auto"/>
              <w:bottom w:val="single" w:sz="4" w:space="0" w:color="auto"/>
              <w:right w:val="single" w:sz="4" w:space="0" w:color="auto"/>
            </w:tcBorders>
          </w:tcPr>
          <w:p w14:paraId="4C0657EC" w14:textId="77777777" w:rsidR="00B83E67" w:rsidRPr="007D1918" w:rsidRDefault="00B83E67" w:rsidP="00D0376D">
            <w:pPr>
              <w:spacing w:before="40" w:after="40" w:line="240" w:lineRule="auto"/>
              <w:jc w:val="both"/>
              <w:rPr>
                <w:rFonts w:ascii="Cambria Math" w:hAnsi="Cambria Math" w:cs="Cambria Math"/>
                <w:color w:val="C0000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p w14:paraId="0CD26A1A" w14:textId="5A34A137" w:rsidR="00B83E67" w:rsidRPr="007D1918" w:rsidRDefault="00B83E67" w:rsidP="00B83E67">
            <w:pPr>
              <w:spacing w:before="40" w:after="40" w:line="240" w:lineRule="auto"/>
              <w:jc w:val="both"/>
              <w:rPr>
                <w:rFonts w:ascii="Arial Narrow" w:hAnsi="Arial Narrow"/>
                <w:sz w:val="18"/>
                <w:szCs w:val="18"/>
                <w:lang w:eastAsia="en-US"/>
              </w:rPr>
            </w:pPr>
            <w:r w:rsidRPr="007D1918">
              <w:rPr>
                <w:rFonts w:ascii="Arial Narrow" w:hAnsi="Arial Narrow" w:cs="Cambria Math"/>
                <w:sz w:val="18"/>
                <w:szCs w:val="18"/>
              </w:rPr>
              <w:t>Very low quality</w:t>
            </w:r>
          </w:p>
        </w:tc>
        <w:tc>
          <w:tcPr>
            <w:tcW w:w="1888" w:type="pct"/>
            <w:tcBorders>
              <w:top w:val="single" w:sz="6" w:space="0" w:color="auto"/>
              <w:left w:val="single" w:sz="4" w:space="0" w:color="auto"/>
              <w:bottom w:val="single" w:sz="4" w:space="0" w:color="auto"/>
            </w:tcBorders>
          </w:tcPr>
          <w:p w14:paraId="7F3D1898" w14:textId="1AEFF121" w:rsidR="00B83E67" w:rsidRPr="007D1918" w:rsidRDefault="00B83E67" w:rsidP="00E7166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Response in children was better for those given PE. This result may be unreliable due to non-standardised tools and small participant numbers.</w:t>
            </w:r>
          </w:p>
        </w:tc>
      </w:tr>
      <w:tr w:rsidR="008F5A0C" w:rsidRPr="007D1918" w14:paraId="3E59AD00" w14:textId="77777777" w:rsidTr="00F03254">
        <w:tc>
          <w:tcPr>
            <w:tcW w:w="5000" w:type="pct"/>
            <w:gridSpan w:val="5"/>
            <w:tcBorders>
              <w:top w:val="single" w:sz="12" w:space="0" w:color="auto"/>
              <w:left w:val="nil"/>
              <w:bottom w:val="single" w:sz="12" w:space="0" w:color="000000"/>
              <w:right w:val="nil"/>
            </w:tcBorders>
            <w:tcMar>
              <w:top w:w="15" w:type="dxa"/>
              <w:left w:w="15" w:type="dxa"/>
              <w:bottom w:w="15" w:type="dxa"/>
              <w:right w:w="15" w:type="dxa"/>
            </w:tcMar>
            <w:vAlign w:val="center"/>
            <w:hideMark/>
          </w:tcPr>
          <w:p w14:paraId="7FBE308E" w14:textId="77777777" w:rsidR="008F5A0C" w:rsidRPr="007D1918" w:rsidRDefault="008F5A0C" w:rsidP="00D0376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114EA4C1" w14:textId="3B8F83A6" w:rsidR="008F5A0C" w:rsidRPr="007D1918" w:rsidRDefault="001C4319" w:rsidP="008F5A0C">
      <w:pPr>
        <w:pStyle w:val="Tablenotes0"/>
      </w:pPr>
      <w:r w:rsidRPr="007D1918">
        <w:t xml:space="preserve">AE = adverse events; </w:t>
      </w:r>
      <w:r w:rsidR="008F5A0C" w:rsidRPr="007D1918">
        <w:t xml:space="preserve">IVIg = intravenous immunoglobulin therapy; MG = myasthenia gravis; </w:t>
      </w:r>
      <w:r w:rsidR="00B358C3" w:rsidRPr="007D1918">
        <w:t xml:space="preserve">MG-QoL-60 = myasthenia gravis quality of life 60 questions; </w:t>
      </w:r>
      <w:r w:rsidR="008F5A0C" w:rsidRPr="007D1918">
        <w:t xml:space="preserve">PE = plasma exchange therapy; </w:t>
      </w:r>
      <w:r w:rsidR="00B358C3" w:rsidRPr="007D1918">
        <w:t xml:space="preserve">QMGS = quantitative myasthenia gravis score; </w:t>
      </w:r>
      <w:r w:rsidR="007726C5" w:rsidRPr="007D1918">
        <w:t xml:space="preserve">QoL = quality of life; </w:t>
      </w:r>
      <w:r w:rsidR="008F5A0C" w:rsidRPr="007D1918">
        <w:t>R</w:t>
      </w:r>
      <w:r w:rsidR="005463C3" w:rsidRPr="007D1918">
        <w:t xml:space="preserve">et </w:t>
      </w:r>
      <w:r w:rsidR="008F5A0C" w:rsidRPr="007D1918">
        <w:t>CoH = retrospective cohort study; RCT</w:t>
      </w:r>
      <w:r w:rsidR="00153384" w:rsidRPr="007D1918">
        <w:t xml:space="preserve"> = randomised controlled trial</w:t>
      </w:r>
    </w:p>
    <w:p w14:paraId="59A69315" w14:textId="105931CB" w:rsidR="003C7A14" w:rsidRPr="007D1918" w:rsidRDefault="008712E3" w:rsidP="008D3ED9">
      <w:pPr>
        <w:sectPr w:rsidR="003C7A14" w:rsidRPr="007D1918" w:rsidSect="00945DB8">
          <w:headerReference w:type="default" r:id="rId56"/>
          <w:pgSz w:w="16838" w:h="11906" w:orient="landscape"/>
          <w:pgMar w:top="1440" w:right="1440" w:bottom="1440" w:left="1440" w:header="720" w:footer="720" w:gutter="0"/>
          <w:paperSrc w:first="7" w:other="7"/>
          <w:cols w:space="720"/>
          <w:docGrid w:linePitch="299"/>
        </w:sectPr>
      </w:pPr>
      <w:r w:rsidRPr="007D1918">
        <w:rPr>
          <w:rFonts w:ascii="Arial Narrow" w:hAnsi="Arial Narrow" w:cs="Arial"/>
          <w:sz w:val="18"/>
          <w:szCs w:val="18"/>
        </w:rPr>
        <w:t>.</w:t>
      </w:r>
    </w:p>
    <w:p w14:paraId="66656AF6" w14:textId="77777777" w:rsidR="00306F6C" w:rsidRPr="007D1918" w:rsidRDefault="00306F6C" w:rsidP="00306F6C">
      <w:pPr>
        <w:pStyle w:val="Heading1"/>
        <w:jc w:val="both"/>
      </w:pPr>
      <w:bookmarkStart w:id="320" w:name="_Toc23766980"/>
      <w:bookmarkEnd w:id="312"/>
      <w:bookmarkEnd w:id="313"/>
      <w:r w:rsidRPr="007D1918">
        <w:lastRenderedPageBreak/>
        <w:t>Section C</w:t>
      </w:r>
      <w:r w:rsidRPr="007D1918">
        <w:tab/>
        <w:t>Translation Issues</w:t>
      </w:r>
      <w:bookmarkEnd w:id="320"/>
    </w:p>
    <w:p w14:paraId="2D054940" w14:textId="78009F92" w:rsidR="00AE35D8" w:rsidRPr="007D1918" w:rsidRDefault="00AE35D8" w:rsidP="004831F5">
      <w:pPr>
        <w:jc w:val="both"/>
      </w:pPr>
      <w:r w:rsidRPr="007D1918">
        <w:t>For Indication 1, t</w:t>
      </w:r>
      <w:r w:rsidR="004831F5" w:rsidRPr="007D1918">
        <w:t xml:space="preserve">he clinical assessment </w:t>
      </w:r>
      <w:r w:rsidR="00BF2B6C" w:rsidRPr="007D1918">
        <w:t>identified clinical</w:t>
      </w:r>
      <w:r w:rsidR="004831F5" w:rsidRPr="007D1918">
        <w:t xml:space="preserve"> </w:t>
      </w:r>
      <w:r w:rsidRPr="007D1918">
        <w:t xml:space="preserve">effectiveness </w:t>
      </w:r>
      <w:r w:rsidR="00E1780A" w:rsidRPr="007D1918">
        <w:t>non-</w:t>
      </w:r>
      <w:r w:rsidR="004831F5" w:rsidRPr="007D1918">
        <w:t xml:space="preserve">inferiority for IVIg versus </w:t>
      </w:r>
      <w:r w:rsidR="00E1780A" w:rsidRPr="007D1918">
        <w:t>PE, with superior safety outcomes</w:t>
      </w:r>
      <w:r w:rsidRPr="007D1918">
        <w:t xml:space="preserve">. Therefore </w:t>
      </w:r>
      <w:r w:rsidR="00472DC1" w:rsidRPr="007D1918">
        <w:t>a</w:t>
      </w:r>
      <w:r w:rsidRPr="007D1918">
        <w:t xml:space="preserve"> full economic evaluation is relevant</w:t>
      </w:r>
      <w:r w:rsidR="003268D7" w:rsidRPr="007D1918">
        <w:t>, and translation of study data for the economic evaluation will be necessary</w:t>
      </w:r>
      <w:r w:rsidRPr="007D1918">
        <w:t xml:space="preserve">. </w:t>
      </w:r>
    </w:p>
    <w:p w14:paraId="75548B97" w14:textId="1C6E166C" w:rsidR="00472DC1" w:rsidRPr="007D1918" w:rsidRDefault="00AE35D8" w:rsidP="004831F5">
      <w:pPr>
        <w:jc w:val="both"/>
      </w:pPr>
      <w:r w:rsidRPr="007D1918">
        <w:t xml:space="preserve">For Indication 2, analysis of the clinical effectiveness and safety data </w:t>
      </w:r>
      <w:r w:rsidR="003268D7" w:rsidRPr="007D1918">
        <w:t xml:space="preserve">showed available data </w:t>
      </w:r>
      <w:r w:rsidRPr="007D1918">
        <w:t xml:space="preserve">was </w:t>
      </w:r>
      <w:r w:rsidR="003268D7" w:rsidRPr="007D1918">
        <w:t xml:space="preserve">insufficient </w:t>
      </w:r>
      <w:r w:rsidRPr="007D1918">
        <w:t xml:space="preserve">to identify </w:t>
      </w:r>
      <w:r w:rsidR="003268D7" w:rsidRPr="007D1918">
        <w:t xml:space="preserve">any conclusive </w:t>
      </w:r>
      <w:r w:rsidRPr="007D1918">
        <w:t>difference</w:t>
      </w:r>
      <w:r w:rsidR="003268D7" w:rsidRPr="007D1918">
        <w:t>s</w:t>
      </w:r>
      <w:r w:rsidRPr="007D1918">
        <w:t xml:space="preserve"> between IVIg </w:t>
      </w:r>
      <w:r w:rsidR="003268D7" w:rsidRPr="007D1918">
        <w:t>and</w:t>
      </w:r>
      <w:r w:rsidRPr="007D1918">
        <w:t xml:space="preserve"> PE, in either of these outcomes. Therefore only a partial economic analysis, comparing costs can be presented</w:t>
      </w:r>
      <w:r w:rsidR="003268D7" w:rsidRPr="007D1918">
        <w:t>, some translation is still relevant for this analysis</w:t>
      </w:r>
      <w:r w:rsidRPr="007D1918">
        <w:t>.</w:t>
      </w:r>
    </w:p>
    <w:p w14:paraId="040A3479" w14:textId="4EF653BE" w:rsidR="004831F5" w:rsidRPr="007D1918" w:rsidRDefault="004831F5" w:rsidP="004831F5">
      <w:pPr>
        <w:jc w:val="both"/>
      </w:pPr>
      <w:r w:rsidRPr="007D1918">
        <w:t xml:space="preserve"> Section B found little evidence describing the patterns of use of the various comparators relevant to </w:t>
      </w:r>
      <w:r w:rsidRPr="007D1918">
        <w:rPr>
          <w:i/>
        </w:rPr>
        <w:t>Criteria V3</w:t>
      </w:r>
      <w:r w:rsidRPr="007D1918">
        <w:t xml:space="preserve"> Indication 3, therefore literature was searched for additional sources to inform estimates of resource use for the economic analysis. The identified circumstances of use are summarised in C.3 without further translation and the application of Australian costing is detailed in Section D. As Indication 3 involves ongoing treatment, time horizon and extrapolation issues are relevant.</w:t>
      </w:r>
    </w:p>
    <w:p w14:paraId="1B9F39E8" w14:textId="61570988" w:rsidR="003268D7" w:rsidRPr="007D1918" w:rsidRDefault="003268D7" w:rsidP="003268D7">
      <w:pPr>
        <w:jc w:val="both"/>
      </w:pPr>
      <w:r w:rsidRPr="007D1918">
        <w:t>Where possible, economic analyses will be conducted to include trial-based costing together with a stepped analysis to derive base case cost-analyses for the Australian setting.</w:t>
      </w:r>
    </w:p>
    <w:p w14:paraId="3D995BAE" w14:textId="77777777" w:rsidR="00FA060E" w:rsidRPr="007D1918" w:rsidRDefault="00FA060E" w:rsidP="00FA060E">
      <w:pPr>
        <w:pStyle w:val="Heading2"/>
        <w:numPr>
          <w:ilvl w:val="2"/>
          <w:numId w:val="13"/>
        </w:numPr>
      </w:pPr>
      <w:bookmarkStart w:id="321" w:name="_Toc428195659"/>
      <w:bookmarkStart w:id="322" w:name="_Toc23766981"/>
      <w:bookmarkStart w:id="323" w:name="_Toc426968183"/>
      <w:r w:rsidRPr="007D1918">
        <w:t>Overview</w:t>
      </w:r>
      <w:bookmarkEnd w:id="321"/>
      <w:bookmarkEnd w:id="322"/>
      <w:r w:rsidRPr="007D1918">
        <w:t xml:space="preserve"> </w:t>
      </w:r>
      <w:bookmarkEnd w:id="323"/>
    </w:p>
    <w:p w14:paraId="3F5EFA41" w14:textId="2632819A" w:rsidR="00FA060E" w:rsidRPr="007D1918" w:rsidRDefault="00FA060E" w:rsidP="00FA060E">
      <w:pPr>
        <w:jc w:val="both"/>
      </w:pPr>
      <w:r w:rsidRPr="007D1918">
        <w:t xml:space="preserve">The economic analyses for </w:t>
      </w:r>
      <w:r w:rsidR="00F96C7E" w:rsidRPr="007D1918">
        <w:rPr>
          <w:i/>
        </w:rPr>
        <w:t>Criteria V3</w:t>
      </w:r>
      <w:r w:rsidR="00F96C7E" w:rsidRPr="007D1918">
        <w:t xml:space="preserve"> Indications</w:t>
      </w:r>
      <w:r w:rsidRPr="007D1918">
        <w:t xml:space="preserve"> 1 and 2 are derived from trial-based cost analyses of IVIg vs </w:t>
      </w:r>
      <w:r w:rsidR="003624E6" w:rsidRPr="007D1918">
        <w:t>PE</w:t>
      </w:r>
      <w:r w:rsidRPr="007D1918">
        <w:t xml:space="preserve">, in MG crisis </w:t>
      </w:r>
      <w:r w:rsidR="00811620"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811620" w:rsidRPr="007D1918">
        <w:instrText xml:space="preserve"> ADDIN EN.CITE </w:instrText>
      </w:r>
      <w:r w:rsidR="00811620"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811620" w:rsidRPr="007D1918">
        <w:instrText xml:space="preserve"> ADDIN EN.CITE.DATA </w:instrText>
      </w:r>
      <w:r w:rsidR="00811620" w:rsidRPr="007D1918">
        <w:fldChar w:fldCharType="end"/>
      </w:r>
      <w:r w:rsidR="00811620" w:rsidRPr="007D1918">
        <w:fldChar w:fldCharType="separate"/>
      </w:r>
      <w:r w:rsidR="00811620" w:rsidRPr="007D1918">
        <w:rPr>
          <w:noProof/>
        </w:rPr>
        <w:t>(</w:t>
      </w:r>
      <w:hyperlink w:anchor="_ENREF_28" w:tooltip="Gajdos, 1997 #45" w:history="1">
        <w:r w:rsidR="007D4948" w:rsidRPr="007D1918">
          <w:rPr>
            <w:noProof/>
          </w:rPr>
          <w:t>Gajdos et al. 1997</w:t>
        </w:r>
      </w:hyperlink>
      <w:r w:rsidR="00811620" w:rsidRPr="007D1918">
        <w:rPr>
          <w:noProof/>
        </w:rPr>
        <w:t>)</w:t>
      </w:r>
      <w:r w:rsidR="00811620" w:rsidRPr="007D1918">
        <w:fldChar w:fldCharType="end"/>
      </w:r>
      <w:r w:rsidRPr="007D1918">
        <w:t xml:space="preserve"> and pre-operatively </w:t>
      </w:r>
      <w:r w:rsidR="00811620" w:rsidRPr="007D1918">
        <w:fldChar w:fldCharType="begin"/>
      </w:r>
      <w:r w:rsidR="00811620"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00811620" w:rsidRPr="007D1918">
        <w:fldChar w:fldCharType="separate"/>
      </w:r>
      <w:r w:rsidR="00811620" w:rsidRPr="007D1918">
        <w:rPr>
          <w:noProof/>
        </w:rPr>
        <w:t>(</w:t>
      </w:r>
      <w:hyperlink w:anchor="_ENREF_4" w:tooltip="Alipour-Faz, 2017 #64" w:history="1">
        <w:r w:rsidR="007D4948" w:rsidRPr="007D1918">
          <w:rPr>
            <w:noProof/>
          </w:rPr>
          <w:t>Alipour-Faz et al. 2017</w:t>
        </w:r>
      </w:hyperlink>
      <w:r w:rsidR="00811620" w:rsidRPr="007D1918">
        <w:rPr>
          <w:noProof/>
        </w:rPr>
        <w:t>)</w:t>
      </w:r>
      <w:r w:rsidR="00811620" w:rsidRPr="007D1918">
        <w:fldChar w:fldCharType="end"/>
      </w:r>
      <w:r w:rsidRPr="007D1918">
        <w:t xml:space="preserve">, respectively. Potential applicability issues </w:t>
      </w:r>
      <w:r w:rsidR="00730637" w:rsidRPr="007D1918">
        <w:t xml:space="preserve">associated with trial-based economic analyses </w:t>
      </w:r>
      <w:r w:rsidRPr="007D1918">
        <w:t xml:space="preserve">are; </w:t>
      </w:r>
    </w:p>
    <w:p w14:paraId="39B35380" w14:textId="3A329A40" w:rsidR="00FA060E" w:rsidRPr="007D1918" w:rsidRDefault="00FA060E" w:rsidP="00FA060E">
      <w:pPr>
        <w:pStyle w:val="ListParagraph"/>
        <w:numPr>
          <w:ilvl w:val="0"/>
          <w:numId w:val="37"/>
        </w:numPr>
        <w:jc w:val="both"/>
      </w:pPr>
      <w:r w:rsidRPr="007D1918">
        <w:t xml:space="preserve">Are the treatment patterns associated with both IVIg and </w:t>
      </w:r>
      <w:r w:rsidR="003624E6" w:rsidRPr="007D1918">
        <w:t>PE</w:t>
      </w:r>
      <w:r w:rsidRPr="007D1918">
        <w:t xml:space="preserve"> in the RCT by Gajdos 1997 applicable to Australian practice and usage data for </w:t>
      </w:r>
      <w:r w:rsidR="00F96C7E" w:rsidRPr="007D1918">
        <w:t>Indication</w:t>
      </w:r>
      <w:r w:rsidRPr="007D1918">
        <w:t xml:space="preserve"> 1?</w:t>
      </w:r>
    </w:p>
    <w:p w14:paraId="2F971EB5" w14:textId="372B8067" w:rsidR="00FA060E" w:rsidRPr="007D1918" w:rsidRDefault="00FA060E" w:rsidP="00FA060E">
      <w:pPr>
        <w:pStyle w:val="ListParagraph"/>
        <w:numPr>
          <w:ilvl w:val="0"/>
          <w:numId w:val="37"/>
        </w:numPr>
        <w:jc w:val="both"/>
      </w:pPr>
      <w:r w:rsidRPr="007D1918">
        <w:t xml:space="preserve">Are the pre-surgical treatment patterns and surgical outcome data associated with IVIg and </w:t>
      </w:r>
      <w:r w:rsidR="003624E6" w:rsidRPr="007D1918">
        <w:t>PE</w:t>
      </w:r>
      <w:r w:rsidRPr="007D1918">
        <w:t xml:space="preserve"> in the RCT by Alipour-Faz, 2017 applicable to Australian practice and usage data for </w:t>
      </w:r>
      <w:r w:rsidR="00F96C7E" w:rsidRPr="007D1918">
        <w:t>Indication</w:t>
      </w:r>
      <w:r w:rsidRPr="007D1918">
        <w:t xml:space="preserve"> 2?</w:t>
      </w:r>
    </w:p>
    <w:p w14:paraId="17359088" w14:textId="13BC2AC6" w:rsidR="00307500" w:rsidRPr="007D1918" w:rsidRDefault="00730637" w:rsidP="00FA060E">
      <w:pPr>
        <w:jc w:val="both"/>
      </w:pPr>
      <w:r w:rsidRPr="007D1918">
        <w:t xml:space="preserve">These are </w:t>
      </w:r>
      <w:r w:rsidR="00711905" w:rsidRPr="007D1918">
        <w:t xml:space="preserve">small </w:t>
      </w:r>
      <w:r w:rsidRPr="007D1918">
        <w:t>short-term stud</w:t>
      </w:r>
      <w:r w:rsidR="00307500" w:rsidRPr="007D1918">
        <w:t>ies with apparently complete data on their reported outcomes. Ho</w:t>
      </w:r>
      <w:r w:rsidRPr="007D1918">
        <w:t xml:space="preserve">wever </w:t>
      </w:r>
      <w:r w:rsidR="00307500" w:rsidRPr="007D1918">
        <w:t xml:space="preserve">for Indication 1, </w:t>
      </w:r>
      <w:r w:rsidRPr="007D1918">
        <w:t xml:space="preserve">the </w:t>
      </w:r>
      <w:r w:rsidR="00307500" w:rsidRPr="007D1918">
        <w:t xml:space="preserve">study </w:t>
      </w:r>
      <w:r w:rsidRPr="007D1918">
        <w:t xml:space="preserve">adverse events are </w:t>
      </w:r>
      <w:r w:rsidR="00307500" w:rsidRPr="007D1918">
        <w:t xml:space="preserve">clinically </w:t>
      </w:r>
      <w:r w:rsidRPr="007D1918">
        <w:t xml:space="preserve">serious and </w:t>
      </w:r>
      <w:r w:rsidR="00307500" w:rsidRPr="007D1918">
        <w:t xml:space="preserve">are associated with potential mortality and morbidity. Therefore exploratory modelling includes extrapolation of long-term QALY consequences with respect to </w:t>
      </w:r>
      <w:r w:rsidR="00711905" w:rsidRPr="007D1918">
        <w:t xml:space="preserve">estimated </w:t>
      </w:r>
      <w:r w:rsidR="00307500" w:rsidRPr="007D1918">
        <w:t>morbidity and mortality</w:t>
      </w:r>
      <w:r w:rsidR="00711905" w:rsidRPr="007D1918">
        <w:t xml:space="preserve"> rates that would be present in a whole population setting</w:t>
      </w:r>
      <w:r w:rsidRPr="007D1918">
        <w:t>.</w:t>
      </w:r>
      <w:r w:rsidR="00307500" w:rsidRPr="007D1918">
        <w:t xml:space="preserve"> </w:t>
      </w:r>
    </w:p>
    <w:p w14:paraId="5381CAFD" w14:textId="7CF678CF" w:rsidR="00FA060E" w:rsidRPr="007D1918" w:rsidRDefault="00FA060E" w:rsidP="00FA060E">
      <w:pPr>
        <w:jc w:val="both"/>
      </w:pPr>
      <w:r w:rsidRPr="007D1918">
        <w:t xml:space="preserve">The economic analysis for </w:t>
      </w:r>
      <w:r w:rsidRPr="007D1918">
        <w:rPr>
          <w:i/>
        </w:rPr>
        <w:t xml:space="preserve">Criteria </w:t>
      </w:r>
      <w:r w:rsidR="00F96C7E" w:rsidRPr="007D1918">
        <w:rPr>
          <w:i/>
        </w:rPr>
        <w:t>V</w:t>
      </w:r>
      <w:r w:rsidRPr="007D1918">
        <w:rPr>
          <w:i/>
        </w:rPr>
        <w:t>3</w:t>
      </w:r>
      <w:r w:rsidRPr="007D1918">
        <w:t xml:space="preserve"> </w:t>
      </w:r>
      <w:r w:rsidR="00F96C7E" w:rsidRPr="007D1918">
        <w:t xml:space="preserve">Indication 3 </w:t>
      </w:r>
      <w:r w:rsidRPr="007D1918">
        <w:t>involves ongoing maintenance treatments potentially over a patient’s lifetime. Potential extrapolation issue are;</w:t>
      </w:r>
    </w:p>
    <w:p w14:paraId="35551F75" w14:textId="3566658E" w:rsidR="00FA060E" w:rsidRPr="007D1918" w:rsidRDefault="00FA060E" w:rsidP="00FA060E">
      <w:pPr>
        <w:pStyle w:val="ListParagraph"/>
        <w:numPr>
          <w:ilvl w:val="0"/>
          <w:numId w:val="38"/>
        </w:numPr>
        <w:jc w:val="both"/>
      </w:pPr>
      <w:r w:rsidRPr="007D1918">
        <w:lastRenderedPageBreak/>
        <w:t xml:space="preserve">What is the appropriate time horizon for economic analysis for </w:t>
      </w:r>
      <w:r w:rsidR="00F96C7E" w:rsidRPr="007D1918">
        <w:t>Indication</w:t>
      </w:r>
      <w:r w:rsidRPr="007D1918">
        <w:t xml:space="preserve"> 3?</w:t>
      </w:r>
    </w:p>
    <w:p w14:paraId="1DA4934A" w14:textId="77777777" w:rsidR="00FA060E" w:rsidRPr="007D1918" w:rsidRDefault="00FA060E" w:rsidP="00FA060E">
      <w:pPr>
        <w:pStyle w:val="ListParagraph"/>
        <w:numPr>
          <w:ilvl w:val="0"/>
          <w:numId w:val="38"/>
        </w:numPr>
        <w:jc w:val="both"/>
      </w:pPr>
      <w:r w:rsidRPr="007D1918">
        <w:t>Which resource costs are recurring (and which are not) when administering the various long-term maintenance therapies?</w:t>
      </w:r>
    </w:p>
    <w:p w14:paraId="3197DD7F" w14:textId="211E6C7D" w:rsidR="002646F0" w:rsidRPr="007D1918" w:rsidRDefault="00E1780A" w:rsidP="00711905">
      <w:pPr>
        <w:jc w:val="both"/>
      </w:pPr>
      <w:r w:rsidRPr="007D1918">
        <w:t>No comparable quality of life data or direct utility estimates were available in the clinical trials, therefore additional translation studies were required to estimate the QALY decrements associated with adverse events.</w:t>
      </w:r>
    </w:p>
    <w:p w14:paraId="55333B34" w14:textId="77777777" w:rsidR="00FA060E" w:rsidRPr="007D1918" w:rsidRDefault="00FA060E" w:rsidP="00FA060E">
      <w:pPr>
        <w:pStyle w:val="Heading2"/>
        <w:numPr>
          <w:ilvl w:val="2"/>
          <w:numId w:val="13"/>
        </w:numPr>
      </w:pPr>
      <w:bookmarkStart w:id="324" w:name="_Toc426968184"/>
      <w:bookmarkStart w:id="325" w:name="_Toc428195660"/>
      <w:bookmarkStart w:id="326" w:name="_Toc23766982"/>
      <w:r w:rsidRPr="007D1918">
        <w:t>Applicability translation issues</w:t>
      </w:r>
      <w:bookmarkEnd w:id="324"/>
      <w:bookmarkEnd w:id="325"/>
      <w:bookmarkEnd w:id="326"/>
    </w:p>
    <w:p w14:paraId="1BF1BAFE" w14:textId="77777777" w:rsidR="004831F5" w:rsidRPr="007D1918" w:rsidRDefault="004831F5" w:rsidP="004831F5">
      <w:pPr>
        <w:pStyle w:val="Heading3"/>
      </w:pPr>
      <w:bookmarkStart w:id="327" w:name="_Toc15561863"/>
      <w:bookmarkStart w:id="328" w:name="_Toc23766983"/>
      <w:r w:rsidRPr="007D1918">
        <w:t>Indication 1</w:t>
      </w:r>
      <w:bookmarkEnd w:id="327"/>
      <w:bookmarkEnd w:id="328"/>
    </w:p>
    <w:p w14:paraId="239F535B" w14:textId="77777777" w:rsidR="004831F5" w:rsidRPr="007D1918" w:rsidRDefault="004831F5" w:rsidP="004831F5">
      <w:pPr>
        <w:pStyle w:val="Heading4"/>
      </w:pPr>
      <w:r w:rsidRPr="007D1918">
        <w:t>Are the Australian circumstances of use of IVIg and PE for myasthenic crisis consistent with the clinical study evidence?</w:t>
      </w:r>
    </w:p>
    <w:p w14:paraId="324D7C90" w14:textId="6DB80129" w:rsidR="004831F5" w:rsidRPr="007D1918" w:rsidRDefault="004831F5" w:rsidP="004831F5">
      <w:pPr>
        <w:jc w:val="both"/>
      </w:pPr>
      <w:r w:rsidRPr="007D1918">
        <w:t xml:space="preserve">Detail regarding the delivery of treatment for </w:t>
      </w:r>
      <w:r w:rsidRPr="007D1918">
        <w:rPr>
          <w:i/>
        </w:rPr>
        <w:t xml:space="preserve">Criteria V3 </w:t>
      </w:r>
      <w:r w:rsidRPr="007D1918">
        <w:t xml:space="preserve">Indication 1 is summarised in </w:t>
      </w:r>
      <w:r w:rsidRPr="007D1918">
        <w:fldChar w:fldCharType="begin"/>
      </w:r>
      <w:r w:rsidRPr="007D1918">
        <w:instrText xml:space="preserve"> REF _Ref14255022 \h </w:instrText>
      </w:r>
      <w:r w:rsidR="00E07567" w:rsidRPr="007D1918">
        <w:instrText xml:space="preserve"> \* MERGEFORMAT </w:instrText>
      </w:r>
      <w:r w:rsidRPr="007D1918">
        <w:fldChar w:fldCharType="separate"/>
      </w:r>
      <w:r w:rsidR="007C33AD" w:rsidRPr="007D1918">
        <w:t xml:space="preserve">Table </w:t>
      </w:r>
      <w:r w:rsidR="007C33AD" w:rsidRPr="007D1918">
        <w:rPr>
          <w:noProof/>
        </w:rPr>
        <w:t>52</w:t>
      </w:r>
      <w:r w:rsidRPr="007D1918">
        <w:fldChar w:fldCharType="end"/>
      </w:r>
      <w:r w:rsidRPr="007D1918">
        <w:t xml:space="preserve"> below, with descriptions of the Gajdos et al 1997 study interventions and circumstances by which they were delivered, compared with available Australian data and information on Australian practice.</w:t>
      </w:r>
    </w:p>
    <w:p w14:paraId="61B0641F" w14:textId="5C1175DD" w:rsidR="004831F5" w:rsidRPr="007D1918" w:rsidRDefault="004831F5" w:rsidP="004831F5">
      <w:pPr>
        <w:pStyle w:val="Caption"/>
        <w:keepNext/>
      </w:pPr>
      <w:bookmarkStart w:id="329" w:name="_Ref14255022"/>
      <w:bookmarkStart w:id="330" w:name="_Toc15561961"/>
      <w:bookmarkStart w:id="331" w:name="_Toc23769539"/>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7C33AD" w:rsidRPr="007D1918">
        <w:rPr>
          <w:noProof/>
        </w:rPr>
        <w:t>52</w:t>
      </w:r>
      <w:r w:rsidRPr="007D1918">
        <w:rPr>
          <w:noProof/>
        </w:rPr>
        <w:fldChar w:fldCharType="end"/>
      </w:r>
      <w:bookmarkEnd w:id="329"/>
      <w:r w:rsidRPr="007D1918">
        <w:tab/>
        <w:t xml:space="preserve">Applicability issues comparing the RCT </w:t>
      </w:r>
      <w:r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instrText xml:space="preserve"> ADDIN EN.CITE </w:instrText>
      </w:r>
      <w:r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instrText xml:space="preserve"> ADDIN EN.CITE.DATA </w:instrText>
      </w:r>
      <w:r w:rsidRPr="007D1918">
        <w:fldChar w:fldCharType="end"/>
      </w:r>
      <w:r w:rsidRPr="007D1918">
        <w:fldChar w:fldCharType="separate"/>
      </w:r>
      <w:r w:rsidRPr="007D1918">
        <w:rPr>
          <w:noProof/>
        </w:rPr>
        <w:t>(</w:t>
      </w:r>
      <w:hyperlink w:anchor="_ENREF_28" w:tooltip="Gajdos, 1997 #45" w:history="1">
        <w:r w:rsidR="007D4948" w:rsidRPr="007D1918">
          <w:rPr>
            <w:noProof/>
          </w:rPr>
          <w:t>Gajdos et al. 1997</w:t>
        </w:r>
      </w:hyperlink>
      <w:r w:rsidRPr="007D1918">
        <w:rPr>
          <w:noProof/>
        </w:rPr>
        <w:t>)</w:t>
      </w:r>
      <w:r w:rsidRPr="007D1918">
        <w:fldChar w:fldCharType="end"/>
      </w:r>
      <w:r w:rsidRPr="007D1918">
        <w:t xml:space="preserve"> to Australian practice for Indication 1</w:t>
      </w:r>
      <w:bookmarkEnd w:id="330"/>
      <w:bookmarkEnd w:id="331"/>
    </w:p>
    <w:tbl>
      <w:tblPr>
        <w:tblStyle w:val="TableGrid"/>
        <w:tblW w:w="0" w:type="auto"/>
        <w:tblLook w:val="04A0" w:firstRow="1" w:lastRow="0" w:firstColumn="1" w:lastColumn="0" w:noHBand="0" w:noVBand="1"/>
        <w:tblCaption w:val="Table 52 Applicability issues comparing the RCT (Gajdos et al. 1997) to Australian practice for Indication 1"/>
      </w:tblPr>
      <w:tblGrid>
        <w:gridCol w:w="1413"/>
        <w:gridCol w:w="3801"/>
        <w:gridCol w:w="3802"/>
      </w:tblGrid>
      <w:tr w:rsidR="004831F5" w:rsidRPr="007D1918" w14:paraId="4636630E" w14:textId="77777777" w:rsidTr="00E1425A">
        <w:trPr>
          <w:tblHeader/>
        </w:trPr>
        <w:tc>
          <w:tcPr>
            <w:tcW w:w="1413" w:type="dxa"/>
          </w:tcPr>
          <w:p w14:paraId="46FDE1DD" w14:textId="77777777" w:rsidR="004831F5" w:rsidRPr="007D1918" w:rsidRDefault="004831F5" w:rsidP="00153384">
            <w:pPr>
              <w:pStyle w:val="Tablecontents"/>
              <w:ind w:left="0"/>
            </w:pPr>
          </w:p>
        </w:tc>
        <w:tc>
          <w:tcPr>
            <w:tcW w:w="3801" w:type="dxa"/>
          </w:tcPr>
          <w:p w14:paraId="14CEA4A5" w14:textId="362284AC" w:rsidR="004831F5" w:rsidRPr="007D1918" w:rsidRDefault="004831F5" w:rsidP="007D4948">
            <w:pPr>
              <w:pStyle w:val="Tablecontents"/>
              <w:ind w:left="0"/>
              <w:rPr>
                <w:b/>
              </w:rPr>
            </w:pPr>
            <w:r w:rsidRPr="007D1918">
              <w:rPr>
                <w:b/>
              </w:rPr>
              <w:t xml:space="preserve">Evidence Base: </w:t>
            </w:r>
            <w:r w:rsidRPr="007D1918">
              <w:rPr>
                <w:b/>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b/>
              </w:rPr>
              <w:instrText xml:space="preserve"> ADDIN EN.CITE </w:instrText>
            </w:r>
            <w:r w:rsidRPr="007D1918">
              <w:rPr>
                <w:b/>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b/>
              </w:rPr>
              <w:instrText xml:space="preserve"> ADDIN EN.CITE.DATA </w:instrText>
            </w:r>
            <w:r w:rsidRPr="007D1918">
              <w:rPr>
                <w:b/>
              </w:rPr>
            </w:r>
            <w:r w:rsidRPr="007D1918">
              <w:rPr>
                <w:b/>
              </w:rPr>
              <w:fldChar w:fldCharType="end"/>
            </w:r>
            <w:r w:rsidRPr="007D1918">
              <w:rPr>
                <w:b/>
              </w:rPr>
            </w:r>
            <w:r w:rsidRPr="007D1918">
              <w:rPr>
                <w:b/>
              </w:rPr>
              <w:fldChar w:fldCharType="separate"/>
            </w:r>
            <w:r w:rsidRPr="007D1918">
              <w:rPr>
                <w:b/>
                <w:noProof/>
              </w:rPr>
              <w:t>(</w:t>
            </w:r>
            <w:hyperlink w:anchor="_ENREF_28" w:tooltip="Gajdos, 1997 #45" w:history="1">
              <w:r w:rsidR="007D4948" w:rsidRPr="007D1918">
                <w:rPr>
                  <w:b/>
                  <w:noProof/>
                </w:rPr>
                <w:t>Gajdos et al. 1997</w:t>
              </w:r>
            </w:hyperlink>
            <w:r w:rsidRPr="007D1918">
              <w:rPr>
                <w:b/>
                <w:noProof/>
              </w:rPr>
              <w:t>)</w:t>
            </w:r>
            <w:r w:rsidRPr="007D1918">
              <w:rPr>
                <w:b/>
              </w:rPr>
              <w:fldChar w:fldCharType="end"/>
            </w:r>
          </w:p>
        </w:tc>
        <w:tc>
          <w:tcPr>
            <w:tcW w:w="3802" w:type="dxa"/>
          </w:tcPr>
          <w:p w14:paraId="568EFABF" w14:textId="77777777" w:rsidR="004831F5" w:rsidRPr="007D1918" w:rsidRDefault="004831F5" w:rsidP="00153384">
            <w:pPr>
              <w:pStyle w:val="Tablecontents"/>
              <w:ind w:left="0"/>
              <w:rPr>
                <w:b/>
              </w:rPr>
            </w:pPr>
            <w:r w:rsidRPr="007D1918">
              <w:rPr>
                <w:b/>
              </w:rPr>
              <w:t xml:space="preserve">Australian data and reported practice </w:t>
            </w:r>
          </w:p>
        </w:tc>
      </w:tr>
      <w:tr w:rsidR="004831F5" w:rsidRPr="007D1918" w14:paraId="7AF79663" w14:textId="77777777" w:rsidTr="00153384">
        <w:tc>
          <w:tcPr>
            <w:tcW w:w="1413" w:type="dxa"/>
          </w:tcPr>
          <w:p w14:paraId="2F82D89E" w14:textId="77777777" w:rsidR="004831F5" w:rsidRPr="007D1918" w:rsidRDefault="004831F5" w:rsidP="00153384">
            <w:pPr>
              <w:pStyle w:val="Tablecontents"/>
              <w:ind w:left="0"/>
              <w:rPr>
                <w:b/>
              </w:rPr>
            </w:pPr>
            <w:r w:rsidRPr="007D1918">
              <w:rPr>
                <w:b/>
              </w:rPr>
              <w:t>IVIg dose(s), administration frequency and duration</w:t>
            </w:r>
          </w:p>
        </w:tc>
        <w:tc>
          <w:tcPr>
            <w:tcW w:w="3801" w:type="dxa"/>
          </w:tcPr>
          <w:p w14:paraId="49BCF8A5" w14:textId="34C1BB68" w:rsidR="004831F5" w:rsidRPr="007D1918" w:rsidRDefault="004831F5" w:rsidP="00255DE0">
            <w:pPr>
              <w:pStyle w:val="Tablecontents"/>
              <w:ind w:left="0"/>
            </w:pPr>
            <w:r w:rsidRPr="007D1918">
              <w:t>Patients in the IVIg group received daily 0.4-</w:t>
            </w:r>
            <w:r w:rsidR="00255DE0" w:rsidRPr="007D1918">
              <w:t xml:space="preserve">gm/kg </w:t>
            </w:r>
            <w:r w:rsidRPr="007D1918">
              <w:t>doses of IgG for 3 or 5 consecutive days.</w:t>
            </w:r>
            <w:r w:rsidRPr="007D1918">
              <w:rPr>
                <w:i/>
              </w:rPr>
              <w:t xml:space="preserve"> i.e. a total of either 1.2g/kg or 2.0g/kg IVIg was given</w:t>
            </w:r>
            <w:r w:rsidRPr="007D1918">
              <w:t>.</w:t>
            </w:r>
          </w:p>
        </w:tc>
        <w:tc>
          <w:tcPr>
            <w:tcW w:w="3802" w:type="dxa"/>
          </w:tcPr>
          <w:p w14:paraId="719BA436" w14:textId="77777777" w:rsidR="004831F5" w:rsidRPr="007D1918" w:rsidRDefault="004831F5" w:rsidP="00153384">
            <w:pPr>
              <w:pStyle w:val="Tablecontents"/>
              <w:ind w:left="0"/>
            </w:pPr>
            <w:r w:rsidRPr="007D1918">
              <w:t>NBA data</w:t>
            </w:r>
            <w:r w:rsidRPr="007D1918">
              <w:rPr>
                <w:vertAlign w:val="superscript"/>
              </w:rPr>
              <w:t>a</w:t>
            </w:r>
            <w:r w:rsidRPr="007D1918">
              <w:t xml:space="preserve"> suggests an average usage of 230g per patient, and an average weight of 81kg (see Section D.4). Therefore the total dose given in Australia may be higher, around 2.8g/kg.</w:t>
            </w:r>
          </w:p>
        </w:tc>
      </w:tr>
      <w:tr w:rsidR="004831F5" w:rsidRPr="007D1918" w14:paraId="47CB31B4" w14:textId="77777777" w:rsidTr="00153384">
        <w:tc>
          <w:tcPr>
            <w:tcW w:w="1413" w:type="dxa"/>
          </w:tcPr>
          <w:p w14:paraId="07514E07" w14:textId="77777777" w:rsidR="004831F5" w:rsidRPr="007D1918" w:rsidRDefault="004831F5" w:rsidP="00153384">
            <w:pPr>
              <w:pStyle w:val="Tablecontents"/>
              <w:ind w:left="0"/>
              <w:rPr>
                <w:b/>
              </w:rPr>
            </w:pPr>
            <w:r w:rsidRPr="007D1918">
              <w:rPr>
                <w:b/>
              </w:rPr>
              <w:t>PE dose (plasma volume), frequency and duration</w:t>
            </w:r>
          </w:p>
        </w:tc>
        <w:tc>
          <w:tcPr>
            <w:tcW w:w="3801" w:type="dxa"/>
          </w:tcPr>
          <w:p w14:paraId="552B11F9" w14:textId="6EFF5879" w:rsidR="004831F5" w:rsidRPr="007D1918" w:rsidRDefault="004831F5" w:rsidP="00711905">
            <w:pPr>
              <w:pStyle w:val="Tablecontents"/>
              <w:ind w:left="0"/>
            </w:pPr>
            <w:r w:rsidRPr="007D1918">
              <w:t>PEs of 1.5 volumes each were consecutively performed on days 1, 3, and 5. One plasma volume (PV) was calculated according to the following formula: PV = (1 - hematocrit) X 70 X body weight (kg).</w:t>
            </w:r>
            <w:r w:rsidRPr="007D1918">
              <w:rPr>
                <w:i/>
              </w:rPr>
              <w:t xml:space="preserve"> </w:t>
            </w:r>
            <w:r w:rsidR="00711905" w:rsidRPr="007D1918">
              <w:rPr>
                <w:i/>
              </w:rPr>
              <w:t>A</w:t>
            </w:r>
            <w:r w:rsidRPr="007D1918">
              <w:rPr>
                <w:i/>
              </w:rPr>
              <w:t>ssuming normal haematocrit and 81kg bodyweight this equates to a 4.5L exchange (see Section D.4).</w:t>
            </w:r>
          </w:p>
        </w:tc>
        <w:tc>
          <w:tcPr>
            <w:tcW w:w="3802" w:type="dxa"/>
          </w:tcPr>
          <w:p w14:paraId="705D5678" w14:textId="15F3EA35" w:rsidR="004831F5" w:rsidRPr="007D1918" w:rsidRDefault="004831F5" w:rsidP="007D4948">
            <w:pPr>
              <w:pStyle w:val="Tablecontents"/>
              <w:ind w:left="0"/>
            </w:pPr>
            <w:r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D4948" w:rsidRPr="007D1918">
              <w:instrText xml:space="preserve"> ADDIN EN.CITE </w:instrText>
            </w:r>
            <w:r w:rsidR="007D4948"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D4948" w:rsidRPr="007D1918">
              <w:instrText xml:space="preserve"> ADDIN EN.CITE.DATA </w:instrText>
            </w:r>
            <w:r w:rsidR="007D4948" w:rsidRPr="007D1918">
              <w:fldChar w:fldCharType="end"/>
            </w:r>
            <w:r w:rsidRPr="007D1918">
              <w:fldChar w:fldCharType="separate"/>
            </w:r>
            <w:r w:rsidR="007D4948" w:rsidRPr="007D1918">
              <w:rPr>
                <w:noProof/>
              </w:rPr>
              <w:t>(</w:t>
            </w:r>
            <w:hyperlink w:anchor="_ENREF_78" w:tooltip="Paton, 2014 #74" w:history="1">
              <w:r w:rsidR="007D4948" w:rsidRPr="007D1918">
                <w:rPr>
                  <w:noProof/>
                </w:rPr>
                <w:t>Paton &amp; Baldwin 2014</w:t>
              </w:r>
            </w:hyperlink>
            <w:r w:rsidR="007D4948" w:rsidRPr="007D1918">
              <w:rPr>
                <w:noProof/>
              </w:rPr>
              <w:t>)</w:t>
            </w:r>
            <w:r w:rsidRPr="007D1918">
              <w:fldChar w:fldCharType="end"/>
            </w:r>
            <w:r w:rsidRPr="007D1918">
              <w:t xml:space="preserve"> describe PE given for MG crisis in an Australian ICU; as 3 L or 5 L exchanges given daily to ICU patients. Average length of stay in ICU for PE patients was 4 days. </w:t>
            </w:r>
          </w:p>
        </w:tc>
      </w:tr>
      <w:tr w:rsidR="004831F5" w:rsidRPr="007D1918" w14:paraId="78710698" w14:textId="77777777" w:rsidTr="00153384">
        <w:tc>
          <w:tcPr>
            <w:tcW w:w="1413" w:type="dxa"/>
          </w:tcPr>
          <w:p w14:paraId="593EA6D2" w14:textId="77777777" w:rsidR="004831F5" w:rsidRPr="007D1918" w:rsidRDefault="004831F5" w:rsidP="00153384">
            <w:pPr>
              <w:pStyle w:val="Tablecontents"/>
              <w:ind w:left="0"/>
              <w:rPr>
                <w:b/>
              </w:rPr>
            </w:pPr>
            <w:r w:rsidRPr="007D1918">
              <w:rPr>
                <w:b/>
              </w:rPr>
              <w:t>PE fluid replacement composition</w:t>
            </w:r>
          </w:p>
        </w:tc>
        <w:tc>
          <w:tcPr>
            <w:tcW w:w="3801" w:type="dxa"/>
          </w:tcPr>
          <w:p w14:paraId="5392BDB9" w14:textId="77777777" w:rsidR="004831F5" w:rsidRPr="007D1918" w:rsidRDefault="004831F5" w:rsidP="00153384">
            <w:pPr>
              <w:pStyle w:val="Tablecontents"/>
              <w:ind w:left="0"/>
            </w:pPr>
            <w:r w:rsidRPr="007D1918">
              <w:t>Replacement fluid was composed of equal parts of 4% diluted albumin and artificial gelatin solution</w:t>
            </w:r>
          </w:p>
        </w:tc>
        <w:tc>
          <w:tcPr>
            <w:tcW w:w="3802" w:type="dxa"/>
          </w:tcPr>
          <w:p w14:paraId="3F855094" w14:textId="2701650F" w:rsidR="004831F5" w:rsidRPr="007D1918" w:rsidRDefault="004831F5" w:rsidP="007D4948">
            <w:pPr>
              <w:pStyle w:val="Tablecontents"/>
              <w:ind w:left="0"/>
            </w:pPr>
            <w:r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D4948" w:rsidRPr="007D1918">
              <w:instrText xml:space="preserve"> ADDIN EN.CITE </w:instrText>
            </w:r>
            <w:r w:rsidR="007D4948"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D4948" w:rsidRPr="007D1918">
              <w:instrText xml:space="preserve"> ADDIN EN.CITE.DATA </w:instrText>
            </w:r>
            <w:r w:rsidR="007D4948" w:rsidRPr="007D1918">
              <w:fldChar w:fldCharType="end"/>
            </w:r>
            <w:r w:rsidRPr="007D1918">
              <w:fldChar w:fldCharType="separate"/>
            </w:r>
            <w:r w:rsidR="007D4948" w:rsidRPr="007D1918">
              <w:rPr>
                <w:noProof/>
              </w:rPr>
              <w:t>(</w:t>
            </w:r>
            <w:hyperlink w:anchor="_ENREF_78" w:tooltip="Paton, 2014 #74" w:history="1">
              <w:r w:rsidR="007D4948" w:rsidRPr="007D1918">
                <w:rPr>
                  <w:noProof/>
                </w:rPr>
                <w:t>Paton &amp; Baldwin 2014</w:t>
              </w:r>
            </w:hyperlink>
            <w:r w:rsidR="007D4948" w:rsidRPr="007D1918">
              <w:rPr>
                <w:noProof/>
              </w:rPr>
              <w:t>)</w:t>
            </w:r>
            <w:r w:rsidRPr="007D1918">
              <w:fldChar w:fldCharType="end"/>
            </w:r>
            <w:r w:rsidRPr="007D1918">
              <w:t xml:space="preserve"> describe PE given for MG crisis in an Australian ICU; as a mixture of FFP and human albumin 4% or human albumin 4% alone over a 6–14 h period. PE was administered daily with FFP frequently used as a portion of the replacement fluid.</w:t>
            </w:r>
          </w:p>
        </w:tc>
      </w:tr>
      <w:tr w:rsidR="004831F5" w:rsidRPr="007D1918" w14:paraId="4BAF625E" w14:textId="77777777" w:rsidTr="00153384">
        <w:tc>
          <w:tcPr>
            <w:tcW w:w="1413" w:type="dxa"/>
          </w:tcPr>
          <w:p w14:paraId="2316E457" w14:textId="77777777" w:rsidR="004831F5" w:rsidRPr="007D1918" w:rsidRDefault="004831F5" w:rsidP="00153384">
            <w:pPr>
              <w:pStyle w:val="Tablecontents"/>
              <w:ind w:left="0"/>
              <w:rPr>
                <w:b/>
              </w:rPr>
            </w:pPr>
            <w:r w:rsidRPr="007D1918">
              <w:rPr>
                <w:b/>
              </w:rPr>
              <w:t>Management of adverse events and 2</w:t>
            </w:r>
            <w:r w:rsidRPr="007D1918">
              <w:rPr>
                <w:b/>
                <w:vertAlign w:val="superscript"/>
              </w:rPr>
              <w:t>nd</w:t>
            </w:r>
            <w:r w:rsidRPr="007D1918">
              <w:rPr>
                <w:b/>
              </w:rPr>
              <w:t xml:space="preserve"> line treatment </w:t>
            </w:r>
          </w:p>
        </w:tc>
        <w:tc>
          <w:tcPr>
            <w:tcW w:w="3801" w:type="dxa"/>
          </w:tcPr>
          <w:p w14:paraId="40429F78" w14:textId="77777777" w:rsidR="004831F5" w:rsidRPr="007D1918" w:rsidRDefault="004831F5" w:rsidP="00153384">
            <w:pPr>
              <w:pStyle w:val="Tablecontents"/>
              <w:ind w:left="0"/>
            </w:pPr>
            <w:r w:rsidRPr="007D1918">
              <w:t>Gajdos reports a 4.4% discontinuation rate (due to serious adverse events) in the PE arm (no discontinuations in the IVIg arm), however the publication does not identify how the MG crisis is subsequently management.</w:t>
            </w:r>
          </w:p>
        </w:tc>
        <w:tc>
          <w:tcPr>
            <w:tcW w:w="3802" w:type="dxa"/>
          </w:tcPr>
          <w:p w14:paraId="56EC8B78" w14:textId="77777777" w:rsidR="004831F5" w:rsidRPr="007D1918" w:rsidRDefault="004831F5" w:rsidP="00153384">
            <w:pPr>
              <w:pStyle w:val="Tablecontents"/>
              <w:ind w:left="0"/>
            </w:pPr>
            <w:r w:rsidRPr="007D1918">
              <w:t xml:space="preserve">Given the gravity of MG crisis, the need to treat and the availability of IVIg in the Australian setting, it is assumed that any patient who discontinues PE mid-treatment due to adverse events would be commenced on IVIg. </w:t>
            </w:r>
          </w:p>
        </w:tc>
      </w:tr>
    </w:tbl>
    <w:p w14:paraId="225D9FF2" w14:textId="77777777" w:rsidR="004831F5" w:rsidRPr="007D1918" w:rsidRDefault="004831F5" w:rsidP="004831F5">
      <w:pPr>
        <w:pStyle w:val="Tablenotes1"/>
      </w:pPr>
      <w:r w:rsidRPr="007D1918">
        <w:t>IVIg = intravenous immunoglobulin; NBA = National Blood Authority; PE = plasma exchange; PV = plasma volume; MG = myasthenia gravis; ICU = intensive care unit; FFP = fresh frozen plasma</w:t>
      </w:r>
    </w:p>
    <w:p w14:paraId="7CCDBAB0" w14:textId="22EDBC42" w:rsidR="004831F5" w:rsidRPr="007D1918" w:rsidRDefault="004831F5" w:rsidP="004831F5">
      <w:pPr>
        <w:pStyle w:val="Tablenotes1"/>
      </w:pPr>
      <w:r w:rsidRPr="007D1918">
        <w:rPr>
          <w:vertAlign w:val="superscript"/>
        </w:rPr>
        <w:t>a</w:t>
      </w:r>
      <w:r w:rsidRPr="007D1918">
        <w:t xml:space="preserve"> Source: 'HTA Data April2019.xlsx' workbook provided by the </w:t>
      </w:r>
      <w:r w:rsidR="00CD7403">
        <w:t>NBA</w:t>
      </w:r>
      <w:r w:rsidRPr="007D1918">
        <w:t>.</w:t>
      </w:r>
    </w:p>
    <w:p w14:paraId="7B7FDF7B" w14:textId="77777777" w:rsidR="004831F5" w:rsidRPr="007D1918" w:rsidRDefault="004831F5" w:rsidP="004831F5">
      <w:pPr>
        <w:jc w:val="both"/>
      </w:pPr>
      <w:r w:rsidRPr="007D1918">
        <w:t xml:space="preserve">The plan for the economic analysis is to present costing results based on the clinical trial with a stepped evaluation adjusting the relevant inputs to those based on Australian data and publications, and will </w:t>
      </w:r>
      <w:r w:rsidRPr="007D1918">
        <w:lastRenderedPageBreak/>
        <w:t>incorporate the assumption that a full dose of IVIg would be provided following where PE treatment is unable to be completed due to an adverse event.</w:t>
      </w:r>
    </w:p>
    <w:p w14:paraId="73AD6119" w14:textId="77777777" w:rsidR="004831F5" w:rsidRPr="007D1918" w:rsidRDefault="004831F5" w:rsidP="004831F5">
      <w:pPr>
        <w:pStyle w:val="Heading3"/>
      </w:pPr>
      <w:bookmarkStart w:id="332" w:name="_Toc15561864"/>
      <w:bookmarkStart w:id="333" w:name="_Toc23766984"/>
      <w:r w:rsidRPr="007D1918">
        <w:t>Indication 2</w:t>
      </w:r>
      <w:bookmarkEnd w:id="332"/>
      <w:bookmarkEnd w:id="333"/>
    </w:p>
    <w:p w14:paraId="5D73002E" w14:textId="77777777" w:rsidR="004831F5" w:rsidRPr="007D1918" w:rsidRDefault="004831F5" w:rsidP="004831F5">
      <w:pPr>
        <w:pStyle w:val="Heading4"/>
      </w:pPr>
      <w:r w:rsidRPr="007D1918">
        <w:t>Are the Australian circumstances of use of IVIg and PE in at-risk MG patients prior to surgery, consistent with the clinical study evidence?</w:t>
      </w:r>
    </w:p>
    <w:p w14:paraId="1FDAC78B" w14:textId="6CD64FFC" w:rsidR="004831F5" w:rsidRPr="007D1918" w:rsidRDefault="004831F5" w:rsidP="004831F5">
      <w:pPr>
        <w:jc w:val="both"/>
      </w:pPr>
      <w:r w:rsidRPr="007D1918">
        <w:t xml:space="preserve">A summary of the relevant applicability issues regarding delivery of </w:t>
      </w:r>
      <w:r w:rsidRPr="007D1918">
        <w:rPr>
          <w:i/>
        </w:rPr>
        <w:t>Criteria V3</w:t>
      </w:r>
      <w:r w:rsidRPr="007D1918">
        <w:t xml:space="preserve"> Indication 2 treatments are summarised in </w:t>
      </w:r>
      <w:r w:rsidRPr="007D1918">
        <w:fldChar w:fldCharType="begin"/>
      </w:r>
      <w:r w:rsidRPr="007D1918">
        <w:instrText xml:space="preserve"> REF _Ref14255227 \h </w:instrText>
      </w:r>
      <w:r w:rsidR="00E07567" w:rsidRPr="007D1918">
        <w:instrText xml:space="preserve"> \* MERGEFORMAT </w:instrText>
      </w:r>
      <w:r w:rsidRPr="007D1918">
        <w:fldChar w:fldCharType="separate"/>
      </w:r>
      <w:r w:rsidR="00153384" w:rsidRPr="007D1918">
        <w:t xml:space="preserve">Table </w:t>
      </w:r>
      <w:r w:rsidR="00153384" w:rsidRPr="007D1918">
        <w:rPr>
          <w:noProof/>
        </w:rPr>
        <w:t>53</w:t>
      </w:r>
      <w:r w:rsidRPr="007D1918">
        <w:fldChar w:fldCharType="end"/>
      </w:r>
      <w:r w:rsidRPr="007D1918">
        <w:t xml:space="preserve">, with descriptions of the Alipour-Faz 2017 Study clinical interventions, and the circumstances by which they were delivered, along with a comparison to available Australian data and information on Australian practice. </w:t>
      </w:r>
    </w:p>
    <w:p w14:paraId="2725E961" w14:textId="7CB572BD" w:rsidR="004831F5" w:rsidRPr="007D1918" w:rsidRDefault="004831F5" w:rsidP="004831F5">
      <w:pPr>
        <w:pStyle w:val="Caption"/>
        <w:keepNext/>
        <w:keepLines/>
      </w:pPr>
      <w:bookmarkStart w:id="334" w:name="_Ref14255227"/>
      <w:bookmarkStart w:id="335" w:name="_Toc15561962"/>
      <w:bookmarkStart w:id="336" w:name="_Toc23769540"/>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53</w:t>
      </w:r>
      <w:r w:rsidRPr="007D1918">
        <w:rPr>
          <w:noProof/>
        </w:rPr>
        <w:fldChar w:fldCharType="end"/>
      </w:r>
      <w:bookmarkEnd w:id="334"/>
      <w:r w:rsidRPr="007D1918">
        <w:tab/>
        <w:t>Applicability issues comparing</w:t>
      </w:r>
      <w:r w:rsidRPr="007D1918">
        <w:rPr>
          <w:rFonts w:ascii="Calibri" w:hAnsi="Calibri"/>
          <w:b w:val="0"/>
          <w:bCs w:val="0"/>
          <w:sz w:val="22"/>
        </w:rPr>
        <w:t xml:space="preserve"> </w:t>
      </w:r>
      <w:r w:rsidRPr="007D1918">
        <w:fldChar w:fldCharType="begin"/>
      </w:r>
      <w:r w:rsidR="007D4948" w:rsidRPr="007D1918">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007D4948" w:rsidRPr="007D1918">
        <w:rPr>
          <w:rFonts w:ascii="Cambria Math" w:hAnsi="Cambria Math" w:cs="Cambria Math"/>
        </w:rPr>
        <w:instrText>‐</w:instrText>
      </w:r>
      <w:r w:rsidR="007D4948" w:rsidRPr="007D1918">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fldChar w:fldCharType="separate"/>
      </w:r>
      <w:r w:rsidR="007D4948" w:rsidRPr="007D1918">
        <w:rPr>
          <w:noProof/>
        </w:rPr>
        <w:t>(</w:t>
      </w:r>
      <w:hyperlink w:anchor="_ENREF_4" w:tooltip="Alipour-Faz, 2017 #64" w:history="1">
        <w:r w:rsidR="007D4948" w:rsidRPr="007D1918">
          <w:rPr>
            <w:noProof/>
          </w:rPr>
          <w:t>Alipour-Faz et al. 2017</w:t>
        </w:r>
      </w:hyperlink>
      <w:r w:rsidR="007D4948" w:rsidRPr="007D1918">
        <w:rPr>
          <w:noProof/>
        </w:rPr>
        <w:t>)</w:t>
      </w:r>
      <w:r w:rsidRPr="007D1918">
        <w:fldChar w:fldCharType="end"/>
      </w:r>
      <w:r w:rsidRPr="007D1918">
        <w:t xml:space="preserve"> to Australian practice for Indication 2</w:t>
      </w:r>
      <w:bookmarkEnd w:id="335"/>
      <w:bookmarkEnd w:id="336"/>
    </w:p>
    <w:tbl>
      <w:tblPr>
        <w:tblStyle w:val="TableGrid"/>
        <w:tblW w:w="0" w:type="auto"/>
        <w:tblLook w:val="04A0" w:firstRow="1" w:lastRow="0" w:firstColumn="1" w:lastColumn="0" w:noHBand="0" w:noVBand="1"/>
        <w:tblCaption w:val="Table 53 Applicability issues comparing (Alipour-Faz et al. 2017) to Australian practice for Indication 2"/>
      </w:tblPr>
      <w:tblGrid>
        <w:gridCol w:w="1413"/>
        <w:gridCol w:w="3685"/>
        <w:gridCol w:w="3918"/>
      </w:tblGrid>
      <w:tr w:rsidR="004831F5" w:rsidRPr="007D1918" w14:paraId="3F934650" w14:textId="77777777" w:rsidTr="00E1425A">
        <w:trPr>
          <w:tblHeader/>
        </w:trPr>
        <w:tc>
          <w:tcPr>
            <w:tcW w:w="1413" w:type="dxa"/>
          </w:tcPr>
          <w:p w14:paraId="7476E575" w14:textId="77777777" w:rsidR="004831F5" w:rsidRPr="007D1918" w:rsidRDefault="004831F5" w:rsidP="00153384">
            <w:pPr>
              <w:pStyle w:val="Tablecontents"/>
              <w:keepNext/>
              <w:keepLines/>
              <w:ind w:left="0"/>
            </w:pPr>
          </w:p>
        </w:tc>
        <w:tc>
          <w:tcPr>
            <w:tcW w:w="3685" w:type="dxa"/>
          </w:tcPr>
          <w:p w14:paraId="104DB4B0" w14:textId="01D65EF3" w:rsidR="004831F5" w:rsidRPr="007D1918" w:rsidRDefault="004831F5" w:rsidP="007D4948">
            <w:pPr>
              <w:pStyle w:val="Tablecontents"/>
              <w:keepNext/>
              <w:keepLines/>
              <w:ind w:left="0"/>
              <w:rPr>
                <w:b/>
              </w:rPr>
            </w:pPr>
            <w:r w:rsidRPr="007D1918">
              <w:rPr>
                <w:b/>
              </w:rPr>
              <w:t xml:space="preserve">Evidence Base: </w:t>
            </w:r>
            <w:r w:rsidRPr="007D1918">
              <w:rPr>
                <w:b/>
              </w:rPr>
              <w:fldChar w:fldCharType="begin"/>
            </w:r>
            <w:r w:rsidRPr="007D1918">
              <w:rPr>
                <w:b/>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Pr="007D1918">
              <w:rPr>
                <w:rFonts w:ascii="Cambria Math" w:hAnsi="Cambria Math" w:cs="Cambria Math"/>
                <w:b/>
              </w:rPr>
              <w:instrText>‐</w:instrText>
            </w:r>
            <w:r w:rsidRPr="007D1918">
              <w:rPr>
                <w:b/>
              </w:rPr>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b/>
              </w:rPr>
              <w:fldChar w:fldCharType="separate"/>
            </w:r>
            <w:r w:rsidRPr="007D1918">
              <w:rPr>
                <w:b/>
                <w:noProof/>
              </w:rPr>
              <w:t>(</w:t>
            </w:r>
            <w:hyperlink w:anchor="_ENREF_4" w:tooltip="Alipour-Faz, 2017 #64" w:history="1">
              <w:r w:rsidR="007D4948" w:rsidRPr="007D1918">
                <w:rPr>
                  <w:b/>
                  <w:noProof/>
                </w:rPr>
                <w:t>Alipour-Faz et al. 2017</w:t>
              </w:r>
            </w:hyperlink>
            <w:r w:rsidRPr="007D1918">
              <w:rPr>
                <w:b/>
                <w:noProof/>
              </w:rPr>
              <w:t>)</w:t>
            </w:r>
            <w:r w:rsidRPr="007D1918">
              <w:rPr>
                <w:b/>
              </w:rPr>
              <w:fldChar w:fldCharType="end"/>
            </w:r>
          </w:p>
        </w:tc>
        <w:tc>
          <w:tcPr>
            <w:tcW w:w="3918" w:type="dxa"/>
          </w:tcPr>
          <w:p w14:paraId="10198F18" w14:textId="77777777" w:rsidR="004831F5" w:rsidRPr="007D1918" w:rsidRDefault="004831F5" w:rsidP="00153384">
            <w:pPr>
              <w:pStyle w:val="Tablecontents"/>
              <w:keepNext/>
              <w:keepLines/>
              <w:ind w:left="0"/>
              <w:rPr>
                <w:b/>
              </w:rPr>
            </w:pPr>
            <w:r w:rsidRPr="007D1918">
              <w:rPr>
                <w:b/>
              </w:rPr>
              <w:t xml:space="preserve">Australian data and reported practice </w:t>
            </w:r>
          </w:p>
        </w:tc>
      </w:tr>
      <w:tr w:rsidR="004831F5" w:rsidRPr="007D1918" w14:paraId="6AE7F093" w14:textId="77777777" w:rsidTr="00153384">
        <w:tc>
          <w:tcPr>
            <w:tcW w:w="1413" w:type="dxa"/>
          </w:tcPr>
          <w:p w14:paraId="0FFD468E" w14:textId="77777777" w:rsidR="004831F5" w:rsidRPr="007D1918" w:rsidRDefault="004831F5" w:rsidP="00153384">
            <w:pPr>
              <w:pStyle w:val="Tablecontents"/>
              <w:keepNext/>
              <w:keepLines/>
              <w:ind w:left="0"/>
              <w:rPr>
                <w:b/>
              </w:rPr>
            </w:pPr>
            <w:r w:rsidRPr="007D1918">
              <w:rPr>
                <w:b/>
              </w:rPr>
              <w:t>IVIg dose(s), administration frequency and duration</w:t>
            </w:r>
          </w:p>
        </w:tc>
        <w:tc>
          <w:tcPr>
            <w:tcW w:w="3685" w:type="dxa"/>
          </w:tcPr>
          <w:p w14:paraId="028860C0" w14:textId="77777777" w:rsidR="004831F5" w:rsidRPr="007D1918" w:rsidRDefault="004831F5" w:rsidP="00153384">
            <w:pPr>
              <w:pStyle w:val="Tablecontents"/>
              <w:keepNext/>
              <w:keepLines/>
              <w:ind w:left="0"/>
            </w:pPr>
            <w:r w:rsidRPr="007D1918">
              <w:t>Patients in the IVIg group received 1g/kg doses of IgG for 2 consecutive days approximately 10-30 days prior to scheduled surgery.</w:t>
            </w:r>
          </w:p>
        </w:tc>
        <w:tc>
          <w:tcPr>
            <w:tcW w:w="3918" w:type="dxa"/>
          </w:tcPr>
          <w:p w14:paraId="44F44AD7" w14:textId="77777777" w:rsidR="004831F5" w:rsidRPr="007D1918" w:rsidRDefault="004831F5" w:rsidP="00153384">
            <w:pPr>
              <w:pStyle w:val="Tablecontents"/>
              <w:keepNext/>
              <w:keepLines/>
              <w:ind w:left="0"/>
            </w:pPr>
            <w:r w:rsidRPr="007D1918">
              <w:t>NBA data</w:t>
            </w:r>
            <w:r w:rsidRPr="007D1918">
              <w:rPr>
                <w:vertAlign w:val="superscript"/>
              </w:rPr>
              <w:t>a</w:t>
            </w:r>
            <w:r w:rsidRPr="007D1918">
              <w:t xml:space="preserve"> and estimates are that usage of IVIg supplied under Indication 2 is approximately 156g per patient (see Section D.4). If the average weight of patients is 81kg, this equates to approximately 1.93g/kg per patient, or; 0.96g/kg per day for 2 days. </w:t>
            </w:r>
          </w:p>
        </w:tc>
      </w:tr>
      <w:tr w:rsidR="004831F5" w:rsidRPr="007D1918" w14:paraId="2C5727EA" w14:textId="77777777" w:rsidTr="00153384">
        <w:tc>
          <w:tcPr>
            <w:tcW w:w="1413" w:type="dxa"/>
          </w:tcPr>
          <w:p w14:paraId="5F051968" w14:textId="77777777" w:rsidR="004831F5" w:rsidRPr="007D1918" w:rsidRDefault="004831F5" w:rsidP="00153384">
            <w:pPr>
              <w:pStyle w:val="Tablecontents"/>
              <w:keepNext/>
              <w:keepLines/>
              <w:ind w:left="0"/>
              <w:rPr>
                <w:b/>
              </w:rPr>
            </w:pPr>
            <w:r w:rsidRPr="007D1918">
              <w:rPr>
                <w:b/>
              </w:rPr>
              <w:t>PE dose (plasma volume), frequency and duration</w:t>
            </w:r>
          </w:p>
        </w:tc>
        <w:tc>
          <w:tcPr>
            <w:tcW w:w="3685" w:type="dxa"/>
          </w:tcPr>
          <w:p w14:paraId="61AC9B19" w14:textId="77777777" w:rsidR="004831F5" w:rsidRPr="007D1918" w:rsidRDefault="004831F5" w:rsidP="00153384">
            <w:pPr>
              <w:pStyle w:val="Tablecontents"/>
              <w:keepNext/>
              <w:keepLines/>
              <w:ind w:left="0"/>
            </w:pPr>
            <w:r w:rsidRPr="007D1918">
              <w:t xml:space="preserve">PE of 1L volumes each were performed five times, on alternate days 10-30 days before procedure. </w:t>
            </w:r>
          </w:p>
        </w:tc>
        <w:tc>
          <w:tcPr>
            <w:tcW w:w="3918" w:type="dxa"/>
          </w:tcPr>
          <w:p w14:paraId="35C6F2A3" w14:textId="77777777" w:rsidR="004831F5" w:rsidRPr="007D1918" w:rsidRDefault="004831F5" w:rsidP="00153384">
            <w:pPr>
              <w:pStyle w:val="Tablecontents"/>
              <w:keepNext/>
              <w:keepLines/>
              <w:ind w:left="0"/>
            </w:pPr>
            <w:r w:rsidRPr="007D1918">
              <w:t>No information was identified that described pre-operative PE treatment in MG patients specifically in the Australian setting.</w:t>
            </w:r>
          </w:p>
        </w:tc>
      </w:tr>
      <w:tr w:rsidR="004831F5" w:rsidRPr="007D1918" w14:paraId="38595A1C" w14:textId="77777777" w:rsidTr="00153384">
        <w:tc>
          <w:tcPr>
            <w:tcW w:w="1413" w:type="dxa"/>
          </w:tcPr>
          <w:p w14:paraId="26A3078A" w14:textId="77777777" w:rsidR="004831F5" w:rsidRPr="007D1918" w:rsidRDefault="004831F5" w:rsidP="00153384">
            <w:pPr>
              <w:pStyle w:val="Tablecontents"/>
              <w:keepNext/>
              <w:keepLines/>
              <w:ind w:left="0"/>
              <w:rPr>
                <w:b/>
              </w:rPr>
            </w:pPr>
            <w:r w:rsidRPr="007D1918">
              <w:rPr>
                <w:b/>
              </w:rPr>
              <w:t>PE fluid replacement composition</w:t>
            </w:r>
          </w:p>
        </w:tc>
        <w:tc>
          <w:tcPr>
            <w:tcW w:w="3685" w:type="dxa"/>
          </w:tcPr>
          <w:p w14:paraId="5764F034" w14:textId="77777777" w:rsidR="004831F5" w:rsidRPr="007D1918" w:rsidRDefault="004831F5" w:rsidP="00153384">
            <w:pPr>
              <w:pStyle w:val="Tablecontents"/>
              <w:keepNext/>
              <w:keepLines/>
              <w:ind w:left="0"/>
            </w:pPr>
            <w:r w:rsidRPr="007D1918">
              <w:t>The plasma replacement fluid was Albumin 5%.</w:t>
            </w:r>
          </w:p>
        </w:tc>
        <w:tc>
          <w:tcPr>
            <w:tcW w:w="3918" w:type="dxa"/>
          </w:tcPr>
          <w:p w14:paraId="565FE823" w14:textId="77777777" w:rsidR="004831F5" w:rsidRPr="007D1918" w:rsidRDefault="004831F5" w:rsidP="00153384">
            <w:pPr>
              <w:pStyle w:val="Tablecontents"/>
              <w:keepNext/>
              <w:keepLines/>
              <w:ind w:left="0"/>
            </w:pPr>
            <w:r w:rsidRPr="007D1918">
              <w:t>No information was identified that described pre-operative PE treatment in MG patients specifically in the Australian setting.</w:t>
            </w:r>
          </w:p>
        </w:tc>
      </w:tr>
      <w:tr w:rsidR="004831F5" w:rsidRPr="007D1918" w14:paraId="05DCEAE6" w14:textId="77777777" w:rsidTr="00153384">
        <w:tc>
          <w:tcPr>
            <w:tcW w:w="1413" w:type="dxa"/>
          </w:tcPr>
          <w:p w14:paraId="56E2C461" w14:textId="77777777" w:rsidR="004831F5" w:rsidRPr="007D1918" w:rsidRDefault="004831F5" w:rsidP="00153384">
            <w:pPr>
              <w:pStyle w:val="Tablecontents"/>
              <w:keepNext/>
              <w:keepLines/>
              <w:ind w:left="0"/>
              <w:rPr>
                <w:b/>
              </w:rPr>
            </w:pPr>
            <w:r w:rsidRPr="007D1918">
              <w:rPr>
                <w:b/>
              </w:rPr>
              <w:t>Surgery resource use</w:t>
            </w:r>
          </w:p>
        </w:tc>
        <w:tc>
          <w:tcPr>
            <w:tcW w:w="3685" w:type="dxa"/>
          </w:tcPr>
          <w:p w14:paraId="54949FC5" w14:textId="73051C2D" w:rsidR="004831F5" w:rsidRPr="007D1918" w:rsidRDefault="004831F5" w:rsidP="00711905">
            <w:pPr>
              <w:pStyle w:val="Tablecontents"/>
              <w:keepNext/>
              <w:keepLines/>
              <w:ind w:left="0"/>
            </w:pPr>
            <w:r w:rsidRPr="007D1918">
              <w:t xml:space="preserve">Alipour-Faz describe that 7/12 PE group patients were postoperatively intubated (for median time 13h), but in the </w:t>
            </w:r>
            <w:r w:rsidR="00711905" w:rsidRPr="007D1918">
              <w:t xml:space="preserve">IVIg </w:t>
            </w:r>
            <w:r w:rsidRPr="007D1918">
              <w:t>group only 2/12 patients were intubated (p value = 0.01) for 2 and 22 hours). A slight difference in the average surgery duration (PE 0.71 hours more than IVI</w:t>
            </w:r>
            <w:r w:rsidR="00711905" w:rsidRPr="007D1918">
              <w:t>g</w:t>
            </w:r>
            <w:r w:rsidRPr="007D1918">
              <w:t>) was shown between groups (p value = 0.05). The duration of hospitalization, ICU length of stay and dose of corticosteroid were measured without significant difference between groups.</w:t>
            </w:r>
          </w:p>
        </w:tc>
        <w:tc>
          <w:tcPr>
            <w:tcW w:w="3918" w:type="dxa"/>
          </w:tcPr>
          <w:p w14:paraId="64C21CEF" w14:textId="77777777" w:rsidR="004831F5" w:rsidRPr="007D1918" w:rsidRDefault="004831F5" w:rsidP="00153384">
            <w:pPr>
              <w:pStyle w:val="Tablecontents"/>
              <w:keepNext/>
              <w:keepLines/>
              <w:ind w:left="0"/>
            </w:pPr>
            <w:r w:rsidRPr="007D1918">
              <w:t>No data on resource use differences was identified specific to the Australian setting.</w:t>
            </w:r>
          </w:p>
        </w:tc>
      </w:tr>
    </w:tbl>
    <w:p w14:paraId="072C2684" w14:textId="77777777" w:rsidR="004831F5" w:rsidRPr="007D1918" w:rsidRDefault="004831F5" w:rsidP="004831F5">
      <w:pPr>
        <w:pStyle w:val="Tablenotes1"/>
      </w:pPr>
      <w:r w:rsidRPr="007D1918">
        <w:t>IVIg = intravenous immunoglobulin; NBA = National Blood Authority; PE = plasma exchange; MG = myasthenia gravis; ICU = intensive care unit.</w:t>
      </w:r>
    </w:p>
    <w:p w14:paraId="43CE48D4" w14:textId="178CB3B7" w:rsidR="004831F5" w:rsidRPr="007D1918" w:rsidRDefault="004831F5" w:rsidP="004831F5">
      <w:pPr>
        <w:pStyle w:val="Tablenotes1"/>
      </w:pPr>
      <w:r w:rsidRPr="007D1918">
        <w:rPr>
          <w:vertAlign w:val="superscript"/>
        </w:rPr>
        <w:t>a</w:t>
      </w:r>
      <w:r w:rsidRPr="007D1918">
        <w:t xml:space="preserve"> Source: 'HTA Data April2019.xlsx' workbook provided by the </w:t>
      </w:r>
      <w:r w:rsidR="00CD7403">
        <w:t>NBA</w:t>
      </w:r>
      <w:r w:rsidRPr="007D1918">
        <w:t>.</w:t>
      </w:r>
    </w:p>
    <w:p w14:paraId="5BCCD3AA" w14:textId="77777777" w:rsidR="004831F5" w:rsidRPr="007D1918" w:rsidRDefault="004831F5" w:rsidP="004831F5">
      <w:pPr>
        <w:jc w:val="both"/>
      </w:pPr>
      <w:r w:rsidRPr="007D1918">
        <w:t xml:space="preserve">The NBA data on the number of patients receiving IVIg for this Indication, combined with the estimated volume of use for Indication 2 (see </w:t>
      </w:r>
      <w:r w:rsidRPr="007D1918">
        <w:rPr>
          <w:i/>
        </w:rPr>
        <w:t>Section D.4</w:t>
      </w:r>
      <w:r w:rsidRPr="007D1918">
        <w:t xml:space="preserve">) estimate an average IVIg dose that is reasonably consistent with the clinical trial, particularly if some patients do not complete the second day of IVIg therapy due to adverse events. No information was identified that described Australian clinical practice for administering PE specifically in this clinical context, therefore the applicability of the trial is difficult to assess in this regard. </w:t>
      </w:r>
    </w:p>
    <w:p w14:paraId="715865D9" w14:textId="4E793D6D" w:rsidR="0071666F" w:rsidRPr="007D1918" w:rsidRDefault="004831F5" w:rsidP="004831F5">
      <w:pPr>
        <w:jc w:val="both"/>
      </w:pPr>
      <w:r w:rsidRPr="007D1918">
        <w:lastRenderedPageBreak/>
        <w:t xml:space="preserve">Consideration was given to whether the differences in intubation and surgery times identified in the study </w:t>
      </w:r>
      <w:r w:rsidR="005764B3" w:rsidRPr="007D1918">
        <w:t xml:space="preserve">are likely to reflect </w:t>
      </w:r>
      <w:r w:rsidR="005D3EE4" w:rsidRPr="007D1918">
        <w:t xml:space="preserve">true </w:t>
      </w:r>
      <w:r w:rsidR="005764B3" w:rsidRPr="007D1918">
        <w:t xml:space="preserve">clinical </w:t>
      </w:r>
      <w:r w:rsidR="005D3EE4" w:rsidRPr="007D1918">
        <w:t>experience</w:t>
      </w:r>
      <w:r w:rsidR="005764B3" w:rsidRPr="007D1918">
        <w:t xml:space="preserve"> and</w:t>
      </w:r>
      <w:r w:rsidR="00232BAB" w:rsidRPr="007D1918">
        <w:t>,</w:t>
      </w:r>
      <w:r w:rsidR="005764B3" w:rsidRPr="007D1918">
        <w:t xml:space="preserve"> </w:t>
      </w:r>
      <w:r w:rsidR="0075199B" w:rsidRPr="007D1918">
        <w:t xml:space="preserve">if so, </w:t>
      </w:r>
      <w:r w:rsidR="005764B3" w:rsidRPr="007D1918">
        <w:t xml:space="preserve">whether </w:t>
      </w:r>
      <w:r w:rsidR="00232BAB" w:rsidRPr="007D1918">
        <w:t>there are</w:t>
      </w:r>
      <w:r w:rsidRPr="007D1918">
        <w:t xml:space="preserve"> resource </w:t>
      </w:r>
      <w:r w:rsidR="00232BAB" w:rsidRPr="007D1918">
        <w:t xml:space="preserve">cost </w:t>
      </w:r>
      <w:r w:rsidRPr="007D1918">
        <w:t>implications</w:t>
      </w:r>
      <w:r w:rsidR="00A64100" w:rsidRPr="007D1918">
        <w:t>.</w:t>
      </w:r>
    </w:p>
    <w:p w14:paraId="5725B643" w14:textId="6D928C97" w:rsidR="0071666F" w:rsidRPr="007D1918" w:rsidRDefault="00857CA7" w:rsidP="004831F5">
      <w:pPr>
        <w:jc w:val="both"/>
      </w:pPr>
      <w:r w:rsidRPr="007D1918">
        <w:t xml:space="preserve">The loss of clotting factors following </w:t>
      </w:r>
      <w:r w:rsidR="00BD31EC" w:rsidRPr="007D1918">
        <w:t xml:space="preserve">repeated albumin based </w:t>
      </w:r>
      <w:r w:rsidRPr="007D1918">
        <w:t xml:space="preserve">PE </w:t>
      </w:r>
      <w:r w:rsidR="00343F96" w:rsidRPr="007D1918">
        <w:t xml:space="preserve">is noted to </w:t>
      </w:r>
      <w:r w:rsidRPr="007D1918">
        <w:t>predispose patients to bleeding (</w:t>
      </w:r>
      <w:r w:rsidR="007D4948" w:rsidRPr="007D1918">
        <w:fldChar w:fldCharType="begin"/>
      </w:r>
      <w:r w:rsidR="007D4948" w:rsidRPr="007D1918">
        <w:instrText xml:space="preserve"> ADDIN EN.CITE &lt;EndNote&gt;&lt;Cite&gt;&lt;Author&gt;Shunkwiler&lt;/Author&gt;&lt;Year&gt;2018&lt;/Year&gt;&lt;RecNum&gt;111&lt;/RecNum&gt;&lt;DisplayText&gt;(Shunkwiler et al. 2018)&lt;/DisplayText&gt;&lt;record&gt;&lt;rec-number&gt;111&lt;/rec-number&gt;&lt;foreign-keys&gt;&lt;key app="EN" db-id="2aevrx2slsts5ve9sdavatf125dsx0av2v9d" timestamp="1571725458"&gt;111&lt;/key&gt;&lt;/foreign-keys&gt;&lt;ref-type name="Journal Article"&gt;17&lt;/ref-type&gt;&lt;contributors&gt;&lt;authors&gt;&lt;author&gt;Shunkwiler, Sara M.&lt;/author&gt;&lt;author&gt;Pham, Huy P.&lt;/author&gt;&lt;author&gt;Wool, Geoffrey&lt;/author&gt;&lt;author&gt;Ipe, Tina S.&lt;/author&gt;&lt;author&gt;Fang, Deanna C.&lt;/author&gt;&lt;author&gt;Biller, Elizabeth&lt;/author&gt;&lt;author&gt;Treml, Angela&lt;/author&gt;&lt;author&gt;Weiss, John&lt;/author&gt;&lt;author&gt;Baron, Beverly W.&lt;/author&gt;&lt;author&gt;Berg, Mary&lt;/author&gt;&lt;author&gt;On behalf of the Therapeutic Apheresis Subsection of the AABB&lt;/author&gt;&lt;/authors&gt;&lt;/contributors&gt;&lt;titles&gt;&lt;title&gt;The management of anticoagulation in patients undergoing therapeutic plasma exchange: A concise review&lt;/title&gt;&lt;secondary-title&gt;Journal of Clinical Apheresis&lt;/secondary-title&gt;&lt;/titles&gt;&lt;periodical&gt;&lt;full-title&gt;Journal of Clinical Apheresis&lt;/full-title&gt;&lt;/periodical&gt;&lt;pages&gt;371-379&lt;/pages&gt;&lt;volume&gt;33&lt;/volume&gt;&lt;number&gt;3&lt;/number&gt;&lt;dates&gt;&lt;year&gt;2018&lt;/year&gt;&lt;/dates&gt;&lt;isbn&gt;0733-2459&lt;/isbn&gt;&lt;urls&gt;&lt;related-urls&gt;&lt;url&gt;https://onlinelibrary.wiley.com/doi/abs/10.1002/jca.21592&lt;/url&gt;&lt;url&gt;https://onlinelibrary.wiley.com/doi/full/10.1002/jca.21592&lt;/url&gt;&lt;/related-urls&gt;&lt;/urls&gt;&lt;electronic-resource-num&gt;10.1002/jca.21592&lt;/electronic-resource-num&gt;&lt;/record&gt;&lt;/Cite&gt;&lt;/EndNote&gt;</w:instrText>
      </w:r>
      <w:r w:rsidR="007D4948" w:rsidRPr="007D1918">
        <w:fldChar w:fldCharType="separate"/>
      </w:r>
      <w:r w:rsidR="007D4948" w:rsidRPr="007D1918">
        <w:rPr>
          <w:noProof/>
        </w:rPr>
        <w:t>(</w:t>
      </w:r>
      <w:hyperlink w:anchor="_ENREF_93" w:tooltip="Shunkwiler, 2018 #111" w:history="1">
        <w:r w:rsidR="007D4948" w:rsidRPr="007D1918">
          <w:rPr>
            <w:noProof/>
          </w:rPr>
          <w:t>Shunkwiler et al. 2018</w:t>
        </w:r>
      </w:hyperlink>
      <w:r w:rsidR="007D4948" w:rsidRPr="007D1918">
        <w:rPr>
          <w:noProof/>
        </w:rPr>
        <w:t>)</w:t>
      </w:r>
      <w:r w:rsidR="007D4948" w:rsidRPr="007D1918">
        <w:fldChar w:fldCharType="end"/>
      </w:r>
      <w:r w:rsidRPr="007D1918">
        <w:t xml:space="preserve">; this is consistent with the trend to increased intra-operative blood loss in thymectomy post PE (shown vs no PE) </w:t>
      </w:r>
      <w:r w:rsidR="00BD31EC" w:rsidRPr="007D1918">
        <w:t xml:space="preserve">reported </w:t>
      </w:r>
      <w:r w:rsidRPr="007D1918">
        <w:t xml:space="preserve">in </w:t>
      </w:r>
      <w:r w:rsidR="007D4948" w:rsidRPr="007D1918">
        <w:fldChar w:fldCharType="begin">
          <w:fldData xml:space="preserve">PEVuZE5vdGU+PENpdGU+PEF1dGhvcj5SZWlzPC9BdXRob3I+PFllYXI+MjAxOTwvWWVhcj48UmVj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</w:fldData>
        </w:fldChar>
      </w:r>
      <w:r w:rsidR="007D4948" w:rsidRPr="007D1918">
        <w:instrText xml:space="preserve"> ADDIN EN.CITE </w:instrText>
      </w:r>
      <w:r w:rsidR="007D4948" w:rsidRPr="007D1918">
        <w:fldChar w:fldCharType="begin">
          <w:fldData xml:space="preserve">PEVuZE5vdGU+PENpdGU+PEF1dGhvcj5SZWlzPC9BdXRob3I+PFllYXI+MjAxOTwvWWVhcj48UmVj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</w:fldData>
        </w:fldChar>
      </w:r>
      <w:r w:rsidR="007D4948" w:rsidRPr="007D1918">
        <w:instrText xml:space="preserve"> ADDIN EN.CITE.DATA </w:instrText>
      </w:r>
      <w:r w:rsidR="007D4948" w:rsidRPr="007D1918">
        <w:fldChar w:fldCharType="end"/>
      </w:r>
      <w:r w:rsidR="007D4948" w:rsidRPr="007D1918">
        <w:fldChar w:fldCharType="separate"/>
      </w:r>
      <w:r w:rsidR="007D4948" w:rsidRPr="007D1918">
        <w:rPr>
          <w:noProof/>
        </w:rPr>
        <w:t>(</w:t>
      </w:r>
      <w:hyperlink w:anchor="_ENREF_81" w:tooltip="Reis, 2019 #110" w:history="1">
        <w:r w:rsidR="007D4948" w:rsidRPr="007D1918">
          <w:rPr>
            <w:noProof/>
          </w:rPr>
          <w:t>Reis, Cataneo &amp; Cataneo 2019</w:t>
        </w:r>
      </w:hyperlink>
      <w:r w:rsidR="007D4948" w:rsidRPr="007D1918">
        <w:rPr>
          <w:noProof/>
        </w:rPr>
        <w:t xml:space="preserve">; </w:t>
      </w:r>
      <w:hyperlink w:anchor="_ENREF_84" w:tooltip="Saeteng, 2013 #109" w:history="1">
        <w:r w:rsidR="007D4948" w:rsidRPr="007D1918">
          <w:rPr>
            <w:noProof/>
          </w:rPr>
          <w:t>Saeteng et al. 2013</w:t>
        </w:r>
      </w:hyperlink>
      <w:r w:rsidR="007D4948" w:rsidRPr="007D1918">
        <w:rPr>
          <w:noProof/>
        </w:rPr>
        <w:t>)</w:t>
      </w:r>
      <w:r w:rsidR="007D4948" w:rsidRPr="007D1918">
        <w:fldChar w:fldCharType="end"/>
      </w:r>
      <w:r w:rsidR="00BD31EC" w:rsidRPr="007D1918">
        <w:t xml:space="preserve">; </w:t>
      </w:r>
      <w:r w:rsidRPr="007D1918">
        <w:t xml:space="preserve">even small increases in bleeding </w:t>
      </w:r>
      <w:r w:rsidR="00343F96" w:rsidRPr="007D1918">
        <w:t xml:space="preserve">may </w:t>
      </w:r>
      <w:r w:rsidRPr="007D1918">
        <w:t xml:space="preserve">explain </w:t>
      </w:r>
      <w:r w:rsidR="00BD31EC" w:rsidRPr="007D1918">
        <w:t xml:space="preserve">an </w:t>
      </w:r>
      <w:r w:rsidR="0071666F" w:rsidRPr="007D1918">
        <w:t>increased surgery time</w:t>
      </w:r>
      <w:r w:rsidR="00343F96" w:rsidRPr="007D1918">
        <w:t xml:space="preserve"> in patients pre-</w:t>
      </w:r>
      <w:r w:rsidR="00232BAB" w:rsidRPr="007D1918">
        <w:t xml:space="preserve">treated for </w:t>
      </w:r>
      <w:r w:rsidR="00343F96" w:rsidRPr="007D1918">
        <w:t>surg</w:t>
      </w:r>
      <w:r w:rsidR="00232BAB" w:rsidRPr="007D1918">
        <w:t xml:space="preserve">ery </w:t>
      </w:r>
      <w:r w:rsidR="00343F96" w:rsidRPr="007D1918">
        <w:t>with PE</w:t>
      </w:r>
      <w:r w:rsidR="00BD31EC" w:rsidRPr="007D1918">
        <w:t>.</w:t>
      </w:r>
    </w:p>
    <w:p w14:paraId="56416F6B" w14:textId="2483125C" w:rsidR="00574579" w:rsidRPr="007D1918" w:rsidRDefault="004831F5" w:rsidP="004831F5">
      <w:pPr>
        <w:jc w:val="both"/>
      </w:pPr>
      <w:r w:rsidRPr="007D1918">
        <w:t xml:space="preserve"> The difference in surgery </w:t>
      </w:r>
      <w:r w:rsidR="00574579" w:rsidRPr="007D1918">
        <w:t xml:space="preserve">duration </w:t>
      </w:r>
      <w:r w:rsidRPr="007D1918">
        <w:t>(</w:t>
      </w:r>
      <w:r w:rsidR="0071666F" w:rsidRPr="007D1918">
        <w:t xml:space="preserve">surgery after IVIg </w:t>
      </w:r>
      <w:r w:rsidR="00574579" w:rsidRPr="007D1918">
        <w:t xml:space="preserve">averaged 3.46 hours, </w:t>
      </w:r>
      <w:r w:rsidR="0071666F" w:rsidRPr="007D1918">
        <w:t xml:space="preserve">being </w:t>
      </w:r>
      <w:r w:rsidRPr="007D1918">
        <w:t xml:space="preserve">0.71 hours less than </w:t>
      </w:r>
      <w:r w:rsidR="00574579" w:rsidRPr="007D1918">
        <w:t xml:space="preserve">surgery </w:t>
      </w:r>
      <w:r w:rsidR="0071666F" w:rsidRPr="007D1918">
        <w:t xml:space="preserve">after </w:t>
      </w:r>
      <w:r w:rsidRPr="007D1918">
        <w:t xml:space="preserve">PE </w:t>
      </w:r>
      <w:r w:rsidR="0071666F" w:rsidRPr="007D1918">
        <w:t xml:space="preserve">which </w:t>
      </w:r>
      <w:r w:rsidR="00574579" w:rsidRPr="007D1918">
        <w:t>lasted</w:t>
      </w:r>
      <w:r w:rsidR="0071666F" w:rsidRPr="007D1918">
        <w:t xml:space="preserve"> </w:t>
      </w:r>
      <w:r w:rsidR="00574579" w:rsidRPr="007D1918">
        <w:t>o</w:t>
      </w:r>
      <w:r w:rsidR="0071666F" w:rsidRPr="007D1918">
        <w:t>n</w:t>
      </w:r>
      <w:r w:rsidRPr="007D1918">
        <w:t xml:space="preserve"> average 4.17 hours) represents a 17% reduction</w:t>
      </w:r>
      <w:r w:rsidR="0071666F" w:rsidRPr="007D1918">
        <w:t xml:space="preserve"> in theatre time</w:t>
      </w:r>
      <w:r w:rsidRPr="007D1918">
        <w:t xml:space="preserve">. To account for this, the direct operating theatre costs (primarily wages) in the IVIg group will be adjusted accordingly in </w:t>
      </w:r>
      <w:r w:rsidRPr="007D1918">
        <w:rPr>
          <w:i/>
        </w:rPr>
        <w:t>Section D.4</w:t>
      </w:r>
      <w:r w:rsidRPr="007D1918">
        <w:t xml:space="preserve">. </w:t>
      </w:r>
      <w:r w:rsidR="00CC732B" w:rsidRPr="007D1918">
        <w:t xml:space="preserve">Sensitivity analysis will also be presented </w:t>
      </w:r>
      <w:r w:rsidR="00574579" w:rsidRPr="007D1918">
        <w:t xml:space="preserve">for </w:t>
      </w:r>
      <w:r w:rsidR="00CC732B" w:rsidRPr="007D1918">
        <w:t xml:space="preserve">the </w:t>
      </w:r>
      <w:r w:rsidR="00574579" w:rsidRPr="007D1918">
        <w:t xml:space="preserve">alternative </w:t>
      </w:r>
      <w:r w:rsidR="00CC732B" w:rsidRPr="007D1918">
        <w:t>assumption that</w:t>
      </w:r>
      <w:r w:rsidR="00574579" w:rsidRPr="007D1918">
        <w:t xml:space="preserve"> the study </w:t>
      </w:r>
      <w:r w:rsidR="00232BAB" w:rsidRPr="007D1918">
        <w:t>operating time difference</w:t>
      </w:r>
      <w:r w:rsidR="00574579" w:rsidRPr="007D1918">
        <w:t xml:space="preserve"> would not be effected by choice of pre-treatment. </w:t>
      </w:r>
    </w:p>
    <w:p w14:paraId="5BE11B1D" w14:textId="705FF020" w:rsidR="004831F5" w:rsidRPr="007D1918" w:rsidRDefault="00574579" w:rsidP="004831F5">
      <w:pPr>
        <w:jc w:val="both"/>
      </w:pPr>
      <w:r w:rsidRPr="007D1918">
        <w:t xml:space="preserve">Although intubation times were also significantly different, this </w:t>
      </w:r>
      <w:r w:rsidR="004831F5" w:rsidRPr="007D1918">
        <w:t xml:space="preserve">is not </w:t>
      </w:r>
      <w:r w:rsidRPr="007D1918">
        <w:t xml:space="preserve">identified to alter </w:t>
      </w:r>
      <w:r w:rsidR="004831F5" w:rsidRPr="007D1918">
        <w:t xml:space="preserve">hospital resource </w:t>
      </w:r>
      <w:r w:rsidRPr="007D1918">
        <w:t xml:space="preserve">consumption </w:t>
      </w:r>
      <w:r w:rsidR="004831F5" w:rsidRPr="007D1918">
        <w:t xml:space="preserve">unless it is associated with </w:t>
      </w:r>
      <w:r w:rsidRPr="007D1918">
        <w:t xml:space="preserve">an </w:t>
      </w:r>
      <w:r w:rsidR="004831F5" w:rsidRPr="007D1918">
        <w:t xml:space="preserve">increased ICU time, </w:t>
      </w:r>
      <w:r w:rsidRPr="007D1918">
        <w:t xml:space="preserve">but </w:t>
      </w:r>
      <w:r w:rsidR="004831F5" w:rsidRPr="007D1918">
        <w:t xml:space="preserve">this was not demonstrated </w:t>
      </w:r>
      <w:r w:rsidRPr="007D1918">
        <w:t xml:space="preserve">with significance </w:t>
      </w:r>
      <w:r w:rsidR="004831F5" w:rsidRPr="007D1918">
        <w:t>in the study</w:t>
      </w:r>
      <w:r w:rsidRPr="007D1918">
        <w:t>;</w:t>
      </w:r>
      <w:r w:rsidR="004831F5" w:rsidRPr="007D1918">
        <w:t xml:space="preserve"> therefore no resources are assumed to be directly impacted by th</w:t>
      </w:r>
      <w:r w:rsidR="00730637" w:rsidRPr="007D1918">
        <w:t xml:space="preserve">e intubation period </w:t>
      </w:r>
      <w:r w:rsidR="004831F5" w:rsidRPr="007D1918">
        <w:t xml:space="preserve">finding. </w:t>
      </w:r>
    </w:p>
    <w:p w14:paraId="65DA1920" w14:textId="77777777" w:rsidR="004831F5" w:rsidRPr="007D1918" w:rsidRDefault="004831F5" w:rsidP="004831F5">
      <w:pPr>
        <w:jc w:val="both"/>
      </w:pPr>
      <w:r w:rsidRPr="007D1918">
        <w:t>The plan for the economic analysis is to present costing results based on the clinical trial with a stepped evaluation adjusting IVIg dosing inputs to those based on Australian data.</w:t>
      </w:r>
    </w:p>
    <w:p w14:paraId="771D3FEA" w14:textId="77777777" w:rsidR="004831F5" w:rsidRPr="007D1918" w:rsidRDefault="004831F5" w:rsidP="00FA060E">
      <w:pPr>
        <w:jc w:val="both"/>
      </w:pPr>
    </w:p>
    <w:p w14:paraId="5D4FD1B9" w14:textId="4B8F65F0" w:rsidR="00FA060E" w:rsidRPr="007D1918" w:rsidRDefault="00FA060E" w:rsidP="00FA060E">
      <w:pPr>
        <w:pStyle w:val="Heading2"/>
        <w:numPr>
          <w:ilvl w:val="2"/>
          <w:numId w:val="13"/>
        </w:numPr>
      </w:pPr>
      <w:bookmarkStart w:id="337" w:name="_Toc426968185"/>
      <w:bookmarkStart w:id="338" w:name="_Toc428195661"/>
      <w:bookmarkStart w:id="339" w:name="_Toc23766985"/>
      <w:r w:rsidRPr="007D1918">
        <w:t>Extrapolation translation issues</w:t>
      </w:r>
      <w:bookmarkEnd w:id="337"/>
      <w:bookmarkEnd w:id="338"/>
      <w:bookmarkEnd w:id="339"/>
    </w:p>
    <w:p w14:paraId="567204BA" w14:textId="1EEAE62A" w:rsidR="00730637" w:rsidRPr="007D1918" w:rsidRDefault="00730637" w:rsidP="00730637">
      <w:pPr>
        <w:pStyle w:val="Heading3"/>
      </w:pPr>
      <w:bookmarkStart w:id="340" w:name="_Toc23766986"/>
      <w:r w:rsidRPr="007D1918">
        <w:t>Indication 1</w:t>
      </w:r>
      <w:bookmarkEnd w:id="340"/>
    </w:p>
    <w:p w14:paraId="6F2C2BFC" w14:textId="652CC4D3" w:rsidR="00730637" w:rsidRPr="007D1918" w:rsidRDefault="00730637" w:rsidP="00232BAB">
      <w:pPr>
        <w:pStyle w:val="Heading4"/>
        <w:jc w:val="both"/>
      </w:pPr>
      <w:r w:rsidRPr="007D1918">
        <w:t xml:space="preserve">Are there potential long-term effects from the safety differences identified in the trial which are not captured in the </w:t>
      </w:r>
      <w:r w:rsidR="00E14AA1" w:rsidRPr="007D1918">
        <w:t>clinical trial</w:t>
      </w:r>
      <w:r w:rsidRPr="007D1918">
        <w:t xml:space="preserve"> outcomes?</w:t>
      </w:r>
    </w:p>
    <w:p w14:paraId="134CC470" w14:textId="31C364E4" w:rsidR="00E14AA1" w:rsidRPr="007D1918" w:rsidRDefault="00730637" w:rsidP="00232BAB">
      <w:pPr>
        <w:jc w:val="both"/>
      </w:pPr>
      <w:r w:rsidRPr="007D1918">
        <w:t xml:space="preserve">The </w:t>
      </w:r>
      <w:r w:rsidR="00255DE0" w:rsidRPr="007D1918">
        <w:t xml:space="preserve">clinically relevant adverse events which were identified in the Gajdos trial, and only associated with PE, were </w:t>
      </w:r>
      <w:r w:rsidR="00C57631" w:rsidRPr="007D1918">
        <w:t xml:space="preserve">single incidents of </w:t>
      </w:r>
      <w:r w:rsidR="00255DE0" w:rsidRPr="007D1918">
        <w:t>retroperitoneal haematoma (RH) and femoral thrombosis (FT)</w:t>
      </w:r>
      <w:r w:rsidR="00E14AA1" w:rsidRPr="007D1918">
        <w:t xml:space="preserve">; in each </w:t>
      </w:r>
      <w:r w:rsidR="00C57631" w:rsidRPr="007D1918">
        <w:t xml:space="preserve">case </w:t>
      </w:r>
      <w:r w:rsidR="00E14AA1" w:rsidRPr="007D1918">
        <w:t xml:space="preserve">it is reported that </w:t>
      </w:r>
      <w:r w:rsidR="00C57631" w:rsidRPr="007D1918">
        <w:t>PE treatment was stopped</w:t>
      </w:r>
      <w:r w:rsidR="00E14AA1" w:rsidRPr="007D1918">
        <w:t>, but no longterm sequelae were reported</w:t>
      </w:r>
      <w:r w:rsidR="00255DE0" w:rsidRPr="007D1918">
        <w:t xml:space="preserve">. </w:t>
      </w:r>
      <w:r w:rsidR="00FF7A9F" w:rsidRPr="007D1918">
        <w:t xml:space="preserve"> </w:t>
      </w:r>
      <w:r w:rsidR="00E14AA1" w:rsidRPr="007D1918">
        <w:t>However, the literature and clinical advice</w:t>
      </w:r>
      <w:r w:rsidR="00CC3ACF" w:rsidRPr="007D1918">
        <w:t xml:space="preserve"> provided from the Ig Review Reference Group</w:t>
      </w:r>
      <w:r w:rsidR="00E14AA1" w:rsidRPr="007D1918">
        <w:t xml:space="preserve"> identified that such events are associated with morbidity and mortality, particularly RH, such that if these were to occur over a larger population some loss of life or ongoing quality of life may occur </w:t>
      </w:r>
      <w:r w:rsidR="007D4948" w:rsidRPr="007D1918">
        <w:fldChar w:fldCharType="begin">
          <w:fldData xml:space="preserve">PEVuZE5vdGU+PENpdGU+PEF1dGhvcj5EYWxpYWtvcG91bG9zPC9BdXRob3I+PFllYXI+MjAwODwv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</w:fldData>
        </w:fldChar>
      </w:r>
      <w:r w:rsidR="007D4948" w:rsidRPr="007D1918">
        <w:instrText xml:space="preserve"> ADDIN EN.CITE </w:instrText>
      </w:r>
      <w:r w:rsidR="007D4948" w:rsidRPr="007D1918">
        <w:fldChar w:fldCharType="begin">
          <w:fldData xml:space="preserve">PEVuZE5vdGU+PENpdGU+PEF1dGhvcj5EYWxpYWtvcG91bG9zPC9BdXRob3I+PFllYXI+MjAwODwv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</w:fldData>
        </w:fldChar>
      </w:r>
      <w:r w:rsidR="007D4948" w:rsidRPr="007D1918">
        <w:instrText xml:space="preserve"> ADDIN EN.CITE.DATA </w:instrText>
      </w:r>
      <w:r w:rsidR="007D4948" w:rsidRPr="007D1918">
        <w:fldChar w:fldCharType="end"/>
      </w:r>
      <w:r w:rsidR="007D4948" w:rsidRPr="007D1918">
        <w:fldChar w:fldCharType="separate"/>
      </w:r>
      <w:r w:rsidR="007D4948" w:rsidRPr="007D1918">
        <w:rPr>
          <w:noProof/>
        </w:rPr>
        <w:t>(</w:t>
      </w:r>
      <w:hyperlink w:anchor="_ENREF_20" w:tooltip="Daliakopoulos, 2008 #100" w:history="1">
        <w:r w:rsidR="007D4948" w:rsidRPr="007D1918">
          <w:rPr>
            <w:noProof/>
          </w:rPr>
          <w:t>Daliakopoulos, Stavros I. et al. 2008</w:t>
        </w:r>
      </w:hyperlink>
      <w:r w:rsidR="007D4948" w:rsidRPr="007D1918">
        <w:rPr>
          <w:noProof/>
        </w:rPr>
        <w:t xml:space="preserve">; </w:t>
      </w:r>
      <w:hyperlink w:anchor="_ENREF_21" w:tooltip="Daliakopoulos, 2010 #89" w:history="1">
        <w:r w:rsidR="007D4948" w:rsidRPr="007D1918">
          <w:rPr>
            <w:noProof/>
          </w:rPr>
          <w:t>Daliakopoulos, S. I. et al. 2010</w:t>
        </w:r>
      </w:hyperlink>
      <w:r w:rsidR="007D4948" w:rsidRPr="007D1918">
        <w:rPr>
          <w:noProof/>
        </w:rPr>
        <w:t>)</w:t>
      </w:r>
      <w:r w:rsidR="007D4948" w:rsidRPr="007D1918">
        <w:fldChar w:fldCharType="end"/>
      </w:r>
      <w:r w:rsidR="0011156A">
        <w:t>.</w:t>
      </w:r>
    </w:p>
    <w:p w14:paraId="6B22158B" w14:textId="5BE56EE4" w:rsidR="00E30322" w:rsidRPr="007D1918" w:rsidRDefault="00FF7A9F" w:rsidP="00232BAB">
      <w:pPr>
        <w:jc w:val="both"/>
      </w:pPr>
      <w:r w:rsidRPr="007D1918">
        <w:t>In addition, although not recorded in this study, exploratory analysis also considered infection</w:t>
      </w:r>
      <w:r w:rsidR="00E14AA1" w:rsidRPr="007D1918">
        <w:t xml:space="preserve"> and </w:t>
      </w:r>
      <w:r w:rsidRPr="007D1918">
        <w:t xml:space="preserve">sepsis a potential adverse event associated more frequently with PE, based on the clinical advice and </w:t>
      </w:r>
      <w:r w:rsidRPr="007D1918">
        <w:lastRenderedPageBreak/>
        <w:t>broader literature</w:t>
      </w:r>
      <w:r w:rsidR="00E14AA1" w:rsidRPr="007D1918">
        <w:t xml:space="preserve"> (described further in </w:t>
      </w:r>
      <w:r w:rsidR="00E14AA1" w:rsidRPr="007D1918">
        <w:rPr>
          <w:i/>
        </w:rPr>
        <w:fldChar w:fldCharType="begin"/>
      </w:r>
      <w:r w:rsidR="00E14AA1" w:rsidRPr="007D1918">
        <w:rPr>
          <w:i/>
        </w:rPr>
        <w:instrText xml:space="preserve"> REF _Ref23406163 \h  \* MERGEFORMAT </w:instrText>
      </w:r>
      <w:r w:rsidR="00E14AA1" w:rsidRPr="007D1918">
        <w:rPr>
          <w:i/>
        </w:rPr>
      </w:r>
      <w:r w:rsidR="00E14AA1" w:rsidRPr="007D1918">
        <w:rPr>
          <w:i/>
        </w:rPr>
        <w:fldChar w:fldCharType="separate"/>
      </w:r>
      <w:r w:rsidR="00E14AA1" w:rsidRPr="007D1918">
        <w:rPr>
          <w:i/>
        </w:rPr>
        <w:t>C.4.1 Which safety (adverse effect) differences identified in the clinical analysis that should be incorporated into the economic evaluation?</w:t>
      </w:r>
      <w:r w:rsidR="00E14AA1" w:rsidRPr="007D1918">
        <w:rPr>
          <w:i/>
        </w:rPr>
        <w:fldChar w:fldCharType="end"/>
      </w:r>
      <w:r w:rsidR="00E14AA1" w:rsidRPr="007D1918">
        <w:t>)</w:t>
      </w:r>
      <w:r w:rsidRPr="007D1918">
        <w:t xml:space="preserve">.  </w:t>
      </w:r>
      <w:r w:rsidR="0013441B" w:rsidRPr="007D1918">
        <w:t xml:space="preserve">Additionally </w:t>
      </w:r>
      <w:r w:rsidR="00E30322" w:rsidRPr="007D1918">
        <w:t xml:space="preserve">hospital acquired </w:t>
      </w:r>
      <w:r w:rsidR="0013441B" w:rsidRPr="007D1918">
        <w:t xml:space="preserve">sepsis is associated with </w:t>
      </w:r>
      <w:r w:rsidR="00FD2DCE" w:rsidRPr="007D1918">
        <w:t xml:space="preserve">mortality and </w:t>
      </w:r>
      <w:r w:rsidR="0013441B" w:rsidRPr="007D1918">
        <w:t xml:space="preserve">longterm morbidity </w:t>
      </w:r>
      <w:r w:rsidR="00E30322" w:rsidRPr="007D1918">
        <w:t>(</w:t>
      </w:r>
      <w:r w:rsidR="007D4948" w:rsidRPr="007D1918">
        <w:fldChar w:fldCharType="begin">
          <w:fldData xml:space="preserve">PEVuZE5vdGU+PENpdGU+PEF1dGhvcj5LYXVrb25lbjwvQXV0aG9yPjxZZWFyPjIwMTQ8L1llYXI+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</w:fldData>
        </w:fldChar>
      </w:r>
      <w:r w:rsidR="007D4948" w:rsidRPr="007D1918">
        <w:instrText xml:space="preserve"> ADDIN EN.CITE </w:instrText>
      </w:r>
      <w:r w:rsidR="007D4948" w:rsidRPr="007D1918">
        <w:fldChar w:fldCharType="begin">
          <w:fldData xml:space="preserve">PEVuZE5vdGU+PENpdGU+PEF1dGhvcj5LYXVrb25lbjwvQXV0aG9yPjxZZWFyPjIwMTQ8L1llYXI+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</w:fldData>
        </w:fldChar>
      </w:r>
      <w:r w:rsidR="007D4948" w:rsidRPr="007D1918">
        <w:instrText xml:space="preserve"> ADDIN EN.CITE.DATA </w:instrText>
      </w:r>
      <w:r w:rsidR="007D4948" w:rsidRPr="007D1918">
        <w:fldChar w:fldCharType="end"/>
      </w:r>
      <w:r w:rsidR="007D4948" w:rsidRPr="007D1918">
        <w:fldChar w:fldCharType="separate"/>
      </w:r>
      <w:r w:rsidR="007D4948" w:rsidRPr="007D1918">
        <w:rPr>
          <w:noProof/>
        </w:rPr>
        <w:t>(</w:t>
      </w:r>
      <w:hyperlink w:anchor="_ENREF_57" w:tooltip="Kaukonen, 2014 #112" w:history="1">
        <w:r w:rsidR="007D4948" w:rsidRPr="007D1918">
          <w:rPr>
            <w:noProof/>
          </w:rPr>
          <w:t>Kaukonen et al. 2014</w:t>
        </w:r>
      </w:hyperlink>
      <w:r w:rsidR="007D4948" w:rsidRPr="007D1918">
        <w:rPr>
          <w:noProof/>
        </w:rPr>
        <w:t xml:space="preserve">; </w:t>
      </w:r>
      <w:hyperlink w:anchor="_ENREF_105" w:tooltip="Westphal, 2019 #113" w:history="1">
        <w:r w:rsidR="007D4948" w:rsidRPr="007D1918">
          <w:rPr>
            <w:noProof/>
          </w:rPr>
          <w:t>Westphal et al. 2019</w:t>
        </w:r>
      </w:hyperlink>
      <w:r w:rsidR="007D4948" w:rsidRPr="007D1918">
        <w:rPr>
          <w:noProof/>
        </w:rPr>
        <w:t>)</w:t>
      </w:r>
      <w:r w:rsidR="007D4948" w:rsidRPr="007D1918">
        <w:fldChar w:fldCharType="end"/>
      </w:r>
      <w:r w:rsidR="00E30322" w:rsidRPr="007D1918">
        <w:t>) .</w:t>
      </w:r>
    </w:p>
    <w:p w14:paraId="2E0CEE3F" w14:textId="28926F8B" w:rsidR="00C57631" w:rsidRPr="007D1918" w:rsidRDefault="00E30322" w:rsidP="00232BAB">
      <w:pPr>
        <w:jc w:val="both"/>
      </w:pPr>
      <w:r w:rsidRPr="007D1918">
        <w:t xml:space="preserve">The potential for mortality and ongoing morbidity associated with these serious adverse events </w:t>
      </w:r>
      <w:r w:rsidR="003F5820" w:rsidRPr="007D1918">
        <w:t xml:space="preserve">requires an extended </w:t>
      </w:r>
      <w:r w:rsidRPr="007D1918">
        <w:t>time horizon in the exploratory modelled analysis.</w:t>
      </w:r>
      <w:r w:rsidR="0013441B" w:rsidRPr="007D1918">
        <w:t xml:space="preserve"> </w:t>
      </w:r>
      <w:r w:rsidR="003F5820" w:rsidRPr="007D1918">
        <w:t>T</w:t>
      </w:r>
      <w:r w:rsidRPr="007D1918">
        <w:t xml:space="preserve">he mean age of MG patients </w:t>
      </w:r>
      <w:r w:rsidR="003F5820" w:rsidRPr="007D1918">
        <w:t xml:space="preserve">in the model </w:t>
      </w:r>
      <w:r w:rsidRPr="007D1918">
        <w:t xml:space="preserve">is </w:t>
      </w:r>
      <w:r w:rsidR="003F5820" w:rsidRPr="007D1918">
        <w:t xml:space="preserve">assumed to be approximately </w:t>
      </w:r>
      <w:r w:rsidRPr="007D1918">
        <w:t xml:space="preserve">66 years (based </w:t>
      </w:r>
      <w:r w:rsidR="00A64100" w:rsidRPr="007D1918">
        <w:t xml:space="preserve">on </w:t>
      </w:r>
      <w:r w:rsidRPr="007D1918">
        <w:t>NBA data)</w:t>
      </w:r>
      <w:r w:rsidR="00A64100" w:rsidRPr="007D1918">
        <w:t>.</w:t>
      </w:r>
      <w:r w:rsidR="003F5820" w:rsidRPr="007D1918">
        <w:t xml:space="preserve"> </w:t>
      </w:r>
      <w:r w:rsidR="00A64100" w:rsidRPr="007D1918">
        <w:t xml:space="preserve">Given </w:t>
      </w:r>
      <w:r w:rsidR="003F5820" w:rsidRPr="007D1918">
        <w:t>life expectancy in MG patients is similar to the general population (Section A.4) and at 66 year of age</w:t>
      </w:r>
      <w:r w:rsidR="00A64100" w:rsidRPr="007D1918">
        <w:t>,</w:t>
      </w:r>
      <w:r w:rsidR="003F5820" w:rsidRPr="007D1918">
        <w:t xml:space="preserve"> </w:t>
      </w:r>
      <w:r w:rsidRPr="007D1918">
        <w:t>normal life expectancy in Australia is 18.9 years for men and 21.5 years for women</w:t>
      </w:r>
      <w:r w:rsidRPr="007D1918">
        <w:rPr>
          <w:rStyle w:val="FootnoteReference"/>
        </w:rPr>
        <w:footnoteReference w:id="8"/>
      </w:r>
      <w:r w:rsidRPr="007D1918">
        <w:t>,</w:t>
      </w:r>
      <w:r w:rsidR="003F5820" w:rsidRPr="007D1918">
        <w:t xml:space="preserve"> a modelled time horizon of 15 years is determined to be a reasonable, albeit conservative, time horizon over which to estimate the ongoing consequences of adverse events.</w:t>
      </w:r>
    </w:p>
    <w:p w14:paraId="5A2D9998" w14:textId="5364144F" w:rsidR="00FA060E" w:rsidRPr="007D1918" w:rsidRDefault="008F6C03" w:rsidP="00232BAB">
      <w:pPr>
        <w:pStyle w:val="Heading3"/>
      </w:pPr>
      <w:bookmarkStart w:id="341" w:name="_Toc23766987"/>
      <w:r w:rsidRPr="007D1918">
        <w:t xml:space="preserve">Indication </w:t>
      </w:r>
      <w:r w:rsidR="00FA060E" w:rsidRPr="007D1918">
        <w:t>3</w:t>
      </w:r>
      <w:bookmarkEnd w:id="341"/>
    </w:p>
    <w:p w14:paraId="1DFF255A" w14:textId="77777777" w:rsidR="004831F5" w:rsidRPr="007D1918" w:rsidRDefault="004831F5" w:rsidP="004831F5">
      <w:pPr>
        <w:pStyle w:val="Heading4"/>
      </w:pPr>
      <w:r w:rsidRPr="007D1918">
        <w:t>What is the appropriate time horizon for the economic analysis of maintenance IVIg?</w:t>
      </w:r>
    </w:p>
    <w:p w14:paraId="6048AF42" w14:textId="74C7733A" w:rsidR="00117D2B" w:rsidRPr="007D1918" w:rsidRDefault="004831F5" w:rsidP="004831F5">
      <w:pPr>
        <w:jc w:val="both"/>
      </w:pPr>
      <w:r w:rsidRPr="007D1918">
        <w:t xml:space="preserve">The economic analysis for </w:t>
      </w:r>
      <w:r w:rsidRPr="007D1918">
        <w:rPr>
          <w:i/>
        </w:rPr>
        <w:t>Criteria V3</w:t>
      </w:r>
      <w:r w:rsidRPr="007D1918">
        <w:t xml:space="preserve"> Indication 3 involves maintenance treatments for refractory MG, which potentially are ongoing for as long as clinically required and there is a benefit. NBA data for the duration of treatment in Australian patients receiving IVIg for MG under Indication 3 were not available, however average durations of IVIg used for ongoing maintenance therapy that were found in published literature are presented in </w:t>
      </w:r>
      <w:r w:rsidRPr="007D1918">
        <w:fldChar w:fldCharType="begin"/>
      </w:r>
      <w:r w:rsidRPr="007D1918">
        <w:instrText xml:space="preserve"> REF _Ref17715984 \h </w:instrText>
      </w:r>
      <w:r w:rsidR="00E07567" w:rsidRPr="007D1918">
        <w:instrText xml:space="preserve"> \* MERGEFORMAT </w:instrText>
      </w:r>
      <w:r w:rsidRPr="007D1918">
        <w:fldChar w:fldCharType="separate"/>
      </w:r>
      <w:r w:rsidR="00153384" w:rsidRPr="007D1918">
        <w:t xml:space="preserve">Table </w:t>
      </w:r>
      <w:r w:rsidR="00153384" w:rsidRPr="007D1918">
        <w:rPr>
          <w:noProof/>
        </w:rPr>
        <w:t>54</w:t>
      </w:r>
      <w:r w:rsidRPr="007D1918">
        <w:fldChar w:fldCharType="end"/>
      </w:r>
      <w:r w:rsidRPr="007D1918">
        <w:t>.</w:t>
      </w:r>
    </w:p>
    <w:p w14:paraId="4B73C849" w14:textId="77777777" w:rsidR="00117D2B" w:rsidRPr="007D1918" w:rsidRDefault="00117D2B">
      <w:pPr>
        <w:spacing w:after="0" w:line="240" w:lineRule="auto"/>
      </w:pPr>
      <w:r w:rsidRPr="007D1918">
        <w:br w:type="page"/>
      </w:r>
    </w:p>
    <w:p w14:paraId="5F784E57" w14:textId="77777777" w:rsidR="004831F5" w:rsidRPr="007D1918" w:rsidRDefault="004831F5" w:rsidP="004831F5">
      <w:pPr>
        <w:pStyle w:val="Caption"/>
        <w:keepNext/>
      </w:pPr>
      <w:bookmarkStart w:id="342" w:name="_Ref17715984"/>
      <w:bookmarkStart w:id="343" w:name="_Toc23769541"/>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54</w:t>
      </w:r>
      <w:r w:rsidRPr="007D1918">
        <w:rPr>
          <w:noProof/>
        </w:rPr>
        <w:fldChar w:fldCharType="end"/>
      </w:r>
      <w:bookmarkEnd w:id="342"/>
      <w:r w:rsidRPr="007D1918">
        <w:tab/>
        <w:t>Duration of IVIg used as maintenance therapy in MG</w:t>
      </w:r>
      <w:bookmarkEnd w:id="343"/>
    </w:p>
    <w:tbl>
      <w:tblPr>
        <w:tblStyle w:val="TableGrid"/>
        <w:tblW w:w="0" w:type="auto"/>
        <w:tblLayout w:type="fixed"/>
        <w:tblLook w:val="04A0" w:firstRow="1" w:lastRow="0" w:firstColumn="1" w:lastColumn="0" w:noHBand="0" w:noVBand="1"/>
        <w:tblCaption w:val="Table 54 Duration of IVIg used as maintenance therapy in MG"/>
      </w:tblPr>
      <w:tblGrid>
        <w:gridCol w:w="2830"/>
        <w:gridCol w:w="4820"/>
        <w:gridCol w:w="1366"/>
      </w:tblGrid>
      <w:tr w:rsidR="004831F5" w:rsidRPr="007D1918" w14:paraId="39F69D27" w14:textId="77777777" w:rsidTr="00E1425A">
        <w:trPr>
          <w:tblHeader/>
        </w:trPr>
        <w:tc>
          <w:tcPr>
            <w:tcW w:w="2830" w:type="dxa"/>
          </w:tcPr>
          <w:p w14:paraId="256257DE" w14:textId="77777777" w:rsidR="004831F5" w:rsidRPr="007D1918" w:rsidRDefault="004831F5" w:rsidP="00153384">
            <w:pPr>
              <w:pStyle w:val="TableHeading"/>
              <w:ind w:left="0"/>
            </w:pPr>
            <w:r w:rsidRPr="007D1918">
              <w:t>Reported Duration of IVIg Maintenance Therapy</w:t>
            </w:r>
          </w:p>
        </w:tc>
        <w:tc>
          <w:tcPr>
            <w:tcW w:w="4820" w:type="dxa"/>
          </w:tcPr>
          <w:p w14:paraId="48D1A794" w14:textId="77777777" w:rsidR="004831F5" w:rsidRPr="007D1918" w:rsidRDefault="004831F5" w:rsidP="00153384">
            <w:pPr>
              <w:pStyle w:val="TableHeading"/>
              <w:ind w:left="0"/>
            </w:pPr>
            <w:r w:rsidRPr="007D1918">
              <w:t>Description of Population</w:t>
            </w:r>
          </w:p>
        </w:tc>
        <w:tc>
          <w:tcPr>
            <w:tcW w:w="1366" w:type="dxa"/>
          </w:tcPr>
          <w:p w14:paraId="2E16C0FE" w14:textId="77777777" w:rsidR="004831F5" w:rsidRPr="007D1918" w:rsidRDefault="004831F5" w:rsidP="00153384">
            <w:pPr>
              <w:pStyle w:val="TableHeading"/>
              <w:ind w:left="0"/>
            </w:pPr>
            <w:r w:rsidRPr="007D1918">
              <w:t>Source</w:t>
            </w:r>
          </w:p>
        </w:tc>
      </w:tr>
      <w:tr w:rsidR="004831F5" w:rsidRPr="007D1918" w14:paraId="4095509D" w14:textId="77777777" w:rsidTr="00153384">
        <w:tc>
          <w:tcPr>
            <w:tcW w:w="2830" w:type="dxa"/>
          </w:tcPr>
          <w:p w14:paraId="44F7A295" w14:textId="77777777" w:rsidR="004831F5" w:rsidRPr="007D1918" w:rsidRDefault="004831F5" w:rsidP="00153384">
            <w:pPr>
              <w:pStyle w:val="Tabletext1"/>
              <w:ind w:left="0"/>
            </w:pPr>
            <w:r w:rsidRPr="007D1918">
              <w:t>IVIg maintenance treatment was successfully discontinued following completion of the study in 70% patients within 1.5 to 3 years.</w:t>
            </w:r>
          </w:p>
        </w:tc>
        <w:tc>
          <w:tcPr>
            <w:tcW w:w="4820" w:type="dxa"/>
          </w:tcPr>
          <w:p w14:paraId="6B24F78E" w14:textId="77777777" w:rsidR="004831F5" w:rsidRPr="007D1918" w:rsidRDefault="004831F5" w:rsidP="00153384">
            <w:pPr>
              <w:pStyle w:val="Tabletext1"/>
              <w:ind w:left="0"/>
            </w:pPr>
            <w:r w:rsidRPr="007D1918">
              <w:t>10 consecutive patients (7 women) with an acute exacerbation of MG. Age 25–70 years with disease duration 2-8 years. (Israel)</w:t>
            </w:r>
          </w:p>
        </w:tc>
        <w:tc>
          <w:tcPr>
            <w:tcW w:w="1366" w:type="dxa"/>
          </w:tcPr>
          <w:p w14:paraId="043A0318" w14:textId="112FFCCE" w:rsidR="004831F5" w:rsidRPr="007D1918" w:rsidRDefault="007F4CDE" w:rsidP="007D4948">
            <w:pPr>
              <w:pStyle w:val="TableText0"/>
              <w:ind w:left="0"/>
            </w:pPr>
            <w:r w:rsidRPr="007D1918">
              <w:fldChar w:fldCharType="begin"/>
            </w:r>
            <w:r w:rsidRPr="007D1918">
              <w:instrText xml:space="preserve"> ADDIN EN.CITE &lt;EndNote&gt;&lt;Cite&gt;&lt;Author&gt;Achiron&lt;/Author&gt;&lt;Year&gt;2000&lt;/Year&gt;&lt;RecNum&gt;101&lt;/RecNum&gt;&lt;DisplayText&gt;(Achiron et al. 2000)&lt;/DisplayText&gt;&lt;record&gt;&lt;rec-number&gt;101&lt;/rec-number&gt;&lt;foreign-keys&gt;&lt;key app="EN" db-id="2aevrx2slsts5ve9sdavatf125dsx0av2v9d" timestamp="1567605236"&gt;101&lt;/key&gt;&lt;/foreign-keys&gt;&lt;ref-type name="Journal Article"&gt;17&lt;/ref-type&gt;&lt;contributors&gt;&lt;authors&gt;&lt;author&gt;Achiron, Anat&lt;/author&gt;&lt;author&gt;Barak, Yoram&lt;/author&gt;&lt;author&gt;Miron, Shmuel&lt;/author&gt;&lt;author&gt;Sarova</w:instrText>
            </w:r>
            <w:r w:rsidRPr="007D1918">
              <w:rPr>
                <w:rFonts w:ascii="Cambria Math" w:hAnsi="Cambria Math" w:cs="Cambria Math"/>
              </w:rPr>
              <w:instrText>‐</w:instrText>
            </w:r>
            <w:r w:rsidRPr="007D1918">
              <w:instrText>Pinhas, Ida&lt;/author&gt;&lt;/authors&gt;&lt;/contributors&gt;&lt;titles&gt;&lt;title&gt;Immunoglobulin treatment in refractory myasthenia gravis&lt;/title&gt;&lt;secondary-title&gt;Muscle &amp;amp; Nerve: Official Journal of the American Association of Electrodiagnostic Medicine&lt;/secondary-title&gt;&lt;/titles&gt;&lt;periodical&gt;&lt;full-title&gt;Muscle &amp;amp; Nerve: Official Journal of the American Association of Electrodiagnostic Medicine&lt;/full-title&gt;&lt;/periodical&gt;&lt;pages&gt;551-555&lt;/pages&gt;&lt;volume&gt;23&lt;/volume&gt;&lt;number&gt;4&lt;/number&gt;&lt;dates&gt;&lt;year&gt;2000&lt;/year&gt;&lt;/dates&gt;&lt;isbn&gt;0148-639X&lt;/isbn&gt;&lt;urls&gt;&lt;/urls&gt;&lt;/record&gt;&lt;/Cite&gt;&lt;/EndNote&gt;</w:instrText>
            </w:r>
            <w:r w:rsidRPr="007D1918">
              <w:fldChar w:fldCharType="separate"/>
            </w:r>
            <w:r w:rsidRPr="007D1918">
              <w:rPr>
                <w:noProof/>
              </w:rPr>
              <w:t>(</w:t>
            </w:r>
            <w:hyperlink w:anchor="_ENREF_1" w:tooltip="Achiron, 2000 #101" w:history="1">
              <w:r w:rsidR="007D4948" w:rsidRPr="007D1918">
                <w:rPr>
                  <w:noProof/>
                </w:rPr>
                <w:t>Achiron et al. 2000</w:t>
              </w:r>
            </w:hyperlink>
            <w:r w:rsidRPr="007D1918">
              <w:rPr>
                <w:noProof/>
              </w:rPr>
              <w:t>)</w:t>
            </w:r>
            <w:r w:rsidRPr="007D1918">
              <w:fldChar w:fldCharType="end"/>
            </w:r>
          </w:p>
        </w:tc>
      </w:tr>
      <w:tr w:rsidR="004831F5" w:rsidRPr="007D1918" w14:paraId="7FE231D2" w14:textId="77777777" w:rsidTr="00153384">
        <w:tc>
          <w:tcPr>
            <w:tcW w:w="2830" w:type="dxa"/>
          </w:tcPr>
          <w:p w14:paraId="3B4266E9" w14:textId="77777777" w:rsidR="004831F5" w:rsidRPr="007D1918" w:rsidRDefault="004831F5" w:rsidP="00153384">
            <w:pPr>
              <w:pStyle w:val="Tabletext1"/>
              <w:ind w:left="0"/>
            </w:pPr>
            <w:r w:rsidRPr="007D1918">
              <w:t xml:space="preserve">The mean duration of IVIg therapy was 7.5 years (range 1- 13 years). </w:t>
            </w:r>
          </w:p>
          <w:p w14:paraId="7D72C43E" w14:textId="77777777" w:rsidR="004831F5" w:rsidRPr="007D1918" w:rsidRDefault="004831F5" w:rsidP="00153384">
            <w:pPr>
              <w:pStyle w:val="Tabletext1"/>
              <w:ind w:left="0"/>
            </w:pPr>
            <w:r w:rsidRPr="007D1918">
              <w:t>(The mean IVIg administration frequency was 2.8 months).</w:t>
            </w:r>
          </w:p>
        </w:tc>
        <w:tc>
          <w:tcPr>
            <w:tcW w:w="4820" w:type="dxa"/>
          </w:tcPr>
          <w:p w14:paraId="36DF894B" w14:textId="77777777" w:rsidR="004831F5" w:rsidRPr="007D1918" w:rsidRDefault="004831F5" w:rsidP="00153384">
            <w:pPr>
              <w:pStyle w:val="Tabletext1"/>
              <w:ind w:left="0"/>
            </w:pPr>
            <w:r w:rsidRPr="007D1918">
              <w:t>13 patients (10 female, mean age 62 years) on regular IVIg therapy for at least 1 year.</w:t>
            </w:r>
          </w:p>
          <w:p w14:paraId="38A2C502" w14:textId="77777777" w:rsidR="004831F5" w:rsidRPr="007D1918" w:rsidRDefault="004831F5" w:rsidP="00153384">
            <w:pPr>
              <w:pStyle w:val="Tabletext1"/>
              <w:ind w:left="0"/>
            </w:pPr>
            <w:r w:rsidRPr="007D1918">
              <w:t>Patients had severe attacks (moderate-severe functional loss) without adequate response to standard therapies, who could not receive/refused corticosteroid or immunosuppressive treatments due to their side effects. (Turkey)</w:t>
            </w:r>
          </w:p>
        </w:tc>
        <w:tc>
          <w:tcPr>
            <w:tcW w:w="1366" w:type="dxa"/>
          </w:tcPr>
          <w:p w14:paraId="576CB17F" w14:textId="34548EE5" w:rsidR="004831F5" w:rsidRPr="007D1918" w:rsidRDefault="007F4CDE" w:rsidP="007D4948">
            <w:pPr>
              <w:pStyle w:val="TableText0"/>
              <w:ind w:left="0"/>
            </w:pPr>
            <w:r w:rsidRPr="007D1918">
              <w:fldChar w:fldCharType="begin"/>
            </w:r>
            <w:r w:rsidRPr="007D1918">
              <w:instrText xml:space="preserve"> ADDIN EN.CITE &lt;EndNote&gt;&lt;Cite&gt;&lt;Author&gt;Sorgun&lt;/Author&gt;&lt;Year&gt;2014&lt;/Year&gt;&lt;RecNum&gt;96&lt;/RecNum&gt;&lt;DisplayText&gt;(Sorgun et al. 2014)&lt;/DisplayText&gt;&lt;record&gt;&lt;rec-number&gt;96&lt;/rec-number&gt;&lt;foreign-keys&gt;&lt;key app="EN" db-id="2aevrx2slsts5ve9sdavatf125dsx0av2v9d" timestamp="1567572154"&gt;96&lt;/key&gt;&lt;/foreign-keys&gt;&lt;ref-type name="Journal Article"&gt;17&lt;/ref-type&gt;&lt;contributors&gt;&lt;authors&gt;&lt;author&gt;Sorgun, Mine Hayriye&lt;/author&gt;&lt;author&gt;Sener, Huseyin Ozden&lt;/author&gt;&lt;author&gt;Yucesan, Canan&lt;/author&gt;&lt;author&gt;Yucemen, Nezih&lt;/author&gt;&lt;/authors&gt;&lt;/contributors&gt;&lt;titles&gt;&lt;title&gt;Intravenous immunoglobulin for prophylaxis of acute exacerbation in myasthenia gravis&lt;/title&gt;&lt;secondary-title&gt;Neurological Sciences&lt;/secondary-title&gt;&lt;/titles&gt;&lt;periodical&gt;&lt;full-title&gt;Neurological Sciences&lt;/full-title&gt;&lt;/periodical&gt;&lt;pages&gt;891-896&lt;/pages&gt;&lt;volume&gt;35&lt;/volume&gt;&lt;number&gt;6&lt;/number&gt;&lt;dates&gt;&lt;year&gt;2014&lt;/year&gt;&lt;/dates&gt;&lt;isbn&gt;1590-1874&lt;/isbn&gt;&lt;urls&gt;&lt;related-urls&gt;&lt;url&gt;https://link.springer.com/content/pdf/10.1007%2Fs10072-013-1621-4.pdf&lt;/url&gt;&lt;/related-urls&gt;&lt;/urls&gt;&lt;/record&gt;&lt;/Cite&gt;&lt;/EndNote&gt;</w:instrText>
            </w:r>
            <w:r w:rsidRPr="007D1918">
              <w:fldChar w:fldCharType="separate"/>
            </w:r>
            <w:r w:rsidRPr="007D1918">
              <w:rPr>
                <w:noProof/>
              </w:rPr>
              <w:t>(</w:t>
            </w:r>
            <w:hyperlink w:anchor="_ENREF_95" w:tooltip="Sorgun, 2014 #96" w:history="1">
              <w:r w:rsidR="007D4948" w:rsidRPr="007D1918">
                <w:rPr>
                  <w:noProof/>
                </w:rPr>
                <w:t>Sorgun et al. 2014</w:t>
              </w:r>
            </w:hyperlink>
            <w:r w:rsidRPr="007D1918">
              <w:rPr>
                <w:noProof/>
              </w:rPr>
              <w:t>)</w:t>
            </w:r>
            <w:r w:rsidRPr="007D1918">
              <w:fldChar w:fldCharType="end"/>
            </w:r>
          </w:p>
        </w:tc>
      </w:tr>
      <w:tr w:rsidR="004831F5" w:rsidRPr="007D1918" w14:paraId="540E2466" w14:textId="77777777" w:rsidTr="00153384">
        <w:tc>
          <w:tcPr>
            <w:tcW w:w="2830" w:type="dxa"/>
          </w:tcPr>
          <w:p w14:paraId="239E3994" w14:textId="77777777" w:rsidR="004831F5" w:rsidRPr="007D1918" w:rsidRDefault="004831F5" w:rsidP="00153384">
            <w:pPr>
              <w:pStyle w:val="TableText0"/>
              <w:ind w:left="0"/>
            </w:pPr>
            <w:r w:rsidRPr="007D1918">
              <w:t>15/52 (29%) of patients did not improve after the initial treatment year and were not given ongoing treatment.</w:t>
            </w:r>
          </w:p>
          <w:p w14:paraId="0813B903" w14:textId="77777777" w:rsidR="004831F5" w:rsidRPr="007D1918" w:rsidRDefault="004831F5" w:rsidP="00153384">
            <w:pPr>
              <w:pStyle w:val="TableText0"/>
              <w:ind w:left="0"/>
            </w:pPr>
            <w:r w:rsidRPr="007D1918">
              <w:t>37/52 (71%) were responders at 1 year and received ongoing maintenance IVIg for an average of 5.9 years (range 1 to 17).</w:t>
            </w:r>
          </w:p>
        </w:tc>
        <w:tc>
          <w:tcPr>
            <w:tcW w:w="4820" w:type="dxa"/>
          </w:tcPr>
          <w:p w14:paraId="77AD5E2F" w14:textId="77777777" w:rsidR="004831F5" w:rsidRPr="007D1918" w:rsidRDefault="004831F5" w:rsidP="00153384">
            <w:pPr>
              <w:pStyle w:val="TableText0"/>
              <w:ind w:left="0"/>
            </w:pPr>
            <w:r w:rsidRPr="007D1918">
              <w:t>52 patients considered for chronic IVIg therapy (48 had failed to respond adequately to prednisone, azathioprine or a combination, in 9 patients steroids were not administered due to a relative contraindication or to avoid exacerbation of significant other illness such as osteoporosis or diabetes).</w:t>
            </w:r>
          </w:p>
          <w:p w14:paraId="510336D2" w14:textId="77777777" w:rsidR="004831F5" w:rsidRPr="007D1918" w:rsidRDefault="004831F5" w:rsidP="00153384">
            <w:pPr>
              <w:pStyle w:val="TableText0"/>
              <w:ind w:left="0"/>
            </w:pPr>
            <w:r w:rsidRPr="007D1918">
              <w:t>Responders were; 59% female, had disease onset at average age 45.9 years (range 10–81) and had average disease duration of 8.4 years (range 2 to 38). (Israel)</w:t>
            </w:r>
          </w:p>
        </w:tc>
        <w:tc>
          <w:tcPr>
            <w:tcW w:w="1366" w:type="dxa"/>
          </w:tcPr>
          <w:p w14:paraId="035AF8F9" w14:textId="210CB9AA" w:rsidR="004831F5" w:rsidRPr="007D1918" w:rsidRDefault="007F4CDE" w:rsidP="007D4948">
            <w:pPr>
              <w:pStyle w:val="TableText0"/>
              <w:ind w:left="0"/>
            </w:pPr>
            <w:r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Pr="007D1918">
              <w:instrText xml:space="preserve"> ADDIN EN.CITE </w:instrText>
            </w:r>
            <w:r w:rsidRPr="007D1918">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Pr="007D1918">
              <w:instrText xml:space="preserve"> ADDIN EN.CITE.DATA </w:instrText>
            </w:r>
            <w:r w:rsidRPr="007D1918">
              <w:fldChar w:fldCharType="end"/>
            </w:r>
            <w:r w:rsidRPr="007D1918">
              <w:fldChar w:fldCharType="separate"/>
            </w:r>
            <w:r w:rsidRPr="007D1918">
              <w:rPr>
                <w:noProof/>
              </w:rPr>
              <w:t>(</w:t>
            </w:r>
            <w:hyperlink w:anchor="_ENREF_49" w:tooltip="Hellmann, 2014 #53" w:history="1">
              <w:r w:rsidR="007D4948" w:rsidRPr="007D1918">
                <w:rPr>
                  <w:noProof/>
                </w:rPr>
                <w:t>Hellmann et al. 2014</w:t>
              </w:r>
            </w:hyperlink>
            <w:r w:rsidRPr="007D1918">
              <w:rPr>
                <w:noProof/>
              </w:rPr>
              <w:t>)</w:t>
            </w:r>
            <w:r w:rsidRPr="007D1918">
              <w:fldChar w:fldCharType="end"/>
            </w:r>
          </w:p>
        </w:tc>
      </w:tr>
      <w:tr w:rsidR="004831F5" w:rsidRPr="007D1918" w14:paraId="37755697" w14:textId="77777777" w:rsidTr="00153384">
        <w:tc>
          <w:tcPr>
            <w:tcW w:w="2830" w:type="dxa"/>
          </w:tcPr>
          <w:p w14:paraId="3D9742E2" w14:textId="77777777" w:rsidR="004831F5" w:rsidRPr="007D1918" w:rsidRDefault="004831F5" w:rsidP="00153384">
            <w:pPr>
              <w:pStyle w:val="TableText0"/>
              <w:ind w:left="0"/>
            </w:pPr>
            <w:r w:rsidRPr="007D1918">
              <w:t>Not reported. Ongoing use at the end of study is described is described as occurring in some patients (mean follow-up 3.2 years).</w:t>
            </w:r>
          </w:p>
        </w:tc>
        <w:tc>
          <w:tcPr>
            <w:tcW w:w="4820" w:type="dxa"/>
          </w:tcPr>
          <w:p w14:paraId="6EEDAC2B" w14:textId="77777777" w:rsidR="004831F5" w:rsidRPr="007D1918" w:rsidRDefault="004831F5" w:rsidP="00153384">
            <w:pPr>
              <w:pStyle w:val="TableText0"/>
              <w:ind w:left="0"/>
            </w:pPr>
            <w:r w:rsidRPr="007D1918">
              <w:t>54 children with juvenile MG. (United States)</w:t>
            </w:r>
          </w:p>
        </w:tc>
        <w:tc>
          <w:tcPr>
            <w:tcW w:w="1366" w:type="dxa"/>
          </w:tcPr>
          <w:p w14:paraId="2EF2E62F" w14:textId="2DAB06B6" w:rsidR="004831F5" w:rsidRPr="007D1918" w:rsidRDefault="007F4CDE" w:rsidP="007D4948">
            <w:pPr>
              <w:pStyle w:val="TableText0"/>
              <w:ind w:left="0"/>
            </w:pPr>
            <w:r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Pr="007D1918">
              <w:instrText xml:space="preserve"> ADDIN EN.CITE </w:instrText>
            </w:r>
            <w:r w:rsidRPr="007D1918">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Pr="007D1918">
              <w:instrText xml:space="preserve"> ADDIN EN.CITE.DATA </w:instrText>
            </w:r>
            <w:r w:rsidRPr="007D1918">
              <w:fldChar w:fldCharType="end"/>
            </w:r>
            <w:r w:rsidRPr="007D1918">
              <w:fldChar w:fldCharType="separate"/>
            </w:r>
            <w:r w:rsidRPr="007D1918">
              <w:rPr>
                <w:noProof/>
              </w:rPr>
              <w:t>(</w:t>
            </w:r>
            <w:hyperlink w:anchor="_ENREF_62" w:tooltip="Liew, 2014 #55" w:history="1">
              <w:r w:rsidR="007D4948" w:rsidRPr="007D1918">
                <w:rPr>
                  <w:noProof/>
                </w:rPr>
                <w:t>Liew et al. 2014</w:t>
              </w:r>
            </w:hyperlink>
            <w:r w:rsidRPr="007D1918">
              <w:rPr>
                <w:noProof/>
              </w:rPr>
              <w:t>)</w:t>
            </w:r>
            <w:r w:rsidRPr="007D1918">
              <w:fldChar w:fldCharType="end"/>
            </w:r>
          </w:p>
        </w:tc>
      </w:tr>
      <w:tr w:rsidR="004831F5" w:rsidRPr="007D1918" w14:paraId="21354442" w14:textId="77777777" w:rsidTr="00153384">
        <w:tc>
          <w:tcPr>
            <w:tcW w:w="2830" w:type="dxa"/>
          </w:tcPr>
          <w:p w14:paraId="2B87BD91" w14:textId="77777777" w:rsidR="004831F5" w:rsidRPr="007D1918" w:rsidRDefault="004831F5" w:rsidP="00153384">
            <w:pPr>
              <w:pStyle w:val="TableText0"/>
              <w:ind w:left="0"/>
            </w:pPr>
            <w:r w:rsidRPr="007D1918">
              <w:t xml:space="preserve">All patients received immunoglobulin over a period of 24 months. None of the patients prematurely discontinued. </w:t>
            </w:r>
          </w:p>
        </w:tc>
        <w:tc>
          <w:tcPr>
            <w:tcW w:w="4820" w:type="dxa"/>
          </w:tcPr>
          <w:p w14:paraId="11802DEF" w14:textId="77777777" w:rsidR="004831F5" w:rsidRPr="007D1918" w:rsidRDefault="004831F5" w:rsidP="00153384">
            <w:pPr>
              <w:pStyle w:val="TableText0"/>
              <w:ind w:left="0"/>
            </w:pPr>
            <w:r w:rsidRPr="007D1918">
              <w:t>Sixteen patients (6 men, 10 women) with a mean age of 59 years, who had generalized anti-acetylcholine receptor–positive MG with insufficient response to standard long-term, high-dose immunosuppressants. The treatment intervals were either held constant or were increased because of clinical stabilization in every patient. (Germany)</w:t>
            </w:r>
          </w:p>
        </w:tc>
        <w:tc>
          <w:tcPr>
            <w:tcW w:w="1366" w:type="dxa"/>
          </w:tcPr>
          <w:p w14:paraId="7D6EDD85" w14:textId="0792BE8B" w:rsidR="004831F5" w:rsidRPr="007D1918" w:rsidRDefault="007F4CDE" w:rsidP="007D4948">
            <w:pPr>
              <w:pStyle w:val="TableText0"/>
              <w:ind w:left="0"/>
            </w:pPr>
            <w:r w:rsidRPr="007D1918">
              <w:fldChar w:fldCharType="begin"/>
            </w:r>
            <w:r w:rsidRPr="007D1918">
              <w:instrText xml:space="preserve"> ADDIN EN.CITE &lt;EndNote&gt;&lt;Cite&gt;&lt;Author&gt;Eienbröker&lt;/Author&gt;&lt;Year&gt;2014&lt;/Year&gt;&lt;RecNum&gt;51&lt;/RecNum&gt;&lt;DisplayText&gt;(Eienbröker et al. 2014)&lt;/DisplayText&gt;&lt;record&gt;&lt;rec-number&gt;51&lt;/rec-number&gt;&lt;foreign-keys&gt;&lt;key app="EN" db-id="2aevrx2slsts5ve9sdavatf125dsx0av2v9d" timestamp="1562811028"&gt;51&lt;/key&gt;&lt;/foreign-keys&gt;&lt;ref-type name="Journal Article"&gt;17&lt;/ref-type&gt;&lt;contributors&gt;&lt;authors&gt;&lt;author&gt;Eienbröker, C.&lt;/author&gt;&lt;author&gt;Seitz, F.&lt;/author&gt;&lt;author&gt;Spengler, A.&lt;/author&gt;&lt;author&gt;Kurz, H.&lt;/author&gt;&lt;author&gt;Seipelt, M.&lt;/author&gt;&lt;author&gt;Sommer, N.&lt;/author&gt;&lt;author&gt;Oertel, W. H.&lt;/author&gt;&lt;author&gt;Timmesfeld, N.&lt;/author&gt;&lt;author&gt;Tackenberg, B.&lt;/author&gt;&lt;/authors&gt;&lt;/contributors&gt;&lt;titles&gt;&lt;title&gt;Intravenous immunoglobulin maintenance treatment in myasthenia gravis: a randomized, controlled trial sample size simulation&lt;/title&gt;&lt;secondary-title&gt;Muscle &amp;amp; nerve&lt;/secondary-title&gt;&lt;/titles&gt;&lt;periodical&gt;&lt;full-title&gt;Muscle &amp;amp; Nerve&lt;/full-title&gt;&lt;/periodical&gt;&lt;pages&gt;999</w:instrText>
            </w:r>
            <w:r w:rsidRPr="007D1918">
              <w:rPr>
                <w:rFonts w:ascii="Cambria Math" w:hAnsi="Cambria Math" w:cs="Cambria Math"/>
              </w:rPr>
              <w:instrText>‐</w:instrText>
            </w:r>
            <w:r w:rsidRPr="007D1918">
              <w:instrText>1004&lt;/pages&gt;&lt;volume&gt;50&lt;/volume&gt;&lt;number&gt;6&lt;/number&gt;&lt;keywords&gt;&lt;keyword&gt;Adult&lt;/keyword&gt;&lt;keyword&gt;Aged&lt;/keyword&gt;&lt;keyword&gt;Endpoint Determination&lt;/keyword&gt;&lt;keyword&gt;Female&lt;/keyword&gt;&lt;keyword&gt;Humans&lt;/keyword&gt;&lt;keyword&gt;Immunoglobulins, Intravenous [*therapeutic use]&lt;/keyword&gt;&lt;keyword&gt;Male&lt;/keyword&gt;&lt;keyword&gt;Middle Aged&lt;/keyword&gt;&lt;keyword&gt;Myasthenia Gravis [*drug therapy]&lt;/keyword&gt;&lt;keyword&gt;Prospective Studies&lt;/keyword&gt;&lt;keyword&gt;Severity of Illness Index&lt;/keyword&gt;&lt;keyword&gt;Treatment Outcome&lt;/keyword&gt;&lt;/keywords&gt;&lt;dates&gt;&lt;year&gt;2014&lt;/year&gt;&lt;/dates&gt;&lt;accession-num&gt;CN-01117282&lt;/accession-num&gt;&lt;work-type&gt;Journal Article; Randomized Controlled Trial; Research Support, Non</w:instrText>
            </w:r>
            <w:r w:rsidRPr="007D1918">
              <w:rPr>
                <w:rFonts w:ascii="Cambria Math" w:hAnsi="Cambria Math" w:cs="Cambria Math"/>
              </w:rPr>
              <w:instrText>‐</w:instrText>
            </w:r>
            <w:r w:rsidRPr="007D1918">
              <w:instrText>U.S. Gov&amp;apos;t&lt;/work-type&gt;&lt;urls&gt;&lt;related-urls&gt;&lt;url&gt;https://www.cochranelibrary.com/central/doi/10.1002/central/CN-01117282/full&lt;/url&gt;&lt;url&gt;https://onlinelibrary.wiley.com/doi/pdf/10.1002/mus.24259&lt;/url&gt;&lt;/related-urls&gt;&lt;/urls&gt;&lt;custom3&gt;PUBMED 24710856&lt;/custom3&gt;&lt;electronic-resource-num&gt;10.1002/mus.24259&lt;/electronic-resource-num&gt;&lt;/record&gt;&lt;/Cite&gt;&lt;/EndNote&gt;</w:instrText>
            </w:r>
            <w:r w:rsidRPr="007D1918">
              <w:fldChar w:fldCharType="separate"/>
            </w:r>
            <w:r w:rsidRPr="007D1918">
              <w:rPr>
                <w:noProof/>
              </w:rPr>
              <w:t>(</w:t>
            </w:r>
            <w:hyperlink w:anchor="_ENREF_23" w:tooltip="Eienbröker, 2014 #51" w:history="1">
              <w:r w:rsidR="007D4948" w:rsidRPr="007D1918">
                <w:rPr>
                  <w:noProof/>
                </w:rPr>
                <w:t>Eienbröker et al. 2014</w:t>
              </w:r>
            </w:hyperlink>
            <w:r w:rsidRPr="007D1918">
              <w:rPr>
                <w:noProof/>
              </w:rPr>
              <w:t>)</w:t>
            </w:r>
            <w:r w:rsidRPr="007D1918">
              <w:fldChar w:fldCharType="end"/>
            </w:r>
          </w:p>
        </w:tc>
      </w:tr>
    </w:tbl>
    <w:p w14:paraId="13886515" w14:textId="77777777" w:rsidR="004831F5" w:rsidRPr="007D1918" w:rsidRDefault="004831F5" w:rsidP="004831F5">
      <w:pPr>
        <w:pStyle w:val="Tablenotes1"/>
        <w:spacing w:after="360"/>
      </w:pPr>
      <w:r w:rsidRPr="007D1918">
        <w:t>IVIg = intravenous immunoglobulin; MG = myasthenia gravis</w:t>
      </w:r>
    </w:p>
    <w:p w14:paraId="729A8695" w14:textId="29D5DF5E" w:rsidR="004831F5" w:rsidRPr="007D1918" w:rsidRDefault="004831F5" w:rsidP="004831F5">
      <w:pPr>
        <w:jc w:val="both"/>
      </w:pPr>
      <w:r w:rsidRPr="007D1918">
        <w:t>The Ig Review Reference Group identified that maintenance Ig provided for an extended duration</w:t>
      </w:r>
      <w:r w:rsidR="007036F8" w:rsidRPr="007D1918">
        <w:t>,</w:t>
      </w:r>
      <w:r w:rsidRPr="007D1918">
        <w:t xml:space="preserve"> such as 10 years</w:t>
      </w:r>
      <w:r w:rsidR="007036F8" w:rsidRPr="007D1918">
        <w:t>,</w:t>
      </w:r>
      <w:r w:rsidRPr="007D1918">
        <w:t xml:space="preserve"> was rare in practice, and this would be an appropriate maximum treatment duration to cost. This is consistent with the literature</w:t>
      </w:r>
      <w:r w:rsidR="00151800" w:rsidRPr="007D1918">
        <w:t>,</w:t>
      </w:r>
      <w:r w:rsidR="007036F8" w:rsidRPr="007D1918">
        <w:t xml:space="preserve"> which reported </w:t>
      </w:r>
      <w:r w:rsidRPr="007D1918">
        <w:t>average duration</w:t>
      </w:r>
      <w:r w:rsidR="007036F8" w:rsidRPr="007D1918">
        <w:t>s</w:t>
      </w:r>
      <w:r w:rsidRPr="007D1918">
        <w:t xml:space="preserve"> of 5.9 years and 7.5 years</w:t>
      </w:r>
      <w:r w:rsidR="007036F8" w:rsidRPr="007D1918">
        <w:t xml:space="preserve"> in the two sources </w:t>
      </w:r>
      <w:r w:rsidR="00151800" w:rsidRPr="007D1918">
        <w:t xml:space="preserve">reporting treatment duration </w:t>
      </w:r>
      <w:r w:rsidR="007036F8" w:rsidRPr="007D1918">
        <w:t>with long-term follow-up</w:t>
      </w:r>
      <w:r w:rsidRPr="007D1918">
        <w:t>.</w:t>
      </w:r>
    </w:p>
    <w:p w14:paraId="2D29E58F" w14:textId="77777777" w:rsidR="004831F5" w:rsidRPr="007D1918" w:rsidRDefault="004831F5" w:rsidP="004831F5">
      <w:pPr>
        <w:jc w:val="both"/>
      </w:pPr>
      <w:r w:rsidRPr="007D1918">
        <w:t>Clinical advice received during the Assessment</w:t>
      </w:r>
      <w:r w:rsidRPr="007D1918">
        <w:rPr>
          <w:rStyle w:val="FootnoteReference"/>
        </w:rPr>
        <w:footnoteReference w:id="9"/>
      </w:r>
      <w:r w:rsidRPr="007D1918">
        <w:t xml:space="preserve"> identified that the use of IVIg under this Criteria was not always intended to be ongoing but IVIg would sometimes be to provide benefit whilst waiting for newly prescribed comparator immunosuppression regimens to become effective; which in some cases could take a long time (e.g. it may take up to 18 months in MG patients).</w:t>
      </w:r>
    </w:p>
    <w:p w14:paraId="3B587A4A" w14:textId="708A8E76" w:rsidR="004831F5" w:rsidRPr="007D1918" w:rsidRDefault="004831F5" w:rsidP="004831F5">
      <w:pPr>
        <w:jc w:val="both"/>
      </w:pPr>
      <w:r w:rsidRPr="007D1918">
        <w:t>To enable comparison over vario</w:t>
      </w:r>
      <w:r w:rsidR="00DA7EBF" w:rsidRPr="007D1918">
        <w:t>us timeframes the cost analysis</w:t>
      </w:r>
      <w:r w:rsidRPr="007D1918">
        <w:t xml:space="preserve"> present</w:t>
      </w:r>
      <w:r w:rsidR="00CC3ACF" w:rsidRPr="007D1918">
        <w:t>s</w:t>
      </w:r>
      <w:r w:rsidRPr="007D1918">
        <w:t xml:space="preserve"> cost estimates of maintenance IVIg use over time horizons of 1, 2, 5 and 10, years.</w:t>
      </w:r>
    </w:p>
    <w:p w14:paraId="6DAECB49" w14:textId="77777777" w:rsidR="004831F5" w:rsidRPr="007D1918" w:rsidRDefault="004831F5" w:rsidP="004831F5">
      <w:pPr>
        <w:pStyle w:val="Heading4"/>
      </w:pPr>
      <w:r w:rsidRPr="007D1918">
        <w:lastRenderedPageBreak/>
        <w:t>What are the recurring cost patterns associated with long-term maintenance therapies?</w:t>
      </w:r>
    </w:p>
    <w:p w14:paraId="65B9AB99" w14:textId="77777777" w:rsidR="004831F5" w:rsidRPr="007D1918" w:rsidRDefault="004831F5" w:rsidP="004831F5">
      <w:pPr>
        <w:jc w:val="both"/>
      </w:pPr>
      <w:r w:rsidRPr="007D1918">
        <w:t xml:space="preserve">The pattern of resource use over the long-term was investigated and is described for each of the therapies costed under Indication 3. A summary of the costing patterns and any relevant costing issues is presented in </w:t>
      </w:r>
      <w:r w:rsidRPr="007D1918">
        <w:fldChar w:fldCharType="begin"/>
      </w:r>
      <w:r w:rsidRPr="007D1918">
        <w:instrText xml:space="preserve"> REF _Ref14263435 \h  \* MERGEFORMAT </w:instrText>
      </w:r>
      <w:r w:rsidRPr="007D1918">
        <w:fldChar w:fldCharType="separate"/>
      </w:r>
      <w:r w:rsidR="00153384" w:rsidRPr="007D1918">
        <w:t>Table 55</w:t>
      </w:r>
      <w:r w:rsidRPr="007D1918">
        <w:fldChar w:fldCharType="end"/>
      </w:r>
      <w:r w:rsidRPr="007D1918">
        <w:t>.</w:t>
      </w:r>
    </w:p>
    <w:p w14:paraId="1EF904FE" w14:textId="77777777" w:rsidR="004831F5" w:rsidRPr="007D1918" w:rsidRDefault="004831F5" w:rsidP="004831F5">
      <w:pPr>
        <w:pStyle w:val="Caption"/>
        <w:keepNext/>
      </w:pPr>
      <w:bookmarkStart w:id="344" w:name="_Ref14263435"/>
      <w:bookmarkStart w:id="345" w:name="_Toc15561963"/>
      <w:bookmarkStart w:id="346" w:name="_Toc23769542"/>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55</w:t>
      </w:r>
      <w:r w:rsidRPr="007D1918">
        <w:rPr>
          <w:noProof/>
        </w:rPr>
        <w:fldChar w:fldCharType="end"/>
      </w:r>
      <w:bookmarkEnd w:id="344"/>
      <w:r w:rsidRPr="007D1918">
        <w:t>: Treatment circumstances of use relevant to resource use and cost estimates</w:t>
      </w:r>
      <w:bookmarkEnd w:id="345"/>
      <w:bookmarkEnd w:id="346"/>
    </w:p>
    <w:tbl>
      <w:tblPr>
        <w:tblStyle w:val="TableGrid"/>
        <w:tblW w:w="9067" w:type="dxa"/>
        <w:tblLayout w:type="fixed"/>
        <w:tblCellMar>
          <w:left w:w="85" w:type="dxa"/>
          <w:right w:w="85" w:type="dxa"/>
        </w:tblCellMar>
        <w:tblLook w:val="04A0" w:firstRow="1" w:lastRow="0" w:firstColumn="1" w:lastColumn="0" w:noHBand="0" w:noVBand="1"/>
        <w:tblCaption w:val="Table 55: Treatment circumstances of use relevant to resource use and cost estimates"/>
      </w:tblPr>
      <w:tblGrid>
        <w:gridCol w:w="1696"/>
        <w:gridCol w:w="7371"/>
      </w:tblGrid>
      <w:tr w:rsidR="004831F5" w:rsidRPr="007D1918" w14:paraId="21B1EE71" w14:textId="77777777" w:rsidTr="00E1425A">
        <w:trPr>
          <w:tblHeader/>
        </w:trPr>
        <w:tc>
          <w:tcPr>
            <w:tcW w:w="1696" w:type="dxa"/>
          </w:tcPr>
          <w:p w14:paraId="52415A24" w14:textId="77777777" w:rsidR="004831F5" w:rsidRPr="007D1918" w:rsidRDefault="004831F5" w:rsidP="00153384">
            <w:pPr>
              <w:keepNext/>
              <w:spacing w:before="20" w:after="20" w:line="240" w:lineRule="auto"/>
              <w:ind w:left="0"/>
              <w:contextualSpacing/>
              <w:rPr>
                <w:rFonts w:ascii="Arial Narrow" w:hAnsi="Arial Narrow"/>
                <w:b/>
                <w:sz w:val="20"/>
                <w:szCs w:val="20"/>
              </w:rPr>
            </w:pPr>
            <w:r w:rsidRPr="007D1918">
              <w:rPr>
                <w:rFonts w:ascii="Arial Narrow" w:hAnsi="Arial Narrow"/>
                <w:b/>
                <w:sz w:val="20"/>
                <w:szCs w:val="20"/>
              </w:rPr>
              <w:t>Treatment strategy</w:t>
            </w:r>
          </w:p>
        </w:tc>
        <w:tc>
          <w:tcPr>
            <w:tcW w:w="7371" w:type="dxa"/>
          </w:tcPr>
          <w:p w14:paraId="302BF710" w14:textId="77777777" w:rsidR="004831F5" w:rsidRPr="007D1918" w:rsidRDefault="004831F5" w:rsidP="00153384">
            <w:pPr>
              <w:keepNext/>
              <w:spacing w:before="20" w:after="20" w:line="240" w:lineRule="auto"/>
              <w:ind w:left="0"/>
              <w:contextualSpacing/>
              <w:rPr>
                <w:rFonts w:ascii="Arial Narrow" w:hAnsi="Arial Narrow"/>
                <w:b/>
                <w:sz w:val="20"/>
                <w:szCs w:val="20"/>
              </w:rPr>
            </w:pPr>
            <w:r w:rsidRPr="007D1918">
              <w:rPr>
                <w:rFonts w:ascii="Arial Narrow" w:hAnsi="Arial Narrow"/>
                <w:b/>
                <w:sz w:val="20"/>
                <w:szCs w:val="20"/>
              </w:rPr>
              <w:t>Description of practice issues relevant to cost analysis</w:t>
            </w:r>
          </w:p>
        </w:tc>
      </w:tr>
      <w:tr w:rsidR="004831F5" w:rsidRPr="007D1918" w14:paraId="567200E4" w14:textId="77777777" w:rsidTr="00153384">
        <w:tc>
          <w:tcPr>
            <w:tcW w:w="1696" w:type="dxa"/>
          </w:tcPr>
          <w:p w14:paraId="42151F6C" w14:textId="77777777" w:rsidR="004831F5" w:rsidRPr="007D1918" w:rsidRDefault="004831F5" w:rsidP="00153384">
            <w:pPr>
              <w:keepNext/>
              <w:spacing w:before="20" w:after="20" w:line="240" w:lineRule="auto"/>
              <w:ind w:left="0"/>
              <w:contextualSpacing/>
              <w:rPr>
                <w:rFonts w:ascii="Arial Narrow" w:hAnsi="Arial Narrow"/>
                <w:b/>
                <w:sz w:val="20"/>
                <w:szCs w:val="20"/>
              </w:rPr>
            </w:pPr>
            <w:r w:rsidRPr="007D1918">
              <w:rPr>
                <w:rFonts w:ascii="Arial Narrow" w:hAnsi="Arial Narrow"/>
                <w:b/>
                <w:sz w:val="20"/>
                <w:szCs w:val="20"/>
              </w:rPr>
              <w:t>IVIg</w:t>
            </w:r>
          </w:p>
        </w:tc>
        <w:tc>
          <w:tcPr>
            <w:tcW w:w="7371" w:type="dxa"/>
          </w:tcPr>
          <w:p w14:paraId="3F6338D1" w14:textId="77777777" w:rsidR="004831F5" w:rsidRPr="007D1918" w:rsidRDefault="004831F5" w:rsidP="00153384">
            <w:pPr>
              <w:pStyle w:val="Tablecontents"/>
              <w:spacing w:before="20" w:after="20"/>
              <w:ind w:left="0"/>
              <w:jc w:val="both"/>
            </w:pPr>
            <w:r w:rsidRPr="007D1918">
              <w:t>Maintenance IVIg treatment is described under Indication 3 with an induction phase (higher intensity dosing) followed by routine maintenance cycles. Therefore, costs in year 1 will be higher than subsequent years.</w:t>
            </w:r>
          </w:p>
          <w:p w14:paraId="5C8787CF" w14:textId="77777777" w:rsidR="004831F5" w:rsidRPr="007D1918" w:rsidRDefault="004831F5" w:rsidP="00153384">
            <w:pPr>
              <w:pStyle w:val="Tablecontents"/>
              <w:spacing w:before="20" w:after="20"/>
              <w:ind w:left="0"/>
              <w:jc w:val="both"/>
            </w:pPr>
            <w:r w:rsidRPr="007D1918">
              <w:t xml:space="preserve">The NBA </w:t>
            </w:r>
            <w:r w:rsidRPr="007D1918">
              <w:rPr>
                <w:i/>
              </w:rPr>
              <w:t>Criteria V3</w:t>
            </w:r>
            <w:r w:rsidRPr="007D1918">
              <w:t xml:space="preserve"> state that neurologist reviews are required within 4 months of initiation and annually, however this is assumed to likely occur for any new MG treatment, therefore this is not added to the cost analysis. </w:t>
            </w:r>
          </w:p>
        </w:tc>
      </w:tr>
      <w:tr w:rsidR="004831F5" w:rsidRPr="007D1918" w14:paraId="47DF90E5" w14:textId="77777777" w:rsidTr="00153384">
        <w:tc>
          <w:tcPr>
            <w:tcW w:w="1696" w:type="dxa"/>
          </w:tcPr>
          <w:p w14:paraId="6E990BDC" w14:textId="77777777" w:rsidR="004831F5" w:rsidRPr="007D1918" w:rsidRDefault="004831F5" w:rsidP="00153384">
            <w:pPr>
              <w:keepNext/>
              <w:spacing w:before="20" w:after="20" w:line="240" w:lineRule="auto"/>
              <w:ind w:left="0"/>
              <w:contextualSpacing/>
              <w:rPr>
                <w:rFonts w:ascii="Arial Narrow" w:hAnsi="Arial Narrow"/>
                <w:b/>
                <w:sz w:val="20"/>
                <w:szCs w:val="20"/>
              </w:rPr>
            </w:pPr>
            <w:r w:rsidRPr="007D1918">
              <w:rPr>
                <w:rFonts w:ascii="Arial Narrow" w:hAnsi="Arial Narrow"/>
                <w:b/>
                <w:sz w:val="20"/>
                <w:szCs w:val="20"/>
              </w:rPr>
              <w:t>PE</w:t>
            </w:r>
          </w:p>
        </w:tc>
        <w:tc>
          <w:tcPr>
            <w:tcW w:w="7371" w:type="dxa"/>
          </w:tcPr>
          <w:p w14:paraId="0068D962" w14:textId="5F4D2F00" w:rsidR="004831F5" w:rsidRPr="007D1918" w:rsidRDefault="004831F5" w:rsidP="00153384">
            <w:pPr>
              <w:pStyle w:val="Tablecontents"/>
              <w:spacing w:before="20" w:after="20"/>
              <w:ind w:left="0"/>
              <w:jc w:val="both"/>
            </w:pPr>
            <w:r w:rsidRPr="007D1918">
              <w:t>Repeated maintenance PE therapy requires suitable long-term vascular access, for example; implantable vascular access devices (IVADs), including tunnelled central venous catheters (TCVCs),  or, less commonly, AV fistulae</w:t>
            </w:r>
            <w:r w:rsidR="007036F8" w:rsidRPr="007D1918">
              <w:t>.</w:t>
            </w:r>
            <w:r w:rsidR="007F4CDE" w:rsidRPr="007D1918">
              <w:fldChar w:fldCharType="begin"/>
            </w:r>
            <w:r w:rsidR="007F4CDE" w:rsidRPr="007D1918">
              <w:instrText xml:space="preserve"> ADDIN EN.CITE &lt;EndNote&gt;&lt;Cite&gt;&lt;Author&gt;Ipe&lt;/Author&gt;&lt;Year&gt;2018&lt;/Year&gt;&lt;RecNum&gt;105&lt;/RecNum&gt;&lt;DisplayText&gt;(Ipe &amp;amp; Marques 2018)&lt;/DisplayText&gt;&lt;record&gt;&lt;rec-number&gt;105&lt;/rec-number&gt;&lt;foreign-keys&gt;&lt;key app="EN" db-id="2aevrx2slsts5ve9sdavatf125dsx0av2v9d" timestamp="1567647580"&gt;105&lt;/key&gt;&lt;/foreign-keys&gt;&lt;ref-type name="Journal Article"&gt;17&lt;/ref-type&gt;&lt;contributors&gt;&lt;authors&gt;&lt;author&gt;Ipe, T. S.&lt;/author&gt;&lt;author&gt;Marques, M. B.&lt;/author&gt;&lt;/authors&gt;&lt;/contributors&gt;&lt;auth-address&gt;Department of Pathology and Genomic Medicine, Houston Methodist Hospital, Houston, Texas.&amp;#xD;Department of Pathology, Division of Laboratory Medicine, University of Alabama at Birmingham, Alabama.&lt;/auth-address&gt;&lt;titles&gt;&lt;title&gt;Vascular access for therapeutic plasma exchange&lt;/title&gt;&lt;secondary-title&gt;Transfusion&lt;/secondary-title&gt;&lt;/titles&gt;&lt;periodical&gt;&lt;full-title&gt;Transfusion&lt;/full-title&gt;&lt;/periodical&gt;&lt;pages&gt;580-589&lt;/pages&gt;&lt;volume&gt;58 Suppl 1&lt;/volume&gt;&lt;edition&gt;2018/02/15&lt;/edition&gt;&lt;keywords&gt;&lt;keyword&gt;Catheterization, Central Venous/instrumentation/ methods&lt;/keyword&gt;&lt;keyword&gt;Catheterization, Peripheral/instrumentation/ methods&lt;/keyword&gt;&lt;keyword&gt;Humans&lt;/keyword&gt;&lt;keyword&gt;Plasma Exchange/instrumentation/ methods&lt;/keyword&gt;&lt;keyword&gt;Vascular Access Devices&lt;/keyword&gt;&lt;/keywords&gt;&lt;dates&gt;&lt;year&gt;2018&lt;/year&gt;&lt;pub-dates&gt;&lt;date&gt;Feb&lt;/date&gt;&lt;/pub-dates&gt;&lt;/dates&gt;&lt;isbn&gt;1537-2995 (Electronic)&amp;#xD;0041-1132 (Linking)&lt;/isbn&gt;&lt;accession-num&gt;29443413&lt;/accession-num&gt;&lt;urls&gt;&lt;/urls&gt;&lt;electronic-resource-num&gt;10.1111/trf.14479&lt;/electronic-resource-num&gt;&lt;remote-database-provider&gt;NLM&lt;/remote-database-provider&gt;&lt;language&gt;eng&lt;/language&gt;&lt;/record&gt;&lt;/Cite&gt;&lt;/EndNote&gt;</w:instrText>
            </w:r>
            <w:r w:rsidR="007F4CDE" w:rsidRPr="007D1918">
              <w:fldChar w:fldCharType="separate"/>
            </w:r>
            <w:r w:rsidR="007F4CDE" w:rsidRPr="007D1918">
              <w:rPr>
                <w:noProof/>
              </w:rPr>
              <w:t>(</w:t>
            </w:r>
            <w:hyperlink w:anchor="_ENREF_53" w:tooltip="Ipe, 2018 #105" w:history="1">
              <w:r w:rsidR="007D4948" w:rsidRPr="007D1918">
                <w:rPr>
                  <w:noProof/>
                </w:rPr>
                <w:t>Ipe &amp; Marques 2018</w:t>
              </w:r>
            </w:hyperlink>
            <w:r w:rsidR="007F4CDE" w:rsidRPr="007D1918">
              <w:rPr>
                <w:noProof/>
              </w:rPr>
              <w:t>)</w:t>
            </w:r>
            <w:r w:rsidR="007F4CDE" w:rsidRPr="007D1918">
              <w:fldChar w:fldCharType="end"/>
            </w:r>
            <w:r w:rsidRPr="007D1918">
              <w:t xml:space="preserve"> </w:t>
            </w:r>
            <w:r w:rsidR="007036F8" w:rsidRPr="007D1918">
              <w:t xml:space="preserve"> </w:t>
            </w:r>
            <w:r w:rsidRPr="007D1918">
              <w:t>In Australia it is estimates most patients have infuser ports, and only 5% have IV fistulae.</w:t>
            </w:r>
            <w:r w:rsidRPr="007D1918">
              <w:rPr>
                <w:vertAlign w:val="superscript"/>
              </w:rPr>
              <w:t>a</w:t>
            </w:r>
          </w:p>
          <w:p w14:paraId="51682BCA" w14:textId="25AE6A84" w:rsidR="004831F5" w:rsidRPr="007D1918" w:rsidRDefault="004831F5" w:rsidP="00153384">
            <w:pPr>
              <w:pStyle w:val="Tablecontents"/>
              <w:spacing w:before="20" w:after="20"/>
              <w:ind w:left="0"/>
              <w:jc w:val="both"/>
            </w:pPr>
            <w:r w:rsidRPr="007D1918">
              <w:t>All venous access methods are associated with an incidence of infection which requires management and costing.</w:t>
            </w:r>
            <w:r w:rsidR="007036F8" w:rsidRPr="007D1918">
              <w:t xml:space="preserve"> </w:t>
            </w:r>
            <w:r w:rsidRPr="007D1918">
              <w:t xml:space="preserve">TCVCs are relatively straightforward to insert requiring approximately </w:t>
            </w:r>
            <w:r w:rsidR="007036F8" w:rsidRPr="007D1918">
              <w:t>an</w:t>
            </w:r>
            <w:r w:rsidRPr="007D1918">
              <w:t xml:space="preserve"> hour of theatre time (commonly under medium-conscious sedation) and an x-ray to confirm correct placement. </w:t>
            </w:r>
            <w:r w:rsidR="007F4CDE" w:rsidRPr="007D1918">
              <w:fldChar w:fldCharType="begin">
                <w:fldData xml:space="preserve">PEVuZE5vdGU+PENpdGU+PEF1dGhvcj5DbGFyazwvQXV0aG9yPjxZZWFyPjIwMTY8L1llYXI+PFJl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</w:fldData>
              </w:fldChar>
            </w:r>
            <w:r w:rsidR="007F4CDE" w:rsidRPr="007D1918">
              <w:instrText xml:space="preserve"> ADDIN EN.CITE </w:instrText>
            </w:r>
            <w:r w:rsidR="007F4CDE" w:rsidRPr="007D1918">
              <w:fldChar w:fldCharType="begin">
                <w:fldData xml:space="preserve">PEVuZE5vdGU+PENpdGU+PEF1dGhvcj5DbGFyazwvQXV0aG9yPjxZZWFyPjIwMTY8L1llYXI+PFJl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</w:fldData>
              </w:fldChar>
            </w:r>
            <w:r w:rsidR="007F4CDE" w:rsidRPr="007D1918">
              <w:instrText xml:space="preserve"> ADDIN EN.CITE.DATA </w:instrText>
            </w:r>
            <w:r w:rsidR="007F4CDE" w:rsidRPr="007D1918">
              <w:fldChar w:fldCharType="end"/>
            </w:r>
            <w:r w:rsidR="007F4CDE" w:rsidRPr="007D1918">
              <w:fldChar w:fldCharType="separate"/>
            </w:r>
            <w:r w:rsidR="007F4CDE" w:rsidRPr="007D1918">
              <w:rPr>
                <w:noProof/>
              </w:rPr>
              <w:t>(</w:t>
            </w:r>
            <w:hyperlink w:anchor="_ENREF_19" w:tooltip="Clark, 2016 #86" w:history="1">
              <w:r w:rsidR="007D4948" w:rsidRPr="007D1918">
                <w:rPr>
                  <w:noProof/>
                </w:rPr>
                <w:t>Clark et al. 2016</w:t>
              </w:r>
            </w:hyperlink>
            <w:r w:rsidR="007F4CDE" w:rsidRPr="007D1918">
              <w:rPr>
                <w:noProof/>
              </w:rPr>
              <w:t>)</w:t>
            </w:r>
            <w:r w:rsidR="007F4CDE" w:rsidRPr="007D1918">
              <w:fldChar w:fldCharType="end"/>
            </w:r>
            <w:r w:rsidRPr="007D1918">
              <w:t xml:space="preserve"> It is assumed that a tCVC will typically require replacement every 3.5 years (based on a study in hemodialysis patients </w:t>
            </w:r>
            <w:r w:rsidR="007F4CDE" w:rsidRPr="007D1918">
              <w:fldChar w:fldCharType="begin">
                <w:fldData xml:space="preserve">PEVuZE5vdGU+PENpdGU+PEF1dGhvcj5TaGk8L0F1dGhvcj48WWVhcj4yMDE3PC9ZZWFyPjxSZWNO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</w:fldData>
              </w:fldChar>
            </w:r>
            <w:r w:rsidR="007F4CDE" w:rsidRPr="007D1918">
              <w:instrText xml:space="preserve"> ADDIN EN.CITE </w:instrText>
            </w:r>
            <w:r w:rsidR="007F4CDE" w:rsidRPr="007D1918">
              <w:fldChar w:fldCharType="begin">
                <w:fldData xml:space="preserve">PEVuZE5vdGU+PENpdGU+PEF1dGhvcj5TaGk8L0F1dGhvcj48WWVhcj4yMDE3PC9ZZWFyPjxSZWNO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</w:fldData>
              </w:fldChar>
            </w:r>
            <w:r w:rsidR="007F4CDE" w:rsidRPr="007D1918">
              <w:instrText xml:space="preserve"> ADDIN EN.CITE.DATA </w:instrText>
            </w:r>
            <w:r w:rsidR="007F4CDE" w:rsidRPr="007D1918">
              <w:fldChar w:fldCharType="end"/>
            </w:r>
            <w:r w:rsidR="007F4CDE" w:rsidRPr="007D1918">
              <w:fldChar w:fldCharType="separate"/>
            </w:r>
            <w:r w:rsidR="007F4CDE" w:rsidRPr="007D1918">
              <w:rPr>
                <w:noProof/>
              </w:rPr>
              <w:t>(</w:t>
            </w:r>
            <w:hyperlink w:anchor="_ENREF_92" w:tooltip="Shi, 2017 #107" w:history="1">
              <w:r w:rsidR="007D4948" w:rsidRPr="007D1918">
                <w:rPr>
                  <w:noProof/>
                </w:rPr>
                <w:t>Shi et al. 2017</w:t>
              </w:r>
            </w:hyperlink>
            <w:r w:rsidR="007F4CDE" w:rsidRPr="007D1918">
              <w:rPr>
                <w:noProof/>
              </w:rPr>
              <w:t>)</w:t>
            </w:r>
            <w:r w:rsidR="007F4CDE" w:rsidRPr="007D1918">
              <w:fldChar w:fldCharType="end"/>
            </w:r>
            <w:r w:rsidR="007036F8" w:rsidRPr="007D1918">
              <w:t>)</w:t>
            </w:r>
            <w:r w:rsidRPr="007D1918">
              <w:t xml:space="preserve">.  </w:t>
            </w:r>
          </w:p>
          <w:p w14:paraId="2464BE26" w14:textId="22984300" w:rsidR="004831F5" w:rsidRPr="007D1918" w:rsidRDefault="004831F5" w:rsidP="007D4948">
            <w:pPr>
              <w:pStyle w:val="Tablecontents"/>
              <w:spacing w:before="20" w:after="20"/>
              <w:ind w:left="0"/>
              <w:jc w:val="both"/>
            </w:pPr>
            <w:r w:rsidRPr="007D1918">
              <w:t>Creation of an AV fistula is a significant vascular surgery requiring pre-operative ultrasound planning, anaesthesia and overnight hospital admission</w:t>
            </w:r>
            <w:r w:rsidR="004C6715" w:rsidRPr="007D1918">
              <w:t xml:space="preserve"> </w:t>
            </w:r>
            <w:r w:rsidR="007F4CDE" w:rsidRPr="007D1918">
              <w:fldChar w:fldCharType="begin"/>
            </w:r>
            <w:r w:rsidR="007D4948" w:rsidRPr="007D1918">
              <w:instrText xml:space="preserve"> ADDIN EN.CITE &lt;EndNote&gt;&lt;Cite&gt;&lt;Author&gt;Sunshine Coast Hospital and Health Service&lt;/Author&gt;&lt;Year&gt;2015&lt;/Year&gt;&lt;RecNum&gt;80&lt;/RecNum&gt;&lt;DisplayText&gt;(Sunshine Coast Hospital and Health Service 2015)&lt;/DisplayText&gt;&lt;record&gt;&lt;rec-number&gt;80&lt;/rec-number&gt;&lt;foreign-keys&gt;&lt;key app="EN" db-id="2aevrx2slsts5ve9sdavatf125dsx0av2v9d" timestamp="1563450480"&gt;80&lt;/key&gt;&lt;/foreign-keys&gt;&lt;ref-type name="Government Document"&gt;46&lt;/ref-type&gt;&lt;contributors&gt;&lt;authors&gt;&lt;author&gt;Sunshine Coast Hospital and Health Service, &lt;/author&gt;&lt;/authors&gt;&lt;secondary-authors&gt;&lt;author&gt;Sunshine Coast Hospital and Health Service&lt;/author&gt;&lt;/secondary-authors&gt;&lt;/contributors&gt;&lt;titles&gt;&lt;title&gt;Arteriovenous fistula - Information for patients and their families&lt;/title&gt;&lt;/titles&gt;&lt;volume&gt;953-V1 December 2015&lt;/volume&gt;&lt;dates&gt;&lt;year&gt;2015&lt;/year&gt;&lt;/dates&gt;&lt;pub-location&gt;Queensland, Australia&lt;/pub-location&gt;&lt;urls&gt;&lt;/urls&gt;&lt;custom1&gt;Queensland Government&lt;/custom1&gt;&lt;/record&gt;&lt;/Cite&gt;&lt;/EndNote&gt;</w:instrText>
            </w:r>
            <w:r w:rsidR="007F4CDE" w:rsidRPr="007D1918">
              <w:fldChar w:fldCharType="separate"/>
            </w:r>
            <w:r w:rsidR="007F4CDE" w:rsidRPr="007D1918">
              <w:rPr>
                <w:noProof/>
              </w:rPr>
              <w:t>(</w:t>
            </w:r>
            <w:hyperlink w:anchor="_ENREF_97" w:tooltip="Sunshine Coast Hospital and Health Service, 2015 #80" w:history="1">
              <w:r w:rsidR="007D4948" w:rsidRPr="007D1918">
                <w:rPr>
                  <w:noProof/>
                </w:rPr>
                <w:t>Sunshine Coast Hospital and Health Service 2015</w:t>
              </w:r>
            </w:hyperlink>
            <w:r w:rsidR="007F4CDE" w:rsidRPr="007D1918">
              <w:rPr>
                <w:noProof/>
              </w:rPr>
              <w:t>)</w:t>
            </w:r>
            <w:r w:rsidR="007F4CDE" w:rsidRPr="007D1918">
              <w:fldChar w:fldCharType="end"/>
            </w:r>
            <w:r w:rsidRPr="007D1918">
              <w:t>. The ‘expected duration’ a fistula lasts before requiring removal or revision has a wide reported range of 4-30 years. In this analysis it is assumed to be a one-off cost.</w:t>
            </w:r>
          </w:p>
        </w:tc>
      </w:tr>
      <w:tr w:rsidR="004831F5" w:rsidRPr="007D1918" w14:paraId="0D57D9CC" w14:textId="77777777" w:rsidTr="00153384">
        <w:tc>
          <w:tcPr>
            <w:tcW w:w="1696" w:type="dxa"/>
          </w:tcPr>
          <w:p w14:paraId="66C679E8" w14:textId="77777777" w:rsidR="004831F5" w:rsidRPr="007D1918" w:rsidRDefault="004831F5" w:rsidP="00153384">
            <w:pPr>
              <w:keepNext/>
              <w:spacing w:before="20" w:after="20" w:line="240" w:lineRule="auto"/>
              <w:ind w:left="0"/>
              <w:contextualSpacing/>
              <w:rPr>
                <w:rFonts w:ascii="Arial Narrow" w:hAnsi="Arial Narrow"/>
                <w:b/>
                <w:sz w:val="20"/>
                <w:szCs w:val="20"/>
              </w:rPr>
            </w:pPr>
            <w:r w:rsidRPr="007D1918">
              <w:rPr>
                <w:rFonts w:ascii="Arial Narrow" w:hAnsi="Arial Narrow"/>
                <w:b/>
                <w:sz w:val="20"/>
                <w:szCs w:val="20"/>
              </w:rPr>
              <w:t>Surgery</w:t>
            </w:r>
          </w:p>
        </w:tc>
        <w:tc>
          <w:tcPr>
            <w:tcW w:w="7371" w:type="dxa"/>
          </w:tcPr>
          <w:p w14:paraId="673F9584" w14:textId="77777777" w:rsidR="004831F5" w:rsidRPr="007D1918" w:rsidRDefault="004831F5" w:rsidP="00153384">
            <w:pPr>
              <w:pStyle w:val="Tablecontents"/>
              <w:spacing w:before="20" w:after="20"/>
              <w:ind w:left="0"/>
              <w:rPr>
                <w:b/>
              </w:rPr>
            </w:pPr>
            <w:r w:rsidRPr="007D1918">
              <w:t>Thymectomy is a one-off surgical procedure. All costs are presented in Year 1.</w:t>
            </w:r>
          </w:p>
        </w:tc>
      </w:tr>
      <w:tr w:rsidR="004831F5" w:rsidRPr="007D1918" w14:paraId="257259B2" w14:textId="77777777" w:rsidTr="00153384">
        <w:tc>
          <w:tcPr>
            <w:tcW w:w="9067" w:type="dxa"/>
            <w:gridSpan w:val="2"/>
          </w:tcPr>
          <w:p w14:paraId="7E4B2FB6" w14:textId="77777777" w:rsidR="004831F5" w:rsidRPr="007D1918" w:rsidRDefault="004831F5" w:rsidP="00153384">
            <w:pPr>
              <w:pStyle w:val="Tablecontents"/>
              <w:spacing w:before="20" w:after="20"/>
              <w:ind w:left="0"/>
            </w:pPr>
            <w:r w:rsidRPr="007D1918">
              <w:rPr>
                <w:b/>
              </w:rPr>
              <w:t>Pharmaceuticals</w:t>
            </w:r>
          </w:p>
        </w:tc>
      </w:tr>
      <w:tr w:rsidR="004831F5" w:rsidRPr="007D1918" w14:paraId="6E449B37" w14:textId="77777777" w:rsidTr="00153384">
        <w:tc>
          <w:tcPr>
            <w:tcW w:w="1696" w:type="dxa"/>
          </w:tcPr>
          <w:p w14:paraId="2EE7CFD1" w14:textId="77777777" w:rsidR="004831F5" w:rsidRPr="007D1918" w:rsidRDefault="004831F5" w:rsidP="00153384">
            <w:pPr>
              <w:spacing w:before="20" w:after="20" w:line="240" w:lineRule="auto"/>
              <w:ind w:left="0"/>
              <w:contextualSpacing/>
              <w:rPr>
                <w:rFonts w:ascii="Arial Narrow" w:hAnsi="Arial Narrow"/>
                <w:sz w:val="20"/>
                <w:szCs w:val="20"/>
              </w:rPr>
            </w:pPr>
            <w:r w:rsidRPr="007D1918">
              <w:rPr>
                <w:rFonts w:ascii="Arial Narrow" w:hAnsi="Arial Narrow"/>
                <w:sz w:val="20"/>
                <w:szCs w:val="20"/>
              </w:rPr>
              <w:t xml:space="preserve">Pyridostigmine </w:t>
            </w:r>
          </w:p>
        </w:tc>
        <w:tc>
          <w:tcPr>
            <w:tcW w:w="7371" w:type="dxa"/>
          </w:tcPr>
          <w:p w14:paraId="0E1C49B7" w14:textId="77777777" w:rsidR="004831F5" w:rsidRPr="007D1918" w:rsidRDefault="004831F5" w:rsidP="00153384">
            <w:pPr>
              <w:pStyle w:val="Tablecontents"/>
              <w:spacing w:before="20" w:after="20"/>
              <w:ind w:left="0"/>
              <w:jc w:val="both"/>
            </w:pPr>
            <w:r w:rsidRPr="007D1918">
              <w:t>Pyridostigmine is generally first-line MG management and it is assumed that all patients attempting to manage severe mg with pharmaceuticals will be on pyridostigmine to the maximally tolerated dose. This cost is expected to be similar each year.</w:t>
            </w:r>
          </w:p>
        </w:tc>
      </w:tr>
      <w:tr w:rsidR="004831F5" w:rsidRPr="007D1918" w14:paraId="63922206" w14:textId="77777777" w:rsidTr="00153384">
        <w:tc>
          <w:tcPr>
            <w:tcW w:w="1696" w:type="dxa"/>
          </w:tcPr>
          <w:p w14:paraId="59036D7D" w14:textId="77777777" w:rsidR="004831F5" w:rsidRPr="007D1918" w:rsidRDefault="004831F5" w:rsidP="00153384">
            <w:pPr>
              <w:spacing w:before="20" w:after="20" w:line="240" w:lineRule="auto"/>
              <w:ind w:left="0"/>
              <w:contextualSpacing/>
              <w:rPr>
                <w:rFonts w:ascii="Arial Narrow" w:hAnsi="Arial Narrow"/>
                <w:sz w:val="20"/>
                <w:szCs w:val="20"/>
              </w:rPr>
            </w:pPr>
            <w:r w:rsidRPr="007D1918">
              <w:rPr>
                <w:rFonts w:ascii="Arial Narrow" w:hAnsi="Arial Narrow"/>
                <w:sz w:val="20"/>
                <w:szCs w:val="20"/>
              </w:rPr>
              <w:t xml:space="preserve">Prednisolone </w:t>
            </w:r>
          </w:p>
        </w:tc>
        <w:tc>
          <w:tcPr>
            <w:tcW w:w="7371" w:type="dxa"/>
          </w:tcPr>
          <w:p w14:paraId="738C2C73" w14:textId="73C13C04" w:rsidR="004831F5" w:rsidRPr="007D1918" w:rsidRDefault="004831F5" w:rsidP="009978AE">
            <w:pPr>
              <w:pStyle w:val="Tablecontents"/>
              <w:spacing w:before="20" w:after="20"/>
              <w:ind w:left="0"/>
              <w:jc w:val="both"/>
            </w:pPr>
            <w:r w:rsidRPr="007D1918">
              <w:t xml:space="preserve">Corticosteriods are routine second-line MG management, however it is estimated approximately 33% of </w:t>
            </w:r>
            <w:r w:rsidR="009978AE" w:rsidRPr="007D1918">
              <w:t>Indication</w:t>
            </w:r>
            <w:r w:rsidRPr="007D1918">
              <w:t xml:space="preserve"> 3 patients will be intolerant to ongoing steroid use.</w:t>
            </w:r>
            <w:r w:rsidRPr="007D1918">
              <w:rPr>
                <w:vertAlign w:val="superscript"/>
              </w:rPr>
              <w:t>a</w:t>
            </w:r>
            <w:r w:rsidRPr="007D1918">
              <w:t xml:space="preserve"> The remaining patients are assumed to be on reasonably high doses and while there may be some titration of dose either up or down depending on effectiveness, the overall cost is assumed to be similar each year.</w:t>
            </w:r>
          </w:p>
        </w:tc>
      </w:tr>
      <w:tr w:rsidR="004831F5" w:rsidRPr="007D1918" w14:paraId="34A1E0B9" w14:textId="77777777" w:rsidTr="007036F8">
        <w:tc>
          <w:tcPr>
            <w:tcW w:w="1696" w:type="dxa"/>
            <w:shd w:val="clear" w:color="auto" w:fill="auto"/>
          </w:tcPr>
          <w:p w14:paraId="78302FE5" w14:textId="77777777" w:rsidR="004831F5" w:rsidRPr="007D1918" w:rsidRDefault="004831F5" w:rsidP="00153384">
            <w:pPr>
              <w:spacing w:before="20" w:after="20" w:line="240" w:lineRule="auto"/>
              <w:ind w:left="0"/>
              <w:contextualSpacing/>
              <w:rPr>
                <w:rFonts w:ascii="Arial Narrow" w:hAnsi="Arial Narrow"/>
                <w:sz w:val="20"/>
                <w:szCs w:val="20"/>
              </w:rPr>
            </w:pPr>
            <w:r w:rsidRPr="007D1918">
              <w:rPr>
                <w:rFonts w:ascii="Arial Narrow" w:hAnsi="Arial Narrow"/>
                <w:sz w:val="20"/>
                <w:szCs w:val="20"/>
              </w:rPr>
              <w:t xml:space="preserve">Mycophenolate mofetil </w:t>
            </w:r>
          </w:p>
        </w:tc>
        <w:tc>
          <w:tcPr>
            <w:tcW w:w="7371" w:type="dxa"/>
            <w:shd w:val="clear" w:color="auto" w:fill="auto"/>
          </w:tcPr>
          <w:p w14:paraId="6BAA5DB9" w14:textId="77777777" w:rsidR="004831F5" w:rsidRPr="007D1918" w:rsidRDefault="004831F5" w:rsidP="00153384">
            <w:pPr>
              <w:pStyle w:val="Tablecontents"/>
              <w:spacing w:before="20" w:after="20"/>
              <w:ind w:left="0"/>
              <w:jc w:val="both"/>
            </w:pPr>
            <w:r w:rsidRPr="007D1918">
              <w:t>Immunosuppression with mycophenolate mofetil is considered likely to be the most common third-line agent used in Australia.</w:t>
            </w:r>
            <w:r w:rsidRPr="007D1918">
              <w:rPr>
                <w:vertAlign w:val="superscript"/>
              </w:rPr>
              <w:t>a</w:t>
            </w:r>
          </w:p>
          <w:p w14:paraId="01DA7407" w14:textId="77777777" w:rsidR="004831F5" w:rsidRPr="007D1918" w:rsidRDefault="004831F5" w:rsidP="00153384">
            <w:pPr>
              <w:pStyle w:val="Tablecontents"/>
              <w:spacing w:before="20" w:after="20"/>
              <w:ind w:left="0"/>
              <w:jc w:val="both"/>
            </w:pPr>
            <w:r w:rsidRPr="007D1918">
              <w:t>Blood counts should be monitored 4 weekly which needs to be included in the cost analysis. (PI) While there may be some titration of dose either up or down depending on effectiveness, the overall cost is assumed to be consistent each year.</w:t>
            </w:r>
          </w:p>
        </w:tc>
      </w:tr>
      <w:tr w:rsidR="004831F5" w:rsidRPr="007D1918" w14:paraId="75EE4712" w14:textId="77777777" w:rsidTr="00153384">
        <w:tc>
          <w:tcPr>
            <w:tcW w:w="1696" w:type="dxa"/>
          </w:tcPr>
          <w:p w14:paraId="4136EB2E" w14:textId="77777777" w:rsidR="004831F5" w:rsidRPr="007D1918" w:rsidRDefault="004831F5" w:rsidP="00153384">
            <w:pPr>
              <w:spacing w:before="20" w:after="20" w:line="240" w:lineRule="auto"/>
              <w:ind w:left="0"/>
              <w:contextualSpacing/>
              <w:rPr>
                <w:rFonts w:ascii="Arial Narrow" w:hAnsi="Arial Narrow"/>
                <w:sz w:val="20"/>
                <w:szCs w:val="20"/>
              </w:rPr>
            </w:pPr>
            <w:r w:rsidRPr="007D1918">
              <w:rPr>
                <w:rFonts w:ascii="Arial Narrow" w:hAnsi="Arial Narrow"/>
                <w:sz w:val="20"/>
                <w:szCs w:val="20"/>
              </w:rPr>
              <w:t>Azathioprine</w:t>
            </w:r>
          </w:p>
        </w:tc>
        <w:tc>
          <w:tcPr>
            <w:tcW w:w="7371" w:type="dxa"/>
          </w:tcPr>
          <w:p w14:paraId="72E9299C" w14:textId="7C95B196" w:rsidR="004831F5" w:rsidRPr="007D1918" w:rsidRDefault="004831F5" w:rsidP="007D4948">
            <w:pPr>
              <w:pStyle w:val="Tablecontents"/>
              <w:spacing w:before="20" w:after="20"/>
              <w:ind w:left="0"/>
              <w:jc w:val="both"/>
            </w:pPr>
            <w:r w:rsidRPr="007D1918">
              <w:t xml:space="preserve">Azathioprine is a potential third-line agent for ongoing management. Liver enzymes and blood counts are required regularly and will need to be included in the cost analysis. While there may be some titration of dose either up or down depending on effectiveness, the overall cost is assumed to be similar each year </w:t>
            </w:r>
            <w:r w:rsidRPr="007D1918">
              <w:fldChar w:fldCharType="begin"/>
            </w:r>
            <w:r w:rsidR="007F4CDE" w:rsidRPr="007D1918">
              <w:instrText xml:space="preserve"> ADDIN EN.CITE &lt;EndNote&gt;&lt;Cite&gt;&lt;Author&gt;Drugs &amp;amp; Therapy Perspectives&lt;/Author&gt;&lt;Year&gt;2001&lt;/Year&gt;&lt;RecNum&gt;69&lt;/RecNum&gt;&lt;DisplayText&gt;(Drugs &amp;amp; Therapy Perspectives 2001)&lt;/DisplayText&gt;&lt;record&gt;&lt;rec-number&gt;69&lt;/rec-number&gt;&lt;foreign-keys&gt;&lt;key app="EN" db-id="2aevrx2slsts5ve9sdavatf125dsx0av2v9d" timestamp="1563282047"&gt;69&lt;/key&gt;&lt;/foreign-keys&gt;&lt;ref-type name="Journal Article"&gt;17&lt;/ref-type&gt;&lt;contributors&gt;&lt;authors&gt;&lt;author&gt;Drugs &amp;amp; Therapy Perspectives, &lt;/author&gt;&lt;/authors&gt;&lt;/contributors&gt;&lt;titles&gt;&lt;title&gt;Treatment alternatives in the successful management of myasthenia gravis&lt;/title&gt;&lt;secondary-title&gt;Drugs &amp;amp; Therapy Perspectives&lt;/secondary-title&gt;&lt;/titles&gt;&lt;periodical&gt;&lt;full-title&gt;Drugs &amp;amp; Therapy Perspectives&lt;/full-title&gt;&lt;/periodical&gt;&lt;pages&gt;12-15&lt;/pages&gt;&lt;volume&gt;17&lt;/volume&gt;&lt;number&gt;21&lt;/number&gt;&lt;keywords&gt;&lt;keyword&gt;Pharmacy&lt;/keyword&gt;&lt;keyword&gt;Pharmacotherapy&lt;/keyword&gt;&lt;keyword&gt;Pharmacy, Therapeutics, &amp;amp; Pharmacology&lt;/keyword&gt;&lt;/keywords&gt;&lt;dates&gt;&lt;year&gt;2001&lt;/year&gt;&lt;/dates&gt;&lt;pub-location&gt;Adis International, USA&lt;/pub-location&gt;&lt;isbn&gt;1172-0360&lt;/isbn&gt;&lt;urls&gt;&lt;related-urls&gt;&lt;url&gt;&lt;style face="underline" font="default" size="100%"&gt;https://www.medscape.com/viewarticle/434482_5&lt;/style&gt;&lt;/url&gt;&lt;url&gt;&lt;style face="underline" font="default" size="100%"&gt;https://link.springer.com/content/pdf/10.2165%2F00042310-200117210-00004.pdf&lt;/style&gt;&lt;/url&gt;&lt;/related-urls&gt;&lt;/urls&gt;&lt;electronic-resource-num&gt;10.2165/00042310-200117210-00004&lt;/electronic-resource-num&gt;&lt;remote-database-name&gt;Medscape&lt;/remote-database-name&gt;&lt;/record&gt;&lt;/Cite&gt;&lt;/EndNote&gt;</w:instrText>
            </w:r>
            <w:r w:rsidRPr="007D1918">
              <w:fldChar w:fldCharType="separate"/>
            </w:r>
            <w:r w:rsidRPr="007D1918">
              <w:rPr>
                <w:noProof/>
              </w:rPr>
              <w:t>(</w:t>
            </w:r>
            <w:hyperlink w:anchor="_ENREF_22" w:tooltip="Drugs &amp; Therapy Perspectives, 2001 #69" w:history="1">
              <w:r w:rsidR="007D4948" w:rsidRPr="007D1918">
                <w:rPr>
                  <w:noProof/>
                </w:rPr>
                <w:t>Drugs &amp; Therapy Perspectives 2001</w:t>
              </w:r>
            </w:hyperlink>
            <w:r w:rsidRPr="007D1918">
              <w:rPr>
                <w:noProof/>
              </w:rPr>
              <w:t>)</w:t>
            </w:r>
            <w:r w:rsidRPr="007D1918">
              <w:fldChar w:fldCharType="end"/>
            </w:r>
            <w:r w:rsidRPr="007D1918">
              <w:t>.</w:t>
            </w:r>
          </w:p>
        </w:tc>
      </w:tr>
      <w:tr w:rsidR="004831F5" w:rsidRPr="007D1918" w14:paraId="0519E5FC" w14:textId="77777777" w:rsidTr="00153384">
        <w:tc>
          <w:tcPr>
            <w:tcW w:w="1696" w:type="dxa"/>
          </w:tcPr>
          <w:p w14:paraId="5129720D" w14:textId="77777777" w:rsidR="004831F5" w:rsidRPr="007D1918" w:rsidRDefault="004831F5" w:rsidP="00153384">
            <w:pPr>
              <w:spacing w:before="20" w:after="20" w:line="240" w:lineRule="auto"/>
              <w:ind w:left="0"/>
              <w:contextualSpacing/>
              <w:rPr>
                <w:rFonts w:ascii="Arial Narrow" w:hAnsi="Arial Narrow"/>
                <w:sz w:val="20"/>
                <w:szCs w:val="20"/>
              </w:rPr>
            </w:pPr>
            <w:r w:rsidRPr="007D1918">
              <w:rPr>
                <w:rFonts w:ascii="Arial Narrow" w:hAnsi="Arial Narrow"/>
                <w:sz w:val="20"/>
                <w:szCs w:val="20"/>
              </w:rPr>
              <w:t xml:space="preserve">Methotrexate </w:t>
            </w:r>
          </w:p>
        </w:tc>
        <w:tc>
          <w:tcPr>
            <w:tcW w:w="7371" w:type="dxa"/>
          </w:tcPr>
          <w:p w14:paraId="3E0947F2" w14:textId="77777777" w:rsidR="004831F5" w:rsidRPr="007D1918" w:rsidRDefault="004831F5" w:rsidP="00153384">
            <w:pPr>
              <w:pStyle w:val="Tablecontents"/>
              <w:spacing w:before="20" w:after="20"/>
              <w:ind w:left="0"/>
              <w:jc w:val="both"/>
            </w:pPr>
            <w:r w:rsidRPr="007D1918">
              <w:t>Immunosuppression with methotrexate is another potential third-line agent for ongoing management. It is administered weekly and co-prescribed with folic acid (generally dosed 5 days a week, also on an ongoing basis). Liver enzymes and blood counts are required regularly and will also need to be included in the cost analysis. While there may be some titration of dose either up or down depending on effectiveness, the overall cost is assumed to be similar each year.</w:t>
            </w:r>
          </w:p>
        </w:tc>
      </w:tr>
      <w:tr w:rsidR="004831F5" w:rsidRPr="007D1918" w14:paraId="1690F7DF" w14:textId="77777777" w:rsidTr="00153384">
        <w:tc>
          <w:tcPr>
            <w:tcW w:w="1696" w:type="dxa"/>
          </w:tcPr>
          <w:p w14:paraId="4D98AA92" w14:textId="77777777" w:rsidR="004831F5" w:rsidRPr="007D1918" w:rsidRDefault="004831F5" w:rsidP="00153384">
            <w:pPr>
              <w:spacing w:before="20" w:after="20" w:line="240" w:lineRule="auto"/>
              <w:ind w:left="0"/>
              <w:contextualSpacing/>
              <w:rPr>
                <w:rFonts w:ascii="Arial Narrow" w:hAnsi="Arial Narrow"/>
                <w:sz w:val="20"/>
                <w:szCs w:val="20"/>
              </w:rPr>
            </w:pPr>
            <w:r w:rsidRPr="007D1918">
              <w:rPr>
                <w:rFonts w:ascii="Arial Narrow" w:hAnsi="Arial Narrow"/>
                <w:sz w:val="20"/>
                <w:szCs w:val="20"/>
              </w:rPr>
              <w:t xml:space="preserve">Cyclophosphamide </w:t>
            </w:r>
          </w:p>
        </w:tc>
        <w:tc>
          <w:tcPr>
            <w:tcW w:w="7371" w:type="dxa"/>
          </w:tcPr>
          <w:p w14:paraId="74D47B74" w14:textId="68861A66" w:rsidR="004831F5" w:rsidRPr="007D1918" w:rsidRDefault="004831F5" w:rsidP="007D4948">
            <w:pPr>
              <w:pStyle w:val="Tablecontents"/>
              <w:spacing w:before="20" w:after="20"/>
              <w:ind w:left="0"/>
              <w:jc w:val="both"/>
            </w:pPr>
            <w:r w:rsidRPr="007D1918">
              <w:t xml:space="preserve">Cyclophophamide is typically reserved for severe refractory cases, however that is consistent with the patient population of interest. An Australian article describes remission-induction pulsed IV cyclophosphamide every 4 weeks for 6 months, followed by ongoing maintenance with oral dosing </w:t>
            </w:r>
            <w:r w:rsidRPr="007D1918">
              <w:fldChar w:fldCharType="begin">
                <w:fldData xml:space="preserve">PEVuZE5vdGU+PENpdGU+PEF1dGhvcj5CdXp6YXJkPC9BdXRob3I+PFllYXI+MjAxNTwvWWVhcj48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</w:fldData>
              </w:fldChar>
            </w:r>
            <w:r w:rsidRPr="007D1918">
              <w:instrText xml:space="preserve"> ADDIN EN.CITE </w:instrText>
            </w:r>
            <w:r w:rsidRPr="007D1918">
              <w:fldChar w:fldCharType="begin">
                <w:fldData xml:space="preserve">PEVuZE5vdGU+PENpdGU+PEF1dGhvcj5CdXp6YXJkPC9BdXRob3I+PFllYXI+MjAxNTwvWWVhcj48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</w:fldData>
              </w:fldChar>
            </w:r>
            <w:r w:rsidRPr="007D1918">
              <w:instrText xml:space="preserve"> ADDIN EN.CITE.DATA </w:instrText>
            </w:r>
            <w:r w:rsidRPr="007D1918">
              <w:fldChar w:fldCharType="end"/>
            </w:r>
            <w:r w:rsidRPr="007D1918">
              <w:fldChar w:fldCharType="separate"/>
            </w:r>
            <w:r w:rsidRPr="007D1918">
              <w:rPr>
                <w:noProof/>
              </w:rPr>
              <w:t>(</w:t>
            </w:r>
            <w:hyperlink w:anchor="_ENREF_16" w:tooltip="Buzzard, 2015 #75" w:history="1">
              <w:r w:rsidR="007D4948" w:rsidRPr="007D1918">
                <w:rPr>
                  <w:noProof/>
                </w:rPr>
                <w:t>Buzzard et al. 2015</w:t>
              </w:r>
            </w:hyperlink>
            <w:r w:rsidRPr="007D1918">
              <w:rPr>
                <w:noProof/>
              </w:rPr>
              <w:t>)</w:t>
            </w:r>
            <w:r w:rsidRPr="007D1918">
              <w:fldChar w:fldCharType="end"/>
            </w:r>
            <w:r w:rsidRPr="007D1918">
              <w:t xml:space="preserve">. All patients receiving cyclophosphamide require blood and liver monitoring and IV therapy requires hospital supervised administrations, therefore these costs need to be </w:t>
            </w:r>
            <w:r w:rsidRPr="007D1918">
              <w:lastRenderedPageBreak/>
              <w:t>included. Due to the IV induction, cyclophosphamide costs will be highest in year 1, then remain constant for year 2 and beyond, where oral treatment is maintained.</w:t>
            </w:r>
          </w:p>
        </w:tc>
      </w:tr>
      <w:tr w:rsidR="004831F5" w:rsidRPr="007D1918" w14:paraId="15033746" w14:textId="77777777" w:rsidTr="00153384">
        <w:tc>
          <w:tcPr>
            <w:tcW w:w="1696" w:type="dxa"/>
          </w:tcPr>
          <w:p w14:paraId="5281DAAF" w14:textId="77777777" w:rsidR="004831F5" w:rsidRPr="007D1918" w:rsidRDefault="004831F5" w:rsidP="00153384">
            <w:pPr>
              <w:tabs>
                <w:tab w:val="center" w:pos="1590"/>
              </w:tabs>
              <w:spacing w:before="20" w:after="20" w:line="240" w:lineRule="auto"/>
              <w:ind w:left="0"/>
              <w:contextualSpacing/>
              <w:rPr>
                <w:rFonts w:ascii="Arial Narrow" w:hAnsi="Arial Narrow"/>
                <w:sz w:val="20"/>
                <w:szCs w:val="20"/>
              </w:rPr>
            </w:pPr>
            <w:r w:rsidRPr="007D1918">
              <w:rPr>
                <w:rFonts w:ascii="Arial Narrow" w:hAnsi="Arial Narrow"/>
                <w:sz w:val="20"/>
                <w:szCs w:val="20"/>
              </w:rPr>
              <w:lastRenderedPageBreak/>
              <w:t>Ciclosporin</w:t>
            </w:r>
          </w:p>
        </w:tc>
        <w:tc>
          <w:tcPr>
            <w:tcW w:w="7371" w:type="dxa"/>
          </w:tcPr>
          <w:p w14:paraId="5AAF6003" w14:textId="77777777" w:rsidR="004831F5" w:rsidRPr="007D1918" w:rsidRDefault="004831F5" w:rsidP="00153384">
            <w:pPr>
              <w:pStyle w:val="Tablecontents"/>
              <w:spacing w:before="20" w:after="20"/>
              <w:ind w:left="0"/>
              <w:jc w:val="both"/>
            </w:pPr>
            <w:r w:rsidRPr="007D1918">
              <w:t>Immunosuppression with ciclosporin is another potential third-line agent. Renal function should be monitored 4 weekly (PI) and liver enzymes and blood counts may also be monitored, which need to be included in the cost analysis. While there may be some titration of dose either up or down depending on effectiveness, the overall cost is assumed to be similar each year.</w:t>
            </w:r>
          </w:p>
        </w:tc>
      </w:tr>
      <w:tr w:rsidR="004831F5" w:rsidRPr="007D1918" w14:paraId="31A4483B" w14:textId="77777777" w:rsidTr="00153384">
        <w:tc>
          <w:tcPr>
            <w:tcW w:w="1696" w:type="dxa"/>
          </w:tcPr>
          <w:p w14:paraId="376C2649" w14:textId="77777777" w:rsidR="004831F5" w:rsidRPr="007D1918" w:rsidRDefault="004831F5" w:rsidP="00153384">
            <w:pPr>
              <w:spacing w:before="20" w:after="20" w:line="240" w:lineRule="auto"/>
              <w:ind w:left="0"/>
              <w:contextualSpacing/>
              <w:rPr>
                <w:rFonts w:ascii="Arial Narrow" w:hAnsi="Arial Narrow"/>
                <w:sz w:val="20"/>
                <w:szCs w:val="20"/>
              </w:rPr>
            </w:pPr>
            <w:r w:rsidRPr="007D1918">
              <w:rPr>
                <w:rFonts w:ascii="Arial Narrow" w:hAnsi="Arial Narrow"/>
                <w:sz w:val="20"/>
                <w:szCs w:val="20"/>
              </w:rPr>
              <w:t>Rituximab</w:t>
            </w:r>
          </w:p>
        </w:tc>
        <w:tc>
          <w:tcPr>
            <w:tcW w:w="7371" w:type="dxa"/>
          </w:tcPr>
          <w:p w14:paraId="4B059EA7" w14:textId="29562DEF" w:rsidR="004831F5" w:rsidRPr="007D1918" w:rsidRDefault="004831F5" w:rsidP="007D4948">
            <w:pPr>
              <w:pStyle w:val="Tablecontents"/>
              <w:spacing w:before="20" w:after="20"/>
              <w:ind w:left="0"/>
              <w:jc w:val="both"/>
            </w:pPr>
            <w:r w:rsidRPr="007D1918">
              <w:t xml:space="preserve">Although not registered or PBS reimbursed for use in MG, rituximab is provided in some public hospitals for refractory patients. Administration schedules vary, however a fixed dose (1g x 2 doses, 14 days apart) schedule appears common in Australia </w:t>
            </w:r>
            <w:r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Pr="007D1918">
              <w:instrText xml:space="preserve"> ADDIN EN.CITE </w:instrText>
            </w:r>
            <w:r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Pr="007D1918">
              <w:instrText xml:space="preserve"> ADDIN EN.CITE.DATA </w:instrText>
            </w:r>
            <w:r w:rsidRPr="007D1918">
              <w:fldChar w:fldCharType="end"/>
            </w:r>
            <w:r w:rsidRPr="007D1918">
              <w:fldChar w:fldCharType="separate"/>
            </w:r>
            <w:r w:rsidRPr="007D1918">
              <w:rPr>
                <w:noProof/>
              </w:rPr>
              <w:t>(</w:t>
            </w:r>
            <w:hyperlink w:anchor="_ENREF_17" w:tooltip="Chan, 2018 #21" w:history="1">
              <w:r w:rsidR="007D4948" w:rsidRPr="007D1918">
                <w:rPr>
                  <w:noProof/>
                </w:rPr>
                <w:t>Chan et al. 2018</w:t>
              </w:r>
            </w:hyperlink>
            <w:r w:rsidRPr="007D1918">
              <w:rPr>
                <w:noProof/>
              </w:rPr>
              <w:t>)</w:t>
            </w:r>
            <w:r w:rsidRPr="007D1918">
              <w:fldChar w:fldCharType="end"/>
            </w:r>
            <w:r w:rsidRPr="007D1918">
              <w:t>. Maintenance dosing is harder to characterise and appears to be provided on an as required basis, rather than scheduled. Data from Chan et al identifying can be used to estimate an average of an additional 1g was provided to patients every 2 years. This pattern of dosing with relevant administration costs will be applied to the cost analysis.</w:t>
            </w:r>
          </w:p>
        </w:tc>
      </w:tr>
    </w:tbl>
    <w:p w14:paraId="0673D7EE" w14:textId="77777777" w:rsidR="004831F5" w:rsidRPr="007D1918" w:rsidRDefault="004831F5" w:rsidP="004831F5">
      <w:pPr>
        <w:pStyle w:val="Tablenotes1"/>
      </w:pPr>
      <w:r w:rsidRPr="007D1918">
        <w:t>AV= arterio-venous; IVIg = intravenous immunoglobulin; MG = myasthenia gravis; IV = intravenous; IVAD = implantable vascular access device; PBS = Pharmaceutical Benefits Scheme; PE = plasma exchange; PI = Patient Information; TCVC = tunnelled central venous catheter</w:t>
      </w:r>
    </w:p>
    <w:p w14:paraId="252F666E" w14:textId="77777777" w:rsidR="004831F5" w:rsidRPr="007D1918" w:rsidRDefault="004831F5" w:rsidP="004831F5">
      <w:pPr>
        <w:pStyle w:val="Tablenotes1"/>
      </w:pPr>
      <w:r w:rsidRPr="007D1918">
        <w:rPr>
          <w:vertAlign w:val="superscript"/>
        </w:rPr>
        <w:t>a</w:t>
      </w:r>
      <w:r w:rsidRPr="007D1918">
        <w:t xml:space="preserve"> clinical advice provided by the Immunoglobulin Review Working Group</w:t>
      </w:r>
    </w:p>
    <w:p w14:paraId="267960CE" w14:textId="77777777" w:rsidR="004831F5" w:rsidRPr="007D1918" w:rsidRDefault="004831F5" w:rsidP="004831F5">
      <w:r w:rsidRPr="007D1918">
        <w:t>Detail on the prices of the resources used in each of the potential Indication 3 therapies is provided in Section D.4.</w:t>
      </w:r>
    </w:p>
    <w:p w14:paraId="54DDEC4D" w14:textId="77777777" w:rsidR="004831F5" w:rsidRPr="007D1918" w:rsidRDefault="004831F5" w:rsidP="00FA060E"/>
    <w:p w14:paraId="04AE064A" w14:textId="77777777" w:rsidR="008747C1" w:rsidRPr="007D1918" w:rsidRDefault="008747C1" w:rsidP="008747C1">
      <w:pPr>
        <w:pStyle w:val="Heading2"/>
        <w:numPr>
          <w:ilvl w:val="2"/>
          <w:numId w:val="13"/>
        </w:numPr>
      </w:pPr>
      <w:bookmarkStart w:id="347" w:name="_Toc23766988"/>
      <w:r w:rsidRPr="007D1918">
        <w:t>Transformation issues</w:t>
      </w:r>
      <w:bookmarkEnd w:id="347"/>
    </w:p>
    <w:p w14:paraId="2333F2AB" w14:textId="17339DA6" w:rsidR="008747C1" w:rsidRPr="007D1918" w:rsidRDefault="008747C1" w:rsidP="008747C1">
      <w:pPr>
        <w:jc w:val="both"/>
      </w:pPr>
      <w:r w:rsidRPr="007D1918">
        <w:t xml:space="preserve">The </w:t>
      </w:r>
      <w:r w:rsidR="005724E5" w:rsidRPr="007D1918">
        <w:t>Ig Review Reference Group</w:t>
      </w:r>
      <w:r w:rsidRPr="007D1918">
        <w:t xml:space="preserve"> requested that the difference in safety outcomes observed in the evidence for Indication 1</w:t>
      </w:r>
      <w:r w:rsidR="00D93C9E" w:rsidRPr="007D1918">
        <w:t xml:space="preserve"> and</w:t>
      </w:r>
      <w:r w:rsidRPr="007D1918">
        <w:t xml:space="preserve"> reviewed Section B</w:t>
      </w:r>
      <w:r w:rsidR="00D93C9E" w:rsidRPr="007D1918">
        <w:t>,</w:t>
      </w:r>
      <w:r w:rsidRPr="007D1918">
        <w:t xml:space="preserve"> be translated into quality adjusted life years. The relevant translation issues are presented below.</w:t>
      </w:r>
    </w:p>
    <w:p w14:paraId="1AF13CED" w14:textId="281EB836" w:rsidR="008747C1" w:rsidRPr="007D1918" w:rsidRDefault="005D2112" w:rsidP="008747C1">
      <w:pPr>
        <w:jc w:val="both"/>
      </w:pPr>
      <w:r w:rsidRPr="007D1918">
        <w:t>For I</w:t>
      </w:r>
      <w:r w:rsidR="008747C1" w:rsidRPr="007D1918">
        <w:t xml:space="preserve">ndication 2, there was </w:t>
      </w:r>
      <w:r w:rsidR="009D39D4" w:rsidRPr="007D1918">
        <w:t xml:space="preserve">insufficient evidence </w:t>
      </w:r>
      <w:r w:rsidR="00CC3ACF" w:rsidRPr="007D1918">
        <w:t xml:space="preserve">to determine any </w:t>
      </w:r>
      <w:r w:rsidR="008747C1" w:rsidRPr="007D1918">
        <w:t xml:space="preserve">difference in clinical or safety outcomes. The difference in surgical time identified in the clinical assessment of Indication 2 was not associated with a patient-relevant health outcome and therefore, although impacting resource use, it is not associated with a QALY difference. </w:t>
      </w:r>
    </w:p>
    <w:p w14:paraId="33BB096B" w14:textId="4BEE4EAB" w:rsidR="008747C1" w:rsidRPr="007D1918" w:rsidRDefault="005D2112" w:rsidP="008747C1">
      <w:pPr>
        <w:jc w:val="both"/>
      </w:pPr>
      <w:r w:rsidRPr="007D1918">
        <w:t>With respect to I</w:t>
      </w:r>
      <w:r w:rsidR="008747C1" w:rsidRPr="007D1918">
        <w:t>ndication 3, no differences were observed in clinical or safety outcomes when comparing IVIg to PE, and there was inadequate evidence to quantify differences in effectiveness or safety that may exist between IVIg and the other potential comparators. However</w:t>
      </w:r>
      <w:r w:rsidR="00DA7EBF" w:rsidRPr="007D1918">
        <w:t>,</w:t>
      </w:r>
      <w:r w:rsidR="008747C1" w:rsidRPr="007D1918">
        <w:t xml:space="preserve"> evidence in broader populations receiving PE indicate a safety concern with respect to </w:t>
      </w:r>
      <w:r w:rsidR="00255DE0" w:rsidRPr="007D1918">
        <w:t xml:space="preserve">IV access-related </w:t>
      </w:r>
      <w:r w:rsidR="008747C1" w:rsidRPr="007D1918">
        <w:t xml:space="preserve">infection and </w:t>
      </w:r>
      <w:r w:rsidR="00D93C9E" w:rsidRPr="007D1918">
        <w:t xml:space="preserve">an </w:t>
      </w:r>
      <w:r w:rsidR="008747C1" w:rsidRPr="007D1918">
        <w:t xml:space="preserve">exploratory </w:t>
      </w:r>
      <w:r w:rsidR="00255DE0" w:rsidRPr="007D1918">
        <w:t xml:space="preserve">cost-utility </w:t>
      </w:r>
      <w:r w:rsidR="008747C1" w:rsidRPr="007D1918">
        <w:t xml:space="preserve">analysis </w:t>
      </w:r>
      <w:r w:rsidR="00D93C9E" w:rsidRPr="007D1918">
        <w:t>was</w:t>
      </w:r>
      <w:r w:rsidR="002C1799" w:rsidRPr="007D1918">
        <w:t xml:space="preserve"> </w:t>
      </w:r>
      <w:r w:rsidR="008747C1" w:rsidRPr="007D1918">
        <w:t xml:space="preserve">undertaken </w:t>
      </w:r>
      <w:r w:rsidR="00D93C9E" w:rsidRPr="007D1918">
        <w:t>at the request of the Ig Review Reference Group.</w:t>
      </w:r>
    </w:p>
    <w:p w14:paraId="296525FD" w14:textId="77777777" w:rsidR="008747C1" w:rsidRPr="007D1918" w:rsidRDefault="008747C1" w:rsidP="008747C1">
      <w:pPr>
        <w:pStyle w:val="Heading3"/>
      </w:pPr>
      <w:bookmarkStart w:id="348" w:name="_Toc23766989"/>
      <w:r w:rsidRPr="007D1918">
        <w:t>Indication 1</w:t>
      </w:r>
      <w:bookmarkEnd w:id="348"/>
    </w:p>
    <w:p w14:paraId="286F25C4" w14:textId="05DBBD85" w:rsidR="008747C1" w:rsidRPr="007D1918" w:rsidRDefault="008747C1" w:rsidP="008747C1">
      <w:pPr>
        <w:pStyle w:val="Heading4"/>
      </w:pPr>
      <w:bookmarkStart w:id="349" w:name="_Ref23406163"/>
      <w:r w:rsidRPr="007D1918">
        <w:t>C.4.1.</w:t>
      </w:r>
      <w:r w:rsidRPr="007D1918">
        <w:tab/>
        <w:t>Which safety (adverse effect) differences identified in the clinical analysis should be incorporated into the economic evaluation?</w:t>
      </w:r>
      <w:bookmarkEnd w:id="349"/>
    </w:p>
    <w:p w14:paraId="4B089549" w14:textId="229C5B81" w:rsidR="008747C1" w:rsidRPr="007D1918" w:rsidRDefault="008747C1" w:rsidP="008747C1">
      <w:pPr>
        <w:jc w:val="both"/>
      </w:pPr>
      <w:r w:rsidRPr="007D1918">
        <w:t xml:space="preserve">Although the clinical assessment did not identify a difference in effectiveness outcomes, a difference in safety outcomes was identified, such that a cost comparison or cost-minimisation analysis alone </w:t>
      </w:r>
      <w:r w:rsidRPr="007D1918">
        <w:lastRenderedPageBreak/>
        <w:t xml:space="preserve">does not provide adequate information to compare the value of Ig vs PE in Indication 1. A detailed summary of the adverse events associated with IVIg and PE in Indication 1 patients with statistical analysis was presented in Section B.6, </w:t>
      </w:r>
      <w:r w:rsidRPr="007D1918">
        <w:fldChar w:fldCharType="begin"/>
      </w:r>
      <w:r w:rsidRPr="007D1918">
        <w:instrText xml:space="preserve"> REF _Ref7517280 \h </w:instrText>
      </w:r>
      <w:r w:rsidR="00E07567" w:rsidRPr="007D1918">
        <w:instrText xml:space="preserve"> \* MERGEFORMAT </w:instrText>
      </w:r>
      <w:r w:rsidRPr="007D1918">
        <w:fldChar w:fldCharType="separate"/>
      </w:r>
      <w:r w:rsidR="00153384" w:rsidRPr="007D1918">
        <w:t xml:space="preserve">Table </w:t>
      </w:r>
      <w:r w:rsidR="00153384" w:rsidRPr="007D1918">
        <w:rPr>
          <w:noProof/>
        </w:rPr>
        <w:t>17</w:t>
      </w:r>
      <w:r w:rsidRPr="007D1918">
        <w:fldChar w:fldCharType="end"/>
      </w:r>
      <w:r w:rsidRPr="007D1918">
        <w:t>.</w:t>
      </w:r>
    </w:p>
    <w:p w14:paraId="2353FD7E" w14:textId="636F18D6" w:rsidR="008747C1" w:rsidRPr="007D1918" w:rsidRDefault="008747C1" w:rsidP="008747C1">
      <w:pPr>
        <w:jc w:val="both"/>
      </w:pPr>
      <w:r w:rsidRPr="007D1918">
        <w:rPr>
          <w:snapToGrid w:val="0"/>
          <w:lang w:eastAsia="en-US"/>
        </w:rPr>
        <w:t xml:space="preserve">There were only small patient numbers in the RCT and likely bias in the non-randomised studies, therefore an estimate of economic impacts (e.g. quality of life and resource use differences) based on this data are highly uncertain. It unlikely that the adverse event profile captured in the clinical trial with 41-46 patients per arm would represent the range of adverse types and rates that would occur when providing either therapy over the relevant Australian population; however the differential in adverse events between arms is broadly consistent with the observational study data (shown in </w:t>
      </w:r>
      <w:r w:rsidRPr="007D1918">
        <w:rPr>
          <w:snapToGrid w:val="0"/>
          <w:lang w:eastAsia="en-US"/>
        </w:rPr>
        <w:fldChar w:fldCharType="begin"/>
      </w:r>
      <w:r w:rsidRPr="007D1918">
        <w:rPr>
          <w:snapToGrid w:val="0"/>
          <w:lang w:eastAsia="en-US"/>
        </w:rPr>
        <w:instrText xml:space="preserve"> REF _Ref7517280 \h </w:instrText>
      </w:r>
      <w:r w:rsidR="00E07567" w:rsidRPr="007D1918">
        <w:rPr>
          <w:snapToGrid w:val="0"/>
          <w:lang w:eastAsia="en-US"/>
        </w:rPr>
        <w:instrText xml:space="preserve"> \* MERGEFORMAT </w:instrText>
      </w:r>
      <w:r w:rsidRPr="007D1918">
        <w:rPr>
          <w:snapToGrid w:val="0"/>
          <w:lang w:eastAsia="en-US"/>
        </w:rPr>
      </w:r>
      <w:r w:rsidRPr="007D1918">
        <w:rPr>
          <w:snapToGrid w:val="0"/>
          <w:lang w:eastAsia="en-US"/>
        </w:rPr>
        <w:fldChar w:fldCharType="separate"/>
      </w:r>
      <w:r w:rsidR="00153384" w:rsidRPr="007D1918">
        <w:t xml:space="preserve">Table </w:t>
      </w:r>
      <w:r w:rsidR="00153384" w:rsidRPr="007D1918">
        <w:rPr>
          <w:noProof/>
        </w:rPr>
        <w:t>17</w:t>
      </w:r>
      <w:r w:rsidRPr="007D1918">
        <w:rPr>
          <w:snapToGrid w:val="0"/>
          <w:lang w:eastAsia="en-US"/>
        </w:rPr>
        <w:fldChar w:fldCharType="end"/>
      </w:r>
      <w:r w:rsidRPr="007D1918">
        <w:rPr>
          <w:snapToGrid w:val="0"/>
          <w:lang w:eastAsia="en-US"/>
        </w:rPr>
        <w:t>, Section B.6) which is reassuring.</w:t>
      </w:r>
    </w:p>
    <w:p w14:paraId="68309ACB" w14:textId="77777777" w:rsidR="008747C1" w:rsidRPr="007D1918" w:rsidRDefault="008747C1" w:rsidP="008747C1">
      <w:pPr>
        <w:jc w:val="both"/>
        <w:rPr>
          <w:snapToGrid w:val="0"/>
          <w:lang w:eastAsia="en-US"/>
        </w:rPr>
      </w:pPr>
      <w:r w:rsidRPr="007D1918">
        <w:rPr>
          <w:snapToGrid w:val="0"/>
          <w:lang w:eastAsia="en-US"/>
        </w:rPr>
        <w:t>Generally the adverse events in Gajdos are not described in detail; it appears that many are transient and of little clinical or economic significance given the context that the patient has MG crisis and is in an ICU hospital setting. For example; e.g. headache, hypotension, tachycardia and nausea/vomiting are assumed to have no incremental impact on quality of life or resource use in this context. Therefore, no adverse events associated with IVIg are relevant to the economic evaluation, and only the serious adverse effects associated with PE need incorporation.</w:t>
      </w:r>
    </w:p>
    <w:p w14:paraId="2BAF5DA6" w14:textId="253234FA" w:rsidR="008747C1" w:rsidRPr="007D1918" w:rsidRDefault="008747C1" w:rsidP="008747C1">
      <w:pPr>
        <w:jc w:val="both"/>
        <w:rPr>
          <w:snapToGrid w:val="0"/>
          <w:lang w:eastAsia="en-US"/>
        </w:rPr>
      </w:pPr>
      <w:r w:rsidRPr="007D1918">
        <w:rPr>
          <w:snapToGrid w:val="0"/>
          <w:lang w:eastAsia="en-US"/>
        </w:rPr>
        <w:t>Two PE-associated adverse events are described as highly clinically significant by Gajdos; a retroperitoneal haematoma and a femoral thrombosis. Retroperitoneal haematoma is a rare but very serious, potentially life-threatening adverse event associated with anticoagulation and apheresis; typically requiring intensive care for a week; this would have quality of life and resource use implications. Likewise</w:t>
      </w:r>
      <w:r w:rsidR="005724E5" w:rsidRPr="007D1918">
        <w:rPr>
          <w:snapToGrid w:val="0"/>
          <w:lang w:eastAsia="en-US"/>
        </w:rPr>
        <w:t>,</w:t>
      </w:r>
      <w:r w:rsidRPr="007D1918">
        <w:rPr>
          <w:snapToGrid w:val="0"/>
          <w:lang w:eastAsia="en-US"/>
        </w:rPr>
        <w:t xml:space="preserve"> femoral thrombosis is a serious </w:t>
      </w:r>
      <w:r w:rsidR="0037232F" w:rsidRPr="007D1918">
        <w:rPr>
          <w:snapToGrid w:val="0"/>
          <w:lang w:eastAsia="en-US"/>
        </w:rPr>
        <w:t>adverse event requiring</w:t>
      </w:r>
      <w:r w:rsidRPr="007D1918">
        <w:rPr>
          <w:snapToGrid w:val="0"/>
          <w:lang w:eastAsia="en-US"/>
        </w:rPr>
        <w:t xml:space="preserve"> medical management and monitoring over many weeks and will also have quality of life and resource use implications. These events are therefore included in the economic analysis, each in 2.44% (i.e. 1/41) of patients.</w:t>
      </w:r>
    </w:p>
    <w:p w14:paraId="01A88578" w14:textId="06377680" w:rsidR="008747C1" w:rsidRPr="007D1918" w:rsidRDefault="008747C1" w:rsidP="008747C1">
      <w:pPr>
        <w:jc w:val="both"/>
        <w:rPr>
          <w:snapToGrid w:val="0"/>
          <w:lang w:eastAsia="en-US"/>
        </w:rPr>
      </w:pPr>
      <w:r w:rsidRPr="007D1918">
        <w:rPr>
          <w:snapToGrid w:val="0"/>
          <w:lang w:eastAsia="en-US"/>
        </w:rPr>
        <w:t xml:space="preserve">Although Gajdos did not identify infection as a clinically relevant adverse event; this is a recognised adverse event associated with PE </w:t>
      </w:r>
      <w:r w:rsidR="007F4CDE" w:rsidRPr="007D1918">
        <w:rPr>
          <w:snapToGrid w:val="0"/>
          <w:lang w:eastAsia="en-US"/>
        </w:rPr>
        <w:fldChar w:fldCharType="begin"/>
      </w:r>
      <w:r w:rsidR="007F4CDE" w:rsidRPr="007D1918">
        <w:rPr>
          <w:snapToGrid w:val="0"/>
          <w:lang w:eastAsia="en-US"/>
        </w:rPr>
        <w:instrText xml:space="preserve"> ADDIN EN.CITE &lt;EndNote&gt;&lt;Cite&gt;&lt;Author&gt;Vucic&lt;/Author&gt;&lt;Year&gt;1998&lt;/Year&gt;&lt;RecNum&gt;36&lt;/RecNum&gt;&lt;DisplayText&gt;(Vucic &amp;amp; Davies 1998)&lt;/DisplayText&gt;&lt;record&gt;&lt;rec-number&gt;36&lt;/rec-number&gt;&lt;foreign-keys&gt;&lt;key app="EN" db-id="2aevrx2slsts5ve9sdavatf125dsx0av2v9d" timestamp="1561528498"&gt;36&lt;/key&gt;&lt;/foreign-keys&gt;&lt;ref-type name="Journal Article"&gt;17&lt;/ref-type&gt;&lt;contributors&gt;&lt;authors&gt;&lt;author&gt;Vucic, S.&lt;/author&gt;&lt;author&gt;Davies, L.&lt;/author&gt;&lt;/authors&gt;&lt;/contributors&gt;&lt;auth-address&gt;Department of Neurology, Royal Prince Alfred Hospital, Sydney, NSW.&lt;/auth-address&gt;&lt;titles&gt;&lt;title&gt;Safety of plasmapheresis in the treatment of neurological disease&lt;/title&gt;&lt;secondary-title&gt;Aust N Z J Med&lt;/secondary-title&gt;&lt;/titles&gt;&lt;periodical&gt;&lt;full-title&gt;Aust N Z J Med&lt;/full-title&gt;&lt;/periodical&gt;&lt;pages&gt;301-5&lt;/pages&gt;&lt;volume&gt;28&lt;/volume&gt;&lt;number&gt;3&lt;/number&gt;&lt;edition&gt;1998/07/23&lt;/edition&gt;&lt;keywords&gt;&lt;keyword&gt;Adult&lt;/keyword&gt;&lt;keyword&gt;Aged&lt;/keyword&gt;&lt;keyword&gt;Aged, 80 and over&lt;/keyword&gt;&lt;keyword&gt;Blood-Borne Pathogens&lt;/keyword&gt;&lt;keyword&gt;Catheterization, Peripheral/instrumentation&lt;/keyword&gt;&lt;keyword&gt;Equipment Failure Analysis&lt;/keyword&gt;&lt;keyword&gt;Female&lt;/keyword&gt;&lt;keyword&gt;Humans&lt;/keyword&gt;&lt;keyword&gt;Male&lt;/keyword&gt;&lt;keyword&gt;Middle Aged&lt;/keyword&gt;&lt;keyword&gt;Nervous System Diseases/ therapy&lt;/keyword&gt;&lt;keyword&gt;New South Wales&lt;/keyword&gt;&lt;keyword&gt;Plasmapheresis/ adverse effects/instrumentation&lt;/keyword&gt;&lt;keyword&gt;Retrospective Studies&lt;/keyword&gt;&lt;keyword&gt;Risk Factors&lt;/keyword&gt;&lt;keyword&gt;Sepsis/etiology&lt;/keyword&gt;&lt;/keywords&gt;&lt;dates&gt;&lt;year&gt;1998&lt;/year&gt;&lt;pub-dates&gt;&lt;date&gt;Jun&lt;/date&gt;&lt;/pub-dates&gt;&lt;/dates&gt;&lt;isbn&gt;0004-8291 (Print)&amp;#xD;0004-8291 (Linking)&lt;/isbn&gt;&lt;accession-num&gt;9673740&lt;/accession-num&gt;&lt;urls&gt;&lt;related-urls&gt;&lt;url&gt;https://onlinelibrary.wiley.com/doi/pdf/10.1111/j.1445-5994.1998.tb01952.x&lt;/url&gt;&lt;/related-urls&gt;&lt;/urls&gt;&lt;remote-database-provider&gt;NLM&lt;/remote-database-provider&gt;&lt;language&gt;eng&lt;/language&gt;&lt;/record&gt;&lt;/Cite&gt;&lt;/EndNote&gt;</w:instrText>
      </w:r>
      <w:r w:rsidR="007F4CDE" w:rsidRPr="007D1918">
        <w:rPr>
          <w:snapToGrid w:val="0"/>
          <w:lang w:eastAsia="en-US"/>
        </w:rPr>
        <w:fldChar w:fldCharType="separate"/>
      </w:r>
      <w:r w:rsidR="007F4CDE" w:rsidRPr="007D1918">
        <w:rPr>
          <w:noProof/>
          <w:snapToGrid w:val="0"/>
          <w:lang w:eastAsia="en-US"/>
        </w:rPr>
        <w:t>(</w:t>
      </w:r>
      <w:hyperlink w:anchor="_ENREF_102" w:tooltip="Vucic, 1998 #36" w:history="1">
        <w:r w:rsidR="007D4948" w:rsidRPr="007D1918">
          <w:rPr>
            <w:noProof/>
            <w:snapToGrid w:val="0"/>
            <w:lang w:eastAsia="en-US"/>
          </w:rPr>
          <w:t>Vucic &amp; Davies 1998</w:t>
        </w:r>
      </w:hyperlink>
      <w:r w:rsidR="007F4CDE" w:rsidRPr="007D1918">
        <w:rPr>
          <w:noProof/>
          <w:snapToGrid w:val="0"/>
          <w:lang w:eastAsia="en-US"/>
        </w:rPr>
        <w:t>)</w:t>
      </w:r>
      <w:r w:rsidR="007F4CDE" w:rsidRPr="007D1918">
        <w:rPr>
          <w:snapToGrid w:val="0"/>
          <w:lang w:eastAsia="en-US"/>
        </w:rPr>
        <w:fldChar w:fldCharType="end"/>
      </w:r>
      <w:r w:rsidRPr="007D1918">
        <w:rPr>
          <w:snapToGrid w:val="0"/>
          <w:lang w:eastAsia="en-US"/>
        </w:rPr>
        <w:t xml:space="preserve">, and was reported as a relevant safety outcome, in the non-randomised studies of PE used for MG crisis. Statistically significant differences in the rates of infection in these studies are reported in </w:t>
      </w:r>
      <w:r w:rsidRPr="007D1918">
        <w:rPr>
          <w:snapToGrid w:val="0"/>
          <w:lang w:eastAsia="en-US"/>
        </w:rPr>
        <w:fldChar w:fldCharType="begin"/>
      </w:r>
      <w:r w:rsidRPr="007D1918">
        <w:rPr>
          <w:snapToGrid w:val="0"/>
          <w:lang w:eastAsia="en-US"/>
        </w:rPr>
        <w:instrText xml:space="preserve"> REF _Ref8309271 \h  \* MERGEFORMAT </w:instrText>
      </w:r>
      <w:r w:rsidRPr="007D1918">
        <w:rPr>
          <w:snapToGrid w:val="0"/>
          <w:lang w:eastAsia="en-US"/>
        </w:rPr>
      </w:r>
      <w:r w:rsidRPr="007D1918">
        <w:rPr>
          <w:snapToGrid w:val="0"/>
          <w:lang w:eastAsia="en-US"/>
        </w:rPr>
        <w:fldChar w:fldCharType="separate"/>
      </w:r>
      <w:r w:rsidRPr="007D1918">
        <w:t xml:space="preserve">Table </w:t>
      </w:r>
      <w:r w:rsidRPr="007D1918">
        <w:rPr>
          <w:noProof/>
        </w:rPr>
        <w:t>27</w:t>
      </w:r>
      <w:r w:rsidRPr="007D1918">
        <w:rPr>
          <w:snapToGrid w:val="0"/>
          <w:lang w:eastAsia="en-US"/>
        </w:rPr>
        <w:fldChar w:fldCharType="end"/>
      </w:r>
      <w:r w:rsidRPr="007D1918">
        <w:rPr>
          <w:snapToGrid w:val="0"/>
          <w:lang w:eastAsia="en-US"/>
        </w:rPr>
        <w:t xml:space="preserve">; Mandawat identified an 8.23% excess in the rate of systemic infection associated with PE, and </w:t>
      </w:r>
      <w:hyperlink w:anchor="_ENREF_60" w:tooltip="Pittayanon, 2009 #86" w:history="1">
        <w:r w:rsidRPr="007D1918">
          <w:rPr>
            <w:noProof/>
            <w:snapToGrid w:val="0"/>
          </w:rPr>
          <w:t>Pittayanon et al 2009</w:t>
        </w:r>
      </w:hyperlink>
      <w:r w:rsidRPr="007D1918">
        <w:rPr>
          <w:noProof/>
          <w:snapToGrid w:val="0"/>
        </w:rPr>
        <w:t xml:space="preserve"> identified a 7.1% exces</w:t>
      </w:r>
      <w:r w:rsidR="0037232F" w:rsidRPr="007D1918">
        <w:rPr>
          <w:noProof/>
          <w:snapToGrid w:val="0"/>
        </w:rPr>
        <w:t>s</w:t>
      </w:r>
      <w:r w:rsidRPr="007D1918">
        <w:rPr>
          <w:noProof/>
          <w:snapToGrid w:val="0"/>
        </w:rPr>
        <w:t xml:space="preserve"> in ventilator or hospital-acquired pneumonia</w:t>
      </w:r>
      <w:r w:rsidRPr="007D1918">
        <w:rPr>
          <w:snapToGrid w:val="0"/>
          <w:lang w:eastAsia="en-US"/>
        </w:rPr>
        <w:t>. The Ig Review Reference Group advised that PE-associated systemic infection, e.g. septicaemia, of clinical and economic significance (e.g. resulting in extended ICU stay); may be expected occasionally, and suggested that a scenario analysis explore this. For this analysis two different rates of infection are tested;</w:t>
      </w:r>
    </w:p>
    <w:p w14:paraId="3915101B" w14:textId="77777777" w:rsidR="008747C1" w:rsidRPr="007D1918" w:rsidRDefault="008747C1" w:rsidP="008747C1">
      <w:pPr>
        <w:pStyle w:val="ListParagraph"/>
        <w:numPr>
          <w:ilvl w:val="0"/>
          <w:numId w:val="47"/>
        </w:numPr>
        <w:jc w:val="both"/>
        <w:rPr>
          <w:snapToGrid w:val="0"/>
          <w:lang w:eastAsia="en-US"/>
        </w:rPr>
      </w:pPr>
      <w:r w:rsidRPr="007D1918">
        <w:rPr>
          <w:snapToGrid w:val="0"/>
          <w:lang w:eastAsia="en-US"/>
        </w:rPr>
        <w:t>A rate of 7.67%, based on the average observed infection rates in Mandawat and Pittaynon.</w:t>
      </w:r>
    </w:p>
    <w:p w14:paraId="7817A889" w14:textId="15FE1C94" w:rsidR="008747C1" w:rsidRPr="007D1918" w:rsidRDefault="008747C1" w:rsidP="008747C1">
      <w:pPr>
        <w:pStyle w:val="ListParagraph"/>
        <w:numPr>
          <w:ilvl w:val="0"/>
          <w:numId w:val="47"/>
        </w:numPr>
        <w:jc w:val="both"/>
        <w:rPr>
          <w:snapToGrid w:val="0"/>
          <w:lang w:eastAsia="en-US"/>
        </w:rPr>
      </w:pPr>
      <w:r w:rsidRPr="007D1918">
        <w:rPr>
          <w:snapToGrid w:val="0"/>
          <w:lang w:eastAsia="en-US"/>
        </w:rPr>
        <w:t>A rate of 4.88%; assuming that the two PE patients in Gajdos reporting ‘fever’ represent economically relevant infection</w:t>
      </w:r>
      <w:r w:rsidR="0037232F" w:rsidRPr="007D1918">
        <w:rPr>
          <w:snapToGrid w:val="0"/>
          <w:lang w:eastAsia="en-US"/>
        </w:rPr>
        <w:t>.</w:t>
      </w:r>
      <w:r w:rsidRPr="007D1918">
        <w:rPr>
          <w:snapToGrid w:val="0"/>
          <w:lang w:eastAsia="en-US"/>
        </w:rPr>
        <w:t xml:space="preserve"> </w:t>
      </w:r>
      <w:r w:rsidR="0037232F" w:rsidRPr="007D1918">
        <w:rPr>
          <w:snapToGrid w:val="0"/>
          <w:lang w:eastAsia="en-US"/>
        </w:rPr>
        <w:t>T</w:t>
      </w:r>
      <w:r w:rsidRPr="007D1918">
        <w:rPr>
          <w:snapToGrid w:val="0"/>
          <w:lang w:eastAsia="en-US"/>
        </w:rPr>
        <w:t xml:space="preserve">his is lower than the infection rates in the observational </w:t>
      </w:r>
      <w:r w:rsidRPr="007D1918">
        <w:rPr>
          <w:snapToGrid w:val="0"/>
          <w:lang w:eastAsia="en-US"/>
        </w:rPr>
        <w:lastRenderedPageBreak/>
        <w:t>studies but may be reasonable given not all identified infections would necessarily have serious consequences.</w:t>
      </w:r>
    </w:p>
    <w:p w14:paraId="65736E45" w14:textId="1F8F0A93" w:rsidR="003E5C47" w:rsidRPr="007D1918" w:rsidRDefault="008747C1" w:rsidP="008747C1">
      <w:pPr>
        <w:jc w:val="both"/>
        <w:rPr>
          <w:snapToGrid w:val="0"/>
          <w:lang w:eastAsia="en-US"/>
        </w:rPr>
      </w:pPr>
      <w:r w:rsidRPr="007D1918">
        <w:rPr>
          <w:snapToGrid w:val="0"/>
          <w:lang w:eastAsia="en-US"/>
        </w:rPr>
        <w:t xml:space="preserve">Although none of the studies report mortality as being directly associated with PE, </w:t>
      </w:r>
      <w:r w:rsidR="007F4CDE" w:rsidRPr="007D1918">
        <w:rPr>
          <w:snapToGrid w:val="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007F4CDE" w:rsidRPr="007D1918">
        <w:rPr>
          <w:snapToGrid w:val="0"/>
          <w:lang w:eastAsia="en-US"/>
        </w:rPr>
      </w:r>
      <w:r w:rsidR="007F4CDE" w:rsidRPr="007D1918">
        <w:rPr>
          <w:snapToGrid w:val="0"/>
          <w:lang w:eastAsia="en-US"/>
        </w:rPr>
        <w:fldChar w:fldCharType="separate"/>
      </w:r>
      <w:r w:rsidR="007F4CDE" w:rsidRPr="007D1918">
        <w:rPr>
          <w:noProof/>
          <w:snapToGrid w:val="0"/>
          <w:lang w:eastAsia="en-US"/>
        </w:rPr>
        <w:t>(</w:t>
      </w:r>
      <w:hyperlink w:anchor="_ENREF_64" w:tooltip="Mandawat, 2010 #37" w:history="1">
        <w:r w:rsidR="007D4948" w:rsidRPr="007D1918">
          <w:rPr>
            <w:noProof/>
            <w:snapToGrid w:val="0"/>
            <w:lang w:eastAsia="en-US"/>
          </w:rPr>
          <w:t>Mandawat et al. 2010</w:t>
        </w:r>
      </w:hyperlink>
      <w:r w:rsidR="007F4CDE" w:rsidRPr="007D1918">
        <w:rPr>
          <w:noProof/>
          <w:snapToGrid w:val="0"/>
          <w:lang w:eastAsia="en-US"/>
        </w:rPr>
        <w:t>)</w:t>
      </w:r>
      <w:r w:rsidR="007F4CDE" w:rsidRPr="007D1918">
        <w:rPr>
          <w:snapToGrid w:val="0"/>
          <w:lang w:eastAsia="en-US"/>
        </w:rPr>
        <w:fldChar w:fldCharType="end"/>
      </w:r>
      <w:r w:rsidRPr="007D1918">
        <w:rPr>
          <w:snapToGrid w:val="0"/>
          <w:lang w:eastAsia="en-US"/>
        </w:rPr>
        <w:t xml:space="preserve"> mortality rates trended to favour IVIg, and the bleeding and thrombotic risks reported are recognised to be serious and potentially life-threatening.</w:t>
      </w:r>
    </w:p>
    <w:p w14:paraId="59C95374" w14:textId="2F604908" w:rsidR="003E5C47" w:rsidRPr="007D1918" w:rsidRDefault="003E5C47" w:rsidP="008747C1">
      <w:pPr>
        <w:jc w:val="both"/>
        <w:rPr>
          <w:snapToGrid w:val="0"/>
          <w:lang w:eastAsia="en-US"/>
        </w:rPr>
      </w:pPr>
      <w:r w:rsidRPr="007D1918">
        <w:rPr>
          <w:snapToGrid w:val="0"/>
          <w:lang w:eastAsia="en-US"/>
        </w:rPr>
        <w:t xml:space="preserve">Clinical advice provided during the assessment suggested that mortality secondary to sepsis would likely be the largest contributing factor to overall mortality associated with PE. Australian data </w:t>
      </w:r>
      <w:r w:rsidR="00D85923" w:rsidRPr="007D1918">
        <w:rPr>
          <w:snapToGrid w:val="0"/>
          <w:lang w:eastAsia="en-US"/>
        </w:rPr>
        <w:t xml:space="preserve">identified that the mortality rate for severe sepsis in ICU patients in 2012 was 18.4% </w:t>
      </w:r>
      <w:r w:rsidR="007D4948" w:rsidRPr="007D1918">
        <w:rPr>
          <w:snapToGrid w:val="0"/>
          <w:lang w:eastAsia="en-US"/>
        </w:rPr>
        <w:fldChar w:fldCharType="begin">
          <w:fldData xml:space="preserve">PEVuZE5vdGU+PENpdGU+PEF1dGhvcj5LYXVrb25lbjwvQXV0aG9yPjxZZWFyPjIwMTQ8L1llYXI+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</w:fldData>
        </w:fldChar>
      </w:r>
      <w:r w:rsidR="007D4948" w:rsidRPr="007D1918">
        <w:rPr>
          <w:snapToGrid w:val="0"/>
          <w:lang w:eastAsia="en-US"/>
        </w:rPr>
        <w:instrText xml:space="preserve"> ADDIN EN.CITE </w:instrText>
      </w:r>
      <w:r w:rsidR="007D4948" w:rsidRPr="007D1918">
        <w:rPr>
          <w:snapToGrid w:val="0"/>
          <w:lang w:eastAsia="en-US"/>
        </w:rPr>
        <w:fldChar w:fldCharType="begin">
          <w:fldData xml:space="preserve">PEVuZE5vdGU+PENpdGU+PEF1dGhvcj5LYXVrb25lbjwvQXV0aG9yPjxZZWFyPjIwMTQ8L1llYXI+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</w:fldData>
        </w:fldChar>
      </w:r>
      <w:r w:rsidR="007D4948" w:rsidRPr="007D1918">
        <w:rPr>
          <w:snapToGrid w:val="0"/>
          <w:lang w:eastAsia="en-US"/>
        </w:rPr>
        <w:instrText xml:space="preserve"> ADDIN EN.CITE.DATA </w:instrText>
      </w:r>
      <w:r w:rsidR="007D4948" w:rsidRPr="007D1918">
        <w:rPr>
          <w:snapToGrid w:val="0"/>
          <w:lang w:eastAsia="en-US"/>
        </w:rPr>
      </w:r>
      <w:r w:rsidR="007D4948" w:rsidRPr="007D1918">
        <w:rPr>
          <w:snapToGrid w:val="0"/>
          <w:lang w:eastAsia="en-US"/>
        </w:rPr>
        <w:fldChar w:fldCharType="end"/>
      </w:r>
      <w:r w:rsidR="007D4948" w:rsidRPr="007D1918">
        <w:rPr>
          <w:snapToGrid w:val="0"/>
          <w:lang w:eastAsia="en-US"/>
        </w:rPr>
      </w:r>
      <w:r w:rsidR="007D4948" w:rsidRPr="007D1918">
        <w:rPr>
          <w:snapToGrid w:val="0"/>
          <w:lang w:eastAsia="en-US"/>
        </w:rPr>
        <w:fldChar w:fldCharType="separate"/>
      </w:r>
      <w:r w:rsidR="007D4948" w:rsidRPr="007D1918">
        <w:rPr>
          <w:noProof/>
          <w:snapToGrid w:val="0"/>
          <w:lang w:eastAsia="en-US"/>
        </w:rPr>
        <w:t>(</w:t>
      </w:r>
      <w:hyperlink w:anchor="_ENREF_57" w:tooltip="Kaukonen, 2014 #112" w:history="1">
        <w:r w:rsidR="007D4948" w:rsidRPr="007D1918">
          <w:rPr>
            <w:noProof/>
            <w:snapToGrid w:val="0"/>
            <w:lang w:eastAsia="en-US"/>
          </w:rPr>
          <w:t>Kaukonen et al. 2014</w:t>
        </w:r>
      </w:hyperlink>
      <w:r w:rsidR="007D4948" w:rsidRPr="007D1918">
        <w:rPr>
          <w:noProof/>
          <w:snapToGrid w:val="0"/>
          <w:lang w:eastAsia="en-US"/>
        </w:rPr>
        <w:t>)</w:t>
      </w:r>
      <w:r w:rsidR="007D4948" w:rsidRPr="007D1918">
        <w:rPr>
          <w:snapToGrid w:val="0"/>
          <w:lang w:eastAsia="en-US"/>
        </w:rPr>
        <w:fldChar w:fldCharType="end"/>
      </w:r>
      <w:r w:rsidR="00D85923" w:rsidRPr="007D1918">
        <w:rPr>
          <w:snapToGrid w:val="0"/>
          <w:lang w:eastAsia="en-US"/>
        </w:rPr>
        <w:t xml:space="preserve">. </w:t>
      </w:r>
      <w:r w:rsidR="0037232F" w:rsidRPr="007D1918">
        <w:rPr>
          <w:snapToGrid w:val="0"/>
          <w:lang w:eastAsia="en-US"/>
        </w:rPr>
        <w:t>However, t</w:t>
      </w:r>
      <w:r w:rsidR="00D85923" w:rsidRPr="007D1918">
        <w:rPr>
          <w:snapToGrid w:val="0"/>
          <w:lang w:eastAsia="en-US"/>
        </w:rPr>
        <w:t>his data was</w:t>
      </w:r>
      <w:r w:rsidR="0037232F" w:rsidRPr="007D1918">
        <w:rPr>
          <w:snapToGrid w:val="0"/>
          <w:lang w:eastAsia="en-US"/>
        </w:rPr>
        <w:t xml:space="preserve"> not</w:t>
      </w:r>
      <w:r w:rsidR="00D85923" w:rsidRPr="007D1918">
        <w:rPr>
          <w:snapToGrid w:val="0"/>
          <w:lang w:eastAsia="en-US"/>
        </w:rPr>
        <w:t xml:space="preserve"> specifically </w:t>
      </w:r>
      <w:r w:rsidR="0037232F" w:rsidRPr="007D1918">
        <w:rPr>
          <w:snapToGrid w:val="0"/>
          <w:lang w:eastAsia="en-US"/>
        </w:rPr>
        <w:t xml:space="preserve">restricted to </w:t>
      </w:r>
      <w:r w:rsidR="00D85923" w:rsidRPr="007D1918">
        <w:rPr>
          <w:snapToGrid w:val="0"/>
          <w:lang w:eastAsia="en-US"/>
        </w:rPr>
        <w:t xml:space="preserve">hospital-acquired sepsis, and mortality in hospital-acquired sepsis appears to be greater </w:t>
      </w:r>
      <w:r w:rsidR="007D4948" w:rsidRPr="007D1918">
        <w:rPr>
          <w:snapToGrid w:val="0"/>
          <w:lang w:eastAsia="en-US"/>
        </w:rPr>
        <w:fldChar w:fldCharType="begin">
          <w:fldData xml:space="preserve">PEVuZE5vdGU+PENpdGU+PEF1dGhvcj5XZXN0cGhhbDwvQXV0aG9yPjxZZWFyPjIwMTk8L1llYXI+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</w:fldData>
        </w:fldChar>
      </w:r>
      <w:r w:rsidR="007D4948" w:rsidRPr="007D1918">
        <w:rPr>
          <w:snapToGrid w:val="0"/>
          <w:lang w:eastAsia="en-US"/>
        </w:rPr>
        <w:instrText xml:space="preserve"> ADDIN EN.CITE </w:instrText>
      </w:r>
      <w:r w:rsidR="007D4948" w:rsidRPr="007D1918">
        <w:rPr>
          <w:snapToGrid w:val="0"/>
          <w:lang w:eastAsia="en-US"/>
        </w:rPr>
        <w:fldChar w:fldCharType="begin">
          <w:fldData xml:space="preserve">PEVuZE5vdGU+PENpdGU+PEF1dGhvcj5XZXN0cGhhbDwvQXV0aG9yPjxZZWFyPjIwMTk8L1llYXI+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</w:fldData>
        </w:fldChar>
      </w:r>
      <w:r w:rsidR="007D4948" w:rsidRPr="007D1918">
        <w:rPr>
          <w:snapToGrid w:val="0"/>
          <w:lang w:eastAsia="en-US"/>
        </w:rPr>
        <w:instrText xml:space="preserve"> ADDIN EN.CITE.DATA </w:instrText>
      </w:r>
      <w:r w:rsidR="007D4948" w:rsidRPr="007D1918">
        <w:rPr>
          <w:snapToGrid w:val="0"/>
          <w:lang w:eastAsia="en-US"/>
        </w:rPr>
      </w:r>
      <w:r w:rsidR="007D4948" w:rsidRPr="007D1918">
        <w:rPr>
          <w:snapToGrid w:val="0"/>
          <w:lang w:eastAsia="en-US"/>
        </w:rPr>
        <w:fldChar w:fldCharType="end"/>
      </w:r>
      <w:r w:rsidR="007D4948" w:rsidRPr="007D1918">
        <w:rPr>
          <w:snapToGrid w:val="0"/>
          <w:lang w:eastAsia="en-US"/>
        </w:rPr>
      </w:r>
      <w:r w:rsidR="007D4948" w:rsidRPr="007D1918">
        <w:rPr>
          <w:snapToGrid w:val="0"/>
          <w:lang w:eastAsia="en-US"/>
        </w:rPr>
        <w:fldChar w:fldCharType="separate"/>
      </w:r>
      <w:r w:rsidR="007D4948" w:rsidRPr="007D1918">
        <w:rPr>
          <w:noProof/>
          <w:snapToGrid w:val="0"/>
          <w:lang w:eastAsia="en-US"/>
        </w:rPr>
        <w:t>(</w:t>
      </w:r>
      <w:hyperlink w:anchor="_ENREF_105" w:tooltip="Westphal, 2019 #113" w:history="1">
        <w:r w:rsidR="007D4948" w:rsidRPr="007D1918">
          <w:rPr>
            <w:noProof/>
            <w:snapToGrid w:val="0"/>
            <w:lang w:eastAsia="en-US"/>
          </w:rPr>
          <w:t>Westphal et al. 2019</w:t>
        </w:r>
      </w:hyperlink>
      <w:r w:rsidR="007D4948" w:rsidRPr="007D1918">
        <w:rPr>
          <w:noProof/>
          <w:snapToGrid w:val="0"/>
          <w:lang w:eastAsia="en-US"/>
        </w:rPr>
        <w:t>)</w:t>
      </w:r>
      <w:r w:rsidR="007D4948" w:rsidRPr="007D1918">
        <w:rPr>
          <w:snapToGrid w:val="0"/>
          <w:lang w:eastAsia="en-US"/>
        </w:rPr>
        <w:fldChar w:fldCharType="end"/>
      </w:r>
      <w:r w:rsidR="00D85923" w:rsidRPr="007D1918">
        <w:rPr>
          <w:snapToGrid w:val="0"/>
          <w:lang w:eastAsia="en-US"/>
        </w:rPr>
        <w:t>.</w:t>
      </w:r>
      <w:r w:rsidR="00EB1769" w:rsidRPr="007D1918">
        <w:rPr>
          <w:snapToGrid w:val="0"/>
          <w:lang w:eastAsia="en-US"/>
        </w:rPr>
        <w:t xml:space="preserve"> The exploratory long-term model will apply a mortality rate of 18.4% to sepsis-affected patients. Although not strictly structured as such, it is assumed that for modelling purposes, this mortality rate would be sufficient to capture all PE-associated mortality (as additional mortality due to other serious adverse events is relatively small). </w:t>
      </w:r>
    </w:p>
    <w:p w14:paraId="3EA97513" w14:textId="14DC95B7" w:rsidR="008747C1" w:rsidRPr="007D1918" w:rsidRDefault="003E5C47" w:rsidP="008747C1">
      <w:pPr>
        <w:jc w:val="both"/>
        <w:rPr>
          <w:snapToGrid w:val="0"/>
          <w:lang w:eastAsia="en-US"/>
        </w:rPr>
      </w:pPr>
      <w:r w:rsidRPr="007D1918">
        <w:rPr>
          <w:snapToGrid w:val="0"/>
          <w:lang w:eastAsia="en-US"/>
        </w:rPr>
        <w:t xml:space="preserve">The sensitivity analyses </w:t>
      </w:r>
      <w:r w:rsidR="00EB1769" w:rsidRPr="007D1918">
        <w:rPr>
          <w:snapToGrid w:val="0"/>
          <w:lang w:eastAsia="en-US"/>
        </w:rPr>
        <w:t xml:space="preserve">will </w:t>
      </w:r>
      <w:r w:rsidRPr="007D1918">
        <w:rPr>
          <w:snapToGrid w:val="0"/>
          <w:lang w:eastAsia="en-US"/>
        </w:rPr>
        <w:t xml:space="preserve">test an alternative method of estimating PE-associated mortality, based on a </w:t>
      </w:r>
      <w:r w:rsidR="008747C1" w:rsidRPr="007D1918">
        <w:rPr>
          <w:snapToGrid w:val="0"/>
          <w:lang w:eastAsia="en-US"/>
        </w:rPr>
        <w:t>broad study of all plasma exchange use over 3.5 years at the University of Connecticut combined with literature reports available at that time (for numerous conditions)</w:t>
      </w:r>
      <w:r w:rsidRPr="007D1918">
        <w:rPr>
          <w:snapToGrid w:val="0"/>
          <w:lang w:eastAsia="en-US"/>
        </w:rPr>
        <w:t>. This analysis</w:t>
      </w:r>
      <w:r w:rsidR="008747C1" w:rsidRPr="007D1918">
        <w:rPr>
          <w:snapToGrid w:val="0"/>
          <w:lang w:eastAsia="en-US"/>
        </w:rPr>
        <w:t xml:space="preserve"> identified 8 deaths </w:t>
      </w:r>
      <w:r w:rsidRPr="007D1918">
        <w:rPr>
          <w:snapToGrid w:val="0"/>
          <w:lang w:eastAsia="en-US"/>
        </w:rPr>
        <w:t xml:space="preserve">to be </w:t>
      </w:r>
      <w:r w:rsidR="008747C1" w:rsidRPr="007D1918">
        <w:rPr>
          <w:snapToGrid w:val="0"/>
          <w:lang w:eastAsia="en-US"/>
        </w:rPr>
        <w:t xml:space="preserve">directly associated with 15,658 procedures, or a mortality rate of 0.05% </w:t>
      </w:r>
      <w:r w:rsidR="007F4CDE" w:rsidRPr="007D1918">
        <w:rPr>
          <w:snapToGrid w:val="0"/>
          <w:lang w:eastAsia="en-US"/>
        </w:rPr>
        <w:fldChar w:fldCharType="begin"/>
      </w:r>
      <w:r w:rsidR="007F4CDE" w:rsidRPr="007D1918">
        <w:rPr>
          <w:snapToGrid w:val="0"/>
          <w:lang w:eastAsia="en-US"/>
        </w:rPr>
        <w:instrText xml:space="preserve"> ADDIN EN.CITE &lt;EndNote&gt;&lt;Cite&gt;&lt;Author&gt;Mokrzycki&lt;/Author&gt;&lt;Year&gt;1994&lt;/Year&gt;&lt;RecNum&gt;90&lt;/RecNum&gt;&lt;DisplayText&gt;(Mokrzycki &amp;amp; Kaplan 1994)&lt;/DisplayText&gt;&lt;record&gt;&lt;rec-number&gt;90&lt;/rec-number&gt;&lt;foreign-keys&gt;&lt;key app="EN" db-id="2aevrx2slsts5ve9sdavatf125dsx0av2v9d" timestamp="1567569579"&gt;90&lt;/key&gt;&lt;/foreign-keys&gt;&lt;ref-type name="Journal Article"&gt;17&lt;/ref-type&gt;&lt;contributors&gt;&lt;authors&gt;&lt;author&gt;Mokrzycki, M. H.&lt;/author&gt;&lt;author&gt;Kaplan, A. A.&lt;/author&gt;&lt;/authors&gt;&lt;/contributors&gt;&lt;auth-address&gt;Department of Medicine, University of Connecticut School of Medicine, Farmington.&lt;/auth-address&gt;&lt;titles&gt;&lt;title&gt;Therapeutic plasma exchange: complications and management&lt;/title&gt;&lt;secondary-title&gt;Am J Kidney Dis&lt;/secondary-title&gt;&lt;/titles&gt;&lt;periodical&gt;&lt;full-title&gt;Am J Kidney Dis&lt;/full-title&gt;&lt;/periodical&gt;&lt;pages&gt;817-27&lt;/pages&gt;&lt;volume&gt;23&lt;/volume&gt;&lt;number&gt;6&lt;/number&gt;&lt;edition&gt;1994/06/01&lt;/edition&gt;&lt;keywords&gt;&lt;keyword&gt;Anaphylaxis/etiology&lt;/keyword&gt;&lt;keyword&gt;Humans&lt;/keyword&gt;&lt;keyword&gt;Hypocalcemia/etiology/prevention &amp;amp; control&lt;/keyword&gt;&lt;keyword&gt;Plasma Exchange/ adverse effects&lt;/keyword&gt;&lt;keyword&gt;Plasmapheresis/ adverse effects&lt;/keyword&gt;&lt;/keywords&gt;&lt;dates&gt;&lt;year&gt;1994&lt;/year&gt;&lt;pub-dates&gt;&lt;date&gt;Jun&lt;/date&gt;&lt;/pub-dates&gt;&lt;/dates&gt;&lt;isbn&gt;0272-6386 (Print)&amp;#xD;0272-6386 (Linking)&lt;/isbn&gt;&lt;accession-num&gt;8203364&lt;/accession-num&gt;&lt;urls&gt;&lt;related-urls&gt;&lt;url&gt;https://www.sciencedirect.com/science/article/abs/pii/S0272638612801351?via%3Dihub&lt;/url&gt;&lt;/related-urls&gt;&lt;/urls&gt;&lt;electronic-resource-num&gt;10.1016/s0272-6386(12)80135-1&lt;/electronic-resource-num&gt;&lt;remote-database-provider&gt;NLM&lt;/remote-database-provider&gt;&lt;language&gt;eng&lt;/language&gt;&lt;/record&gt;&lt;/Cite&gt;&lt;/EndNote&gt;</w:instrText>
      </w:r>
      <w:r w:rsidR="007F4CDE" w:rsidRPr="007D1918">
        <w:rPr>
          <w:snapToGrid w:val="0"/>
          <w:lang w:eastAsia="en-US"/>
        </w:rPr>
        <w:fldChar w:fldCharType="separate"/>
      </w:r>
      <w:r w:rsidR="007F4CDE" w:rsidRPr="007D1918">
        <w:rPr>
          <w:noProof/>
          <w:snapToGrid w:val="0"/>
          <w:lang w:eastAsia="en-US"/>
        </w:rPr>
        <w:t>(</w:t>
      </w:r>
      <w:hyperlink w:anchor="_ENREF_65" w:tooltip="Mokrzycki, 1994 #90" w:history="1">
        <w:r w:rsidR="007D4948" w:rsidRPr="007D1918">
          <w:rPr>
            <w:noProof/>
            <w:snapToGrid w:val="0"/>
            <w:lang w:eastAsia="en-US"/>
          </w:rPr>
          <w:t>Mokrzycki &amp; Kaplan 1994</w:t>
        </w:r>
      </w:hyperlink>
      <w:r w:rsidR="007F4CDE" w:rsidRPr="007D1918">
        <w:rPr>
          <w:noProof/>
          <w:snapToGrid w:val="0"/>
          <w:lang w:eastAsia="en-US"/>
        </w:rPr>
        <w:t>)</w:t>
      </w:r>
      <w:r w:rsidR="007F4CDE" w:rsidRPr="007D1918">
        <w:rPr>
          <w:snapToGrid w:val="0"/>
          <w:lang w:eastAsia="en-US"/>
        </w:rPr>
        <w:fldChar w:fldCharType="end"/>
      </w:r>
      <w:r w:rsidR="008747C1" w:rsidRPr="007D1918">
        <w:rPr>
          <w:snapToGrid w:val="0"/>
          <w:lang w:eastAsia="en-US"/>
        </w:rPr>
        <w:t>. The applicability of this data is uncertain given the age of the evidence, and the setting and patients are different</w:t>
      </w:r>
      <w:r w:rsidRPr="007D1918">
        <w:rPr>
          <w:snapToGrid w:val="0"/>
          <w:lang w:eastAsia="en-US"/>
        </w:rPr>
        <w:t>: this would likely be less than the mortality in Indication 1 as this population includes lower risk patient</w:t>
      </w:r>
      <w:r w:rsidR="00CC52C8" w:rsidRPr="007D1918">
        <w:rPr>
          <w:snapToGrid w:val="0"/>
          <w:lang w:eastAsia="en-US"/>
        </w:rPr>
        <w:t>s</w:t>
      </w:r>
      <w:r w:rsidRPr="007D1918">
        <w:rPr>
          <w:snapToGrid w:val="0"/>
          <w:lang w:eastAsia="en-US"/>
        </w:rPr>
        <w:t>, not in MG crisis or receiving emergency treatment.</w:t>
      </w:r>
    </w:p>
    <w:p w14:paraId="05FD2390" w14:textId="3818B3B1" w:rsidR="008747C1" w:rsidRPr="007D1918" w:rsidRDefault="008747C1" w:rsidP="008747C1">
      <w:pPr>
        <w:jc w:val="both"/>
        <w:rPr>
          <w:snapToGrid w:val="0"/>
          <w:lang w:eastAsia="en-US"/>
        </w:rPr>
      </w:pPr>
      <w:r w:rsidRPr="007D1918">
        <w:rPr>
          <w:snapToGrid w:val="0"/>
          <w:lang w:eastAsia="en-US"/>
        </w:rPr>
        <w:t xml:space="preserve">A summary of the economically relevant adverse events to be incorporated in Section D is presented in </w:t>
      </w:r>
      <w:r w:rsidR="00F2480E" w:rsidRPr="007D1918">
        <w:rPr>
          <w:snapToGrid w:val="0"/>
          <w:lang w:eastAsia="en-US"/>
        </w:rPr>
        <w:fldChar w:fldCharType="begin"/>
      </w:r>
      <w:r w:rsidR="00F2480E" w:rsidRPr="007D1918">
        <w:rPr>
          <w:snapToGrid w:val="0"/>
          <w:lang w:eastAsia="en-US"/>
        </w:rPr>
        <w:instrText xml:space="preserve"> REF _Ref17711478 \h </w:instrText>
      </w:r>
      <w:r w:rsidR="00E07567" w:rsidRPr="007D1918">
        <w:rPr>
          <w:snapToGrid w:val="0"/>
          <w:lang w:eastAsia="en-US"/>
        </w:rPr>
        <w:instrText xml:space="preserve"> \* MERGEFORMAT </w:instrText>
      </w:r>
      <w:r w:rsidR="00F2480E" w:rsidRPr="007D1918">
        <w:rPr>
          <w:snapToGrid w:val="0"/>
          <w:lang w:eastAsia="en-US"/>
        </w:rPr>
      </w:r>
      <w:r w:rsidR="00F2480E" w:rsidRPr="007D1918">
        <w:rPr>
          <w:snapToGrid w:val="0"/>
          <w:lang w:eastAsia="en-US"/>
        </w:rPr>
        <w:fldChar w:fldCharType="separate"/>
      </w:r>
      <w:r w:rsidR="00F2480E" w:rsidRPr="007D1918">
        <w:t xml:space="preserve">Table </w:t>
      </w:r>
      <w:r w:rsidR="00F2480E" w:rsidRPr="007D1918">
        <w:rPr>
          <w:noProof/>
        </w:rPr>
        <w:t>56</w:t>
      </w:r>
      <w:r w:rsidR="00F2480E" w:rsidRPr="007D1918">
        <w:rPr>
          <w:snapToGrid w:val="0"/>
          <w:lang w:eastAsia="en-US"/>
        </w:rPr>
        <w:fldChar w:fldCharType="end"/>
      </w:r>
      <w:r w:rsidRPr="007D1918">
        <w:rPr>
          <w:snapToGrid w:val="0"/>
          <w:lang w:eastAsia="en-US"/>
        </w:rPr>
        <w:t xml:space="preserve"> below</w:t>
      </w:r>
      <w:r w:rsidR="00F2480E" w:rsidRPr="007D1918">
        <w:rPr>
          <w:snapToGrid w:val="0"/>
          <w:lang w:eastAsia="en-US"/>
        </w:rPr>
        <w:t>.</w:t>
      </w:r>
    </w:p>
    <w:p w14:paraId="5B49EDA1" w14:textId="1BB3B65A" w:rsidR="008747C1" w:rsidRPr="007D1918" w:rsidRDefault="008747C1" w:rsidP="008747C1">
      <w:pPr>
        <w:pStyle w:val="Caption"/>
        <w:keepNext/>
      </w:pPr>
      <w:bookmarkStart w:id="350" w:name="_Ref17711478"/>
      <w:bookmarkStart w:id="351" w:name="_Ref17711473"/>
      <w:bookmarkStart w:id="352" w:name="_Toc23769543"/>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7C33AD" w:rsidRPr="007D1918">
        <w:rPr>
          <w:noProof/>
        </w:rPr>
        <w:t>56</w:t>
      </w:r>
      <w:r w:rsidRPr="007D1918">
        <w:rPr>
          <w:noProof/>
        </w:rPr>
        <w:fldChar w:fldCharType="end"/>
      </w:r>
      <w:bookmarkEnd w:id="350"/>
      <w:r w:rsidRPr="007D1918">
        <w:tab/>
        <w:t>Safety outcomes associated with PE to be considered in the economic analysis</w:t>
      </w:r>
      <w:bookmarkEnd w:id="351"/>
      <w:bookmarkEnd w:id="352"/>
    </w:p>
    <w:tbl>
      <w:tblPr>
        <w:tblStyle w:val="TableGrid"/>
        <w:tblW w:w="0" w:type="auto"/>
        <w:tblLook w:val="04A0" w:firstRow="1" w:lastRow="0" w:firstColumn="1" w:lastColumn="0" w:noHBand="0" w:noVBand="1"/>
        <w:tblCaption w:val="Table 56 Safety outcomes associated with PE to be considered in the economic analysis"/>
      </w:tblPr>
      <w:tblGrid>
        <w:gridCol w:w="1696"/>
        <w:gridCol w:w="993"/>
        <w:gridCol w:w="4252"/>
        <w:gridCol w:w="2075"/>
      </w:tblGrid>
      <w:tr w:rsidR="008747C1" w:rsidRPr="007D1918" w14:paraId="6BCB5496" w14:textId="77777777" w:rsidTr="00E1425A">
        <w:trPr>
          <w:tblHeader/>
        </w:trPr>
        <w:tc>
          <w:tcPr>
            <w:tcW w:w="1696" w:type="dxa"/>
          </w:tcPr>
          <w:p w14:paraId="3E2E1AAC" w14:textId="77777777" w:rsidR="008747C1" w:rsidRPr="007D1918" w:rsidRDefault="008747C1" w:rsidP="007036F8">
            <w:pPr>
              <w:pStyle w:val="TableHeading"/>
              <w:ind w:left="0"/>
              <w:rPr>
                <w:snapToGrid w:val="0"/>
                <w:lang w:eastAsia="en-US"/>
              </w:rPr>
            </w:pPr>
            <w:r w:rsidRPr="007D1918">
              <w:rPr>
                <w:snapToGrid w:val="0"/>
                <w:lang w:eastAsia="en-US"/>
              </w:rPr>
              <w:t>Adverse event</w:t>
            </w:r>
          </w:p>
        </w:tc>
        <w:tc>
          <w:tcPr>
            <w:tcW w:w="993" w:type="dxa"/>
          </w:tcPr>
          <w:p w14:paraId="09C20284" w14:textId="77777777" w:rsidR="008747C1" w:rsidRPr="007D1918" w:rsidRDefault="008747C1" w:rsidP="007036F8">
            <w:pPr>
              <w:pStyle w:val="TableHeading"/>
              <w:ind w:left="0"/>
              <w:rPr>
                <w:snapToGrid w:val="0"/>
                <w:lang w:eastAsia="en-US"/>
              </w:rPr>
            </w:pPr>
            <w:r w:rsidRPr="007D1918">
              <w:rPr>
                <w:snapToGrid w:val="0"/>
                <w:lang w:eastAsia="en-US"/>
              </w:rPr>
              <w:t>Rate</w:t>
            </w:r>
          </w:p>
        </w:tc>
        <w:tc>
          <w:tcPr>
            <w:tcW w:w="4252" w:type="dxa"/>
          </w:tcPr>
          <w:p w14:paraId="72E7471C" w14:textId="77777777" w:rsidR="008747C1" w:rsidRPr="007D1918" w:rsidRDefault="008747C1" w:rsidP="007036F8">
            <w:pPr>
              <w:pStyle w:val="TableHeading"/>
              <w:ind w:left="0"/>
              <w:rPr>
                <w:snapToGrid w:val="0"/>
                <w:lang w:eastAsia="en-US"/>
              </w:rPr>
            </w:pPr>
            <w:r w:rsidRPr="007D1918">
              <w:rPr>
                <w:snapToGrid w:val="0"/>
                <w:lang w:eastAsia="en-US"/>
              </w:rPr>
              <w:t>Source</w:t>
            </w:r>
          </w:p>
        </w:tc>
        <w:tc>
          <w:tcPr>
            <w:tcW w:w="2075" w:type="dxa"/>
          </w:tcPr>
          <w:p w14:paraId="2D9FF01D" w14:textId="77777777" w:rsidR="008747C1" w:rsidRPr="007D1918" w:rsidRDefault="008747C1" w:rsidP="007036F8">
            <w:pPr>
              <w:pStyle w:val="TableHeading"/>
              <w:ind w:left="0"/>
              <w:rPr>
                <w:snapToGrid w:val="0"/>
                <w:lang w:eastAsia="en-US"/>
              </w:rPr>
            </w:pPr>
            <w:r w:rsidRPr="007D1918">
              <w:rPr>
                <w:snapToGrid w:val="0"/>
                <w:lang w:eastAsia="en-US"/>
              </w:rPr>
              <w:t xml:space="preserve">Inclusion in Analysis </w:t>
            </w:r>
          </w:p>
        </w:tc>
      </w:tr>
      <w:tr w:rsidR="00EB1769" w:rsidRPr="007D1918" w14:paraId="2D837B64" w14:textId="77777777" w:rsidTr="007036F8">
        <w:tc>
          <w:tcPr>
            <w:tcW w:w="1696" w:type="dxa"/>
          </w:tcPr>
          <w:p w14:paraId="7278E657" w14:textId="77777777" w:rsidR="00EB1769" w:rsidRPr="007D1918" w:rsidRDefault="00EB1769" w:rsidP="00EB1769">
            <w:pPr>
              <w:pStyle w:val="Tablecontents"/>
              <w:ind w:left="0"/>
              <w:rPr>
                <w:snapToGrid w:val="0"/>
                <w:lang w:eastAsia="en-US"/>
              </w:rPr>
            </w:pPr>
            <w:r w:rsidRPr="007D1918">
              <w:rPr>
                <w:snapToGrid w:val="0"/>
                <w:lang w:eastAsia="en-US"/>
              </w:rPr>
              <w:t>Retroperitoneal haematoma</w:t>
            </w:r>
          </w:p>
        </w:tc>
        <w:tc>
          <w:tcPr>
            <w:tcW w:w="993" w:type="dxa"/>
          </w:tcPr>
          <w:p w14:paraId="23298E85" w14:textId="77777777" w:rsidR="00EB1769" w:rsidRPr="007D1918" w:rsidRDefault="00EB1769" w:rsidP="00EB1769">
            <w:pPr>
              <w:pStyle w:val="Tablecontents"/>
              <w:ind w:left="0"/>
              <w:jc w:val="center"/>
              <w:rPr>
                <w:snapToGrid w:val="0"/>
                <w:lang w:eastAsia="en-US"/>
              </w:rPr>
            </w:pPr>
            <w:r w:rsidRPr="007D1918">
              <w:rPr>
                <w:snapToGrid w:val="0"/>
                <w:lang w:eastAsia="en-US"/>
              </w:rPr>
              <w:t>2.44%</w:t>
            </w:r>
          </w:p>
        </w:tc>
        <w:tc>
          <w:tcPr>
            <w:tcW w:w="4252" w:type="dxa"/>
          </w:tcPr>
          <w:p w14:paraId="0C4D41FC" w14:textId="77777777" w:rsidR="00EB1769" w:rsidRPr="007D1918" w:rsidRDefault="00EB1769" w:rsidP="00EB1769">
            <w:pPr>
              <w:pStyle w:val="Tablecontents"/>
              <w:ind w:left="0"/>
              <w:rPr>
                <w:snapToGrid w:val="0"/>
                <w:lang w:eastAsia="en-US"/>
              </w:rPr>
            </w:pPr>
            <w:r w:rsidRPr="007D1918">
              <w:rPr>
                <w:snapToGrid w:val="0"/>
                <w:lang w:eastAsia="en-US"/>
              </w:rPr>
              <w:t>Gajdos</w:t>
            </w:r>
          </w:p>
        </w:tc>
        <w:tc>
          <w:tcPr>
            <w:tcW w:w="2075" w:type="dxa"/>
          </w:tcPr>
          <w:p w14:paraId="0AE926D5" w14:textId="198B22CA" w:rsidR="00EB1769" w:rsidRPr="007D1918" w:rsidRDefault="00EB1769" w:rsidP="00EB1769">
            <w:pPr>
              <w:pStyle w:val="Tablecontents"/>
              <w:ind w:left="0"/>
              <w:rPr>
                <w:snapToGrid w:val="0"/>
                <w:lang w:eastAsia="en-US"/>
              </w:rPr>
            </w:pPr>
            <w:r w:rsidRPr="007D1918">
              <w:rPr>
                <w:snapToGrid w:val="0"/>
                <w:lang w:eastAsia="en-US"/>
              </w:rPr>
              <w:t>Costs and QALYs in trial-based analysis</w:t>
            </w:r>
          </w:p>
        </w:tc>
      </w:tr>
      <w:tr w:rsidR="008747C1" w:rsidRPr="007D1918" w14:paraId="79514399" w14:textId="77777777" w:rsidTr="007036F8">
        <w:tc>
          <w:tcPr>
            <w:tcW w:w="1696" w:type="dxa"/>
          </w:tcPr>
          <w:p w14:paraId="28218625" w14:textId="77777777" w:rsidR="008747C1" w:rsidRPr="007D1918" w:rsidRDefault="008747C1" w:rsidP="007036F8">
            <w:pPr>
              <w:pStyle w:val="Tablecontents"/>
              <w:ind w:left="0"/>
              <w:rPr>
                <w:snapToGrid w:val="0"/>
                <w:lang w:eastAsia="en-US"/>
              </w:rPr>
            </w:pPr>
            <w:r w:rsidRPr="007D1918">
              <w:rPr>
                <w:snapToGrid w:val="0"/>
                <w:lang w:eastAsia="en-US"/>
              </w:rPr>
              <w:t>Femoral thrombosis</w:t>
            </w:r>
          </w:p>
        </w:tc>
        <w:tc>
          <w:tcPr>
            <w:tcW w:w="993" w:type="dxa"/>
          </w:tcPr>
          <w:p w14:paraId="2923F29D" w14:textId="77777777" w:rsidR="008747C1" w:rsidRPr="007D1918" w:rsidRDefault="008747C1" w:rsidP="007036F8">
            <w:pPr>
              <w:pStyle w:val="Tablecontents"/>
              <w:ind w:left="0"/>
              <w:jc w:val="center"/>
              <w:rPr>
                <w:snapToGrid w:val="0"/>
                <w:lang w:eastAsia="en-US"/>
              </w:rPr>
            </w:pPr>
            <w:r w:rsidRPr="007D1918">
              <w:rPr>
                <w:snapToGrid w:val="0"/>
                <w:lang w:eastAsia="en-US"/>
              </w:rPr>
              <w:t>2.44%</w:t>
            </w:r>
          </w:p>
        </w:tc>
        <w:tc>
          <w:tcPr>
            <w:tcW w:w="4252" w:type="dxa"/>
          </w:tcPr>
          <w:p w14:paraId="631F3B36" w14:textId="77777777" w:rsidR="008747C1" w:rsidRPr="007D1918" w:rsidRDefault="008747C1" w:rsidP="007036F8">
            <w:pPr>
              <w:pStyle w:val="Tablecontents"/>
              <w:ind w:left="0"/>
              <w:rPr>
                <w:snapToGrid w:val="0"/>
                <w:lang w:eastAsia="en-US"/>
              </w:rPr>
            </w:pPr>
            <w:r w:rsidRPr="007D1918">
              <w:rPr>
                <w:snapToGrid w:val="0"/>
                <w:lang w:eastAsia="en-US"/>
              </w:rPr>
              <w:t>Gajdos</w:t>
            </w:r>
          </w:p>
        </w:tc>
        <w:tc>
          <w:tcPr>
            <w:tcW w:w="2075" w:type="dxa"/>
          </w:tcPr>
          <w:p w14:paraId="402F8014" w14:textId="09C26B5D" w:rsidR="008747C1" w:rsidRPr="007D1918" w:rsidRDefault="008747C1" w:rsidP="00EB1769">
            <w:pPr>
              <w:pStyle w:val="Tablecontents"/>
              <w:ind w:left="0"/>
              <w:rPr>
                <w:snapToGrid w:val="0"/>
                <w:lang w:eastAsia="en-US"/>
              </w:rPr>
            </w:pPr>
            <w:r w:rsidRPr="007D1918">
              <w:rPr>
                <w:snapToGrid w:val="0"/>
                <w:lang w:eastAsia="en-US"/>
              </w:rPr>
              <w:t xml:space="preserve">Costs and QALYs in </w:t>
            </w:r>
            <w:r w:rsidR="00EB1769" w:rsidRPr="007D1918">
              <w:rPr>
                <w:snapToGrid w:val="0"/>
                <w:lang w:eastAsia="en-US"/>
              </w:rPr>
              <w:t>trial-</w:t>
            </w:r>
            <w:r w:rsidRPr="007D1918">
              <w:rPr>
                <w:snapToGrid w:val="0"/>
                <w:lang w:eastAsia="en-US"/>
              </w:rPr>
              <w:t>base</w:t>
            </w:r>
            <w:r w:rsidR="00EB1769" w:rsidRPr="007D1918">
              <w:rPr>
                <w:snapToGrid w:val="0"/>
                <w:lang w:eastAsia="en-US"/>
              </w:rPr>
              <w:t>d analysis</w:t>
            </w:r>
          </w:p>
        </w:tc>
      </w:tr>
      <w:tr w:rsidR="008747C1" w:rsidRPr="007D1918" w14:paraId="2F1C950E" w14:textId="77777777" w:rsidTr="007036F8">
        <w:tc>
          <w:tcPr>
            <w:tcW w:w="1696" w:type="dxa"/>
          </w:tcPr>
          <w:p w14:paraId="3D9B3799" w14:textId="77777777" w:rsidR="008747C1" w:rsidRPr="007D1918" w:rsidRDefault="008747C1" w:rsidP="007036F8">
            <w:pPr>
              <w:pStyle w:val="Tablecontents"/>
              <w:ind w:left="0"/>
              <w:rPr>
                <w:snapToGrid w:val="0"/>
                <w:lang w:eastAsia="en-US"/>
              </w:rPr>
            </w:pPr>
            <w:r w:rsidRPr="007D1918">
              <w:rPr>
                <w:snapToGrid w:val="0"/>
                <w:lang w:eastAsia="en-US"/>
              </w:rPr>
              <w:t>Systemic Infection</w:t>
            </w:r>
          </w:p>
        </w:tc>
        <w:tc>
          <w:tcPr>
            <w:tcW w:w="993" w:type="dxa"/>
          </w:tcPr>
          <w:p w14:paraId="06B0BB88" w14:textId="77777777" w:rsidR="008747C1" w:rsidRPr="007D1918" w:rsidRDefault="008747C1" w:rsidP="007036F8">
            <w:pPr>
              <w:pStyle w:val="Tablecontents"/>
              <w:ind w:left="0"/>
              <w:jc w:val="center"/>
              <w:rPr>
                <w:snapToGrid w:val="0"/>
                <w:lang w:eastAsia="en-US"/>
              </w:rPr>
            </w:pPr>
            <w:r w:rsidRPr="007D1918">
              <w:rPr>
                <w:snapToGrid w:val="0"/>
                <w:lang w:eastAsia="en-US"/>
              </w:rPr>
              <w:t>7.67% - 4.88%</w:t>
            </w:r>
          </w:p>
        </w:tc>
        <w:tc>
          <w:tcPr>
            <w:tcW w:w="4252" w:type="dxa"/>
          </w:tcPr>
          <w:p w14:paraId="451706CE" w14:textId="77777777" w:rsidR="008747C1" w:rsidRPr="007D1918" w:rsidRDefault="008747C1" w:rsidP="007036F8">
            <w:pPr>
              <w:pStyle w:val="Tablecontents"/>
              <w:ind w:left="0"/>
              <w:rPr>
                <w:snapToGrid w:val="0"/>
                <w:lang w:eastAsia="en-US"/>
              </w:rPr>
            </w:pPr>
            <w:r w:rsidRPr="007D1918">
              <w:rPr>
                <w:snapToGrid w:val="0"/>
                <w:lang w:eastAsia="en-US"/>
              </w:rPr>
              <w:t>Upper rate from Mandawat and Pittayanon, lower rate based on ‘Fever’ in Gajdos.</w:t>
            </w:r>
          </w:p>
        </w:tc>
        <w:tc>
          <w:tcPr>
            <w:tcW w:w="2075" w:type="dxa"/>
          </w:tcPr>
          <w:p w14:paraId="1F6CE1BB" w14:textId="029D894F" w:rsidR="008747C1" w:rsidRPr="007D1918" w:rsidRDefault="008747C1" w:rsidP="007036F8">
            <w:pPr>
              <w:pStyle w:val="Tablecontents"/>
              <w:ind w:left="0"/>
              <w:rPr>
                <w:snapToGrid w:val="0"/>
                <w:lang w:eastAsia="en-US"/>
              </w:rPr>
            </w:pPr>
            <w:r w:rsidRPr="007D1918">
              <w:rPr>
                <w:snapToGrid w:val="0"/>
                <w:lang w:eastAsia="en-US"/>
              </w:rPr>
              <w:t xml:space="preserve">Costs and QALYs in </w:t>
            </w:r>
            <w:r w:rsidR="00EB1769" w:rsidRPr="007D1918">
              <w:rPr>
                <w:snapToGrid w:val="0"/>
                <w:lang w:eastAsia="en-US"/>
              </w:rPr>
              <w:t>exploratory model</w:t>
            </w:r>
          </w:p>
        </w:tc>
      </w:tr>
      <w:tr w:rsidR="00E30322" w:rsidRPr="007D1918" w14:paraId="014DB25B" w14:textId="77777777" w:rsidTr="007036F8">
        <w:tc>
          <w:tcPr>
            <w:tcW w:w="1696" w:type="dxa"/>
            <w:shd w:val="clear" w:color="auto" w:fill="auto"/>
          </w:tcPr>
          <w:p w14:paraId="7BEB84ED" w14:textId="42FB036D" w:rsidR="00E30322" w:rsidRPr="007D1918" w:rsidRDefault="00E30322" w:rsidP="00EB1769">
            <w:pPr>
              <w:pStyle w:val="Tablecontents"/>
              <w:ind w:left="0"/>
              <w:rPr>
                <w:snapToGrid w:val="0"/>
                <w:lang w:eastAsia="en-US"/>
              </w:rPr>
            </w:pPr>
            <w:r w:rsidRPr="007D1918">
              <w:rPr>
                <w:snapToGrid w:val="0"/>
                <w:lang w:eastAsia="en-US"/>
              </w:rPr>
              <w:t>Death</w:t>
            </w:r>
            <w:r w:rsidR="00EB1769" w:rsidRPr="007D1918">
              <w:rPr>
                <w:snapToGrid w:val="0"/>
                <w:lang w:eastAsia="en-US"/>
              </w:rPr>
              <w:t xml:space="preserve"> following sepsis</w:t>
            </w:r>
          </w:p>
        </w:tc>
        <w:tc>
          <w:tcPr>
            <w:tcW w:w="993" w:type="dxa"/>
            <w:shd w:val="clear" w:color="auto" w:fill="auto"/>
          </w:tcPr>
          <w:p w14:paraId="15577C80" w14:textId="32BF4B4F" w:rsidR="00E30322" w:rsidRPr="007D1918" w:rsidRDefault="00EB1769" w:rsidP="00EB1769">
            <w:pPr>
              <w:pStyle w:val="Tablecontents"/>
              <w:ind w:left="0"/>
              <w:jc w:val="center"/>
              <w:rPr>
                <w:snapToGrid w:val="0"/>
                <w:lang w:eastAsia="en-US"/>
              </w:rPr>
            </w:pPr>
            <w:r w:rsidRPr="007D1918">
              <w:rPr>
                <w:snapToGrid w:val="0"/>
                <w:lang w:eastAsia="en-US"/>
              </w:rPr>
              <w:t>18.4%</w:t>
            </w:r>
          </w:p>
        </w:tc>
        <w:tc>
          <w:tcPr>
            <w:tcW w:w="4252" w:type="dxa"/>
            <w:shd w:val="clear" w:color="auto" w:fill="auto"/>
          </w:tcPr>
          <w:p w14:paraId="584FEC7A" w14:textId="2DA99742" w:rsidR="00E30322" w:rsidRPr="007D1918" w:rsidRDefault="00EB1769" w:rsidP="00EB1769">
            <w:pPr>
              <w:pStyle w:val="Tablecontents"/>
              <w:ind w:left="0"/>
              <w:rPr>
                <w:snapToGrid w:val="0"/>
                <w:lang w:eastAsia="en-US"/>
              </w:rPr>
            </w:pPr>
            <w:r w:rsidRPr="007D1918">
              <w:rPr>
                <w:snapToGrid w:val="0"/>
                <w:lang w:eastAsia="en-US"/>
              </w:rPr>
              <w:t>Kaukonen 2014 (Australian ICU sepsis data)</w:t>
            </w:r>
          </w:p>
        </w:tc>
        <w:tc>
          <w:tcPr>
            <w:tcW w:w="2075" w:type="dxa"/>
            <w:shd w:val="clear" w:color="auto" w:fill="auto"/>
          </w:tcPr>
          <w:p w14:paraId="0D2FE415" w14:textId="539949CA" w:rsidR="00E30322" w:rsidRPr="007D1918" w:rsidRDefault="00EB1769" w:rsidP="00EB1769">
            <w:pPr>
              <w:pStyle w:val="Tablecontents"/>
              <w:ind w:left="0"/>
              <w:rPr>
                <w:snapToGrid w:val="0"/>
                <w:lang w:eastAsia="en-US"/>
              </w:rPr>
            </w:pPr>
            <w:r w:rsidRPr="007D1918">
              <w:rPr>
                <w:snapToGrid w:val="0"/>
                <w:lang w:eastAsia="en-US"/>
              </w:rPr>
              <w:t xml:space="preserve">QALY loss in exploratory model </w:t>
            </w:r>
          </w:p>
        </w:tc>
      </w:tr>
      <w:tr w:rsidR="008747C1" w:rsidRPr="007D1918" w14:paraId="0DF668BB" w14:textId="77777777" w:rsidTr="007036F8">
        <w:tc>
          <w:tcPr>
            <w:tcW w:w="1696" w:type="dxa"/>
            <w:shd w:val="clear" w:color="auto" w:fill="auto"/>
          </w:tcPr>
          <w:p w14:paraId="768F16EB" w14:textId="1D68ABF3" w:rsidR="008747C1" w:rsidRPr="007D1918" w:rsidRDefault="00EB1769" w:rsidP="00EB1769">
            <w:pPr>
              <w:pStyle w:val="Tablecontents"/>
              <w:ind w:left="0"/>
              <w:rPr>
                <w:snapToGrid w:val="0"/>
                <w:lang w:eastAsia="en-US"/>
              </w:rPr>
            </w:pPr>
            <w:r w:rsidRPr="007D1918">
              <w:rPr>
                <w:snapToGrid w:val="0"/>
                <w:lang w:eastAsia="en-US"/>
              </w:rPr>
              <w:t>Alternative overall Mortality</w:t>
            </w:r>
          </w:p>
        </w:tc>
        <w:tc>
          <w:tcPr>
            <w:tcW w:w="993" w:type="dxa"/>
            <w:shd w:val="clear" w:color="auto" w:fill="auto"/>
          </w:tcPr>
          <w:p w14:paraId="6A6F3798" w14:textId="77777777" w:rsidR="008747C1" w:rsidRPr="007D1918" w:rsidRDefault="008747C1" w:rsidP="007036F8">
            <w:pPr>
              <w:pStyle w:val="Tablecontents"/>
              <w:ind w:left="0"/>
              <w:jc w:val="center"/>
              <w:rPr>
                <w:snapToGrid w:val="0"/>
                <w:lang w:eastAsia="en-US"/>
              </w:rPr>
            </w:pPr>
            <w:r w:rsidRPr="007D1918">
              <w:rPr>
                <w:snapToGrid w:val="0"/>
                <w:lang w:eastAsia="en-US"/>
              </w:rPr>
              <w:t>0.05%</w:t>
            </w:r>
          </w:p>
        </w:tc>
        <w:tc>
          <w:tcPr>
            <w:tcW w:w="4252" w:type="dxa"/>
            <w:shd w:val="clear" w:color="auto" w:fill="auto"/>
          </w:tcPr>
          <w:p w14:paraId="47B4B6BB" w14:textId="502F704E" w:rsidR="008747C1" w:rsidRPr="007D1918" w:rsidRDefault="008747C1" w:rsidP="007D4948">
            <w:pPr>
              <w:pStyle w:val="Tablecontents"/>
              <w:ind w:left="0"/>
              <w:rPr>
                <w:snapToGrid w:val="0"/>
                <w:lang w:eastAsia="en-US"/>
              </w:rPr>
            </w:pPr>
            <w:r w:rsidRPr="007D1918">
              <w:rPr>
                <w:snapToGrid w:val="0"/>
                <w:lang w:eastAsia="en-US"/>
              </w:rPr>
              <w:t xml:space="preserve">Not reported as a direct PE-related event in the setting of MG, but has been reported in broader PE literature </w:t>
            </w:r>
            <w:r w:rsidR="007F4CDE" w:rsidRPr="007D1918">
              <w:rPr>
                <w:snapToGrid w:val="0"/>
                <w:lang w:eastAsia="en-US"/>
              </w:rPr>
              <w:fldChar w:fldCharType="begin"/>
            </w:r>
            <w:r w:rsidR="007F4CDE" w:rsidRPr="007D1918">
              <w:rPr>
                <w:snapToGrid w:val="0"/>
                <w:lang w:eastAsia="en-US"/>
              </w:rPr>
              <w:instrText xml:space="preserve"> ADDIN EN.CITE &lt;EndNote&gt;&lt;Cite&gt;&lt;Author&gt;Mokrzycki&lt;/Author&gt;&lt;Year&gt;1994&lt;/Year&gt;&lt;RecNum&gt;90&lt;/RecNum&gt;&lt;DisplayText&gt;(Mokrzycki &amp;amp; Kaplan 1994)&lt;/DisplayText&gt;&lt;record&gt;&lt;rec-number&gt;90&lt;/rec-number&gt;&lt;foreign-keys&gt;&lt;key app="EN" db-id="2aevrx2slsts5ve9sdavatf125dsx0av2v9d" timestamp="1567569579"&gt;90&lt;/key&gt;&lt;/foreign-keys&gt;&lt;ref-type name="Journal Article"&gt;17&lt;/ref-type&gt;&lt;contributors&gt;&lt;authors&gt;&lt;author&gt;Mokrzycki, M. H.&lt;/author&gt;&lt;author&gt;Kaplan, A. A.&lt;/author&gt;&lt;/authors&gt;&lt;/contributors&gt;&lt;auth-address&gt;Department of Medicine, University of Connecticut School of Medicine, Farmington.&lt;/auth-address&gt;&lt;titles&gt;&lt;title&gt;Therapeutic plasma exchange: complications and management&lt;/title&gt;&lt;secondary-title&gt;Am J Kidney Dis&lt;/secondary-title&gt;&lt;/titles&gt;&lt;periodical&gt;&lt;full-title&gt;Am J Kidney Dis&lt;/full-title&gt;&lt;/periodical&gt;&lt;pages&gt;817-27&lt;/pages&gt;&lt;volume&gt;23&lt;/volume&gt;&lt;number&gt;6&lt;/number&gt;&lt;edition&gt;1994/06/01&lt;/edition&gt;&lt;keywords&gt;&lt;keyword&gt;Anaphylaxis/etiology&lt;/keyword&gt;&lt;keyword&gt;Humans&lt;/keyword&gt;&lt;keyword&gt;Hypocalcemia/etiology/prevention &amp;amp; control&lt;/keyword&gt;&lt;keyword&gt;Plasma Exchange/ adverse effects&lt;/keyword&gt;&lt;keyword&gt;Plasmapheresis/ adverse effects&lt;/keyword&gt;&lt;/keywords&gt;&lt;dates&gt;&lt;year&gt;1994&lt;/year&gt;&lt;pub-dates&gt;&lt;date&gt;Jun&lt;/date&gt;&lt;/pub-dates&gt;&lt;/dates&gt;&lt;isbn&gt;0272-6386 (Print)&amp;#xD;0272-6386 (Linking)&lt;/isbn&gt;&lt;accession-num&gt;8203364&lt;/accession-num&gt;&lt;urls&gt;&lt;related-urls&gt;&lt;url&gt;https://www.sciencedirect.com/science/article/abs/pii/S0272638612801351?via%3Dihub&lt;/url&gt;&lt;/related-urls&gt;&lt;/urls&gt;&lt;electronic-resource-num&gt;10.1016/s0272-6386(12)80135-1&lt;/electronic-resource-num&gt;&lt;remote-database-provider&gt;NLM&lt;/remote-database-provider&gt;&lt;language&gt;eng&lt;/language&gt;&lt;/record&gt;&lt;/Cite&gt;&lt;/EndNote&gt;</w:instrText>
            </w:r>
            <w:r w:rsidR="007F4CDE" w:rsidRPr="007D1918">
              <w:rPr>
                <w:snapToGrid w:val="0"/>
                <w:lang w:eastAsia="en-US"/>
              </w:rPr>
              <w:fldChar w:fldCharType="separate"/>
            </w:r>
            <w:r w:rsidR="007F4CDE" w:rsidRPr="007D1918">
              <w:rPr>
                <w:noProof/>
                <w:snapToGrid w:val="0"/>
                <w:lang w:eastAsia="en-US"/>
              </w:rPr>
              <w:t>(</w:t>
            </w:r>
            <w:hyperlink w:anchor="_ENREF_65" w:tooltip="Mokrzycki, 1994 #90" w:history="1">
              <w:r w:rsidR="007D4948" w:rsidRPr="007D1918">
                <w:rPr>
                  <w:noProof/>
                  <w:snapToGrid w:val="0"/>
                  <w:lang w:eastAsia="en-US"/>
                </w:rPr>
                <w:t>Mokrzycki &amp; Kaplan 1994</w:t>
              </w:r>
            </w:hyperlink>
            <w:r w:rsidR="007F4CDE" w:rsidRPr="007D1918">
              <w:rPr>
                <w:noProof/>
                <w:snapToGrid w:val="0"/>
                <w:lang w:eastAsia="en-US"/>
              </w:rPr>
              <w:t>)</w:t>
            </w:r>
            <w:r w:rsidR="007F4CDE" w:rsidRPr="007D1918">
              <w:rPr>
                <w:snapToGrid w:val="0"/>
                <w:lang w:eastAsia="en-US"/>
              </w:rPr>
              <w:fldChar w:fldCharType="end"/>
            </w:r>
          </w:p>
        </w:tc>
        <w:tc>
          <w:tcPr>
            <w:tcW w:w="2075" w:type="dxa"/>
            <w:shd w:val="clear" w:color="auto" w:fill="auto"/>
          </w:tcPr>
          <w:p w14:paraId="7AD30F14" w14:textId="77777777" w:rsidR="008747C1" w:rsidRPr="007D1918" w:rsidRDefault="008747C1" w:rsidP="007036F8">
            <w:pPr>
              <w:pStyle w:val="Tablecontents"/>
              <w:ind w:left="0"/>
              <w:rPr>
                <w:snapToGrid w:val="0"/>
                <w:lang w:eastAsia="en-US"/>
              </w:rPr>
            </w:pPr>
            <w:r w:rsidRPr="007D1918">
              <w:rPr>
                <w:snapToGrid w:val="0"/>
                <w:lang w:eastAsia="en-US"/>
              </w:rPr>
              <w:t>QALY loss in exploratory SA</w:t>
            </w:r>
          </w:p>
        </w:tc>
      </w:tr>
    </w:tbl>
    <w:p w14:paraId="411C8827" w14:textId="77777777" w:rsidR="008747C1" w:rsidRPr="007D1918" w:rsidRDefault="008747C1" w:rsidP="008747C1">
      <w:pPr>
        <w:pStyle w:val="Tablenotes1"/>
        <w:rPr>
          <w:snapToGrid w:val="0"/>
        </w:rPr>
      </w:pPr>
      <w:r w:rsidRPr="007D1918">
        <w:rPr>
          <w:snapToGrid w:val="0"/>
        </w:rPr>
        <w:t>MG = myasthenia gravis; PE = plasma exchange; Ig = immunoglobulin; QALYs = quality adjusted life years; SA = scenario analyses.</w:t>
      </w:r>
    </w:p>
    <w:p w14:paraId="7EA01F2C" w14:textId="77777777" w:rsidR="008747C1" w:rsidRPr="007D1918" w:rsidRDefault="008747C1" w:rsidP="008747C1">
      <w:pPr>
        <w:jc w:val="both"/>
        <w:rPr>
          <w:snapToGrid w:val="0"/>
          <w:lang w:eastAsia="en-US"/>
        </w:rPr>
      </w:pPr>
      <w:r w:rsidRPr="007D1918">
        <w:rPr>
          <w:snapToGrid w:val="0"/>
          <w:lang w:eastAsia="en-US"/>
        </w:rPr>
        <w:lastRenderedPageBreak/>
        <w:t>Transformation of the relevant safety outcomes into QALYs is detailed in C.4.2 to enable incorporation into the cost-utility analysis presented in Section D. Identification of the resource use and costs associated with the safety outcomes has been described as a modelling issue in Section D.4.</w:t>
      </w:r>
    </w:p>
    <w:p w14:paraId="5FD8E779" w14:textId="77777777" w:rsidR="008747C1" w:rsidRPr="007D1918" w:rsidRDefault="008747C1" w:rsidP="008747C1">
      <w:pPr>
        <w:pStyle w:val="Heading4"/>
      </w:pPr>
      <w:r w:rsidRPr="007D1918">
        <w:t>C.4.2</w:t>
      </w:r>
      <w:r w:rsidRPr="007D1918">
        <w:tab/>
        <w:t>What are the quality of life effects associated with differences in safety outcomes between IVIg and PE used in myasthenic crisis?</w:t>
      </w:r>
    </w:p>
    <w:p w14:paraId="1F34FCFA" w14:textId="77777777" w:rsidR="008747C1" w:rsidRPr="007D1918" w:rsidRDefault="008747C1" w:rsidP="008747C1">
      <w:pPr>
        <w:jc w:val="both"/>
        <w:rPr>
          <w:snapToGrid w:val="0"/>
          <w:lang w:eastAsia="en-US"/>
        </w:rPr>
      </w:pPr>
      <w:r w:rsidRPr="007D1918">
        <w:rPr>
          <w:snapToGrid w:val="0"/>
          <w:lang w:eastAsia="en-US"/>
        </w:rPr>
        <w:t xml:space="preserve">The acute adverse events of retroperitoneal haematoma, femoral thrombosis and systemic infection all represent serious conditions associated with significant loss in quality of life until resolution. In the case of thrombosis, ongoing anti-thrombotic therapy is recommended for 3 months, and some discomfort and disutilty is expected over this time. </w:t>
      </w:r>
    </w:p>
    <w:p w14:paraId="4ED9CB80" w14:textId="77777777" w:rsidR="008747C1" w:rsidRPr="007D1918" w:rsidRDefault="008747C1" w:rsidP="008747C1">
      <w:pPr>
        <w:jc w:val="both"/>
        <w:rPr>
          <w:snapToGrid w:val="0"/>
          <w:lang w:eastAsia="en-US"/>
        </w:rPr>
      </w:pPr>
      <w:r w:rsidRPr="007D1918">
        <w:rPr>
          <w:snapToGrid w:val="0"/>
          <w:lang w:eastAsia="en-US"/>
        </w:rPr>
        <w:t xml:space="preserve">No quality of life data relevant to the adverse safety profile of PE was presented in the clinical studies, therefore the a search of Tufts CEA Registry of Utility values and the literature was performed to inform the translation of the relevant adverse events into utility values and estimate quality of life decrements. A lack of good quality estimates for the disutility associated with the adverse events relevant to this analysis presents a serious limitation; the use of the identified utilities is highly uncertain and the QALY increment should not be interpreted as precise but, at best, broadly indicative. </w:t>
      </w:r>
    </w:p>
    <w:p w14:paraId="1460CEAF" w14:textId="77777777" w:rsidR="008747C1" w:rsidRPr="007D1918" w:rsidRDefault="008747C1" w:rsidP="008747C1">
      <w:pPr>
        <w:pStyle w:val="Heading5"/>
        <w:rPr>
          <w:snapToGrid w:val="0"/>
          <w:lang w:eastAsia="en-US"/>
        </w:rPr>
      </w:pPr>
      <w:r w:rsidRPr="007D1918">
        <w:rPr>
          <w:snapToGrid w:val="0"/>
          <w:lang w:eastAsia="en-US"/>
        </w:rPr>
        <w:t>What are the utility estimates associated with relevant adverse effects?</w:t>
      </w:r>
    </w:p>
    <w:p w14:paraId="60E5D99A" w14:textId="26B260FF" w:rsidR="008747C1" w:rsidRPr="007D1918" w:rsidRDefault="008747C1" w:rsidP="008747C1">
      <w:pPr>
        <w:jc w:val="both"/>
        <w:rPr>
          <w:snapToGrid w:val="0"/>
          <w:lang w:eastAsia="en-US"/>
        </w:rPr>
      </w:pPr>
      <w:r w:rsidRPr="007D1918">
        <w:rPr>
          <w:snapToGrid w:val="0"/>
          <w:lang w:eastAsia="en-US"/>
        </w:rPr>
        <w:t xml:space="preserve">The utility estimates which are incorporated in the model are presented in </w:t>
      </w:r>
      <w:r w:rsidRPr="007D1918">
        <w:rPr>
          <w:snapToGrid w:val="0"/>
          <w:lang w:eastAsia="en-US"/>
        </w:rPr>
        <w:fldChar w:fldCharType="begin"/>
      </w:r>
      <w:r w:rsidRPr="007D1918">
        <w:rPr>
          <w:snapToGrid w:val="0"/>
          <w:lang w:eastAsia="en-US"/>
        </w:rPr>
        <w:instrText xml:space="preserve"> REF _Ref17966517 \h </w:instrText>
      </w:r>
      <w:r w:rsidR="00E07567" w:rsidRPr="007D1918">
        <w:rPr>
          <w:snapToGrid w:val="0"/>
          <w:lang w:eastAsia="en-US"/>
        </w:rPr>
        <w:instrText xml:space="preserve"> \* MERGEFORMAT </w:instrText>
      </w:r>
      <w:r w:rsidRPr="007D1918">
        <w:rPr>
          <w:snapToGrid w:val="0"/>
          <w:lang w:eastAsia="en-US"/>
        </w:rPr>
      </w:r>
      <w:r w:rsidRPr="007D1918">
        <w:rPr>
          <w:snapToGrid w:val="0"/>
          <w:lang w:eastAsia="en-US"/>
        </w:rPr>
        <w:fldChar w:fldCharType="separate"/>
      </w:r>
      <w:r w:rsidR="00AA6011" w:rsidRPr="007D1918">
        <w:t xml:space="preserve">Table </w:t>
      </w:r>
      <w:r w:rsidR="00AA6011" w:rsidRPr="007D1918">
        <w:rPr>
          <w:noProof/>
        </w:rPr>
        <w:t>57</w:t>
      </w:r>
      <w:r w:rsidRPr="007D1918">
        <w:rPr>
          <w:snapToGrid w:val="0"/>
          <w:lang w:eastAsia="en-US"/>
        </w:rPr>
        <w:fldChar w:fldCharType="end"/>
      </w:r>
      <w:r w:rsidRPr="007D1918">
        <w:rPr>
          <w:snapToGrid w:val="0"/>
          <w:lang w:eastAsia="en-US"/>
        </w:rPr>
        <w:t>. The key concerns with these values are:</w:t>
      </w:r>
    </w:p>
    <w:p w14:paraId="6CD9D477" w14:textId="77777777" w:rsidR="008747C1" w:rsidRPr="007D1918" w:rsidRDefault="008747C1" w:rsidP="008747C1">
      <w:pPr>
        <w:pStyle w:val="ListParagraph"/>
        <w:numPr>
          <w:ilvl w:val="0"/>
          <w:numId w:val="46"/>
        </w:numPr>
        <w:jc w:val="both"/>
        <w:rPr>
          <w:snapToGrid w:val="0"/>
          <w:lang w:eastAsia="en-US"/>
        </w:rPr>
      </w:pPr>
      <w:r w:rsidRPr="007D1918">
        <w:rPr>
          <w:snapToGrid w:val="0"/>
          <w:lang w:eastAsia="en-US"/>
        </w:rPr>
        <w:t>The various utility values are taken from various research which has used different methodologies (eg EQ-5D, time-trade-off and standard gamble) and therefore may be inconsistent; the Assessment model has used consistent sources where possible and there are no obvious face-validity concerns.</w:t>
      </w:r>
    </w:p>
    <w:p w14:paraId="7BB8CC2B" w14:textId="77777777" w:rsidR="008747C1" w:rsidRPr="007D1918" w:rsidRDefault="008747C1" w:rsidP="008747C1">
      <w:pPr>
        <w:pStyle w:val="ListParagraph"/>
        <w:numPr>
          <w:ilvl w:val="0"/>
          <w:numId w:val="46"/>
        </w:numPr>
        <w:jc w:val="both"/>
        <w:rPr>
          <w:snapToGrid w:val="0"/>
          <w:lang w:eastAsia="en-US"/>
        </w:rPr>
      </w:pPr>
      <w:r w:rsidRPr="007D1918">
        <w:rPr>
          <w:snapToGrid w:val="0"/>
          <w:lang w:eastAsia="en-US"/>
        </w:rPr>
        <w:t xml:space="preserve">Utility values for some adverse events were not found, therefore the assigned utilities are based on ‘similar’ clinical conditions (e.g. utility for femoral thrombosis is based on broad ‘DVT’; and retroperitoneal haemorrhage is based on gastrointestinal haemorrhage), therefore these may be inaccurate. </w:t>
      </w:r>
    </w:p>
    <w:p w14:paraId="7B7D8009" w14:textId="77777777" w:rsidR="008747C1" w:rsidRPr="007D1918" w:rsidRDefault="008747C1" w:rsidP="008747C1">
      <w:pPr>
        <w:pStyle w:val="ListParagraph"/>
        <w:numPr>
          <w:ilvl w:val="0"/>
          <w:numId w:val="46"/>
        </w:numPr>
        <w:jc w:val="both"/>
        <w:rPr>
          <w:snapToGrid w:val="0"/>
          <w:lang w:eastAsia="en-US"/>
        </w:rPr>
      </w:pPr>
      <w:r w:rsidRPr="007D1918">
        <w:rPr>
          <w:snapToGrid w:val="0"/>
          <w:lang w:eastAsia="en-US"/>
        </w:rPr>
        <w:t>Utility decrements are not derived in the context of an MG patient, therefore the applicability is uncertain.</w:t>
      </w:r>
    </w:p>
    <w:p w14:paraId="18A5C133" w14:textId="77777777" w:rsidR="008747C1" w:rsidRPr="007D1918" w:rsidRDefault="008747C1" w:rsidP="008747C1">
      <w:pPr>
        <w:pStyle w:val="Caption"/>
        <w:keepNext/>
      </w:pPr>
      <w:bookmarkStart w:id="353" w:name="_Ref17966517"/>
      <w:bookmarkStart w:id="354" w:name="_Ref17966510"/>
      <w:bookmarkStart w:id="355" w:name="_Toc23769544"/>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57</w:t>
      </w:r>
      <w:r w:rsidRPr="007D1918">
        <w:rPr>
          <w:noProof/>
        </w:rPr>
        <w:fldChar w:fldCharType="end"/>
      </w:r>
      <w:bookmarkEnd w:id="353"/>
      <w:r w:rsidRPr="007D1918">
        <w:tab/>
        <w:t>Utility values associated with MG and adverse events of PE therapy, as reported in the literature</w:t>
      </w:r>
      <w:bookmarkEnd w:id="354"/>
      <w:bookmarkEnd w:id="355"/>
    </w:p>
    <w:tbl>
      <w:tblPr>
        <w:tblStyle w:val="TableGrid"/>
        <w:tblW w:w="9067" w:type="dxa"/>
        <w:tblLayout w:type="fixed"/>
        <w:tblLook w:val="04A0" w:firstRow="1" w:lastRow="0" w:firstColumn="1" w:lastColumn="0" w:noHBand="0" w:noVBand="1"/>
        <w:tblCaption w:val="Table 57 Utility values associated with MG and adverse events of PE therapy, as reported in the literature"/>
      </w:tblPr>
      <w:tblGrid>
        <w:gridCol w:w="2122"/>
        <w:gridCol w:w="850"/>
        <w:gridCol w:w="1701"/>
        <w:gridCol w:w="4394"/>
      </w:tblGrid>
      <w:tr w:rsidR="008747C1" w:rsidRPr="007D1918" w14:paraId="690D4FB4" w14:textId="77777777" w:rsidTr="00BD29C0">
        <w:trPr>
          <w:tblHeader/>
        </w:trPr>
        <w:tc>
          <w:tcPr>
            <w:tcW w:w="2122" w:type="dxa"/>
          </w:tcPr>
          <w:p w14:paraId="29F1729B" w14:textId="77777777" w:rsidR="008747C1" w:rsidRPr="007D1918" w:rsidRDefault="008747C1" w:rsidP="00153384">
            <w:pPr>
              <w:pStyle w:val="TableHeading"/>
              <w:ind w:left="0"/>
            </w:pPr>
            <w:r w:rsidRPr="007D1918">
              <w:t>Health State or Event</w:t>
            </w:r>
          </w:p>
        </w:tc>
        <w:tc>
          <w:tcPr>
            <w:tcW w:w="850" w:type="dxa"/>
          </w:tcPr>
          <w:p w14:paraId="2EC67D2D" w14:textId="77777777" w:rsidR="008747C1" w:rsidRPr="007D1918" w:rsidRDefault="008747C1" w:rsidP="00153384">
            <w:pPr>
              <w:pStyle w:val="TableHeading"/>
              <w:ind w:left="0"/>
            </w:pPr>
            <w:r w:rsidRPr="007D1918">
              <w:t>Utility value</w:t>
            </w:r>
          </w:p>
        </w:tc>
        <w:tc>
          <w:tcPr>
            <w:tcW w:w="1701" w:type="dxa"/>
          </w:tcPr>
          <w:p w14:paraId="0FBCEB29" w14:textId="77777777" w:rsidR="008747C1" w:rsidRPr="007D1918" w:rsidRDefault="008747C1" w:rsidP="00153384">
            <w:pPr>
              <w:pStyle w:val="TableHeading"/>
              <w:ind w:left="0"/>
            </w:pPr>
            <w:r w:rsidRPr="007D1918">
              <w:t>Source</w:t>
            </w:r>
          </w:p>
        </w:tc>
        <w:tc>
          <w:tcPr>
            <w:tcW w:w="4394" w:type="dxa"/>
          </w:tcPr>
          <w:p w14:paraId="5D964621" w14:textId="77777777" w:rsidR="008747C1" w:rsidRPr="007D1918" w:rsidRDefault="008747C1" w:rsidP="00153384">
            <w:pPr>
              <w:pStyle w:val="TableHeading"/>
              <w:ind w:left="0"/>
            </w:pPr>
            <w:r w:rsidRPr="007D1918">
              <w:t>Comment</w:t>
            </w:r>
          </w:p>
        </w:tc>
      </w:tr>
      <w:tr w:rsidR="008747C1" w:rsidRPr="007D1918" w14:paraId="0BE91B0E" w14:textId="77777777" w:rsidTr="007036F8">
        <w:tc>
          <w:tcPr>
            <w:tcW w:w="2122" w:type="dxa"/>
          </w:tcPr>
          <w:p w14:paraId="3EB7A5ED" w14:textId="77777777" w:rsidR="008747C1" w:rsidRPr="007D1918" w:rsidRDefault="008747C1" w:rsidP="00153384">
            <w:pPr>
              <w:pStyle w:val="Tablecontents"/>
              <w:ind w:left="0"/>
            </w:pPr>
            <w:r w:rsidRPr="007D1918">
              <w:t>MG crisis</w:t>
            </w:r>
          </w:p>
        </w:tc>
        <w:tc>
          <w:tcPr>
            <w:tcW w:w="850" w:type="dxa"/>
          </w:tcPr>
          <w:p w14:paraId="26654067" w14:textId="77777777" w:rsidR="008747C1" w:rsidRPr="007D1918" w:rsidRDefault="008747C1" w:rsidP="00153384">
            <w:pPr>
              <w:pStyle w:val="Tablecontents"/>
              <w:ind w:left="0"/>
              <w:jc w:val="center"/>
            </w:pPr>
            <w:r w:rsidRPr="007D1918">
              <w:t>0.20</w:t>
            </w:r>
          </w:p>
        </w:tc>
        <w:tc>
          <w:tcPr>
            <w:tcW w:w="1701" w:type="dxa"/>
          </w:tcPr>
          <w:p w14:paraId="156477F4" w14:textId="4789388C" w:rsidR="008747C1" w:rsidRPr="007D1918" w:rsidRDefault="007F4CDE" w:rsidP="007D4948">
            <w:pPr>
              <w:pStyle w:val="Tablecontents"/>
              <w:ind w:left="0"/>
            </w:pPr>
            <w:r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Pr="007D1918">
              <w:instrText xml:space="preserve"> ADDIN EN.CITE </w:instrText>
            </w:r>
            <w:r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Pr="007D1918">
              <w:instrText xml:space="preserve"> ADDIN EN.CITE.DATA </w:instrText>
            </w:r>
            <w:r w:rsidRPr="007D1918">
              <w:fldChar w:fldCharType="end"/>
            </w:r>
            <w:r w:rsidRPr="007D1918">
              <w:fldChar w:fldCharType="separate"/>
            </w:r>
            <w:r w:rsidRPr="007D1918">
              <w:rPr>
                <w:noProof/>
              </w:rPr>
              <w:t>(</w:t>
            </w:r>
            <w:hyperlink w:anchor="_ENREF_6" w:tooltip="Barnett, 2019 #91" w:history="1">
              <w:r w:rsidR="007D4948" w:rsidRPr="007D1918">
                <w:rPr>
                  <w:noProof/>
                </w:rPr>
                <w:t>Barnett, Bril &amp; Bayoumi 2019</w:t>
              </w:r>
            </w:hyperlink>
            <w:r w:rsidRPr="007D1918">
              <w:rPr>
                <w:noProof/>
              </w:rPr>
              <w:t>)</w:t>
            </w:r>
            <w:r w:rsidRPr="007D1918">
              <w:fldChar w:fldCharType="end"/>
            </w:r>
            <w:r w:rsidR="008747C1" w:rsidRPr="007D1918">
              <w:t xml:space="preserve"> </w:t>
            </w:r>
          </w:p>
        </w:tc>
        <w:tc>
          <w:tcPr>
            <w:tcW w:w="4394" w:type="dxa"/>
          </w:tcPr>
          <w:p w14:paraId="4A5A7886" w14:textId="05DA2376" w:rsidR="008747C1" w:rsidRPr="007D1918" w:rsidRDefault="007036F8" w:rsidP="00153384">
            <w:pPr>
              <w:pStyle w:val="Tablecontents"/>
              <w:ind w:left="0"/>
            </w:pPr>
            <w:r w:rsidRPr="007D1918">
              <w:t xml:space="preserve">EQ-5D </w:t>
            </w:r>
            <w:r w:rsidR="00EB7505" w:rsidRPr="007D1918">
              <w:t xml:space="preserve">derived estimate of </w:t>
            </w:r>
            <w:r w:rsidRPr="007D1918">
              <w:t>u</w:t>
            </w:r>
            <w:r w:rsidR="008747C1" w:rsidRPr="007D1918">
              <w:t>tility for</w:t>
            </w:r>
            <w:r w:rsidR="00EB7505" w:rsidRPr="007D1918">
              <w:t xml:space="preserve"> MG</w:t>
            </w:r>
            <w:r w:rsidR="008747C1" w:rsidRPr="007D1918">
              <w:t xml:space="preserve"> class IVA (no class V/Crisis score available). </w:t>
            </w:r>
          </w:p>
          <w:p w14:paraId="0BCE7EF4" w14:textId="77777777" w:rsidR="008747C1" w:rsidRPr="007D1918" w:rsidRDefault="008747C1" w:rsidP="00153384">
            <w:pPr>
              <w:pStyle w:val="Tablecontents"/>
              <w:ind w:left="0"/>
            </w:pPr>
            <w:r w:rsidRPr="007D1918">
              <w:t>This is considered baseline utility in crisis for the initial 6 days, to identify if AE results in further decrement.</w:t>
            </w:r>
          </w:p>
        </w:tc>
      </w:tr>
      <w:tr w:rsidR="008747C1" w:rsidRPr="007D1918" w14:paraId="70336BA2" w14:textId="77777777" w:rsidTr="007036F8">
        <w:tc>
          <w:tcPr>
            <w:tcW w:w="2122" w:type="dxa"/>
          </w:tcPr>
          <w:p w14:paraId="08BF9559" w14:textId="77777777" w:rsidR="008747C1" w:rsidRPr="007D1918" w:rsidRDefault="008747C1" w:rsidP="00153384">
            <w:pPr>
              <w:pStyle w:val="Tablecontents"/>
              <w:ind w:left="0"/>
            </w:pPr>
            <w:r w:rsidRPr="007D1918">
              <w:lastRenderedPageBreak/>
              <w:t>MG crisis – partially resolved</w:t>
            </w:r>
          </w:p>
        </w:tc>
        <w:tc>
          <w:tcPr>
            <w:tcW w:w="850" w:type="dxa"/>
          </w:tcPr>
          <w:p w14:paraId="38D11FB8" w14:textId="77777777" w:rsidR="008747C1" w:rsidRPr="007D1918" w:rsidRDefault="008747C1" w:rsidP="00153384">
            <w:pPr>
              <w:pStyle w:val="Tablecontents"/>
              <w:ind w:left="0"/>
              <w:jc w:val="center"/>
            </w:pPr>
            <w:r w:rsidRPr="007D1918">
              <w:t>0.5 – 0.7</w:t>
            </w:r>
          </w:p>
        </w:tc>
        <w:tc>
          <w:tcPr>
            <w:tcW w:w="1701" w:type="dxa"/>
          </w:tcPr>
          <w:p w14:paraId="49BAAC03" w14:textId="77777777" w:rsidR="008747C1" w:rsidRPr="007D1918" w:rsidRDefault="008747C1" w:rsidP="00153384">
            <w:pPr>
              <w:pStyle w:val="Tablecontents"/>
              <w:ind w:left="0"/>
            </w:pPr>
            <w:r w:rsidRPr="007D1918">
              <w:t>Assumed</w:t>
            </w:r>
          </w:p>
        </w:tc>
        <w:tc>
          <w:tcPr>
            <w:tcW w:w="4394" w:type="dxa"/>
          </w:tcPr>
          <w:p w14:paraId="1965C496" w14:textId="68619DA6" w:rsidR="008747C1" w:rsidRPr="007D1918" w:rsidRDefault="008747C1" w:rsidP="007036F8">
            <w:pPr>
              <w:pStyle w:val="Tablecontents"/>
              <w:ind w:left="0"/>
            </w:pPr>
            <w:r w:rsidRPr="007D1918">
              <w:t xml:space="preserve">Stepped utility between MG crisis which should be </w:t>
            </w:r>
            <w:r w:rsidR="007036F8" w:rsidRPr="007D1918">
              <w:t xml:space="preserve">improving by day 7, with </w:t>
            </w:r>
            <w:r w:rsidRPr="007D1918">
              <w:t xml:space="preserve">resolution </w:t>
            </w:r>
            <w:r w:rsidR="007036F8" w:rsidRPr="007D1918">
              <w:t xml:space="preserve">at </w:t>
            </w:r>
            <w:r w:rsidRPr="007D1918">
              <w:t>day 13.</w:t>
            </w:r>
          </w:p>
        </w:tc>
      </w:tr>
      <w:tr w:rsidR="008747C1" w:rsidRPr="007D1918" w14:paraId="748A389F" w14:textId="77777777" w:rsidTr="007036F8">
        <w:tc>
          <w:tcPr>
            <w:tcW w:w="2122" w:type="dxa"/>
          </w:tcPr>
          <w:p w14:paraId="7FB50814" w14:textId="77777777" w:rsidR="008747C1" w:rsidRPr="007D1918" w:rsidRDefault="008747C1" w:rsidP="00153384">
            <w:pPr>
              <w:pStyle w:val="Tablecontents"/>
              <w:ind w:left="0"/>
            </w:pPr>
            <w:r w:rsidRPr="007D1918">
              <w:t>MG crisis resolved (remission)</w:t>
            </w:r>
          </w:p>
        </w:tc>
        <w:tc>
          <w:tcPr>
            <w:tcW w:w="850" w:type="dxa"/>
          </w:tcPr>
          <w:p w14:paraId="5F03EC90" w14:textId="77777777" w:rsidR="008747C1" w:rsidRPr="007D1918" w:rsidRDefault="008747C1" w:rsidP="00153384">
            <w:pPr>
              <w:pStyle w:val="Tablecontents"/>
              <w:ind w:left="0"/>
              <w:jc w:val="center"/>
            </w:pPr>
            <w:r w:rsidRPr="007D1918">
              <w:t>0.94</w:t>
            </w:r>
          </w:p>
        </w:tc>
        <w:tc>
          <w:tcPr>
            <w:tcW w:w="1701" w:type="dxa"/>
          </w:tcPr>
          <w:p w14:paraId="34972F8C" w14:textId="58D4CC5A" w:rsidR="008747C1" w:rsidRPr="007D1918" w:rsidRDefault="007F4CDE" w:rsidP="007D4948">
            <w:pPr>
              <w:pStyle w:val="Tablecontents"/>
              <w:ind w:left="0"/>
            </w:pPr>
            <w:r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Pr="007D1918">
              <w:instrText xml:space="preserve"> ADDIN EN.CITE </w:instrText>
            </w:r>
            <w:r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Pr="007D1918">
              <w:instrText xml:space="preserve"> ADDIN EN.CITE.DATA </w:instrText>
            </w:r>
            <w:r w:rsidRPr="007D1918">
              <w:fldChar w:fldCharType="end"/>
            </w:r>
            <w:r w:rsidRPr="007D1918">
              <w:fldChar w:fldCharType="separate"/>
            </w:r>
            <w:r w:rsidRPr="007D1918">
              <w:rPr>
                <w:noProof/>
              </w:rPr>
              <w:t>(</w:t>
            </w:r>
            <w:hyperlink w:anchor="_ENREF_6" w:tooltip="Barnett, 2019 #91" w:history="1">
              <w:r w:rsidR="007D4948" w:rsidRPr="007D1918">
                <w:rPr>
                  <w:noProof/>
                </w:rPr>
                <w:t>Barnett, Bril &amp; Bayoumi 2019</w:t>
              </w:r>
            </w:hyperlink>
            <w:r w:rsidRPr="007D1918">
              <w:rPr>
                <w:noProof/>
              </w:rPr>
              <w:t>)</w:t>
            </w:r>
            <w:r w:rsidRPr="007D1918">
              <w:fldChar w:fldCharType="end"/>
            </w:r>
            <w:r w:rsidR="008747C1" w:rsidRPr="007D1918">
              <w:t xml:space="preserve"> </w:t>
            </w:r>
          </w:p>
        </w:tc>
        <w:tc>
          <w:tcPr>
            <w:tcW w:w="4394" w:type="dxa"/>
          </w:tcPr>
          <w:p w14:paraId="2707E288" w14:textId="22268EC2" w:rsidR="008747C1" w:rsidRPr="007D1918" w:rsidRDefault="00EB7505" w:rsidP="00EB7505">
            <w:pPr>
              <w:pStyle w:val="Tablecontents"/>
              <w:ind w:left="0"/>
            </w:pPr>
            <w:r w:rsidRPr="007D1918">
              <w:t>EQ-5D derived estimate. Applied f</w:t>
            </w:r>
            <w:r w:rsidR="008747C1" w:rsidRPr="007D1918">
              <w:t xml:space="preserve">rom Day 13 after crisis; baseline utility from which to calculate any AE-related decrement. </w:t>
            </w:r>
          </w:p>
        </w:tc>
      </w:tr>
      <w:tr w:rsidR="008747C1" w:rsidRPr="007D1918" w14:paraId="2D87B81C" w14:textId="77777777" w:rsidTr="007036F8">
        <w:tc>
          <w:tcPr>
            <w:tcW w:w="2122" w:type="dxa"/>
          </w:tcPr>
          <w:p w14:paraId="75AB14F5" w14:textId="77777777" w:rsidR="008747C1" w:rsidRPr="007D1918" w:rsidRDefault="008747C1" w:rsidP="00153384">
            <w:pPr>
              <w:pStyle w:val="Tablecontents"/>
              <w:ind w:left="0"/>
            </w:pPr>
            <w:r w:rsidRPr="007D1918">
              <w:t>MG average utility</w:t>
            </w:r>
          </w:p>
        </w:tc>
        <w:tc>
          <w:tcPr>
            <w:tcW w:w="850" w:type="dxa"/>
          </w:tcPr>
          <w:p w14:paraId="3F4FFC1B" w14:textId="77777777" w:rsidR="008747C1" w:rsidRPr="007D1918" w:rsidRDefault="008747C1" w:rsidP="00153384">
            <w:pPr>
              <w:pStyle w:val="Tablecontents"/>
              <w:ind w:left="0"/>
              <w:jc w:val="center"/>
            </w:pPr>
            <w:r w:rsidRPr="007D1918">
              <w:t>0.84</w:t>
            </w:r>
          </w:p>
        </w:tc>
        <w:tc>
          <w:tcPr>
            <w:tcW w:w="1701" w:type="dxa"/>
          </w:tcPr>
          <w:p w14:paraId="7A877072" w14:textId="07FB78CF" w:rsidR="008747C1" w:rsidRPr="007D1918" w:rsidRDefault="007F4CDE" w:rsidP="007D4948">
            <w:pPr>
              <w:pStyle w:val="Tablecontents"/>
              <w:ind w:left="0"/>
            </w:pPr>
            <w:r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Pr="007D1918">
              <w:instrText xml:space="preserve"> ADDIN EN.CITE </w:instrText>
            </w:r>
            <w:r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Pr="007D1918">
              <w:instrText xml:space="preserve"> ADDIN EN.CITE.DATA </w:instrText>
            </w:r>
            <w:r w:rsidRPr="007D1918">
              <w:fldChar w:fldCharType="end"/>
            </w:r>
            <w:r w:rsidRPr="007D1918">
              <w:fldChar w:fldCharType="separate"/>
            </w:r>
            <w:r w:rsidRPr="007D1918">
              <w:rPr>
                <w:noProof/>
              </w:rPr>
              <w:t>(</w:t>
            </w:r>
            <w:hyperlink w:anchor="_ENREF_6" w:tooltip="Barnett, 2019 #91" w:history="1">
              <w:r w:rsidR="007D4948" w:rsidRPr="007D1918">
                <w:rPr>
                  <w:noProof/>
                </w:rPr>
                <w:t>Barnett, Bril &amp; Bayoumi 2019</w:t>
              </w:r>
            </w:hyperlink>
            <w:r w:rsidRPr="007D1918">
              <w:rPr>
                <w:noProof/>
              </w:rPr>
              <w:t>)</w:t>
            </w:r>
            <w:r w:rsidRPr="007D1918">
              <w:fldChar w:fldCharType="end"/>
            </w:r>
            <w:r w:rsidR="008747C1" w:rsidRPr="007D1918">
              <w:t xml:space="preserve"> </w:t>
            </w:r>
          </w:p>
        </w:tc>
        <w:tc>
          <w:tcPr>
            <w:tcW w:w="4394" w:type="dxa"/>
          </w:tcPr>
          <w:p w14:paraId="38F1C10C" w14:textId="596A0B3D" w:rsidR="008747C1" w:rsidRPr="007D1918" w:rsidRDefault="00EB7505" w:rsidP="00153384">
            <w:pPr>
              <w:pStyle w:val="Tablecontents"/>
              <w:ind w:left="0"/>
            </w:pPr>
            <w:r w:rsidRPr="007D1918">
              <w:t xml:space="preserve">Average of EQ-5D derived estimates across mixed study group. </w:t>
            </w:r>
            <w:r w:rsidR="008747C1" w:rsidRPr="007D1918">
              <w:t>Assumed to apply to long-term survival loss estimated in exploratory analysis.</w:t>
            </w:r>
          </w:p>
        </w:tc>
      </w:tr>
      <w:tr w:rsidR="008747C1" w:rsidRPr="007D1918" w14:paraId="7BF07110" w14:textId="77777777" w:rsidTr="007036F8">
        <w:tc>
          <w:tcPr>
            <w:tcW w:w="2122" w:type="dxa"/>
          </w:tcPr>
          <w:p w14:paraId="4AAEE057" w14:textId="77777777" w:rsidR="008747C1" w:rsidRPr="007D1918" w:rsidRDefault="008747C1" w:rsidP="00153384">
            <w:pPr>
              <w:pStyle w:val="Tablecontents"/>
              <w:ind w:left="0"/>
            </w:pPr>
            <w:r w:rsidRPr="007D1918">
              <w:t>Retroperitoneal haematoma (in hospital)</w:t>
            </w:r>
          </w:p>
        </w:tc>
        <w:tc>
          <w:tcPr>
            <w:tcW w:w="850" w:type="dxa"/>
          </w:tcPr>
          <w:p w14:paraId="31E13F1A" w14:textId="77777777" w:rsidR="008747C1" w:rsidRPr="007D1918" w:rsidRDefault="008747C1" w:rsidP="00153384">
            <w:pPr>
              <w:pStyle w:val="Tablecontents"/>
              <w:ind w:left="0"/>
              <w:jc w:val="center"/>
            </w:pPr>
            <w:r w:rsidRPr="007D1918">
              <w:t>0.45</w:t>
            </w:r>
          </w:p>
        </w:tc>
        <w:tc>
          <w:tcPr>
            <w:tcW w:w="1701" w:type="dxa"/>
          </w:tcPr>
          <w:p w14:paraId="293E8597" w14:textId="49B2C183" w:rsidR="008747C1" w:rsidRPr="007D1918" w:rsidRDefault="007F4CDE" w:rsidP="007D4948">
            <w:pPr>
              <w:pStyle w:val="Tablecontents"/>
              <w:ind w:left="0"/>
            </w:pPr>
            <w:r w:rsidRPr="007D1918">
              <w:fldChar w:fldCharType="begin">
                <w:fldData xml:space="preserve">PEVuZE5vdGU+PENpdGU+PEF1dGhvcj5HdWVzdDwvQXV0aG9yPjxZZWFyPjIwMTA8L1llYXI+PFJl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</w:fldData>
              </w:fldChar>
            </w:r>
            <w:r w:rsidRPr="007D1918">
              <w:instrText xml:space="preserve"> ADDIN EN.CITE </w:instrText>
            </w:r>
            <w:r w:rsidRPr="007D1918">
              <w:fldChar w:fldCharType="begin">
                <w:fldData xml:space="preserve">PEVuZE5vdGU+PENpdGU+PEF1dGhvcj5HdWVzdDwvQXV0aG9yPjxZZWFyPjIwMTA8L1llYXI+PFJl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</w:fldData>
              </w:fldChar>
            </w:r>
            <w:r w:rsidRPr="007D1918">
              <w:instrText xml:space="preserve"> ADDIN EN.CITE.DATA </w:instrText>
            </w:r>
            <w:r w:rsidRPr="007D1918">
              <w:fldChar w:fldCharType="end"/>
            </w:r>
            <w:r w:rsidRPr="007D1918">
              <w:fldChar w:fldCharType="separate"/>
            </w:r>
            <w:r w:rsidRPr="007D1918">
              <w:rPr>
                <w:noProof/>
              </w:rPr>
              <w:t>(</w:t>
            </w:r>
            <w:hyperlink w:anchor="_ENREF_41" w:tooltip="Guest, 2010 #98" w:history="1">
              <w:r w:rsidR="007D4948" w:rsidRPr="007D1918">
                <w:rPr>
                  <w:noProof/>
                </w:rPr>
                <w:t>Guest, Watson &amp; Limaye 2010</w:t>
              </w:r>
            </w:hyperlink>
            <w:r w:rsidRPr="007D1918">
              <w:rPr>
                <w:noProof/>
              </w:rPr>
              <w:t>)</w:t>
            </w:r>
            <w:r w:rsidRPr="007D1918">
              <w:fldChar w:fldCharType="end"/>
            </w:r>
          </w:p>
        </w:tc>
        <w:tc>
          <w:tcPr>
            <w:tcW w:w="4394" w:type="dxa"/>
          </w:tcPr>
          <w:p w14:paraId="5E97ADB9" w14:textId="2C9BDB4D" w:rsidR="008747C1" w:rsidRPr="007D1918" w:rsidRDefault="008747C1" w:rsidP="007D4948">
            <w:pPr>
              <w:pStyle w:val="Tablecontents"/>
              <w:ind w:left="0"/>
            </w:pPr>
            <w:r w:rsidRPr="007D1918">
              <w:t xml:space="preserve">Assumed to be the same as GI haemorrhage (reported as EQ-5D values in </w:t>
            </w:r>
            <w:r w:rsidR="007F4CDE" w:rsidRPr="007D1918">
              <w:fldChar w:fldCharType="begin"/>
            </w:r>
            <w:r w:rsidR="007F4CDE" w:rsidRPr="007D1918">
              <w:instrText xml:space="preserve"> ADDIN EN.CITE &lt;EndNote&gt;&lt;Cite&gt;&lt;Author&gt;Sandercock&lt;/Author&gt;&lt;Year&gt;2002&lt;/Year&gt;&lt;RecNum&gt;97&lt;/RecNum&gt;&lt;DisplayText&gt;(Sandercock et al. 2002)&lt;/DisplayText&gt;&lt;record&gt;&lt;rec-number&gt;97&lt;/rec-number&gt;&lt;foreign-keys&gt;&lt;key app="EN" db-id="2aevrx2slsts5ve9sdavatf125dsx0av2v9d" timestamp="1567572159"&gt;97&lt;/key&gt;&lt;/foreign-keys&gt;&lt;ref-type name="Journal Article"&gt;17&lt;/ref-type&gt;&lt;contributors&gt;&lt;authors&gt;&lt;author&gt;Sandercock, P.&lt;/author&gt;&lt;author&gt;Berge, E.&lt;/author&gt;&lt;author&gt;Dennis, M.&lt;/author&gt;&lt;author&gt;Forbes, J.&lt;/author&gt;&lt;author&gt;Hand, P.&lt;/author&gt;&lt;author&gt;Kwan, J.&lt;/author&gt;&lt;author&gt;Lewis, S.&lt;/author&gt;&lt;author&gt;Lindley, R.&lt;/author&gt;&lt;author&gt;Neilson, A.&lt;/author&gt;&lt;author&gt;Thomas, B.&lt;/author&gt;&lt;author&gt;Wardlaw, J.&lt;/author&gt;&lt;/authors&gt;&lt;/contributors&gt;&lt;auth-address&gt;Department of Clinical Neurosciences, University of Edinburgh, Western General Hospital, Edinburgh, Scotland.&lt;/auth-address&gt;&lt;titles&gt;&lt;title&gt;A systematic review of the effectiveness, cost-effectiveness and barriers to implementation of thrombolytic and neuroprotective therapy for acute ischaemic stroke in the NHS&lt;/title&gt;&lt;secondary-title&gt;Health technology assessment (Winchester, England)&lt;/secondary-title&gt;&lt;alt-title&gt;Health Technol Assess&lt;/alt-title&gt;&lt;/titles&gt;&lt;periodical&gt;&lt;full-title&gt;Health technology assessment (Winchester, England)&lt;/full-title&gt;&lt;abbr-1&gt;Health Technol Assess&lt;/abbr-1&gt;&lt;/periodical&gt;&lt;alt-periodical&gt;&lt;full-title&gt;Health technology assessment (Winchester, England)&lt;/full-title&gt;&lt;abbr-1&gt;Health Technol Assess&lt;/abbr-1&gt;&lt;/alt-periodical&gt;&lt;pages&gt;1-112&lt;/pages&gt;&lt;volume&gt;6&lt;/volume&gt;&lt;number&gt;26&lt;/number&gt;&lt;keywords&gt;&lt;keyword&gt;Treatment Outcome&lt;/keyword&gt;&lt;keyword&gt;Cost-Benefit Analysis&lt;/keyword&gt;&lt;/keywords&gt;&lt;dates&gt;&lt;year&gt;2002&lt;/year&gt;&lt;pub-dates&gt;&lt;date&gt;2002&lt;/date&gt;&lt;/pub-dates&gt;&lt;/dates&gt;&lt;isbn&gt;1366-5278&lt;/isbn&gt;&lt;accession-num&gt;12433319&lt;/accession-num&gt;&lt;urls&gt;&lt;related-urls&gt;&lt;url&gt;http://europepmc.org/abstract/MED/12433319&lt;/url&gt;&lt;url&gt;http://www.hta.ac.uk/execsumm/summ626.htm&lt;/url&gt;&lt;/related-urls&gt;&lt;/urls&gt;&lt;remote-database-name&gt;PubMed&lt;/remote-database-name&gt;&lt;language&gt;eng&lt;/language&gt;&lt;/record&gt;&lt;/Cite&gt;&lt;/EndNote&gt;</w:instrText>
            </w:r>
            <w:r w:rsidR="007F4CDE" w:rsidRPr="007D1918">
              <w:fldChar w:fldCharType="separate"/>
            </w:r>
            <w:r w:rsidR="007F4CDE" w:rsidRPr="007D1918">
              <w:rPr>
                <w:noProof/>
              </w:rPr>
              <w:t>(</w:t>
            </w:r>
            <w:hyperlink w:anchor="_ENREF_85" w:tooltip="Sandercock, 2002 #97" w:history="1">
              <w:r w:rsidR="007D4948" w:rsidRPr="007D1918">
                <w:rPr>
                  <w:noProof/>
                </w:rPr>
                <w:t>Sandercock et al. 2002</w:t>
              </w:r>
            </w:hyperlink>
            <w:r w:rsidR="007F4CDE" w:rsidRPr="007D1918">
              <w:rPr>
                <w:noProof/>
              </w:rPr>
              <w:t>)</w:t>
            </w:r>
            <w:r w:rsidR="007F4CDE" w:rsidRPr="007D1918">
              <w:fldChar w:fldCharType="end"/>
            </w:r>
            <w:r w:rsidRPr="007D1918">
              <w:t>; however these values were not identified in the publication).</w:t>
            </w:r>
          </w:p>
        </w:tc>
      </w:tr>
      <w:tr w:rsidR="008747C1" w:rsidRPr="007D1918" w14:paraId="1C809F0D" w14:textId="77777777" w:rsidTr="007036F8">
        <w:tc>
          <w:tcPr>
            <w:tcW w:w="2122" w:type="dxa"/>
          </w:tcPr>
          <w:p w14:paraId="522E715E" w14:textId="77777777" w:rsidR="008747C1" w:rsidRPr="007D1918" w:rsidRDefault="008747C1" w:rsidP="00153384">
            <w:pPr>
              <w:pStyle w:val="Tablecontents"/>
              <w:ind w:left="0"/>
            </w:pPr>
            <w:r w:rsidRPr="007D1918">
              <w:t>Femoral thrombosis</w:t>
            </w:r>
          </w:p>
        </w:tc>
        <w:tc>
          <w:tcPr>
            <w:tcW w:w="850" w:type="dxa"/>
          </w:tcPr>
          <w:p w14:paraId="5ABFF50B" w14:textId="77777777" w:rsidR="008747C1" w:rsidRPr="007D1918" w:rsidRDefault="008747C1" w:rsidP="00153384">
            <w:pPr>
              <w:pStyle w:val="Tablecontents"/>
              <w:ind w:left="0"/>
              <w:jc w:val="center"/>
            </w:pPr>
            <w:r w:rsidRPr="007D1918">
              <w:t>0.81</w:t>
            </w:r>
          </w:p>
        </w:tc>
        <w:tc>
          <w:tcPr>
            <w:tcW w:w="1701" w:type="dxa"/>
          </w:tcPr>
          <w:p w14:paraId="1128954B" w14:textId="4A4534E2" w:rsidR="008747C1" w:rsidRPr="007D1918" w:rsidRDefault="007F4CDE" w:rsidP="007D4948">
            <w:pPr>
              <w:pStyle w:val="Tablecontents"/>
              <w:ind w:left="0"/>
            </w:pPr>
            <w:r w:rsidRPr="007D1918">
              <w:fldChar w:fldCharType="begin">
                <w:fldData xml:space="preserve">PEVuZE5vdGU+PENpdGU+PEF1dGhvcj5Ib2dnPC9BdXRob3I+PFllYXI+MjAxMzwvWWVhcj48UmVj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</w:fldData>
              </w:fldChar>
            </w:r>
            <w:r w:rsidRPr="007D1918">
              <w:instrText xml:space="preserve"> ADDIN EN.CITE </w:instrText>
            </w:r>
            <w:r w:rsidRPr="007D1918">
              <w:fldChar w:fldCharType="begin">
                <w:fldData xml:space="preserve">PEVuZE5vdGU+PENpdGU+PEF1dGhvcj5Ib2dnPC9BdXRob3I+PFllYXI+MjAxMzwvWWVhcj48UmVj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</w:fldData>
              </w:fldChar>
            </w:r>
            <w:r w:rsidRPr="007D1918">
              <w:instrText xml:space="preserve"> ADDIN EN.CITE.DATA </w:instrText>
            </w:r>
            <w:r w:rsidRPr="007D1918">
              <w:fldChar w:fldCharType="end"/>
            </w:r>
            <w:r w:rsidRPr="007D1918">
              <w:fldChar w:fldCharType="separate"/>
            </w:r>
            <w:r w:rsidRPr="007D1918">
              <w:rPr>
                <w:noProof/>
              </w:rPr>
              <w:t>(</w:t>
            </w:r>
            <w:hyperlink w:anchor="_ENREF_50" w:tooltip="Hogg, 2013 #92" w:history="1">
              <w:r w:rsidR="007D4948" w:rsidRPr="007D1918">
                <w:rPr>
                  <w:noProof/>
                </w:rPr>
                <w:t>Hogg et al. 2013</w:t>
              </w:r>
            </w:hyperlink>
            <w:r w:rsidRPr="007D1918">
              <w:rPr>
                <w:noProof/>
              </w:rPr>
              <w:t>)</w:t>
            </w:r>
            <w:r w:rsidRPr="007D1918">
              <w:fldChar w:fldCharType="end"/>
            </w:r>
            <w:r w:rsidR="008747C1" w:rsidRPr="007D1918">
              <w:t xml:space="preserve"> </w:t>
            </w:r>
          </w:p>
        </w:tc>
        <w:tc>
          <w:tcPr>
            <w:tcW w:w="4394" w:type="dxa"/>
          </w:tcPr>
          <w:p w14:paraId="5CF4201B" w14:textId="77777777" w:rsidR="008747C1" w:rsidRPr="007D1918" w:rsidRDefault="008747C1" w:rsidP="00153384">
            <w:pPr>
              <w:pStyle w:val="Tablecontents"/>
              <w:ind w:left="0"/>
            </w:pPr>
            <w:r w:rsidRPr="007D1918">
              <w:t>DVT utility estimate based on standard gamble questions.</w:t>
            </w:r>
          </w:p>
        </w:tc>
      </w:tr>
      <w:tr w:rsidR="008747C1" w:rsidRPr="007D1918" w14:paraId="7EBC30F7" w14:textId="77777777" w:rsidTr="007036F8">
        <w:tc>
          <w:tcPr>
            <w:tcW w:w="2122" w:type="dxa"/>
          </w:tcPr>
          <w:p w14:paraId="0D627723" w14:textId="77777777" w:rsidR="008747C1" w:rsidRPr="007D1918" w:rsidRDefault="008747C1" w:rsidP="00153384">
            <w:pPr>
              <w:pStyle w:val="Tablecontents"/>
              <w:ind w:left="0"/>
            </w:pPr>
            <w:r w:rsidRPr="007D1918">
              <w:t>Anticoagulation therapy</w:t>
            </w:r>
          </w:p>
        </w:tc>
        <w:tc>
          <w:tcPr>
            <w:tcW w:w="850" w:type="dxa"/>
          </w:tcPr>
          <w:p w14:paraId="15814326" w14:textId="77777777" w:rsidR="008747C1" w:rsidRPr="007D1918" w:rsidRDefault="008747C1" w:rsidP="00153384">
            <w:pPr>
              <w:pStyle w:val="Tablecontents"/>
              <w:ind w:left="0"/>
              <w:jc w:val="center"/>
            </w:pPr>
            <w:r w:rsidRPr="007D1918">
              <w:t>0.948*</w:t>
            </w:r>
          </w:p>
        </w:tc>
        <w:tc>
          <w:tcPr>
            <w:tcW w:w="1701" w:type="dxa"/>
          </w:tcPr>
          <w:p w14:paraId="1AF9BC95" w14:textId="485A20CE" w:rsidR="008747C1" w:rsidRPr="007D1918" w:rsidRDefault="007F4CDE" w:rsidP="007D4948">
            <w:pPr>
              <w:pStyle w:val="Tablecontents"/>
              <w:ind w:left="0"/>
            </w:pPr>
            <w:r w:rsidRPr="007D1918">
              <w:fldChar w:fldCharType="begin">
                <w:fldData xml:space="preserve">PEVuZE5vdGU+PENpdGU+PEF1dGhvcj5IZWlzZW48L0F1dGhvcj48WWVhcj4yMDE3PC9ZZWFyPjxS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</w:fldData>
              </w:fldChar>
            </w:r>
            <w:r w:rsidRPr="007D1918">
              <w:instrText xml:space="preserve"> ADDIN EN.CITE </w:instrText>
            </w:r>
            <w:r w:rsidRPr="007D1918">
              <w:fldChar w:fldCharType="begin">
                <w:fldData xml:space="preserve">PEVuZE5vdGU+PENpdGU+PEF1dGhvcj5IZWlzZW48L0F1dGhvcj48WWVhcj4yMDE3PC9ZZWFyPjxS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</w:fldData>
              </w:fldChar>
            </w:r>
            <w:r w:rsidRPr="007D1918">
              <w:instrText xml:space="preserve"> ADDIN EN.CITE.DATA </w:instrText>
            </w:r>
            <w:r w:rsidRPr="007D1918">
              <w:fldChar w:fldCharType="end"/>
            </w:r>
            <w:r w:rsidRPr="007D1918">
              <w:fldChar w:fldCharType="separate"/>
            </w:r>
            <w:r w:rsidRPr="007D1918">
              <w:rPr>
                <w:noProof/>
              </w:rPr>
              <w:t>(</w:t>
            </w:r>
            <w:hyperlink w:anchor="_ENREF_48" w:tooltip="Heisen, 2017 #104" w:history="1">
              <w:r w:rsidR="007D4948" w:rsidRPr="007D1918">
                <w:rPr>
                  <w:noProof/>
                </w:rPr>
                <w:t>Heisen et al. 2017</w:t>
              </w:r>
            </w:hyperlink>
            <w:r w:rsidRPr="007D1918">
              <w:rPr>
                <w:noProof/>
              </w:rPr>
              <w:t>)</w:t>
            </w:r>
            <w:r w:rsidRPr="007D1918">
              <w:fldChar w:fldCharType="end"/>
            </w:r>
          </w:p>
        </w:tc>
        <w:tc>
          <w:tcPr>
            <w:tcW w:w="4394" w:type="dxa"/>
          </w:tcPr>
          <w:p w14:paraId="79C4674F" w14:textId="00214253" w:rsidR="008747C1" w:rsidRPr="007D1918" w:rsidRDefault="008747C1" w:rsidP="00153384">
            <w:pPr>
              <w:pStyle w:val="Tablecontents"/>
              <w:ind w:left="0"/>
            </w:pPr>
            <w:r w:rsidRPr="007D1918">
              <w:t xml:space="preserve">Multiplier </w:t>
            </w:r>
            <w:r w:rsidR="007036F8" w:rsidRPr="007D1918">
              <w:t xml:space="preserve">for </w:t>
            </w:r>
            <w:r w:rsidRPr="007D1918">
              <w:t xml:space="preserve">while on </w:t>
            </w:r>
            <w:r w:rsidR="007036F8" w:rsidRPr="007D1918">
              <w:t xml:space="preserve">anticoagulation </w:t>
            </w:r>
            <w:r w:rsidRPr="007D1918">
              <w:t>treatment</w:t>
            </w:r>
            <w:r w:rsidR="007036F8" w:rsidRPr="007D1918">
              <w:t>.</w:t>
            </w:r>
          </w:p>
        </w:tc>
      </w:tr>
      <w:tr w:rsidR="007036F8" w:rsidRPr="007D1918" w14:paraId="03B2B295" w14:textId="77777777" w:rsidTr="007036F8">
        <w:tc>
          <w:tcPr>
            <w:tcW w:w="2122" w:type="dxa"/>
          </w:tcPr>
          <w:p w14:paraId="14AF69E5" w14:textId="157BA184" w:rsidR="007036F8" w:rsidRPr="007D1918" w:rsidRDefault="007036F8" w:rsidP="007036F8">
            <w:pPr>
              <w:pStyle w:val="Tablecontents"/>
              <w:ind w:left="0"/>
            </w:pPr>
            <w:r w:rsidRPr="007D1918">
              <w:t>Serious infection, e.g. pneumonia, septicaemia</w:t>
            </w:r>
          </w:p>
        </w:tc>
        <w:tc>
          <w:tcPr>
            <w:tcW w:w="850" w:type="dxa"/>
          </w:tcPr>
          <w:p w14:paraId="287E3AE7" w14:textId="332E7C94" w:rsidR="007036F8" w:rsidRPr="007D1918" w:rsidRDefault="007036F8" w:rsidP="007036F8">
            <w:pPr>
              <w:pStyle w:val="Tablecontents"/>
              <w:ind w:left="0"/>
              <w:jc w:val="center"/>
            </w:pPr>
            <w:r w:rsidRPr="007D1918">
              <w:t>0.035</w:t>
            </w:r>
          </w:p>
        </w:tc>
        <w:tc>
          <w:tcPr>
            <w:tcW w:w="1701" w:type="dxa"/>
          </w:tcPr>
          <w:p w14:paraId="0DA6790D" w14:textId="5FF7F6D5" w:rsidR="007036F8" w:rsidRPr="007D1918" w:rsidRDefault="007F4CDE" w:rsidP="007D4948">
            <w:pPr>
              <w:pStyle w:val="Tablecontents"/>
              <w:ind w:left="0"/>
            </w:pPr>
            <w:r w:rsidRPr="007D1918">
              <w:fldChar w:fldCharType="begin">
                <w:fldData xml:space="preserve">PEVuZE5vdGU+PENpdGU+PEF1dGhvcj5HYWxhbnRlPC9BdXRob3I+PFllYXI+MjAxMTwvWWVhcj48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</w:fldData>
              </w:fldChar>
            </w:r>
            <w:r w:rsidRPr="007D1918">
              <w:instrText xml:space="preserve"> ADDIN EN.CITE </w:instrText>
            </w:r>
            <w:r w:rsidRPr="007D1918">
              <w:fldChar w:fldCharType="begin">
                <w:fldData xml:space="preserve">PEVuZE5vdGU+PENpdGU+PEF1dGhvcj5HYWxhbnRlPC9BdXRob3I+PFllYXI+MjAxMTwvWWVhcj48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</w:fldData>
              </w:fldChar>
            </w:r>
            <w:r w:rsidRPr="007D1918">
              <w:instrText xml:space="preserve"> ADDIN EN.CITE.DATA </w:instrText>
            </w:r>
            <w:r w:rsidRPr="007D1918">
              <w:fldChar w:fldCharType="end"/>
            </w:r>
            <w:r w:rsidRPr="007D1918">
              <w:fldChar w:fldCharType="separate"/>
            </w:r>
            <w:r w:rsidRPr="007D1918">
              <w:rPr>
                <w:noProof/>
              </w:rPr>
              <w:t>(</w:t>
            </w:r>
            <w:hyperlink w:anchor="_ENREF_36" w:tooltip="Galante, 2011 #102" w:history="1">
              <w:r w:rsidR="007D4948" w:rsidRPr="007D1918">
                <w:rPr>
                  <w:noProof/>
                </w:rPr>
                <w:t>Galante et al. 2011</w:t>
              </w:r>
            </w:hyperlink>
            <w:r w:rsidRPr="007D1918">
              <w:rPr>
                <w:noProof/>
              </w:rPr>
              <w:t>)</w:t>
            </w:r>
            <w:r w:rsidRPr="007D1918">
              <w:fldChar w:fldCharType="end"/>
            </w:r>
          </w:p>
        </w:tc>
        <w:tc>
          <w:tcPr>
            <w:tcW w:w="4394" w:type="dxa"/>
          </w:tcPr>
          <w:p w14:paraId="467EA5FD" w14:textId="4B2FF969" w:rsidR="007036F8" w:rsidRPr="007D1918" w:rsidRDefault="00EB7505" w:rsidP="00EB7505">
            <w:pPr>
              <w:pStyle w:val="Tablecontents"/>
              <w:ind w:left="0"/>
            </w:pPr>
            <w:r w:rsidRPr="007D1918">
              <w:t>Mean EQ-5D derived estimate for h</w:t>
            </w:r>
            <w:r w:rsidR="007036F8" w:rsidRPr="007D1918">
              <w:t>ospitalised pneumonia</w:t>
            </w:r>
            <w:r w:rsidRPr="007D1918">
              <w:t xml:space="preserve"> in a </w:t>
            </w:r>
            <w:r w:rsidR="007036F8" w:rsidRPr="007D1918">
              <w:t>UK population. Used in sensitivity analysis only.</w:t>
            </w:r>
          </w:p>
        </w:tc>
      </w:tr>
      <w:tr w:rsidR="002C1799" w:rsidRPr="007D1918" w14:paraId="72185DDD" w14:textId="77777777" w:rsidTr="007036F8">
        <w:tc>
          <w:tcPr>
            <w:tcW w:w="2122" w:type="dxa"/>
          </w:tcPr>
          <w:p w14:paraId="7E537404" w14:textId="000CB6F3" w:rsidR="002C1799" w:rsidRPr="007D1918" w:rsidRDefault="0075498D" w:rsidP="00942701">
            <w:pPr>
              <w:pStyle w:val="Tablecontents"/>
              <w:ind w:left="0"/>
            </w:pPr>
            <w:r w:rsidRPr="007D1918">
              <w:t>Post-sepsis survival</w:t>
            </w:r>
          </w:p>
        </w:tc>
        <w:tc>
          <w:tcPr>
            <w:tcW w:w="850" w:type="dxa"/>
          </w:tcPr>
          <w:p w14:paraId="6296CAFE" w14:textId="0F5CD547" w:rsidR="002C1799" w:rsidRPr="007D1918" w:rsidRDefault="008A0857" w:rsidP="00942701">
            <w:pPr>
              <w:pStyle w:val="Tablecontents"/>
              <w:ind w:left="0"/>
              <w:jc w:val="center"/>
            </w:pPr>
            <w:r w:rsidRPr="007D1918">
              <w:t>0.8</w:t>
            </w:r>
          </w:p>
        </w:tc>
        <w:tc>
          <w:tcPr>
            <w:tcW w:w="1701" w:type="dxa"/>
          </w:tcPr>
          <w:p w14:paraId="4DF650C2" w14:textId="2FFAE66B" w:rsidR="002C1799" w:rsidRPr="007D1918" w:rsidRDefault="007D4948" w:rsidP="007D4948">
            <w:pPr>
              <w:pStyle w:val="Tablecontents"/>
              <w:ind w:left="0"/>
            </w:pPr>
            <w:r w:rsidRPr="007D1918">
              <w:fldChar w:fldCharType="begin">
                <w:fldData xml:space="preserve">PEVuZE5vdGU+PENpdGU+PEF1dGhvcj5Gb3dsZXI8L0F1dGhvcj48WWVhcj4yMDAzPC9ZZWFyPjxS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</w:fldData>
              </w:fldChar>
            </w:r>
            <w:r w:rsidRPr="007D1918">
              <w:instrText xml:space="preserve"> ADDIN EN.CITE </w:instrText>
            </w:r>
            <w:r w:rsidRPr="007D1918">
              <w:fldChar w:fldCharType="begin">
                <w:fldData xml:space="preserve">PEVuZE5vdGU+PENpdGU+PEF1dGhvcj5Gb3dsZXI8L0F1dGhvcj48WWVhcj4yMDAzPC9ZZWFyPjxS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</w:fldData>
              </w:fldChar>
            </w:r>
            <w:r w:rsidRPr="007D1918">
              <w:instrText xml:space="preserve"> ADDIN EN.CITE.DATA </w:instrText>
            </w:r>
            <w:r w:rsidRPr="007D1918">
              <w:fldChar w:fldCharType="end"/>
            </w:r>
            <w:r w:rsidRPr="007D1918">
              <w:fldChar w:fldCharType="separate"/>
            </w:r>
            <w:r w:rsidRPr="007D1918">
              <w:rPr>
                <w:noProof/>
              </w:rPr>
              <w:t>(</w:t>
            </w:r>
            <w:hyperlink w:anchor="_ENREF_24" w:tooltip="Fowler, 2003 #114" w:history="1">
              <w:r w:rsidRPr="007D1918">
                <w:rPr>
                  <w:noProof/>
                </w:rPr>
                <w:t>Fowler et al. 2003</w:t>
              </w:r>
            </w:hyperlink>
            <w:r w:rsidRPr="007D1918">
              <w:rPr>
                <w:noProof/>
              </w:rPr>
              <w:t>)</w:t>
            </w:r>
            <w:r w:rsidRPr="007D1918">
              <w:fldChar w:fldCharType="end"/>
            </w:r>
          </w:p>
        </w:tc>
        <w:tc>
          <w:tcPr>
            <w:tcW w:w="4394" w:type="dxa"/>
          </w:tcPr>
          <w:p w14:paraId="2388F832" w14:textId="62D2B7EB" w:rsidR="008A0857" w:rsidRPr="007D1918" w:rsidRDefault="00296540" w:rsidP="00942701">
            <w:pPr>
              <w:pStyle w:val="Tablecontents"/>
              <w:ind w:left="0"/>
            </w:pPr>
            <w:r w:rsidRPr="007D1918">
              <w:t>Tufts CEA quality score 6/7</w:t>
            </w:r>
          </w:p>
          <w:p w14:paraId="48E69786" w14:textId="7D3D5CB6" w:rsidR="00296540" w:rsidRPr="007D1918" w:rsidRDefault="008A0857" w:rsidP="00942701">
            <w:pPr>
              <w:pStyle w:val="Tablecontents"/>
              <w:ind w:left="0"/>
            </w:pPr>
            <w:r w:rsidRPr="007D1918">
              <w:t>Alternative values:</w:t>
            </w:r>
            <w:r w:rsidR="0075498D" w:rsidRPr="007D1918">
              <w:t xml:space="preserve"> survivors of sepsis</w:t>
            </w:r>
          </w:p>
          <w:p w14:paraId="3B1CCABA" w14:textId="4F68FD81" w:rsidR="00296540" w:rsidRPr="007D1918" w:rsidRDefault="00296540" w:rsidP="00942701">
            <w:pPr>
              <w:pStyle w:val="Tablecontents"/>
              <w:ind w:left="0"/>
            </w:pPr>
            <w:r w:rsidRPr="007D1918">
              <w:t>0.60 (</w:t>
            </w:r>
            <w:r w:rsidR="007D4948" w:rsidRPr="007D1918">
              <w:fldChar w:fldCharType="begin"/>
            </w:r>
            <w:r w:rsidR="007D4948" w:rsidRPr="007D1918">
              <w:instrText xml:space="preserve"> ADDIN EN.CITE &lt;EndNote&gt;&lt;Cite&gt;&lt;Author&gt;Green&lt;/Author&gt;&lt;Year&gt;2006&lt;/Year&gt;&lt;RecNum&gt;117&lt;/RecNum&gt;&lt;DisplayText&gt;(Green et al. 2006)&lt;/DisplayText&gt;&lt;record&gt;&lt;rec-number&gt;117&lt;/rec-number&gt;&lt;foreign-keys&gt;&lt;key app="EN" db-id="2aevrx2slsts5ve9sdavatf125dsx0av2v9d" timestamp="1572488214"&gt;117&lt;/key&gt;&lt;/foreign-keys&gt;&lt;ref-type name="Journal Article"&gt;17&lt;/ref-type&gt;&lt;contributors&gt;&lt;authors&gt;&lt;author&gt;Green, C.&lt;/author&gt;&lt;author&gt;Dinnes, J.&lt;/author&gt;&lt;author&gt;Takeda, A. L.&lt;/author&gt;&lt;author&gt;Cuthbertson, B. H.&lt;/author&gt;&lt;/authors&gt;&lt;/contributors&gt;&lt;auth-address&gt;Southampton Health Technology Assessment Centre, University of Southampton, UK. c.green@soton.ac.uk&lt;/auth-address&gt;&lt;titles&gt;&lt;title&gt;Evaluation of the cost-effectiveness of drotrecogin alfa (activated) for the treatment of severe sepsis in the United Kingdom&lt;/title&gt;&lt;secondary-title&gt;Int J Technol Assess Health Care&lt;/secondary-title&gt;&lt;/titles&gt;&lt;periodical&gt;&lt;full-title&gt;Int J Technol Assess Health Care&lt;/full-title&gt;&lt;/periodical&gt;&lt;pages&gt;90-100&lt;/pages&gt;&lt;volume&gt;22&lt;/volume&gt;&lt;number&gt;1&lt;/number&gt;&lt;edition&gt;2006/05/06&lt;/edition&gt;&lt;keywords&gt;&lt;keyword&gt;Acute Disease&lt;/keyword&gt;&lt;keyword&gt;Aged&lt;/keyword&gt;&lt;keyword&gt;Anti-Infective Agents/ economics/therapeutic use&lt;/keyword&gt;&lt;keyword&gt;Cost-Benefit Analysis&lt;/keyword&gt;&lt;keyword&gt;Female&lt;/keyword&gt;&lt;keyword&gt;Humans&lt;/keyword&gt;&lt;keyword&gt;Male&lt;/keyword&gt;&lt;keyword&gt;Middle Aged&lt;/keyword&gt;&lt;keyword&gt;Protein C/ economics/therapeutic use&lt;/keyword&gt;&lt;keyword&gt;Recombinant Proteins/economics/therapeutic use&lt;/keyword&gt;&lt;keyword&gt;Sepsis/ drug therapy&lt;/keyword&gt;&lt;keyword&gt;State Medicine&lt;/keyword&gt;&lt;keyword&gt;United Kingdom&lt;/keyword&gt;&lt;keyword&gt;Wales&lt;/keyword&gt;&lt;/keywords&gt;&lt;dates&gt;&lt;year&gt;2006&lt;/year&gt;&lt;pub-dates&gt;&lt;date&gt;Winter&lt;/date&gt;&lt;/pub-dates&gt;&lt;/dates&gt;&lt;isbn&gt;0266-4623 (Print)&amp;#xD;0266-4623 (Linking)&lt;/isbn&gt;&lt;accession-num&gt;16673685&lt;/accession-num&gt;&lt;urls&gt;&lt;/urls&gt;&lt;electronic-resource-num&gt;10.1017/s0266462306050884&lt;/electronic-resource-num&gt;&lt;remote-database-provider&gt;NLM&lt;/remote-database-provider&gt;&lt;language&gt;eng&lt;/language&gt;&lt;/record&gt;&lt;/Cite&gt;&lt;/EndNote&gt;</w:instrText>
            </w:r>
            <w:r w:rsidR="007D4948" w:rsidRPr="007D1918">
              <w:fldChar w:fldCharType="separate"/>
            </w:r>
            <w:r w:rsidR="007D4948" w:rsidRPr="007D1918">
              <w:rPr>
                <w:noProof/>
              </w:rPr>
              <w:t>(</w:t>
            </w:r>
            <w:hyperlink w:anchor="_ENREF_38" w:tooltip="Green, 2006 #117" w:history="1">
              <w:r w:rsidR="007D4948" w:rsidRPr="007D1918">
                <w:rPr>
                  <w:noProof/>
                </w:rPr>
                <w:t>Green et al. 2006</w:t>
              </w:r>
            </w:hyperlink>
            <w:r w:rsidR="007D4948" w:rsidRPr="007D1918">
              <w:rPr>
                <w:noProof/>
              </w:rPr>
              <w:t>)</w:t>
            </w:r>
            <w:r w:rsidR="007D4948" w:rsidRPr="007D1918">
              <w:fldChar w:fldCharType="end"/>
            </w:r>
            <w:r w:rsidRPr="007D1918">
              <w:t>: Tufts score 4.5/7</w:t>
            </w:r>
            <w:r w:rsidR="0075498D" w:rsidRPr="007D1918">
              <w:t>)</w:t>
            </w:r>
          </w:p>
          <w:p w14:paraId="6ABD7745" w14:textId="19D0222F" w:rsidR="002C1799" w:rsidRPr="007D1918" w:rsidRDefault="008A0857" w:rsidP="00942701">
            <w:pPr>
              <w:pStyle w:val="Tablecontents"/>
              <w:ind w:left="0"/>
            </w:pPr>
            <w:r w:rsidRPr="007D1918">
              <w:t xml:space="preserve">0.69 </w:t>
            </w:r>
            <w:r w:rsidR="00296540" w:rsidRPr="007D1918">
              <w:t>(</w:t>
            </w:r>
            <w:r w:rsidR="007D4948" w:rsidRPr="007D1918">
              <w:fldChar w:fldCharType="begin"/>
            </w:r>
            <w:r w:rsidR="007D4948" w:rsidRPr="007D1918">
              <w:instrText xml:space="preserve"> ADDIN EN.CITE &lt;EndNote&gt;&lt;Cite&gt;&lt;Author&gt;Ridley&lt;/Author&gt;&lt;Year&gt;2006&lt;/Year&gt;&lt;RecNum&gt;115&lt;/RecNum&gt;&lt;DisplayText&gt;(Ridley 2006)&lt;/DisplayText&gt;&lt;record&gt;&lt;rec-number&gt;115&lt;/rec-number&gt;&lt;foreign-keys&gt;&lt;key app="EN" db-id="2aevrx2slsts5ve9sdavatf125dsx0av2v9d" timestamp="1572487703"&gt;115&lt;/key&gt;&lt;/foreign-keys&gt;&lt;ref-type name="Journal Article"&gt;17&lt;/ref-type&gt;&lt;contributors&gt;&lt;authors&gt;&lt;author&gt;Ridley, S.&lt;/author&gt;&lt;/authors&gt;&lt;/contributors&gt;&lt;auth-address&gt;Consultant in Anaesthesia and Intensive Care, Norfolk and Norwich University Hospital, Norwich, UK. saxon@domum.globalnet.co.uk&lt;/auth-address&gt;&lt;titles&gt;&lt;title&gt;NICE Technology Appraisal No 84&lt;/title&gt;&lt;secondary-title&gt;Anasthesiol Intensivmed Notfallmed Schmerzther&lt;/secondary-title&gt;&lt;/titles&gt;&lt;periodical&gt;&lt;full-title&gt;Anasthesiol Intensivmed Notfallmed Schmerzther&lt;/full-title&gt;&lt;/periodical&gt;&lt;pages&gt;44-6&lt;/pages&gt;&lt;volume&gt;41&lt;/volume&gt;&lt;number&gt;1&lt;/number&gt;&lt;edition&gt;2006/01/28&lt;/edition&gt;&lt;keywords&gt;&lt;keyword&gt;Cost-Benefit Analysis&lt;/keyword&gt;&lt;keyword&gt;Guidelines as Topic&lt;/keyword&gt;&lt;keyword&gt;Humans&lt;/keyword&gt;&lt;keyword&gt;Medical Laboratory Science/ standards&lt;/keyword&gt;&lt;keyword&gt;Primary Health Care/economics/ standards&lt;/keyword&gt;&lt;keyword&gt;Quality-Adjusted Life Years&lt;/keyword&gt;&lt;keyword&gt;Sepsis/economics/ therapy&lt;/keyword&gt;&lt;keyword&gt;State Medicine&lt;/keyword&gt;&lt;keyword&gt;United Kingdom&lt;/keyword&gt;&lt;/keywords&gt;&lt;dates&gt;&lt;year&gt;2006&lt;/year&gt;&lt;pub-dates&gt;&lt;date&gt;Jan&lt;/date&gt;&lt;/pub-dates&gt;&lt;/dates&gt;&lt;isbn&gt;0939-2661 (Print)&amp;#xD;0939-2661 (Linking)&lt;/isbn&gt;&lt;accession-num&gt;16440263&lt;/accession-num&gt;&lt;urls&gt;&lt;/urls&gt;&lt;electronic-resource-num&gt;10.1055/s-2005-921229&lt;/electronic-resource-num&gt;&lt;remote-database-provider&gt;NLM&lt;/remote-database-provider&gt;&lt;language&gt;eng&lt;/language&gt;&lt;/record&gt;&lt;/Cite&gt;&lt;/EndNote&gt;</w:instrText>
            </w:r>
            <w:r w:rsidR="007D4948" w:rsidRPr="007D1918">
              <w:fldChar w:fldCharType="separate"/>
            </w:r>
            <w:r w:rsidR="007D4948" w:rsidRPr="007D1918">
              <w:rPr>
                <w:noProof/>
              </w:rPr>
              <w:t>(</w:t>
            </w:r>
            <w:hyperlink w:anchor="_ENREF_82" w:tooltip="Ridley, 2006 #115" w:history="1">
              <w:r w:rsidR="007D4948" w:rsidRPr="007D1918">
                <w:rPr>
                  <w:noProof/>
                </w:rPr>
                <w:t>Ridley 2006</w:t>
              </w:r>
            </w:hyperlink>
            <w:r w:rsidR="007D4948" w:rsidRPr="007D1918">
              <w:rPr>
                <w:noProof/>
              </w:rPr>
              <w:t>)</w:t>
            </w:r>
            <w:r w:rsidR="007D4948" w:rsidRPr="007D1918">
              <w:fldChar w:fldCharType="end"/>
            </w:r>
            <w:r w:rsidR="00296540" w:rsidRPr="007D1918">
              <w:t>: Tufts score 3.5/7</w:t>
            </w:r>
            <w:r w:rsidR="0075498D" w:rsidRPr="007D1918">
              <w:t>)</w:t>
            </w:r>
          </w:p>
          <w:p w14:paraId="7D84FE2F" w14:textId="70A3B0D9" w:rsidR="00296540" w:rsidRPr="007D1918" w:rsidRDefault="00296540" w:rsidP="007D4948">
            <w:pPr>
              <w:pStyle w:val="Tablecontents"/>
              <w:ind w:left="0"/>
            </w:pPr>
            <w:r w:rsidRPr="007D1918">
              <w:t>0.77 (</w:t>
            </w:r>
            <w:r w:rsidR="007D4948" w:rsidRPr="007D1918">
              <w:fldChar w:fldCharType="begin">
                <w:fldData xml:space="preserve">PEVuZE5vdGU+PENpdGU+PEF1dGhvcj5LaXA8L0F1dGhvcj48WWVhcj4yMDE4PC9ZZWFyPjxSZWNO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</w:fldData>
              </w:fldChar>
            </w:r>
            <w:r w:rsidR="007D4948" w:rsidRPr="007D1918">
              <w:instrText xml:space="preserve"> ADDIN EN.CITE </w:instrText>
            </w:r>
            <w:r w:rsidR="007D4948" w:rsidRPr="007D1918">
              <w:fldChar w:fldCharType="begin">
                <w:fldData xml:space="preserve">PEVuZE5vdGU+PENpdGU+PEF1dGhvcj5LaXA8L0F1dGhvcj48WWVhcj4yMDE4PC9ZZWFyPjxSZWNO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</w:fldData>
              </w:fldChar>
            </w:r>
            <w:r w:rsidR="007D4948" w:rsidRPr="007D1918">
              <w:instrText xml:space="preserve"> ADDIN EN.CITE.DATA </w:instrText>
            </w:r>
            <w:r w:rsidR="007D4948" w:rsidRPr="007D1918">
              <w:fldChar w:fldCharType="end"/>
            </w:r>
            <w:r w:rsidR="007D4948" w:rsidRPr="007D1918">
              <w:fldChar w:fldCharType="separate"/>
            </w:r>
            <w:r w:rsidR="007D4948" w:rsidRPr="007D1918">
              <w:rPr>
                <w:noProof/>
              </w:rPr>
              <w:t>(</w:t>
            </w:r>
            <w:hyperlink w:anchor="_ENREF_58" w:tooltip="Kip, 2018 #116" w:history="1">
              <w:r w:rsidR="007D4948" w:rsidRPr="007D1918">
                <w:rPr>
                  <w:noProof/>
                </w:rPr>
                <w:t>Kip et al. 2018</w:t>
              </w:r>
            </w:hyperlink>
            <w:r w:rsidR="007D4948" w:rsidRPr="007D1918">
              <w:rPr>
                <w:noProof/>
              </w:rPr>
              <w:t>)</w:t>
            </w:r>
            <w:r w:rsidR="007D4948" w:rsidRPr="007D1918">
              <w:fldChar w:fldCharType="end"/>
            </w:r>
            <w:r w:rsidRPr="007D1918">
              <w:t>: sepsis 12 months after discharge</w:t>
            </w:r>
            <w:r w:rsidR="0075498D" w:rsidRPr="007D1918">
              <w:t>:</w:t>
            </w:r>
            <w:r w:rsidRPr="007D1918">
              <w:t xml:space="preserve"> Tufts score 6/7</w:t>
            </w:r>
            <w:r w:rsidR="0075498D" w:rsidRPr="007D1918">
              <w:t>)</w:t>
            </w:r>
          </w:p>
        </w:tc>
      </w:tr>
      <w:tr w:rsidR="008747C1" w:rsidRPr="007D1918" w14:paraId="6D74B677" w14:textId="77777777" w:rsidTr="007036F8">
        <w:tc>
          <w:tcPr>
            <w:tcW w:w="2122" w:type="dxa"/>
          </w:tcPr>
          <w:p w14:paraId="79799F2B" w14:textId="77777777" w:rsidR="008747C1" w:rsidRPr="007D1918" w:rsidRDefault="008747C1" w:rsidP="00153384">
            <w:pPr>
              <w:pStyle w:val="Tablecontents"/>
              <w:ind w:left="0"/>
            </w:pPr>
            <w:r w:rsidRPr="007D1918">
              <w:t>Death</w:t>
            </w:r>
          </w:p>
        </w:tc>
        <w:tc>
          <w:tcPr>
            <w:tcW w:w="850" w:type="dxa"/>
          </w:tcPr>
          <w:p w14:paraId="49DC38CB" w14:textId="77777777" w:rsidR="008747C1" w:rsidRPr="007D1918" w:rsidRDefault="008747C1" w:rsidP="00153384">
            <w:pPr>
              <w:pStyle w:val="Tablecontents"/>
              <w:ind w:left="0"/>
              <w:jc w:val="center"/>
            </w:pPr>
            <w:r w:rsidRPr="007D1918">
              <w:t>0</w:t>
            </w:r>
          </w:p>
        </w:tc>
        <w:tc>
          <w:tcPr>
            <w:tcW w:w="1701" w:type="dxa"/>
          </w:tcPr>
          <w:p w14:paraId="207BAD79" w14:textId="77777777" w:rsidR="008747C1" w:rsidRPr="007D1918" w:rsidRDefault="008747C1" w:rsidP="00153384">
            <w:pPr>
              <w:pStyle w:val="Tablecontents"/>
              <w:ind w:left="0"/>
            </w:pPr>
            <w:r w:rsidRPr="007D1918">
              <w:t>Assumed</w:t>
            </w:r>
          </w:p>
        </w:tc>
        <w:tc>
          <w:tcPr>
            <w:tcW w:w="4394" w:type="dxa"/>
          </w:tcPr>
          <w:p w14:paraId="43BAB9BF" w14:textId="77777777" w:rsidR="008747C1" w:rsidRPr="007D1918" w:rsidRDefault="008747C1" w:rsidP="00153384">
            <w:pPr>
              <w:pStyle w:val="Tablecontents"/>
              <w:ind w:left="0"/>
            </w:pPr>
            <w:r w:rsidRPr="007D1918">
              <w:t>Used in exploratory analysis.</w:t>
            </w:r>
          </w:p>
        </w:tc>
      </w:tr>
    </w:tbl>
    <w:p w14:paraId="3188EA84" w14:textId="0A800D89" w:rsidR="008747C1" w:rsidRPr="007D1918" w:rsidRDefault="008747C1" w:rsidP="008747C1">
      <w:pPr>
        <w:pStyle w:val="Tablenotes0"/>
      </w:pPr>
      <w:r w:rsidRPr="007D1918">
        <w:t>MG = myasthenia gravis; PE = plasma exchange; AE = adverse event; GI = gastrointestinal; DVT = deep vein thrombosis; CEA = Cost-effectiveness Analysis</w:t>
      </w:r>
      <w:r w:rsidR="00EB7505" w:rsidRPr="007D1918">
        <w:t>; UK = United Kingdom</w:t>
      </w:r>
      <w:r w:rsidRPr="007D1918">
        <w:t>.</w:t>
      </w:r>
    </w:p>
    <w:p w14:paraId="6C99AA62" w14:textId="77777777" w:rsidR="008747C1" w:rsidRPr="007D1918" w:rsidRDefault="008747C1" w:rsidP="008747C1">
      <w:pPr>
        <w:pStyle w:val="Tablenotes0"/>
      </w:pPr>
    </w:p>
    <w:p w14:paraId="5E2A6909" w14:textId="1504FBC5" w:rsidR="008747C1" w:rsidRPr="007D1918" w:rsidRDefault="008747C1" w:rsidP="008747C1">
      <w:pPr>
        <w:jc w:val="both"/>
      </w:pPr>
      <w:r w:rsidRPr="007D1918">
        <w:rPr>
          <w:snapToGrid w:val="0"/>
          <w:lang w:eastAsia="en-US"/>
        </w:rPr>
        <w:t xml:space="preserve">A comprehensive utility study in MG patients, </w:t>
      </w:r>
      <w:r w:rsidR="007F4CDE" w:rsidRPr="007D1918">
        <w:rPr>
          <w:snapToGrid w:val="0"/>
          <w:lang w:eastAsia="en-US"/>
        </w:rPr>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007F4CDE" w:rsidRPr="007D1918">
        <w:rPr>
          <w:snapToGrid w:val="0"/>
          <w:lang w:eastAsia="en-US"/>
        </w:rPr>
      </w:r>
      <w:r w:rsidR="007F4CDE" w:rsidRPr="007D1918">
        <w:rPr>
          <w:snapToGrid w:val="0"/>
          <w:lang w:eastAsia="en-US"/>
        </w:rPr>
        <w:fldChar w:fldCharType="separate"/>
      </w:r>
      <w:r w:rsidR="007F4CDE" w:rsidRPr="007D1918">
        <w:rPr>
          <w:noProof/>
          <w:snapToGrid w:val="0"/>
          <w:lang w:eastAsia="en-US"/>
        </w:rPr>
        <w:t>(</w:t>
      </w:r>
      <w:hyperlink w:anchor="_ENREF_6" w:tooltip="Barnett, 2019 #91" w:history="1">
        <w:r w:rsidR="007D4948" w:rsidRPr="007D1918">
          <w:rPr>
            <w:noProof/>
            <w:snapToGrid w:val="0"/>
            <w:lang w:eastAsia="en-US"/>
          </w:rPr>
          <w:t>Barnett, Bril &amp; Bayoumi 2019</w:t>
        </w:r>
      </w:hyperlink>
      <w:r w:rsidR="007F4CDE" w:rsidRPr="007D1918">
        <w:rPr>
          <w:noProof/>
          <w:snapToGrid w:val="0"/>
          <w:lang w:eastAsia="en-US"/>
        </w:rPr>
        <w:t>)</w:t>
      </w:r>
      <w:r w:rsidR="007F4CDE" w:rsidRPr="007D1918">
        <w:rPr>
          <w:snapToGrid w:val="0"/>
          <w:lang w:eastAsia="en-US"/>
        </w:rPr>
        <w:fldChar w:fldCharType="end"/>
      </w:r>
      <w:r w:rsidRPr="007D1918">
        <w:rPr>
          <w:snapToGrid w:val="0"/>
          <w:lang w:eastAsia="en-US"/>
        </w:rPr>
        <w:t xml:space="preserve"> identified estimates for different grades of disease and using different measurement tools, however did not include crisis (Grade V). The lowest estimate of utility in Grade IV was 0.2; this is a likely overestimate of the utility in crisis given that </w:t>
      </w:r>
      <w:r w:rsidR="007F4CDE" w:rsidRPr="007D1918">
        <w:fldChar w:fldCharType="begin">
          <w:fldData xml:space="preserve">PEVuZE5vdGU+PENpdGU+PEF1dGhvcj5MYW5kZmVsZHQ8L0F1dGhvcj48WWVhcj4yMDE3PC9ZZWFy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</w:fldData>
        </w:fldChar>
      </w:r>
      <w:r w:rsidR="007F4CDE" w:rsidRPr="007D1918">
        <w:instrText xml:space="preserve"> ADDIN EN.CITE </w:instrText>
      </w:r>
      <w:r w:rsidR="007F4CDE" w:rsidRPr="007D1918">
        <w:fldChar w:fldCharType="begin">
          <w:fldData xml:space="preserve">PEVuZE5vdGU+PENpdGU+PEF1dGhvcj5MYW5kZmVsZHQ8L0F1dGhvcj48WWVhcj4yMDE3PC9ZZWFy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</w:fldData>
        </w:fldChar>
      </w:r>
      <w:r w:rsidR="007F4CDE" w:rsidRPr="007D1918">
        <w:instrText xml:space="preserve"> ADDIN EN.CITE.DATA </w:instrText>
      </w:r>
      <w:r w:rsidR="007F4CDE" w:rsidRPr="007D1918">
        <w:fldChar w:fldCharType="end"/>
      </w:r>
      <w:r w:rsidR="007F4CDE" w:rsidRPr="007D1918">
        <w:fldChar w:fldCharType="separate"/>
      </w:r>
      <w:r w:rsidR="007F4CDE" w:rsidRPr="007D1918">
        <w:rPr>
          <w:noProof/>
        </w:rPr>
        <w:t>(</w:t>
      </w:r>
      <w:hyperlink w:anchor="_ENREF_59" w:tooltip="Landfeldt, 2017 #106" w:history="1">
        <w:r w:rsidR="007D4948" w:rsidRPr="007D1918">
          <w:rPr>
            <w:noProof/>
          </w:rPr>
          <w:t>Landfeldt et al. 2017</w:t>
        </w:r>
      </w:hyperlink>
      <w:r w:rsidR="007F4CDE" w:rsidRPr="007D1918">
        <w:rPr>
          <w:noProof/>
        </w:rPr>
        <w:t>)</w:t>
      </w:r>
      <w:r w:rsidR="007F4CDE" w:rsidRPr="007D1918">
        <w:fldChar w:fldCharType="end"/>
      </w:r>
      <w:r w:rsidRPr="007D1918">
        <w:t xml:space="preserve"> </w:t>
      </w:r>
      <w:r w:rsidRPr="007D1918">
        <w:rPr>
          <w:snapToGrid w:val="0"/>
          <w:lang w:eastAsia="en-US"/>
        </w:rPr>
        <w:t>estimates the utility in a ‘</w:t>
      </w:r>
      <w:r w:rsidRPr="007D1918">
        <w:t>Duchenne Muscular Dystrophy</w:t>
      </w:r>
      <w:r w:rsidRPr="007D1918">
        <w:rPr>
          <w:snapToGrid w:val="0"/>
          <w:lang w:eastAsia="en-US"/>
        </w:rPr>
        <w:t xml:space="preserve"> patient with </w:t>
      </w:r>
      <w:r w:rsidRPr="007D1918">
        <w:t xml:space="preserve">intubation (day and night)’ as 0.051. </w:t>
      </w:r>
    </w:p>
    <w:p w14:paraId="1EBA8398" w14:textId="05AD9CEB" w:rsidR="007036F8" w:rsidRPr="007D1918" w:rsidRDefault="008747C1" w:rsidP="007036F8">
      <w:pPr>
        <w:jc w:val="both"/>
        <w:rPr>
          <w:snapToGrid w:val="0"/>
          <w:lang w:eastAsia="en-US"/>
        </w:rPr>
      </w:pPr>
      <w:r w:rsidRPr="007D1918">
        <w:t>Similarly</w:t>
      </w:r>
      <w:r w:rsidR="0074552B" w:rsidRPr="007D1918">
        <w:t>,</w:t>
      </w:r>
      <w:r w:rsidRPr="007D1918">
        <w:t xml:space="preserve"> there is uncertainty around the utilities associated with adverse events. </w:t>
      </w:r>
      <w:r w:rsidRPr="007D1918">
        <w:rPr>
          <w:snapToGrid w:val="0"/>
          <w:lang w:eastAsia="en-US"/>
        </w:rPr>
        <w:t>Retroperitoneal hematoma can be a life-threatening event and is likely to take many weeks to resolve [</w:t>
      </w:r>
      <w:r w:rsidR="007F4CDE" w:rsidRPr="007D1918">
        <w:rPr>
          <w:snapToGrid w:val="0"/>
          <w:lang w:eastAsia="en-US"/>
        </w:rPr>
        <w:fldChar w:fldCharType="begin">
          <w:fldData xml:space="preserve">PEVuZE5vdGU+PENpdGU+PEF1dGhvcj5EYWxpYWtvcG91bG9zPC9BdXRob3I+PFllYXI+MjAxMDwv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==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PEVuZE5vdGU+PENpdGU+PEF1dGhvcj5EYWxpYWtvcG91bG9zPC9BdXRob3I+PFllYXI+MjAxMDwv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==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007F4CDE" w:rsidRPr="007D1918">
        <w:rPr>
          <w:snapToGrid w:val="0"/>
          <w:lang w:eastAsia="en-US"/>
        </w:rPr>
      </w:r>
      <w:r w:rsidR="007F4CDE" w:rsidRPr="007D1918">
        <w:rPr>
          <w:snapToGrid w:val="0"/>
          <w:lang w:eastAsia="en-US"/>
        </w:rPr>
        <w:fldChar w:fldCharType="separate"/>
      </w:r>
      <w:r w:rsidR="007F4CDE" w:rsidRPr="007D1918">
        <w:rPr>
          <w:noProof/>
          <w:snapToGrid w:val="0"/>
          <w:lang w:eastAsia="en-US"/>
        </w:rPr>
        <w:t>(</w:t>
      </w:r>
      <w:hyperlink w:anchor="_ENREF_21" w:tooltip="Daliakopoulos, 2010 #89" w:history="1">
        <w:r w:rsidR="007D4948" w:rsidRPr="007D1918">
          <w:rPr>
            <w:noProof/>
            <w:snapToGrid w:val="0"/>
            <w:lang w:eastAsia="en-US"/>
          </w:rPr>
          <w:t>Daliakopoulos, S. I. et al. 2010</w:t>
        </w:r>
      </w:hyperlink>
      <w:r w:rsidR="007F4CDE" w:rsidRPr="007D1918">
        <w:rPr>
          <w:noProof/>
          <w:snapToGrid w:val="0"/>
          <w:lang w:eastAsia="en-US"/>
        </w:rPr>
        <w:t>)</w:t>
      </w:r>
      <w:r w:rsidR="007F4CDE" w:rsidRPr="007D1918">
        <w:rPr>
          <w:snapToGrid w:val="0"/>
          <w:lang w:eastAsia="en-US"/>
        </w:rPr>
        <w:fldChar w:fldCharType="end"/>
      </w:r>
      <w:r w:rsidRPr="007D1918">
        <w:rPr>
          <w:snapToGrid w:val="0"/>
          <w:lang w:eastAsia="en-US"/>
        </w:rPr>
        <w:t>] however only one estimate of utility explicitly associated with this event was identified, which was subsequently identified to be based on an estimate of utility associated with gastrointestinal haemorrhage (and reasonably consistent with alternative estimates for GI bleed). No utility values for the relatively more serious femoral thrombosis were identified, rather utilities were only estimated for generalised deep vein thrombosis (DVT - generally lower leg) and therefore these may result in an underestimate of the QALY decrement.</w:t>
      </w:r>
      <w:r w:rsidR="007036F8" w:rsidRPr="007D1918">
        <w:rPr>
          <w:snapToGrid w:val="0"/>
          <w:lang w:eastAsia="en-US"/>
        </w:rPr>
        <w:t xml:space="preserve"> A range of utilities associated with pneumonia were identified; however the severity or hospitalisation status rarely well described. The selected value of 0.035 represents the mean estimate of hospitalised pneumonia using an EQ-5D assessment in a United Kingdom population </w:t>
      </w:r>
      <w:r w:rsidR="007F4CDE" w:rsidRPr="007D1918">
        <w:rPr>
          <w:snapToGrid w:val="0"/>
          <w:lang w:eastAsia="en-US"/>
        </w:rPr>
        <w:fldChar w:fldCharType="begin">
          <w:fldData xml:space="preserve">PEVuZE5vdGU+PENpdGU+PEF1dGhvcj5HYWxhbnRlPC9BdXRob3I+PFllYXI+MjAxMTwvWWVhcj48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</w:fldData>
        </w:fldChar>
      </w:r>
      <w:r w:rsidR="007F4CDE" w:rsidRPr="007D1918">
        <w:rPr>
          <w:snapToGrid w:val="0"/>
          <w:lang w:eastAsia="en-US"/>
        </w:rPr>
        <w:instrText xml:space="preserve"> ADDIN EN.CITE </w:instrText>
      </w:r>
      <w:r w:rsidR="007F4CDE" w:rsidRPr="007D1918">
        <w:rPr>
          <w:snapToGrid w:val="0"/>
          <w:lang w:eastAsia="en-US"/>
        </w:rPr>
        <w:fldChar w:fldCharType="begin">
          <w:fldData xml:space="preserve">PEVuZE5vdGU+PENpdGU+PEF1dGhvcj5HYWxhbnRlPC9BdXRob3I+PFllYXI+MjAxMTwvWWVhcj48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</w:fldData>
        </w:fldChar>
      </w:r>
      <w:r w:rsidR="007F4CDE" w:rsidRPr="007D1918">
        <w:rPr>
          <w:snapToGrid w:val="0"/>
          <w:lang w:eastAsia="en-US"/>
        </w:rPr>
        <w:instrText xml:space="preserve"> ADDIN EN.CITE.DATA </w:instrText>
      </w:r>
      <w:r w:rsidR="007F4CDE" w:rsidRPr="007D1918">
        <w:rPr>
          <w:snapToGrid w:val="0"/>
          <w:lang w:eastAsia="en-US"/>
        </w:rPr>
      </w:r>
      <w:r w:rsidR="007F4CDE" w:rsidRPr="007D1918">
        <w:rPr>
          <w:snapToGrid w:val="0"/>
          <w:lang w:eastAsia="en-US"/>
        </w:rPr>
        <w:fldChar w:fldCharType="end"/>
      </w:r>
      <w:r w:rsidR="007F4CDE" w:rsidRPr="007D1918">
        <w:rPr>
          <w:snapToGrid w:val="0"/>
          <w:lang w:eastAsia="en-US"/>
        </w:rPr>
      </w:r>
      <w:r w:rsidR="007F4CDE" w:rsidRPr="007D1918">
        <w:rPr>
          <w:snapToGrid w:val="0"/>
          <w:lang w:eastAsia="en-US"/>
        </w:rPr>
        <w:fldChar w:fldCharType="separate"/>
      </w:r>
      <w:r w:rsidR="007F4CDE" w:rsidRPr="007D1918">
        <w:rPr>
          <w:noProof/>
          <w:snapToGrid w:val="0"/>
          <w:lang w:eastAsia="en-US"/>
        </w:rPr>
        <w:t>(</w:t>
      </w:r>
      <w:hyperlink w:anchor="_ENREF_36" w:tooltip="Galante, 2011 #102" w:history="1">
        <w:r w:rsidR="007D4948" w:rsidRPr="007D1918">
          <w:rPr>
            <w:noProof/>
            <w:snapToGrid w:val="0"/>
            <w:lang w:eastAsia="en-US"/>
          </w:rPr>
          <w:t>Galante et al. 2011</w:t>
        </w:r>
      </w:hyperlink>
      <w:r w:rsidR="007F4CDE" w:rsidRPr="007D1918">
        <w:rPr>
          <w:noProof/>
          <w:snapToGrid w:val="0"/>
          <w:lang w:eastAsia="en-US"/>
        </w:rPr>
        <w:t>)</w:t>
      </w:r>
      <w:r w:rsidR="007F4CDE" w:rsidRPr="007D1918">
        <w:rPr>
          <w:snapToGrid w:val="0"/>
          <w:lang w:eastAsia="en-US"/>
        </w:rPr>
        <w:fldChar w:fldCharType="end"/>
      </w:r>
      <w:r w:rsidR="007036F8" w:rsidRPr="007D1918">
        <w:rPr>
          <w:snapToGrid w:val="0"/>
          <w:lang w:eastAsia="en-US"/>
        </w:rPr>
        <w:t xml:space="preserve"> (</w:t>
      </w:r>
      <w:r w:rsidR="00EB7505" w:rsidRPr="007D1918">
        <w:rPr>
          <w:snapToGrid w:val="0"/>
          <w:lang w:eastAsia="en-US"/>
        </w:rPr>
        <w:t xml:space="preserve">see </w:t>
      </w:r>
      <w:r w:rsidR="007036F8" w:rsidRPr="007D1918">
        <w:rPr>
          <w:snapToGrid w:val="0"/>
          <w:lang w:eastAsia="en-US"/>
        </w:rPr>
        <w:t>Supplement).</w:t>
      </w:r>
    </w:p>
    <w:p w14:paraId="23B65827" w14:textId="74571EE1" w:rsidR="008747C1" w:rsidRPr="007D1918" w:rsidRDefault="008747C1" w:rsidP="007036F8">
      <w:pPr>
        <w:pStyle w:val="Heading5"/>
        <w:rPr>
          <w:snapToGrid w:val="0"/>
          <w:lang w:eastAsia="en-US"/>
        </w:rPr>
      </w:pPr>
      <w:r w:rsidRPr="007D1918">
        <w:rPr>
          <w:snapToGrid w:val="0"/>
          <w:lang w:eastAsia="en-US"/>
        </w:rPr>
        <w:lastRenderedPageBreak/>
        <w:t>How should the utility values be applied to estimate QALY decrements for adverse events?</w:t>
      </w:r>
    </w:p>
    <w:p w14:paraId="256090AF" w14:textId="77777777" w:rsidR="008747C1" w:rsidRPr="007D1918" w:rsidRDefault="008747C1" w:rsidP="008747C1">
      <w:pPr>
        <w:jc w:val="both"/>
        <w:rPr>
          <w:snapToGrid w:val="0"/>
          <w:lang w:eastAsia="en-US"/>
        </w:rPr>
      </w:pPr>
      <w:r w:rsidRPr="007D1918">
        <w:rPr>
          <w:snapToGrid w:val="0"/>
          <w:lang w:eastAsia="en-US"/>
        </w:rPr>
        <w:t>It is assumed that the adverse safety events are transient, and the literature describes the adverse event utilities as applying for periods of a week to a month. In this analysis the QALY decrement needs to be calculated, initially at least, in the context of baseline utility for an MG crisis patient, while suffering crisis, and then for the time after which the crisis has resolved, but the adverse event is still present.</w:t>
      </w:r>
    </w:p>
    <w:p w14:paraId="049B4C1D" w14:textId="243FEC5B" w:rsidR="008747C1" w:rsidRPr="007D1918" w:rsidRDefault="008747C1" w:rsidP="008747C1">
      <w:pPr>
        <w:jc w:val="both"/>
        <w:rPr>
          <w:snapToGrid w:val="0"/>
          <w:lang w:eastAsia="en-US"/>
        </w:rPr>
      </w:pPr>
      <w:r w:rsidRPr="007D1918">
        <w:rPr>
          <w:snapToGrid w:val="0"/>
          <w:lang w:eastAsia="en-US"/>
        </w:rPr>
        <w:t xml:space="preserve">The median time to treatment response in Gajdos is reported in Section B.6, </w:t>
      </w:r>
      <w:r w:rsidRPr="007D1918">
        <w:rPr>
          <w:snapToGrid w:val="0"/>
          <w:lang w:eastAsia="en-US"/>
        </w:rPr>
        <w:fldChar w:fldCharType="begin"/>
      </w:r>
      <w:r w:rsidRPr="007D1918">
        <w:rPr>
          <w:snapToGrid w:val="0"/>
          <w:lang w:eastAsia="en-US"/>
        </w:rPr>
        <w:instrText xml:space="preserve"> REF _Ref8657840 \h </w:instrText>
      </w:r>
      <w:r w:rsidR="00E07567" w:rsidRPr="007D1918">
        <w:rPr>
          <w:snapToGrid w:val="0"/>
          <w:lang w:eastAsia="en-US"/>
        </w:rPr>
        <w:instrText xml:space="preserve"> \* MERGEFORMAT </w:instrText>
      </w:r>
      <w:r w:rsidRPr="007D1918">
        <w:rPr>
          <w:snapToGrid w:val="0"/>
          <w:lang w:eastAsia="en-US"/>
        </w:rPr>
      </w:r>
      <w:r w:rsidRPr="007D1918">
        <w:rPr>
          <w:snapToGrid w:val="0"/>
          <w:lang w:eastAsia="en-US"/>
        </w:rPr>
        <w:fldChar w:fldCharType="separate"/>
      </w:r>
      <w:r w:rsidR="00AA6011" w:rsidRPr="007D1918">
        <w:t xml:space="preserve">Table </w:t>
      </w:r>
      <w:r w:rsidR="00AA6011" w:rsidRPr="007D1918">
        <w:rPr>
          <w:noProof/>
        </w:rPr>
        <w:t>32</w:t>
      </w:r>
      <w:r w:rsidRPr="007D1918">
        <w:rPr>
          <w:snapToGrid w:val="0"/>
          <w:lang w:eastAsia="en-US"/>
        </w:rPr>
        <w:fldChar w:fldCharType="end"/>
      </w:r>
      <w:r w:rsidRPr="007D1918">
        <w:rPr>
          <w:snapToGrid w:val="0"/>
          <w:lang w:eastAsia="en-US"/>
        </w:rPr>
        <w:t>. A statistically significant difference across treatment arms was not identified, therefore an overall average estimate of 12 days is assumed to apply with either IVIg or PE treatment.</w:t>
      </w:r>
    </w:p>
    <w:p w14:paraId="54C3B366" w14:textId="4C094A3E" w:rsidR="008747C1" w:rsidRPr="007D1918" w:rsidRDefault="008747C1" w:rsidP="008747C1">
      <w:pPr>
        <w:jc w:val="both"/>
        <w:rPr>
          <w:snapToGrid w:val="0"/>
          <w:lang w:eastAsia="en-US"/>
        </w:rPr>
      </w:pPr>
      <w:r w:rsidRPr="007D1918">
        <w:rPr>
          <w:snapToGrid w:val="0"/>
          <w:lang w:eastAsia="en-US"/>
        </w:rPr>
        <w:t xml:space="preserve">Utility decrements are calculated by taking the difference in utility associated with the adverse event away from the baseline. However, while patients are in crisis, their baseline utility is worse than the adverse event utility and it is irrational to assume a ‘negative decrement’ (i.e. that the adverse event improves utility) therefore no decrement is applied for adverse events while the patient has not yet recovered from the crisis. There is no means available to combine the ordinal preference data used to inform utilities of ‘MG crisis’ and the nominated ‘adverse event health state’ to enable estimation of an ‘MG crisis plus adverse event’ health state. The retroperitoneal haematoma and femoral thrombosis disutilities are assumed to last the entire 30 day period. When infection is included this is assumed to apply for 10 days beyond the recovery time for MG (based on </w:t>
      </w:r>
      <w:r w:rsidR="007F4CDE" w:rsidRPr="007D1918">
        <w:rPr>
          <w:snapToGrid w:val="0"/>
          <w:lang w:eastAsia="en-US"/>
        </w:rPr>
        <w:fldChar w:fldCharType="begin"/>
      </w:r>
      <w:r w:rsidR="007D4948" w:rsidRPr="007D1918">
        <w:rPr>
          <w:snapToGrid w:val="0"/>
          <w:lang w:eastAsia="en-US"/>
        </w:rPr>
        <w:instrText xml:space="preserve"> ADDIN EN.CITE &lt;EndNote&gt;&lt;Cite&gt;&lt;Author&gt;Halton&lt;/Author&gt;&lt;Year&gt;2009&lt;/Year&gt;&lt;RecNum&gt;99&lt;/RecNum&gt;&lt;DisplayText&gt;(Halton et al. 2009)&lt;/DisplayText&gt;&lt;record&gt;&lt;rec-number&gt;99&lt;/rec-number&gt;&lt;foreign-keys&gt;&lt;key app="EN" db-id="2aevrx2slsts5ve9sdavatf125dsx0av2v9d" timestamp="1567580431"&gt;99&lt;/key&gt;&lt;/foreign-keys&gt;&lt;ref-type name="Journal Article"&gt;17&lt;/ref-type&gt;&lt;contributors&gt;&lt;authors&gt;&lt;author&gt;Halton, K. A.&lt;/author&gt;&lt;author&gt;Cook, D. A.&lt;/author&gt;&lt;author&gt;Whitby, M.&lt;/author&gt;&lt;author&gt;Paterson, D. L.&lt;/author&gt;&lt;author&gt;Graves, N.&lt;/author&gt;&lt;/authors&gt;&lt;/contributors&gt;&lt;auth-address&gt;The Centre for Healthcare Related Infection Surveillance &amp;amp; Prevention, GPO Box 48, Brisbane, Queensland, 4001 Australia. k.halton@qut.edu.au&lt;/auth-address&gt;&lt;titles&gt;&lt;title&gt;Cost effectiveness of antimicrobial catheters in the intensive care unit: addressing uncertainty in the decision&lt;/title&gt;&lt;secondary-title&gt;Crit Care&lt;/secondary-title&gt;&lt;/titles&gt;&lt;periodical&gt;&lt;full-title&gt;Crit Care&lt;/full-title&gt;&lt;/periodical&gt;&lt;pages&gt;R35&lt;/pages&gt;&lt;volume&gt;13&lt;/volume&gt;&lt;number&gt;2&lt;/number&gt;&lt;edition&gt;2009/03/17&lt;/edition&gt;&lt;keywords&gt;&lt;keyword&gt;Adult&lt;/keyword&gt;&lt;keyword&gt;Anti-Infective Agents/administration &amp;amp; dosage/ economics&lt;/keyword&gt;&lt;keyword&gt;Australia&lt;/keyword&gt;&lt;keyword&gt;Blood-Borne Pathogens&lt;/keyword&gt;&lt;keyword&gt;Catheterization, Central Venous/ economics/instrumentation&lt;/keyword&gt;&lt;keyword&gt;Cost-Benefit Analysis/ methods&lt;/keyword&gt;&lt;keyword&gt;Humans&lt;/keyword&gt;&lt;keyword&gt;Intensive Care Units&lt;/keyword&gt;&lt;keyword&gt;Markov Chains&lt;/keyword&gt;&lt;keyword&gt;Practice Patterns, Physicians&amp;apos;&lt;/keyword&gt;&lt;keyword&gt;Sepsis/prevention &amp;amp; control&lt;/keyword&gt;&lt;keyword&gt;Uncertainty&lt;/keyword&gt;&lt;/keywords&gt;&lt;dates&gt;&lt;year&gt;2009&lt;/year&gt;&lt;/dates&gt;&lt;isbn&gt;1466-609X (Electronic)&amp;#xD;1364-8535 (Linking)&lt;/isbn&gt;&lt;accession-num&gt;19284570&lt;/accession-num&gt;&lt;urls&gt;&lt;related-urls&gt;&lt;url&gt;https://www.ncbi.nlm.nih.gov/pmc/articles/PMC2689469/pdf/cc7744.pdf&lt;/url&gt;&lt;/related-urls&gt;&lt;/urls&gt;&lt;custom2&gt;PMC2689469&lt;/custom2&gt;&lt;electronic-resource-num&gt;10.1186/cc7744&lt;/electronic-resource-num&gt;&lt;remote-database-provider&gt;NLM&lt;/remote-database-provider&gt;&lt;language&gt;eng&lt;/language&gt;&lt;/record&gt;&lt;/Cite&gt;&lt;/EndNote&gt;</w:instrText>
      </w:r>
      <w:r w:rsidR="007F4CDE" w:rsidRPr="007D1918">
        <w:rPr>
          <w:snapToGrid w:val="0"/>
          <w:lang w:eastAsia="en-US"/>
        </w:rPr>
        <w:fldChar w:fldCharType="separate"/>
      </w:r>
      <w:r w:rsidR="007F4CDE" w:rsidRPr="007D1918">
        <w:rPr>
          <w:noProof/>
          <w:snapToGrid w:val="0"/>
          <w:lang w:eastAsia="en-US"/>
        </w:rPr>
        <w:t>(</w:t>
      </w:r>
      <w:hyperlink w:anchor="_ENREF_44" w:tooltip="Halton, 2009 #99" w:history="1">
        <w:r w:rsidR="007D4948" w:rsidRPr="007D1918">
          <w:rPr>
            <w:noProof/>
            <w:snapToGrid w:val="0"/>
            <w:lang w:eastAsia="en-US"/>
          </w:rPr>
          <w:t>Halton et al. 2009</w:t>
        </w:r>
      </w:hyperlink>
      <w:r w:rsidR="007F4CDE" w:rsidRPr="007D1918">
        <w:rPr>
          <w:noProof/>
          <w:snapToGrid w:val="0"/>
          <w:lang w:eastAsia="en-US"/>
        </w:rPr>
        <w:t>)</w:t>
      </w:r>
      <w:r w:rsidR="007F4CDE" w:rsidRPr="007D1918">
        <w:rPr>
          <w:snapToGrid w:val="0"/>
          <w:lang w:eastAsia="en-US"/>
        </w:rPr>
        <w:fldChar w:fldCharType="end"/>
      </w:r>
      <w:r w:rsidRPr="007D1918">
        <w:rPr>
          <w:snapToGrid w:val="0"/>
          <w:lang w:eastAsia="en-US"/>
        </w:rPr>
        <w:t xml:space="preserve"> where </w:t>
      </w:r>
      <w:r w:rsidR="00EB7505" w:rsidRPr="007D1918">
        <w:rPr>
          <w:snapToGrid w:val="0"/>
          <w:lang w:eastAsia="en-US"/>
        </w:rPr>
        <w:t xml:space="preserve">central line-acquired </w:t>
      </w:r>
      <w:r w:rsidRPr="007D1918">
        <w:rPr>
          <w:snapToGrid w:val="0"/>
          <w:lang w:eastAsia="en-US"/>
        </w:rPr>
        <w:t>infection is associated with an additional 10 days of hospital stay</w:t>
      </w:r>
      <w:r w:rsidR="00CE03BE" w:rsidRPr="007D1918">
        <w:rPr>
          <w:snapToGrid w:val="0"/>
          <w:lang w:eastAsia="en-US"/>
        </w:rPr>
        <w:t xml:space="preserve"> (2.5 in ICU and 7.5 in a normal ward</w:t>
      </w:r>
      <w:r w:rsidRPr="007D1918">
        <w:rPr>
          <w:snapToGrid w:val="0"/>
          <w:lang w:eastAsia="en-US"/>
        </w:rPr>
        <w:t>).</w:t>
      </w:r>
    </w:p>
    <w:p w14:paraId="72C6391A" w14:textId="435B311B" w:rsidR="008747C1" w:rsidRPr="007D1918" w:rsidRDefault="008747C1" w:rsidP="008747C1">
      <w:pPr>
        <w:jc w:val="both"/>
        <w:rPr>
          <w:snapToGrid w:val="0"/>
          <w:lang w:eastAsia="en-US"/>
        </w:rPr>
      </w:pPr>
      <w:r w:rsidRPr="007D1918">
        <w:rPr>
          <w:snapToGrid w:val="0"/>
          <w:lang w:eastAsia="en-US"/>
        </w:rPr>
        <w:t xml:space="preserve">A summary of the calculated utility decrements and associated QALY losses for the adverse events is presented in </w:t>
      </w:r>
      <w:r w:rsidR="00AA6011" w:rsidRPr="007D1918">
        <w:rPr>
          <w:snapToGrid w:val="0"/>
          <w:lang w:eastAsia="en-US"/>
        </w:rPr>
        <w:fldChar w:fldCharType="begin"/>
      </w:r>
      <w:r w:rsidR="00AA6011" w:rsidRPr="007D1918">
        <w:rPr>
          <w:snapToGrid w:val="0"/>
          <w:lang w:eastAsia="en-US"/>
        </w:rPr>
        <w:instrText xml:space="preserve"> REF _Ref18572579 \h </w:instrText>
      </w:r>
      <w:r w:rsidR="00E07567" w:rsidRPr="007D1918">
        <w:rPr>
          <w:snapToGrid w:val="0"/>
          <w:lang w:eastAsia="en-US"/>
        </w:rPr>
        <w:instrText xml:space="preserve"> \* MERGEFORMAT </w:instrText>
      </w:r>
      <w:r w:rsidR="00AA6011" w:rsidRPr="007D1918">
        <w:rPr>
          <w:snapToGrid w:val="0"/>
          <w:lang w:eastAsia="en-US"/>
        </w:rPr>
      </w:r>
      <w:r w:rsidR="00AA6011" w:rsidRPr="007D1918">
        <w:rPr>
          <w:snapToGrid w:val="0"/>
          <w:lang w:eastAsia="en-US"/>
        </w:rPr>
        <w:fldChar w:fldCharType="separate"/>
      </w:r>
      <w:r w:rsidR="00AA6011" w:rsidRPr="007D1918">
        <w:t xml:space="preserve">Table </w:t>
      </w:r>
      <w:r w:rsidR="00AA6011" w:rsidRPr="007D1918">
        <w:rPr>
          <w:noProof/>
        </w:rPr>
        <w:t>58</w:t>
      </w:r>
      <w:r w:rsidR="00AA6011" w:rsidRPr="007D1918">
        <w:rPr>
          <w:snapToGrid w:val="0"/>
          <w:lang w:eastAsia="en-US"/>
        </w:rPr>
        <w:fldChar w:fldCharType="end"/>
      </w:r>
      <w:r w:rsidRPr="007D1918">
        <w:rPr>
          <w:snapToGrid w:val="0"/>
          <w:lang w:eastAsia="en-US"/>
        </w:rPr>
        <w:t>.</w:t>
      </w:r>
    </w:p>
    <w:p w14:paraId="39898D9C" w14:textId="5F954D3B" w:rsidR="008747C1" w:rsidRPr="007D1918" w:rsidRDefault="00DF6EF3" w:rsidP="008747C1">
      <w:pPr>
        <w:jc w:val="both"/>
      </w:pPr>
      <w:r w:rsidRPr="007D1918">
        <w:t xml:space="preserve">The estimation of QALY losses due to mortality is calculated as follows: The assumed  </w:t>
      </w:r>
      <w:r w:rsidR="008747C1" w:rsidRPr="007D1918">
        <w:t>background utility rate</w:t>
      </w:r>
      <w:r w:rsidRPr="007D1918">
        <w:t xml:space="preserve"> for chronic MG patients living </w:t>
      </w:r>
      <w:r w:rsidR="008747C1" w:rsidRPr="007D1918">
        <w:t xml:space="preserve">MG patients </w:t>
      </w:r>
      <w:r w:rsidRPr="007D1918">
        <w:t xml:space="preserve">is </w:t>
      </w:r>
      <w:r w:rsidR="008747C1" w:rsidRPr="007D1918">
        <w:t>0.84</w:t>
      </w:r>
      <w:r w:rsidRPr="007D1918">
        <w:t xml:space="preserve">, based on the </w:t>
      </w:r>
      <w:r w:rsidR="008747C1" w:rsidRPr="007D1918">
        <w:t xml:space="preserve">median overall EQ-5D derived utility in </w:t>
      </w:r>
      <w:r w:rsidR="007F4CDE"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007F4CDE" w:rsidRPr="007D1918">
        <w:instrText xml:space="preserve"> ADDIN EN.CITE </w:instrText>
      </w:r>
      <w:r w:rsidR="007F4CDE" w:rsidRPr="007D1918">
        <w:fldChar w:fldCharType="begin">
          <w:fldData xml:space="preserve">PEVuZE5vdGU+PENpdGU+PEF1dGhvcj5CYXJuZXR0PC9BdXRob3I+PFllYXI+MjAxOTwvWWVhcj48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</w:fldData>
        </w:fldChar>
      </w:r>
      <w:r w:rsidR="007F4CDE" w:rsidRPr="007D1918">
        <w:instrText xml:space="preserve"> ADDIN EN.CITE.DATA </w:instrText>
      </w:r>
      <w:r w:rsidR="007F4CDE" w:rsidRPr="007D1918">
        <w:fldChar w:fldCharType="end"/>
      </w:r>
      <w:r w:rsidR="007F4CDE" w:rsidRPr="007D1918">
        <w:fldChar w:fldCharType="separate"/>
      </w:r>
      <w:r w:rsidR="007F4CDE" w:rsidRPr="007D1918">
        <w:rPr>
          <w:noProof/>
        </w:rPr>
        <w:t>(</w:t>
      </w:r>
      <w:hyperlink w:anchor="_ENREF_6" w:tooltip="Barnett, 2019 #91" w:history="1">
        <w:r w:rsidR="007D4948" w:rsidRPr="007D1918">
          <w:rPr>
            <w:noProof/>
          </w:rPr>
          <w:t>Barnett, Bril &amp; Bayoumi 2019</w:t>
        </w:r>
      </w:hyperlink>
      <w:r w:rsidR="007F4CDE" w:rsidRPr="007D1918">
        <w:rPr>
          <w:noProof/>
        </w:rPr>
        <w:t>)</w:t>
      </w:r>
      <w:r w:rsidR="007F4CDE" w:rsidRPr="007D1918">
        <w:fldChar w:fldCharType="end"/>
      </w:r>
      <w:r w:rsidRPr="007D1918">
        <w:t>,</w:t>
      </w:r>
      <w:r w:rsidR="008747C1" w:rsidRPr="007D1918">
        <w:t xml:space="preserve"> and </w:t>
      </w:r>
      <w:r w:rsidRPr="007D1918">
        <w:t xml:space="preserve">a </w:t>
      </w:r>
      <w:r w:rsidR="008747C1" w:rsidRPr="007D1918">
        <w:t xml:space="preserve">life expectancy </w:t>
      </w:r>
      <w:r w:rsidRPr="007D1918">
        <w:t xml:space="preserve">of </w:t>
      </w:r>
      <w:r w:rsidR="008747C1" w:rsidRPr="007D1918">
        <w:t xml:space="preserve">15 years </w:t>
      </w:r>
      <w:r w:rsidRPr="007D1918">
        <w:t xml:space="preserve">is expected </w:t>
      </w:r>
      <w:r w:rsidR="008747C1" w:rsidRPr="007D1918">
        <w:t>(</w:t>
      </w:r>
      <w:r w:rsidRPr="007D1918">
        <w:t xml:space="preserve">see Section C.3.1). Therefore, each </w:t>
      </w:r>
      <w:r w:rsidR="008747C1" w:rsidRPr="007D1918">
        <w:t>fatality would result in a loss of of 9.017 QALYs (</w:t>
      </w:r>
      <w:r w:rsidRPr="007D1918">
        <w:t xml:space="preserve">15 years at 0.84 utility, </w:t>
      </w:r>
      <w:r w:rsidR="008747C1" w:rsidRPr="007D1918">
        <w:t xml:space="preserve">discounted at 5% pa). </w:t>
      </w:r>
      <w:r w:rsidRPr="007D1918">
        <w:t xml:space="preserve">This is applied to the percentage of patients who experience sepsis-related mortality. Alternative estimates for mortality loss and life expectancy are tested in Sensitivity Analyses (including a flat 0.05% fatality rate across all PE patients based on </w:t>
      </w:r>
      <w:r w:rsidRPr="007D1918">
        <w:fldChar w:fldCharType="begin"/>
      </w:r>
      <w:r w:rsidRPr="007D1918">
        <w:instrText xml:space="preserve"> ADDIN EN.CITE &lt;EndNote&gt;&lt;Cite&gt;&lt;Author&gt;Mokrzycki&lt;/Author&gt;&lt;Year&gt;1994&lt;/Year&gt;&lt;RecNum&gt;90&lt;/RecNum&gt;&lt;DisplayText&gt;(Mokrzycki &amp;amp; Kaplan 1994)&lt;/DisplayText&gt;&lt;record&gt;&lt;rec-number&gt;90&lt;/rec-number&gt;&lt;foreign-keys&gt;&lt;key app="EN" db-id="2aevrx2slsts5ve9sdavatf125dsx0av2v9d" timestamp="1567569579"&gt;90&lt;/key&gt;&lt;/foreign-keys&gt;&lt;ref-type name="Journal Article"&gt;17&lt;/ref-type&gt;&lt;contributors&gt;&lt;authors&gt;&lt;author&gt;Mokrzycki, M. H.&lt;/author&gt;&lt;author&gt;Kaplan, A. A.&lt;/author&gt;&lt;/authors&gt;&lt;/contributors&gt;&lt;auth-address&gt;Department of Medicine, University of Connecticut School of Medicine, Farmington.&lt;/auth-address&gt;&lt;titles&gt;&lt;title&gt;Therapeutic plasma exchange: complications and management&lt;/title&gt;&lt;secondary-title&gt;Am J Kidney Dis&lt;/secondary-title&gt;&lt;/titles&gt;&lt;periodical&gt;&lt;full-title&gt;Am J Kidney Dis&lt;/full-title&gt;&lt;/periodical&gt;&lt;pages&gt;817-27&lt;/pages&gt;&lt;volume&gt;23&lt;/volume&gt;&lt;number&gt;6&lt;/number&gt;&lt;edition&gt;1994/06/01&lt;/edition&gt;&lt;keywords&gt;&lt;keyword&gt;Anaphylaxis/etiology&lt;/keyword&gt;&lt;keyword&gt;Humans&lt;/keyword&gt;&lt;keyword&gt;Hypocalcemia/etiology/prevention &amp;amp; control&lt;/keyword&gt;&lt;keyword&gt;Plasma Exchange/ adverse effects&lt;/keyword&gt;&lt;keyword&gt;Plasmapheresis/ adverse effects&lt;/keyword&gt;&lt;/keywords&gt;&lt;dates&gt;&lt;year&gt;1994&lt;/year&gt;&lt;pub-dates&gt;&lt;date&gt;Jun&lt;/date&gt;&lt;/pub-dates&gt;&lt;/dates&gt;&lt;isbn&gt;0272-6386 (Print)&amp;#xD;0272-6386 (Linking)&lt;/isbn&gt;&lt;accession-num&gt;8203364&lt;/accession-num&gt;&lt;urls&gt;&lt;related-urls&gt;&lt;url&gt;https://www.sciencedirect.com/science/article/abs/pii/S0272638612801351?via%3Dihub&lt;/url&gt;&lt;/related-urls&gt;&lt;/urls&gt;&lt;electronic-resource-num&gt;10.1016/s0272-6386(12)80135-1&lt;/electronic-resource-num&gt;&lt;remote-database-provider&gt;NLM&lt;/remote-database-provider&gt;&lt;language&gt;eng&lt;/language&gt;&lt;/record&gt;&lt;/Cite&gt;&lt;/EndNote&gt;</w:instrText>
      </w:r>
      <w:r w:rsidRPr="007D1918">
        <w:fldChar w:fldCharType="separate"/>
      </w:r>
      <w:r w:rsidRPr="007D1918">
        <w:rPr>
          <w:noProof/>
        </w:rPr>
        <w:t>(</w:t>
      </w:r>
      <w:hyperlink w:anchor="_ENREF_65" w:tooltip="Mokrzycki, 1994 #90" w:history="1">
        <w:r w:rsidR="007D4948" w:rsidRPr="007D1918">
          <w:rPr>
            <w:noProof/>
          </w:rPr>
          <w:t>Mokrzycki &amp; Kaplan 1994</w:t>
        </w:r>
      </w:hyperlink>
      <w:r w:rsidRPr="007D1918">
        <w:rPr>
          <w:noProof/>
        </w:rPr>
        <w:t>)</w:t>
      </w:r>
      <w:r w:rsidRPr="007D1918">
        <w:fldChar w:fldCharType="end"/>
      </w:r>
      <w:r w:rsidRPr="007D1918">
        <w:t xml:space="preserve">. </w:t>
      </w:r>
    </w:p>
    <w:p w14:paraId="6BB4E5F4" w14:textId="516BD42B" w:rsidR="0005514D" w:rsidRPr="007D1918" w:rsidRDefault="0005514D" w:rsidP="008747C1">
      <w:pPr>
        <w:jc w:val="both"/>
      </w:pPr>
      <w:r w:rsidRPr="007D1918">
        <w:t xml:space="preserve">In addition, clinical advice received during the assessment indicated that some patients who experience a severe life-threatening adverse event have some </w:t>
      </w:r>
      <w:r w:rsidR="00633D94" w:rsidRPr="007D1918">
        <w:t>irreversible</w:t>
      </w:r>
      <w:r w:rsidRPr="007D1918">
        <w:t xml:space="preserve"> organ damage and their quality of life remains impaired. This advice is consistent with the literature about ICU and sepsis discharge patients generally, and other economic models incorporating a post-sepsis health state</w:t>
      </w:r>
      <w:r w:rsidR="00BF2B6C" w:rsidRPr="007D1918">
        <w:t xml:space="preserve"> </w:t>
      </w:r>
      <w:r w:rsidR="007D4948" w:rsidRPr="007D1918">
        <w:fldChar w:fldCharType="begin">
          <w:fldData xml:space="preserve">PEVuZE5vdGU+PENpdGU+PEF1dGhvcj5Gb3dsZXI8L0F1dGhvcj48WWVhcj4yMDAzPC9ZZWFyPjxS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</w:fldData>
        </w:fldChar>
      </w:r>
      <w:r w:rsidR="007D4948" w:rsidRPr="007D1918">
        <w:instrText xml:space="preserve"> ADDIN EN.CITE </w:instrText>
      </w:r>
      <w:r w:rsidR="007D4948" w:rsidRPr="007D1918">
        <w:fldChar w:fldCharType="begin">
          <w:fldData xml:space="preserve">PEVuZE5vdGU+PENpdGU+PEF1dGhvcj5Gb3dsZXI8L0F1dGhvcj48WWVhcj4yMDAzPC9ZZWFyPjxS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</w:fldData>
        </w:fldChar>
      </w:r>
      <w:r w:rsidR="007D4948" w:rsidRPr="007D1918">
        <w:instrText xml:space="preserve"> ADDIN EN.CITE.DATA </w:instrText>
      </w:r>
      <w:r w:rsidR="007D4948" w:rsidRPr="007D1918">
        <w:fldChar w:fldCharType="end"/>
      </w:r>
      <w:r w:rsidR="007D4948" w:rsidRPr="007D1918">
        <w:fldChar w:fldCharType="separate"/>
      </w:r>
      <w:r w:rsidR="007D4948" w:rsidRPr="007D1918">
        <w:rPr>
          <w:noProof/>
        </w:rPr>
        <w:t>(</w:t>
      </w:r>
      <w:hyperlink w:anchor="_ENREF_24" w:tooltip="Fowler, 2003 #114" w:history="1">
        <w:r w:rsidR="007D4948" w:rsidRPr="007D1918">
          <w:rPr>
            <w:noProof/>
          </w:rPr>
          <w:t>Fowler et al. 2003</w:t>
        </w:r>
      </w:hyperlink>
      <w:r w:rsidR="007D4948" w:rsidRPr="007D1918">
        <w:rPr>
          <w:noProof/>
        </w:rPr>
        <w:t xml:space="preserve">; </w:t>
      </w:r>
      <w:hyperlink w:anchor="_ENREF_37" w:tooltip="Gerth, 2019 #118" w:history="1">
        <w:r w:rsidR="007D4948" w:rsidRPr="007D1918">
          <w:rPr>
            <w:noProof/>
          </w:rPr>
          <w:t>Gerth et al. 2019</w:t>
        </w:r>
      </w:hyperlink>
      <w:r w:rsidR="007D4948" w:rsidRPr="007D1918">
        <w:rPr>
          <w:noProof/>
        </w:rPr>
        <w:t xml:space="preserve">; </w:t>
      </w:r>
      <w:hyperlink w:anchor="_ENREF_38" w:tooltip="Green, 2006 #117" w:history="1">
        <w:r w:rsidR="007D4948" w:rsidRPr="007D1918">
          <w:rPr>
            <w:noProof/>
          </w:rPr>
          <w:t>Green et al. 2006</w:t>
        </w:r>
      </w:hyperlink>
      <w:r w:rsidR="007D4948" w:rsidRPr="007D1918">
        <w:rPr>
          <w:noProof/>
        </w:rPr>
        <w:t xml:space="preserve">; </w:t>
      </w:r>
      <w:hyperlink w:anchor="_ENREF_58" w:tooltip="Kip, 2018 #116" w:history="1">
        <w:r w:rsidR="007D4948" w:rsidRPr="007D1918">
          <w:rPr>
            <w:noProof/>
          </w:rPr>
          <w:t>Kip et al. 2018</w:t>
        </w:r>
      </w:hyperlink>
      <w:r w:rsidR="007D4948" w:rsidRPr="007D1918">
        <w:rPr>
          <w:noProof/>
        </w:rPr>
        <w:t xml:space="preserve">; </w:t>
      </w:r>
      <w:hyperlink w:anchor="_ENREF_82" w:tooltip="Ridley, 2006 #115" w:history="1">
        <w:r w:rsidR="007D4948" w:rsidRPr="007D1918">
          <w:rPr>
            <w:noProof/>
          </w:rPr>
          <w:t>Ridley 2006</w:t>
        </w:r>
      </w:hyperlink>
      <w:r w:rsidR="007D4948" w:rsidRPr="007D1918">
        <w:rPr>
          <w:noProof/>
        </w:rPr>
        <w:t>)</w:t>
      </w:r>
      <w:r w:rsidR="007D4948" w:rsidRPr="007D1918">
        <w:fldChar w:fldCharType="end"/>
      </w:r>
      <w:r w:rsidRPr="007D1918">
        <w:t xml:space="preserve">. </w:t>
      </w:r>
      <w:r w:rsidR="0014448E" w:rsidRPr="007D1918">
        <w:t>I</w:t>
      </w:r>
      <w:r w:rsidRPr="007D1918">
        <w:t xml:space="preserve">ncidence data and utility values in the context of MG patients were not available, and the quantitiative applicability of the sources of possible utility estimates is highly uncertain, therefore the most conservative </w:t>
      </w:r>
      <w:r w:rsidRPr="007D1918">
        <w:lastRenderedPageBreak/>
        <w:t xml:space="preserve">estimate of QALY loss due to ongoing morbidity </w:t>
      </w:r>
      <w:r w:rsidR="007105AE" w:rsidRPr="007D1918">
        <w:t>after sepsis has been applied. Assuming that sepsis survivors have a</w:t>
      </w:r>
      <w:r w:rsidR="00A176F1" w:rsidRPr="007D1918">
        <w:t xml:space="preserve">n annual QALY </w:t>
      </w:r>
      <w:r w:rsidR="007105AE" w:rsidRPr="007D1918">
        <w:t>decrement of 0.04 (</w:t>
      </w:r>
      <w:r w:rsidR="007105AE" w:rsidRPr="007D1918">
        <w:rPr>
          <w:i/>
        </w:rPr>
        <w:t>0.84 (average from Barnett) less 0.80 (from Fowler)</w:t>
      </w:r>
      <w:r w:rsidR="007105AE" w:rsidRPr="007D1918">
        <w:t xml:space="preserve">) applied over 15 years (with discounting). </w:t>
      </w:r>
    </w:p>
    <w:p w14:paraId="460C6E1B" w14:textId="19FBEA09" w:rsidR="008747C1" w:rsidRPr="007D1918" w:rsidRDefault="008747C1" w:rsidP="007105AE">
      <w:pPr>
        <w:pStyle w:val="Caption"/>
        <w:keepNext/>
        <w:keepLines/>
      </w:pPr>
      <w:bookmarkStart w:id="356" w:name="_Ref18572579"/>
      <w:bookmarkStart w:id="357" w:name="_Toc23769545"/>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58</w:t>
      </w:r>
      <w:r w:rsidRPr="007D1918">
        <w:rPr>
          <w:noProof/>
        </w:rPr>
        <w:fldChar w:fldCharType="end"/>
      </w:r>
      <w:bookmarkEnd w:id="356"/>
      <w:r w:rsidRPr="007D1918">
        <w:tab/>
        <w:t xml:space="preserve">Calculated total QALY decrement </w:t>
      </w:r>
      <w:r w:rsidR="008D69E9" w:rsidRPr="007D1918">
        <w:t xml:space="preserve">per event </w:t>
      </w:r>
      <w:r w:rsidRPr="007D1918">
        <w:t>due to adverse events of PE therapy</w:t>
      </w:r>
      <w:bookmarkEnd w:id="357"/>
    </w:p>
    <w:tbl>
      <w:tblPr>
        <w:tblStyle w:val="TableGrid"/>
        <w:tblW w:w="9062" w:type="dxa"/>
        <w:tblInd w:w="5" w:type="dxa"/>
        <w:tblLayout w:type="fixed"/>
        <w:tblLook w:val="04A0" w:firstRow="1" w:lastRow="0" w:firstColumn="1" w:lastColumn="0" w:noHBand="0" w:noVBand="1"/>
        <w:tblCaption w:val="Table 58 Calculated total QALY decrement per event due to adverse events of PE therapy"/>
      </w:tblPr>
      <w:tblGrid>
        <w:gridCol w:w="1120"/>
        <w:gridCol w:w="569"/>
        <w:gridCol w:w="569"/>
        <w:gridCol w:w="655"/>
        <w:gridCol w:w="54"/>
        <w:gridCol w:w="648"/>
        <w:gridCol w:w="20"/>
        <w:gridCol w:w="37"/>
        <w:gridCol w:w="591"/>
        <w:gridCol w:w="48"/>
        <w:gridCol w:w="46"/>
        <w:gridCol w:w="554"/>
        <w:gridCol w:w="39"/>
        <w:gridCol w:w="129"/>
        <w:gridCol w:w="480"/>
        <w:gridCol w:w="29"/>
        <w:gridCol w:w="214"/>
        <w:gridCol w:w="405"/>
        <w:gridCol w:w="19"/>
        <w:gridCol w:w="143"/>
        <w:gridCol w:w="486"/>
        <w:gridCol w:w="9"/>
        <w:gridCol w:w="72"/>
        <w:gridCol w:w="567"/>
        <w:gridCol w:w="1559"/>
      </w:tblGrid>
      <w:tr w:rsidR="008747C1" w:rsidRPr="007D1918" w14:paraId="676A62FF" w14:textId="77777777" w:rsidTr="00BD29C0">
        <w:trPr>
          <w:tblHeader/>
        </w:trPr>
        <w:tc>
          <w:tcPr>
            <w:tcW w:w="1120" w:type="dxa"/>
            <w:shd w:val="clear" w:color="auto" w:fill="auto"/>
            <w:vAlign w:val="center"/>
          </w:tcPr>
          <w:p w14:paraId="65E8D773" w14:textId="77777777" w:rsidR="008747C1" w:rsidRPr="007D1918" w:rsidRDefault="008747C1" w:rsidP="007105AE">
            <w:pPr>
              <w:pStyle w:val="Tablecontents"/>
              <w:keepNext/>
              <w:keepLines/>
              <w:ind w:left="0"/>
              <w:jc w:val="center"/>
              <w:rPr>
                <w:b/>
                <w:sz w:val="18"/>
              </w:rPr>
            </w:pPr>
            <w:r w:rsidRPr="007D1918">
              <w:rPr>
                <w:b/>
                <w:sz w:val="18"/>
              </w:rPr>
              <w:t>Days</w:t>
            </w:r>
          </w:p>
        </w:tc>
        <w:tc>
          <w:tcPr>
            <w:tcW w:w="569" w:type="dxa"/>
            <w:shd w:val="clear" w:color="auto" w:fill="auto"/>
            <w:vAlign w:val="center"/>
          </w:tcPr>
          <w:p w14:paraId="309E4838" w14:textId="77777777" w:rsidR="008747C1" w:rsidRPr="007D1918" w:rsidRDefault="008747C1" w:rsidP="007105AE">
            <w:pPr>
              <w:pStyle w:val="Tablecontents"/>
              <w:keepNext/>
              <w:keepLines/>
              <w:ind w:left="0"/>
              <w:jc w:val="center"/>
              <w:rPr>
                <w:b/>
                <w:sz w:val="18"/>
              </w:rPr>
            </w:pPr>
            <w:r w:rsidRPr="007D1918">
              <w:rPr>
                <w:b/>
                <w:sz w:val="18"/>
              </w:rPr>
              <w:t>1-3</w:t>
            </w:r>
          </w:p>
        </w:tc>
        <w:tc>
          <w:tcPr>
            <w:tcW w:w="569" w:type="dxa"/>
            <w:shd w:val="clear" w:color="auto" w:fill="auto"/>
            <w:vAlign w:val="center"/>
          </w:tcPr>
          <w:p w14:paraId="43456655" w14:textId="77777777" w:rsidR="008747C1" w:rsidRPr="007D1918" w:rsidRDefault="008747C1" w:rsidP="007105AE">
            <w:pPr>
              <w:pStyle w:val="Tablecontents"/>
              <w:keepNext/>
              <w:keepLines/>
              <w:ind w:left="0"/>
              <w:jc w:val="center"/>
              <w:rPr>
                <w:b/>
                <w:sz w:val="18"/>
              </w:rPr>
            </w:pPr>
            <w:r w:rsidRPr="007D1918">
              <w:rPr>
                <w:b/>
                <w:sz w:val="18"/>
              </w:rPr>
              <w:t>4-6</w:t>
            </w:r>
          </w:p>
        </w:tc>
        <w:tc>
          <w:tcPr>
            <w:tcW w:w="709" w:type="dxa"/>
            <w:gridSpan w:val="2"/>
            <w:shd w:val="clear" w:color="auto" w:fill="auto"/>
            <w:vAlign w:val="center"/>
          </w:tcPr>
          <w:p w14:paraId="5873AA7C" w14:textId="77777777" w:rsidR="008747C1" w:rsidRPr="007D1918" w:rsidRDefault="008747C1" w:rsidP="007105AE">
            <w:pPr>
              <w:pStyle w:val="Tablecontents"/>
              <w:keepNext/>
              <w:keepLines/>
              <w:ind w:left="0"/>
              <w:jc w:val="center"/>
              <w:rPr>
                <w:b/>
                <w:sz w:val="18"/>
              </w:rPr>
            </w:pPr>
            <w:r w:rsidRPr="007D1918">
              <w:rPr>
                <w:b/>
                <w:sz w:val="18"/>
              </w:rPr>
              <w:t>7-9</w:t>
            </w:r>
          </w:p>
        </w:tc>
        <w:tc>
          <w:tcPr>
            <w:tcW w:w="705" w:type="dxa"/>
            <w:gridSpan w:val="3"/>
            <w:shd w:val="clear" w:color="auto" w:fill="auto"/>
            <w:vAlign w:val="center"/>
          </w:tcPr>
          <w:p w14:paraId="68604E8E" w14:textId="77777777" w:rsidR="008747C1" w:rsidRPr="007D1918" w:rsidRDefault="008747C1" w:rsidP="007105AE">
            <w:pPr>
              <w:pStyle w:val="Tablecontents"/>
              <w:keepNext/>
              <w:keepLines/>
              <w:ind w:left="0"/>
              <w:jc w:val="center"/>
              <w:rPr>
                <w:b/>
                <w:sz w:val="18"/>
              </w:rPr>
            </w:pPr>
            <w:r w:rsidRPr="007D1918">
              <w:rPr>
                <w:b/>
                <w:sz w:val="18"/>
              </w:rPr>
              <w:t>10-12</w:t>
            </w:r>
          </w:p>
        </w:tc>
        <w:tc>
          <w:tcPr>
            <w:tcW w:w="639" w:type="dxa"/>
            <w:gridSpan w:val="2"/>
            <w:shd w:val="clear" w:color="auto" w:fill="auto"/>
            <w:vAlign w:val="center"/>
          </w:tcPr>
          <w:p w14:paraId="51B292EC" w14:textId="77777777" w:rsidR="008747C1" w:rsidRPr="007D1918" w:rsidRDefault="008747C1" w:rsidP="007105AE">
            <w:pPr>
              <w:pStyle w:val="Tablecontents"/>
              <w:keepNext/>
              <w:keepLines/>
              <w:ind w:left="0"/>
              <w:jc w:val="center"/>
              <w:rPr>
                <w:b/>
                <w:sz w:val="18"/>
              </w:rPr>
            </w:pPr>
            <w:r w:rsidRPr="007D1918">
              <w:rPr>
                <w:b/>
                <w:sz w:val="18"/>
              </w:rPr>
              <w:t>13-15</w:t>
            </w:r>
          </w:p>
        </w:tc>
        <w:tc>
          <w:tcPr>
            <w:tcW w:w="639" w:type="dxa"/>
            <w:gridSpan w:val="3"/>
            <w:shd w:val="clear" w:color="auto" w:fill="auto"/>
            <w:vAlign w:val="center"/>
          </w:tcPr>
          <w:p w14:paraId="4ABB52CE" w14:textId="77777777" w:rsidR="008747C1" w:rsidRPr="007D1918" w:rsidRDefault="008747C1" w:rsidP="007105AE">
            <w:pPr>
              <w:pStyle w:val="Tablecontents"/>
              <w:keepNext/>
              <w:keepLines/>
              <w:ind w:left="0"/>
              <w:jc w:val="center"/>
              <w:rPr>
                <w:b/>
                <w:sz w:val="18"/>
              </w:rPr>
            </w:pPr>
            <w:r w:rsidRPr="007D1918">
              <w:rPr>
                <w:b/>
                <w:sz w:val="18"/>
              </w:rPr>
              <w:t>16-18</w:t>
            </w:r>
          </w:p>
        </w:tc>
        <w:tc>
          <w:tcPr>
            <w:tcW w:w="638" w:type="dxa"/>
            <w:gridSpan w:val="3"/>
            <w:shd w:val="clear" w:color="auto" w:fill="auto"/>
            <w:vAlign w:val="center"/>
          </w:tcPr>
          <w:p w14:paraId="0F649855" w14:textId="77777777" w:rsidR="008747C1" w:rsidRPr="007D1918" w:rsidRDefault="008747C1" w:rsidP="007105AE">
            <w:pPr>
              <w:pStyle w:val="Tablecontents"/>
              <w:keepNext/>
              <w:keepLines/>
              <w:ind w:left="0"/>
              <w:jc w:val="center"/>
              <w:rPr>
                <w:b/>
                <w:sz w:val="18"/>
              </w:rPr>
            </w:pPr>
            <w:r w:rsidRPr="007D1918">
              <w:rPr>
                <w:b/>
                <w:sz w:val="18"/>
              </w:rPr>
              <w:t>19-21</w:t>
            </w:r>
          </w:p>
        </w:tc>
        <w:tc>
          <w:tcPr>
            <w:tcW w:w="638" w:type="dxa"/>
            <w:gridSpan w:val="3"/>
            <w:shd w:val="clear" w:color="auto" w:fill="auto"/>
            <w:vAlign w:val="center"/>
          </w:tcPr>
          <w:p w14:paraId="2134B326" w14:textId="77777777" w:rsidR="008747C1" w:rsidRPr="007D1918" w:rsidRDefault="008747C1" w:rsidP="007105AE">
            <w:pPr>
              <w:pStyle w:val="Tablecontents"/>
              <w:keepNext/>
              <w:keepLines/>
              <w:ind w:left="0"/>
              <w:jc w:val="center"/>
              <w:rPr>
                <w:b/>
                <w:sz w:val="18"/>
              </w:rPr>
            </w:pPr>
            <w:r w:rsidRPr="007D1918">
              <w:rPr>
                <w:b/>
                <w:sz w:val="18"/>
              </w:rPr>
              <w:t>22-24</w:t>
            </w:r>
          </w:p>
        </w:tc>
        <w:tc>
          <w:tcPr>
            <w:tcW w:w="638" w:type="dxa"/>
            <w:gridSpan w:val="3"/>
            <w:shd w:val="clear" w:color="auto" w:fill="auto"/>
            <w:vAlign w:val="center"/>
          </w:tcPr>
          <w:p w14:paraId="7DC96A1B" w14:textId="77777777" w:rsidR="008747C1" w:rsidRPr="007D1918" w:rsidRDefault="008747C1" w:rsidP="007105AE">
            <w:pPr>
              <w:pStyle w:val="Tablecontents"/>
              <w:keepNext/>
              <w:keepLines/>
              <w:ind w:left="0"/>
              <w:jc w:val="center"/>
              <w:rPr>
                <w:b/>
                <w:sz w:val="18"/>
              </w:rPr>
            </w:pPr>
            <w:r w:rsidRPr="007D1918">
              <w:rPr>
                <w:b/>
                <w:sz w:val="18"/>
              </w:rPr>
              <w:t>25-27</w:t>
            </w:r>
          </w:p>
        </w:tc>
        <w:tc>
          <w:tcPr>
            <w:tcW w:w="639" w:type="dxa"/>
            <w:gridSpan w:val="2"/>
            <w:shd w:val="clear" w:color="auto" w:fill="auto"/>
            <w:vAlign w:val="center"/>
          </w:tcPr>
          <w:p w14:paraId="32F87B94" w14:textId="77777777" w:rsidR="008747C1" w:rsidRPr="007D1918" w:rsidRDefault="008747C1" w:rsidP="007105AE">
            <w:pPr>
              <w:pStyle w:val="Tablecontents"/>
              <w:keepNext/>
              <w:keepLines/>
              <w:ind w:left="0"/>
              <w:jc w:val="center"/>
              <w:rPr>
                <w:b/>
                <w:sz w:val="18"/>
              </w:rPr>
            </w:pPr>
            <w:r w:rsidRPr="007D1918">
              <w:rPr>
                <w:b/>
                <w:sz w:val="18"/>
              </w:rPr>
              <w:t>28-30</w:t>
            </w:r>
          </w:p>
        </w:tc>
        <w:tc>
          <w:tcPr>
            <w:tcW w:w="1559" w:type="dxa"/>
          </w:tcPr>
          <w:p w14:paraId="01A9BAA8" w14:textId="77777777" w:rsidR="008747C1" w:rsidRPr="007D1918" w:rsidRDefault="008747C1" w:rsidP="007105AE">
            <w:pPr>
              <w:pStyle w:val="Tablecontents"/>
              <w:keepNext/>
              <w:keepLines/>
              <w:ind w:left="0"/>
              <w:rPr>
                <w:b/>
              </w:rPr>
            </w:pPr>
            <w:r w:rsidRPr="007D1918">
              <w:rPr>
                <w:b/>
              </w:rPr>
              <w:t>Total decrement</w:t>
            </w:r>
          </w:p>
        </w:tc>
      </w:tr>
      <w:tr w:rsidR="008747C1" w:rsidRPr="007D1918" w14:paraId="54DFFA74" w14:textId="77777777" w:rsidTr="00153384">
        <w:tc>
          <w:tcPr>
            <w:tcW w:w="7503" w:type="dxa"/>
            <w:gridSpan w:val="24"/>
            <w:shd w:val="clear" w:color="auto" w:fill="auto"/>
            <w:vAlign w:val="bottom"/>
          </w:tcPr>
          <w:p w14:paraId="7764B1AB" w14:textId="77777777" w:rsidR="008747C1" w:rsidRPr="007D1918" w:rsidRDefault="008747C1" w:rsidP="007105AE">
            <w:pPr>
              <w:pStyle w:val="Tablecontents"/>
              <w:keepNext/>
              <w:keepLines/>
              <w:ind w:left="0"/>
            </w:pPr>
            <w:r w:rsidRPr="007D1918">
              <w:rPr>
                <w:b/>
              </w:rPr>
              <w:t>Baseline Utility (No adverse events)</w:t>
            </w:r>
          </w:p>
        </w:tc>
        <w:tc>
          <w:tcPr>
            <w:tcW w:w="1559" w:type="dxa"/>
          </w:tcPr>
          <w:p w14:paraId="6D00DB0A" w14:textId="77777777" w:rsidR="008747C1" w:rsidRPr="007D1918" w:rsidRDefault="008747C1" w:rsidP="007105AE">
            <w:pPr>
              <w:pStyle w:val="Tablecontents"/>
              <w:keepNext/>
              <w:keepLines/>
            </w:pPr>
          </w:p>
        </w:tc>
      </w:tr>
      <w:tr w:rsidR="008747C1" w:rsidRPr="007D1918" w14:paraId="31F75BE6" w14:textId="77777777" w:rsidTr="00EB7505">
        <w:tc>
          <w:tcPr>
            <w:tcW w:w="1120" w:type="dxa"/>
          </w:tcPr>
          <w:p w14:paraId="2F981CAB" w14:textId="77777777" w:rsidR="008747C1" w:rsidRPr="007D1918" w:rsidRDefault="008747C1" w:rsidP="007105AE">
            <w:pPr>
              <w:pStyle w:val="Tablecontents"/>
              <w:keepNext/>
              <w:keepLines/>
              <w:ind w:left="0"/>
            </w:pPr>
            <w:r w:rsidRPr="007D1918">
              <w:t>MG crisis; then remission</w:t>
            </w:r>
          </w:p>
        </w:tc>
        <w:tc>
          <w:tcPr>
            <w:tcW w:w="569" w:type="dxa"/>
            <w:shd w:val="clear" w:color="auto" w:fill="auto"/>
            <w:vAlign w:val="center"/>
          </w:tcPr>
          <w:p w14:paraId="79908E81" w14:textId="77777777" w:rsidR="008747C1" w:rsidRPr="007D1918" w:rsidRDefault="008747C1" w:rsidP="007105AE">
            <w:pPr>
              <w:pStyle w:val="Tablecontents"/>
              <w:keepNext/>
              <w:keepLines/>
              <w:spacing w:before="0" w:after="0"/>
              <w:ind w:left="0"/>
              <w:jc w:val="center"/>
            </w:pPr>
            <w:r w:rsidRPr="007D1918">
              <w:t>0.2</w:t>
            </w:r>
          </w:p>
        </w:tc>
        <w:tc>
          <w:tcPr>
            <w:tcW w:w="569" w:type="dxa"/>
            <w:shd w:val="clear" w:color="auto" w:fill="auto"/>
            <w:vAlign w:val="center"/>
          </w:tcPr>
          <w:p w14:paraId="39B7E885" w14:textId="77777777" w:rsidR="008747C1" w:rsidRPr="007D1918" w:rsidRDefault="008747C1" w:rsidP="007105AE">
            <w:pPr>
              <w:pStyle w:val="Tablecontents"/>
              <w:keepNext/>
              <w:keepLines/>
              <w:spacing w:before="0" w:after="0"/>
              <w:ind w:left="0"/>
              <w:jc w:val="center"/>
            </w:pPr>
            <w:r w:rsidRPr="007D1918">
              <w:t>0.2</w:t>
            </w:r>
          </w:p>
        </w:tc>
        <w:tc>
          <w:tcPr>
            <w:tcW w:w="709" w:type="dxa"/>
            <w:gridSpan w:val="2"/>
            <w:shd w:val="clear" w:color="auto" w:fill="auto"/>
            <w:vAlign w:val="center"/>
          </w:tcPr>
          <w:p w14:paraId="5F600151" w14:textId="77777777" w:rsidR="008747C1" w:rsidRPr="007D1918" w:rsidRDefault="008747C1" w:rsidP="007105AE">
            <w:pPr>
              <w:pStyle w:val="Tablecontents"/>
              <w:keepNext/>
              <w:keepLines/>
              <w:spacing w:before="0" w:after="0"/>
              <w:ind w:left="0"/>
              <w:jc w:val="center"/>
            </w:pPr>
            <w:r w:rsidRPr="007D1918">
              <w:t>0.5</w:t>
            </w:r>
          </w:p>
        </w:tc>
        <w:tc>
          <w:tcPr>
            <w:tcW w:w="705" w:type="dxa"/>
            <w:gridSpan w:val="3"/>
            <w:shd w:val="clear" w:color="auto" w:fill="auto"/>
            <w:vAlign w:val="center"/>
          </w:tcPr>
          <w:p w14:paraId="011F79D0" w14:textId="77777777" w:rsidR="008747C1" w:rsidRPr="007D1918" w:rsidRDefault="008747C1" w:rsidP="007105AE">
            <w:pPr>
              <w:pStyle w:val="Tablecontents"/>
              <w:keepNext/>
              <w:keepLines/>
              <w:spacing w:before="0" w:after="0"/>
              <w:ind w:left="0"/>
              <w:jc w:val="center"/>
            </w:pPr>
            <w:r w:rsidRPr="007D1918">
              <w:t>0.7</w:t>
            </w:r>
          </w:p>
        </w:tc>
        <w:tc>
          <w:tcPr>
            <w:tcW w:w="639" w:type="dxa"/>
            <w:gridSpan w:val="2"/>
            <w:shd w:val="clear" w:color="auto" w:fill="auto"/>
            <w:vAlign w:val="center"/>
          </w:tcPr>
          <w:p w14:paraId="2F90DDEE" w14:textId="77777777" w:rsidR="008747C1" w:rsidRPr="007D1918" w:rsidRDefault="008747C1" w:rsidP="007105AE">
            <w:pPr>
              <w:pStyle w:val="Tablecontents"/>
              <w:keepNext/>
              <w:keepLines/>
              <w:spacing w:before="0" w:after="0"/>
              <w:ind w:left="0"/>
              <w:jc w:val="center"/>
            </w:pPr>
            <w:r w:rsidRPr="007D1918">
              <w:t>0.94</w:t>
            </w:r>
          </w:p>
        </w:tc>
        <w:tc>
          <w:tcPr>
            <w:tcW w:w="639" w:type="dxa"/>
            <w:gridSpan w:val="3"/>
            <w:shd w:val="clear" w:color="auto" w:fill="auto"/>
            <w:vAlign w:val="center"/>
          </w:tcPr>
          <w:p w14:paraId="639EC43C" w14:textId="77777777" w:rsidR="008747C1" w:rsidRPr="007D1918" w:rsidRDefault="008747C1" w:rsidP="007105AE">
            <w:pPr>
              <w:pStyle w:val="Tablecontents"/>
              <w:keepNext/>
              <w:keepLines/>
              <w:spacing w:before="0" w:after="0"/>
              <w:ind w:left="0"/>
              <w:jc w:val="center"/>
            </w:pPr>
            <w:r w:rsidRPr="007D1918">
              <w:t>0.94</w:t>
            </w:r>
          </w:p>
        </w:tc>
        <w:tc>
          <w:tcPr>
            <w:tcW w:w="638" w:type="dxa"/>
            <w:gridSpan w:val="3"/>
            <w:shd w:val="clear" w:color="auto" w:fill="auto"/>
            <w:vAlign w:val="center"/>
          </w:tcPr>
          <w:p w14:paraId="5CDB0FCB" w14:textId="77777777" w:rsidR="008747C1" w:rsidRPr="007D1918" w:rsidRDefault="008747C1" w:rsidP="007105AE">
            <w:pPr>
              <w:pStyle w:val="Tablecontents"/>
              <w:keepNext/>
              <w:keepLines/>
              <w:spacing w:before="0" w:after="0"/>
              <w:ind w:left="0"/>
              <w:jc w:val="center"/>
            </w:pPr>
            <w:r w:rsidRPr="007D1918">
              <w:t>0.94</w:t>
            </w:r>
          </w:p>
        </w:tc>
        <w:tc>
          <w:tcPr>
            <w:tcW w:w="638" w:type="dxa"/>
            <w:gridSpan w:val="3"/>
            <w:shd w:val="clear" w:color="auto" w:fill="auto"/>
            <w:vAlign w:val="center"/>
          </w:tcPr>
          <w:p w14:paraId="5AF9C6BF" w14:textId="77777777" w:rsidR="008747C1" w:rsidRPr="007D1918" w:rsidRDefault="008747C1" w:rsidP="007105AE">
            <w:pPr>
              <w:pStyle w:val="Tablecontents"/>
              <w:keepNext/>
              <w:keepLines/>
              <w:spacing w:before="0" w:after="0"/>
              <w:ind w:left="0"/>
              <w:jc w:val="center"/>
            </w:pPr>
            <w:r w:rsidRPr="007D1918">
              <w:t>0.94</w:t>
            </w:r>
          </w:p>
        </w:tc>
        <w:tc>
          <w:tcPr>
            <w:tcW w:w="710" w:type="dxa"/>
            <w:gridSpan w:val="4"/>
            <w:shd w:val="clear" w:color="auto" w:fill="auto"/>
            <w:vAlign w:val="center"/>
          </w:tcPr>
          <w:p w14:paraId="3B4A6BB9" w14:textId="77777777" w:rsidR="008747C1" w:rsidRPr="007D1918" w:rsidRDefault="008747C1" w:rsidP="007105AE">
            <w:pPr>
              <w:pStyle w:val="Tablecontents"/>
              <w:keepNext/>
              <w:keepLines/>
              <w:spacing w:before="0" w:after="0"/>
              <w:ind w:left="0"/>
              <w:jc w:val="center"/>
            </w:pPr>
            <w:r w:rsidRPr="007D1918">
              <w:t>0.94</w:t>
            </w:r>
          </w:p>
        </w:tc>
        <w:tc>
          <w:tcPr>
            <w:tcW w:w="567" w:type="dxa"/>
            <w:shd w:val="clear" w:color="auto" w:fill="auto"/>
            <w:vAlign w:val="center"/>
          </w:tcPr>
          <w:p w14:paraId="311365FC" w14:textId="77777777" w:rsidR="008747C1" w:rsidRPr="007D1918" w:rsidRDefault="008747C1" w:rsidP="007105AE">
            <w:pPr>
              <w:pStyle w:val="Tablecontents"/>
              <w:keepNext/>
              <w:keepLines/>
              <w:spacing w:before="0" w:after="0"/>
              <w:ind w:left="0"/>
              <w:jc w:val="center"/>
            </w:pPr>
            <w:r w:rsidRPr="007D1918">
              <w:t>0.94</w:t>
            </w:r>
          </w:p>
        </w:tc>
        <w:tc>
          <w:tcPr>
            <w:tcW w:w="1559" w:type="dxa"/>
          </w:tcPr>
          <w:p w14:paraId="503C3CDA" w14:textId="77777777" w:rsidR="008747C1" w:rsidRPr="007D1918" w:rsidRDefault="008747C1" w:rsidP="007105AE">
            <w:pPr>
              <w:pStyle w:val="Tablecontents"/>
              <w:keepNext/>
              <w:keepLines/>
              <w:ind w:left="0"/>
            </w:pPr>
          </w:p>
        </w:tc>
      </w:tr>
      <w:tr w:rsidR="008747C1" w:rsidRPr="007D1918" w14:paraId="406FCC16" w14:textId="77777777" w:rsidTr="00153384">
        <w:tc>
          <w:tcPr>
            <w:tcW w:w="9062" w:type="dxa"/>
            <w:gridSpan w:val="25"/>
          </w:tcPr>
          <w:p w14:paraId="798D6530" w14:textId="77777777" w:rsidR="008747C1" w:rsidRPr="007D1918" w:rsidRDefault="008747C1" w:rsidP="007105AE">
            <w:pPr>
              <w:pStyle w:val="Tablecontents"/>
              <w:keepNext/>
              <w:keepLines/>
              <w:spacing w:before="0" w:after="0"/>
              <w:ind w:left="0"/>
              <w:rPr>
                <w:b/>
              </w:rPr>
            </w:pPr>
            <w:r w:rsidRPr="007D1918">
              <w:rPr>
                <w:b/>
              </w:rPr>
              <w:t>Utility with Adverse Events (whichever utility is lowest; baseline or AE associated utility)</w:t>
            </w:r>
          </w:p>
        </w:tc>
      </w:tr>
      <w:tr w:rsidR="008747C1" w:rsidRPr="007D1918" w14:paraId="4CCBB211" w14:textId="77777777" w:rsidTr="00EB7505">
        <w:tc>
          <w:tcPr>
            <w:tcW w:w="1120" w:type="dxa"/>
          </w:tcPr>
          <w:p w14:paraId="1BF54654" w14:textId="1B428502" w:rsidR="008747C1" w:rsidRPr="007D1918" w:rsidRDefault="008747C1" w:rsidP="007105AE">
            <w:pPr>
              <w:pStyle w:val="Tablecontents"/>
              <w:keepNext/>
              <w:keepLines/>
              <w:ind w:left="0"/>
            </w:pPr>
            <w:r w:rsidRPr="007D1918">
              <w:t>Retro</w:t>
            </w:r>
            <w:r w:rsidR="00AD3447" w:rsidRPr="007D1918">
              <w:t>-</w:t>
            </w:r>
            <w:r w:rsidRPr="007D1918">
              <w:t>peritoneal Haematoma</w:t>
            </w:r>
          </w:p>
        </w:tc>
        <w:tc>
          <w:tcPr>
            <w:tcW w:w="569" w:type="dxa"/>
            <w:vAlign w:val="center"/>
          </w:tcPr>
          <w:p w14:paraId="2B97D24B" w14:textId="77777777" w:rsidR="008747C1" w:rsidRPr="007D1918" w:rsidRDefault="008747C1" w:rsidP="007105AE">
            <w:pPr>
              <w:pStyle w:val="Tablecontents"/>
              <w:keepNext/>
              <w:keepLines/>
              <w:spacing w:before="0" w:after="0"/>
              <w:ind w:left="0"/>
              <w:jc w:val="center"/>
            </w:pPr>
            <w:r w:rsidRPr="007D1918">
              <w:t>0.2</w:t>
            </w:r>
          </w:p>
        </w:tc>
        <w:tc>
          <w:tcPr>
            <w:tcW w:w="569" w:type="dxa"/>
            <w:vAlign w:val="center"/>
          </w:tcPr>
          <w:p w14:paraId="7A6B4F8C" w14:textId="77777777" w:rsidR="008747C1" w:rsidRPr="007D1918" w:rsidRDefault="008747C1" w:rsidP="007105AE">
            <w:pPr>
              <w:pStyle w:val="Tablecontents"/>
              <w:keepNext/>
              <w:keepLines/>
              <w:spacing w:before="0" w:after="0"/>
              <w:ind w:left="0"/>
              <w:jc w:val="center"/>
            </w:pPr>
            <w:r w:rsidRPr="007D1918">
              <w:t>0.4</w:t>
            </w:r>
          </w:p>
        </w:tc>
        <w:tc>
          <w:tcPr>
            <w:tcW w:w="709" w:type="dxa"/>
            <w:gridSpan w:val="2"/>
            <w:shd w:val="clear" w:color="auto" w:fill="auto"/>
            <w:vAlign w:val="center"/>
          </w:tcPr>
          <w:p w14:paraId="01D7B8EE" w14:textId="77777777" w:rsidR="008747C1" w:rsidRPr="007D1918" w:rsidRDefault="008747C1" w:rsidP="007105AE">
            <w:pPr>
              <w:pStyle w:val="Tablecontents"/>
              <w:keepNext/>
              <w:keepLines/>
              <w:spacing w:before="0" w:after="0"/>
              <w:ind w:left="0"/>
              <w:jc w:val="center"/>
            </w:pPr>
            <w:r w:rsidRPr="007D1918">
              <w:t>0.45</w:t>
            </w:r>
          </w:p>
        </w:tc>
        <w:tc>
          <w:tcPr>
            <w:tcW w:w="648" w:type="dxa"/>
            <w:shd w:val="clear" w:color="auto" w:fill="auto"/>
            <w:vAlign w:val="center"/>
          </w:tcPr>
          <w:p w14:paraId="4BDE3ABB" w14:textId="77777777" w:rsidR="008747C1" w:rsidRPr="007D1918" w:rsidRDefault="008747C1" w:rsidP="007105AE">
            <w:pPr>
              <w:pStyle w:val="Tablecontents"/>
              <w:keepNext/>
              <w:keepLines/>
              <w:spacing w:before="0" w:after="0"/>
              <w:ind w:left="0"/>
              <w:jc w:val="center"/>
            </w:pPr>
            <w:r w:rsidRPr="007D1918">
              <w:t>0.45</w:t>
            </w:r>
          </w:p>
        </w:tc>
        <w:tc>
          <w:tcPr>
            <w:tcW w:w="648" w:type="dxa"/>
            <w:gridSpan w:val="3"/>
            <w:shd w:val="clear" w:color="auto" w:fill="auto"/>
            <w:vAlign w:val="center"/>
          </w:tcPr>
          <w:p w14:paraId="27800196" w14:textId="77777777" w:rsidR="008747C1" w:rsidRPr="007D1918" w:rsidRDefault="008747C1" w:rsidP="007105AE">
            <w:pPr>
              <w:pStyle w:val="Tablecontents"/>
              <w:keepNext/>
              <w:keepLines/>
              <w:spacing w:before="0" w:after="0"/>
              <w:ind w:left="0"/>
              <w:jc w:val="center"/>
            </w:pPr>
            <w:r w:rsidRPr="007D1918">
              <w:t>0.45</w:t>
            </w:r>
          </w:p>
        </w:tc>
        <w:tc>
          <w:tcPr>
            <w:tcW w:w="648" w:type="dxa"/>
            <w:gridSpan w:val="3"/>
            <w:shd w:val="clear" w:color="auto" w:fill="auto"/>
            <w:vAlign w:val="center"/>
          </w:tcPr>
          <w:p w14:paraId="74C9A650" w14:textId="77777777" w:rsidR="008747C1" w:rsidRPr="007D1918" w:rsidRDefault="008747C1" w:rsidP="007105AE">
            <w:pPr>
              <w:pStyle w:val="Tablecontents"/>
              <w:keepNext/>
              <w:keepLines/>
              <w:spacing w:before="0" w:after="0"/>
              <w:ind w:left="0"/>
              <w:jc w:val="center"/>
            </w:pPr>
            <w:r w:rsidRPr="007D1918">
              <w:t>0.45</w:t>
            </w:r>
          </w:p>
        </w:tc>
        <w:tc>
          <w:tcPr>
            <w:tcW w:w="648" w:type="dxa"/>
            <w:gridSpan w:val="3"/>
            <w:shd w:val="clear" w:color="auto" w:fill="auto"/>
            <w:vAlign w:val="center"/>
          </w:tcPr>
          <w:p w14:paraId="76FE4E8F" w14:textId="77777777" w:rsidR="008747C1" w:rsidRPr="007D1918" w:rsidRDefault="008747C1" w:rsidP="007105AE">
            <w:pPr>
              <w:pStyle w:val="Tablecontents"/>
              <w:keepNext/>
              <w:keepLines/>
              <w:spacing w:before="0" w:after="0"/>
              <w:ind w:left="0"/>
              <w:jc w:val="center"/>
            </w:pPr>
            <w:r w:rsidRPr="007D1918">
              <w:t>0.45</w:t>
            </w:r>
          </w:p>
        </w:tc>
        <w:tc>
          <w:tcPr>
            <w:tcW w:w="648" w:type="dxa"/>
            <w:gridSpan w:val="3"/>
            <w:shd w:val="clear" w:color="auto" w:fill="auto"/>
            <w:vAlign w:val="center"/>
          </w:tcPr>
          <w:p w14:paraId="1518BBC3" w14:textId="77777777" w:rsidR="008747C1" w:rsidRPr="007D1918" w:rsidRDefault="008747C1" w:rsidP="007105AE">
            <w:pPr>
              <w:pStyle w:val="Tablecontents"/>
              <w:keepNext/>
              <w:keepLines/>
              <w:spacing w:before="0" w:after="0"/>
              <w:ind w:left="0"/>
              <w:jc w:val="center"/>
            </w:pPr>
            <w:r w:rsidRPr="007D1918">
              <w:t>0.45</w:t>
            </w:r>
          </w:p>
        </w:tc>
        <w:tc>
          <w:tcPr>
            <w:tcW w:w="648" w:type="dxa"/>
            <w:gridSpan w:val="3"/>
            <w:shd w:val="clear" w:color="auto" w:fill="auto"/>
            <w:vAlign w:val="center"/>
          </w:tcPr>
          <w:p w14:paraId="70E7EC66" w14:textId="77777777" w:rsidR="008747C1" w:rsidRPr="007D1918" w:rsidRDefault="008747C1" w:rsidP="007105AE">
            <w:pPr>
              <w:pStyle w:val="Tablecontents"/>
              <w:keepNext/>
              <w:keepLines/>
              <w:spacing w:before="0" w:after="0"/>
              <w:ind w:left="0"/>
              <w:jc w:val="center"/>
            </w:pPr>
            <w:r w:rsidRPr="007D1918">
              <w:t>0.45</w:t>
            </w:r>
          </w:p>
        </w:tc>
        <w:tc>
          <w:tcPr>
            <w:tcW w:w="648" w:type="dxa"/>
            <w:gridSpan w:val="3"/>
            <w:shd w:val="clear" w:color="auto" w:fill="auto"/>
            <w:vAlign w:val="center"/>
          </w:tcPr>
          <w:p w14:paraId="0C64E69D" w14:textId="77777777" w:rsidR="008747C1" w:rsidRPr="007D1918" w:rsidRDefault="008747C1" w:rsidP="007105AE">
            <w:pPr>
              <w:pStyle w:val="Tablecontents"/>
              <w:keepNext/>
              <w:keepLines/>
              <w:spacing w:before="0" w:after="0"/>
              <w:ind w:left="0"/>
              <w:jc w:val="center"/>
            </w:pPr>
            <w:r w:rsidRPr="007D1918">
              <w:t>0.45</w:t>
            </w:r>
          </w:p>
        </w:tc>
        <w:tc>
          <w:tcPr>
            <w:tcW w:w="1559" w:type="dxa"/>
            <w:vMerge w:val="restart"/>
          </w:tcPr>
          <w:p w14:paraId="15EFDBB2" w14:textId="77777777" w:rsidR="008747C1" w:rsidRPr="007D1918" w:rsidRDefault="008747C1" w:rsidP="007105AE">
            <w:pPr>
              <w:pStyle w:val="Tablecontents"/>
              <w:keepNext/>
              <w:keepLines/>
              <w:ind w:left="0"/>
            </w:pPr>
            <w:r w:rsidRPr="007D1918">
              <w:t>18 days @ 0.49 +</w:t>
            </w:r>
          </w:p>
          <w:p w14:paraId="2DCBFA28" w14:textId="77777777" w:rsidR="008747C1" w:rsidRPr="007D1918" w:rsidRDefault="008747C1" w:rsidP="007105AE">
            <w:pPr>
              <w:pStyle w:val="Tablecontents"/>
              <w:keepNext/>
              <w:keepLines/>
              <w:ind w:left="0"/>
            </w:pPr>
            <w:r w:rsidRPr="007D1918">
              <w:t>3 days @ 0.25 +</w:t>
            </w:r>
          </w:p>
          <w:p w14:paraId="054896BE" w14:textId="75C87B87" w:rsidR="008747C1" w:rsidRPr="007D1918" w:rsidRDefault="008747C1" w:rsidP="00E63823">
            <w:pPr>
              <w:pStyle w:val="Tablecontents"/>
              <w:keepNext/>
              <w:keepLines/>
              <w:ind w:left="0"/>
            </w:pPr>
            <w:r w:rsidRPr="007D1918">
              <w:t xml:space="preserve">3 days @0.05 = </w:t>
            </w:r>
          </w:p>
        </w:tc>
      </w:tr>
      <w:tr w:rsidR="008747C1" w:rsidRPr="007D1918" w14:paraId="00647856" w14:textId="77777777" w:rsidTr="00EB7505">
        <w:tc>
          <w:tcPr>
            <w:tcW w:w="1120" w:type="dxa"/>
          </w:tcPr>
          <w:p w14:paraId="3D7B151C" w14:textId="77777777" w:rsidR="008747C1" w:rsidRPr="007D1918" w:rsidRDefault="008747C1" w:rsidP="007105AE">
            <w:pPr>
              <w:pStyle w:val="Tablecontents"/>
              <w:keepNext/>
              <w:keepLines/>
              <w:ind w:left="0"/>
              <w:rPr>
                <w:b/>
              </w:rPr>
            </w:pPr>
            <w:r w:rsidRPr="007D1918">
              <w:rPr>
                <w:b/>
              </w:rPr>
              <w:t>Decrement</w:t>
            </w:r>
          </w:p>
        </w:tc>
        <w:tc>
          <w:tcPr>
            <w:tcW w:w="569" w:type="dxa"/>
            <w:shd w:val="clear" w:color="auto" w:fill="auto"/>
            <w:vAlign w:val="center"/>
          </w:tcPr>
          <w:p w14:paraId="35E5B255" w14:textId="77777777" w:rsidR="008747C1" w:rsidRPr="007D1918" w:rsidRDefault="008747C1" w:rsidP="007105AE">
            <w:pPr>
              <w:pStyle w:val="Tablecontents"/>
              <w:keepNext/>
              <w:keepLines/>
              <w:spacing w:before="0" w:after="0"/>
              <w:ind w:left="0"/>
              <w:jc w:val="center"/>
              <w:rPr>
                <w:b/>
              </w:rPr>
            </w:pPr>
            <w:r w:rsidRPr="007D1918">
              <w:rPr>
                <w:b/>
              </w:rPr>
              <w:t>0</w:t>
            </w:r>
          </w:p>
        </w:tc>
        <w:tc>
          <w:tcPr>
            <w:tcW w:w="569" w:type="dxa"/>
            <w:shd w:val="clear" w:color="auto" w:fill="auto"/>
            <w:vAlign w:val="center"/>
          </w:tcPr>
          <w:p w14:paraId="47F73494" w14:textId="77777777" w:rsidR="008747C1" w:rsidRPr="007D1918" w:rsidRDefault="008747C1" w:rsidP="007105AE">
            <w:pPr>
              <w:pStyle w:val="Tablecontents"/>
              <w:keepNext/>
              <w:keepLines/>
              <w:spacing w:before="0" w:after="0"/>
              <w:ind w:left="0"/>
              <w:jc w:val="center"/>
              <w:rPr>
                <w:b/>
              </w:rPr>
            </w:pPr>
            <w:r w:rsidRPr="007D1918">
              <w:rPr>
                <w:b/>
              </w:rPr>
              <w:t>0</w:t>
            </w:r>
          </w:p>
        </w:tc>
        <w:tc>
          <w:tcPr>
            <w:tcW w:w="709" w:type="dxa"/>
            <w:gridSpan w:val="2"/>
            <w:shd w:val="clear" w:color="auto" w:fill="auto"/>
            <w:vAlign w:val="center"/>
          </w:tcPr>
          <w:p w14:paraId="71A8F977" w14:textId="77777777" w:rsidR="008747C1" w:rsidRPr="007D1918" w:rsidRDefault="008747C1" w:rsidP="007105AE">
            <w:pPr>
              <w:pStyle w:val="Tablecontents"/>
              <w:keepNext/>
              <w:keepLines/>
              <w:spacing w:before="0" w:after="0"/>
              <w:ind w:left="0"/>
              <w:jc w:val="center"/>
              <w:rPr>
                <w:b/>
              </w:rPr>
            </w:pPr>
            <w:r w:rsidRPr="007D1918">
              <w:rPr>
                <w:b/>
              </w:rPr>
              <w:t>-0.05</w:t>
            </w:r>
          </w:p>
        </w:tc>
        <w:tc>
          <w:tcPr>
            <w:tcW w:w="648" w:type="dxa"/>
            <w:shd w:val="clear" w:color="auto" w:fill="auto"/>
            <w:vAlign w:val="center"/>
          </w:tcPr>
          <w:p w14:paraId="7A77330D" w14:textId="77777777" w:rsidR="008747C1" w:rsidRPr="007D1918" w:rsidRDefault="008747C1" w:rsidP="007105AE">
            <w:pPr>
              <w:pStyle w:val="Tablecontents"/>
              <w:keepNext/>
              <w:keepLines/>
              <w:spacing w:before="0" w:after="0"/>
              <w:ind w:left="0"/>
              <w:jc w:val="center"/>
              <w:rPr>
                <w:b/>
              </w:rPr>
            </w:pPr>
            <w:r w:rsidRPr="007D1918">
              <w:rPr>
                <w:b/>
              </w:rPr>
              <w:t>-0.25</w:t>
            </w:r>
          </w:p>
        </w:tc>
        <w:tc>
          <w:tcPr>
            <w:tcW w:w="648" w:type="dxa"/>
            <w:gridSpan w:val="3"/>
            <w:shd w:val="clear" w:color="auto" w:fill="FFFFFF" w:themeFill="background1"/>
            <w:vAlign w:val="center"/>
          </w:tcPr>
          <w:p w14:paraId="49EE7E6C" w14:textId="77777777" w:rsidR="008747C1" w:rsidRPr="007D1918" w:rsidRDefault="008747C1" w:rsidP="007105AE">
            <w:pPr>
              <w:pStyle w:val="Tablecontents"/>
              <w:keepNext/>
              <w:keepLines/>
              <w:spacing w:before="0" w:after="0"/>
              <w:ind w:left="0"/>
              <w:jc w:val="center"/>
              <w:rPr>
                <w:b/>
              </w:rPr>
            </w:pPr>
            <w:r w:rsidRPr="007D1918">
              <w:rPr>
                <w:b/>
              </w:rPr>
              <w:t>-0.49</w:t>
            </w:r>
          </w:p>
        </w:tc>
        <w:tc>
          <w:tcPr>
            <w:tcW w:w="648" w:type="dxa"/>
            <w:gridSpan w:val="3"/>
            <w:shd w:val="clear" w:color="auto" w:fill="FFFFFF" w:themeFill="background1"/>
            <w:vAlign w:val="center"/>
          </w:tcPr>
          <w:p w14:paraId="5D74C315" w14:textId="77777777" w:rsidR="008747C1" w:rsidRPr="007D1918" w:rsidRDefault="008747C1" w:rsidP="007105AE">
            <w:pPr>
              <w:pStyle w:val="Tablecontents"/>
              <w:keepNext/>
              <w:keepLines/>
              <w:spacing w:before="0" w:after="0"/>
              <w:ind w:left="0"/>
              <w:jc w:val="center"/>
              <w:rPr>
                <w:b/>
              </w:rPr>
            </w:pPr>
            <w:r w:rsidRPr="007D1918">
              <w:rPr>
                <w:b/>
              </w:rPr>
              <w:t>-0.49</w:t>
            </w:r>
          </w:p>
        </w:tc>
        <w:tc>
          <w:tcPr>
            <w:tcW w:w="648" w:type="dxa"/>
            <w:gridSpan w:val="3"/>
            <w:shd w:val="clear" w:color="auto" w:fill="FFFFFF" w:themeFill="background1"/>
            <w:vAlign w:val="center"/>
          </w:tcPr>
          <w:p w14:paraId="636CF244" w14:textId="77777777" w:rsidR="008747C1" w:rsidRPr="007D1918" w:rsidRDefault="008747C1" w:rsidP="007105AE">
            <w:pPr>
              <w:pStyle w:val="Tablecontents"/>
              <w:keepNext/>
              <w:keepLines/>
              <w:spacing w:before="0" w:after="0"/>
              <w:ind w:left="0"/>
              <w:jc w:val="center"/>
              <w:rPr>
                <w:b/>
              </w:rPr>
            </w:pPr>
            <w:r w:rsidRPr="007D1918">
              <w:rPr>
                <w:b/>
              </w:rPr>
              <w:t>-0.49</w:t>
            </w:r>
          </w:p>
        </w:tc>
        <w:tc>
          <w:tcPr>
            <w:tcW w:w="648" w:type="dxa"/>
            <w:gridSpan w:val="3"/>
            <w:shd w:val="clear" w:color="auto" w:fill="FFFFFF" w:themeFill="background1"/>
            <w:vAlign w:val="center"/>
          </w:tcPr>
          <w:p w14:paraId="6596FB49" w14:textId="77777777" w:rsidR="008747C1" w:rsidRPr="007D1918" w:rsidRDefault="008747C1" w:rsidP="007105AE">
            <w:pPr>
              <w:pStyle w:val="Tablecontents"/>
              <w:keepNext/>
              <w:keepLines/>
              <w:spacing w:before="0" w:after="0"/>
              <w:ind w:left="0"/>
              <w:jc w:val="center"/>
              <w:rPr>
                <w:b/>
              </w:rPr>
            </w:pPr>
            <w:r w:rsidRPr="007D1918">
              <w:rPr>
                <w:b/>
              </w:rPr>
              <w:t>-0.49</w:t>
            </w:r>
          </w:p>
        </w:tc>
        <w:tc>
          <w:tcPr>
            <w:tcW w:w="648" w:type="dxa"/>
            <w:gridSpan w:val="3"/>
            <w:shd w:val="clear" w:color="auto" w:fill="FFFFFF" w:themeFill="background1"/>
            <w:vAlign w:val="center"/>
          </w:tcPr>
          <w:p w14:paraId="6C32FE87" w14:textId="77777777" w:rsidR="008747C1" w:rsidRPr="007D1918" w:rsidRDefault="008747C1" w:rsidP="007105AE">
            <w:pPr>
              <w:pStyle w:val="Tablecontents"/>
              <w:keepNext/>
              <w:keepLines/>
              <w:spacing w:before="0" w:after="0"/>
              <w:ind w:left="0"/>
              <w:jc w:val="center"/>
              <w:rPr>
                <w:b/>
              </w:rPr>
            </w:pPr>
            <w:r w:rsidRPr="007D1918">
              <w:rPr>
                <w:b/>
              </w:rPr>
              <w:t>-0.49</w:t>
            </w:r>
          </w:p>
        </w:tc>
        <w:tc>
          <w:tcPr>
            <w:tcW w:w="648" w:type="dxa"/>
            <w:gridSpan w:val="3"/>
            <w:shd w:val="clear" w:color="auto" w:fill="FFFFFF" w:themeFill="background1"/>
            <w:vAlign w:val="center"/>
          </w:tcPr>
          <w:p w14:paraId="7B5B672B" w14:textId="77777777" w:rsidR="008747C1" w:rsidRPr="007D1918" w:rsidRDefault="008747C1" w:rsidP="007105AE">
            <w:pPr>
              <w:pStyle w:val="Tablecontents"/>
              <w:keepNext/>
              <w:keepLines/>
              <w:spacing w:before="0" w:after="0"/>
              <w:ind w:left="0"/>
              <w:jc w:val="center"/>
              <w:rPr>
                <w:b/>
              </w:rPr>
            </w:pPr>
            <w:r w:rsidRPr="007D1918">
              <w:rPr>
                <w:b/>
              </w:rPr>
              <w:t>-0.49</w:t>
            </w:r>
          </w:p>
        </w:tc>
        <w:tc>
          <w:tcPr>
            <w:tcW w:w="1559" w:type="dxa"/>
            <w:vMerge/>
          </w:tcPr>
          <w:p w14:paraId="7C91CCA3" w14:textId="77777777" w:rsidR="008747C1" w:rsidRPr="007D1918" w:rsidRDefault="008747C1" w:rsidP="007105AE">
            <w:pPr>
              <w:pStyle w:val="Tablecontents"/>
              <w:keepNext/>
              <w:keepLines/>
            </w:pPr>
          </w:p>
        </w:tc>
      </w:tr>
      <w:tr w:rsidR="008747C1" w:rsidRPr="007D1918" w14:paraId="28FF8CBD" w14:textId="77777777" w:rsidTr="00AD3447">
        <w:tc>
          <w:tcPr>
            <w:tcW w:w="7503" w:type="dxa"/>
            <w:gridSpan w:val="24"/>
            <w:vAlign w:val="center"/>
          </w:tcPr>
          <w:p w14:paraId="29693D1B" w14:textId="233151F4" w:rsidR="008747C1" w:rsidRPr="007D1918" w:rsidRDefault="00EB7505" w:rsidP="00E63823">
            <w:pPr>
              <w:pStyle w:val="Tablecontents"/>
              <w:keepNext/>
              <w:keepLines/>
              <w:spacing w:before="0" w:after="0"/>
              <w:ind w:left="0"/>
              <w:jc w:val="right"/>
            </w:pPr>
            <w:r w:rsidRPr="007D1918">
              <w:t xml:space="preserve">QALY decrement </w:t>
            </w:r>
            <w:r w:rsidR="00E63823" w:rsidRPr="007D1918">
              <w:t>per event</w:t>
            </w:r>
          </w:p>
        </w:tc>
        <w:tc>
          <w:tcPr>
            <w:tcW w:w="1559" w:type="dxa"/>
          </w:tcPr>
          <w:p w14:paraId="455A01B0" w14:textId="3621CBB8" w:rsidR="008747C1" w:rsidRPr="007D1918" w:rsidRDefault="00E63823" w:rsidP="00E63823">
            <w:pPr>
              <w:pStyle w:val="Tablecontents"/>
              <w:keepNext/>
              <w:keepLines/>
              <w:ind w:left="0"/>
              <w:jc w:val="center"/>
            </w:pPr>
            <w:r w:rsidRPr="007D1918">
              <w:t xml:space="preserve">0.02663 QALYs </w:t>
            </w:r>
          </w:p>
        </w:tc>
      </w:tr>
      <w:tr w:rsidR="008747C1" w:rsidRPr="007D1918" w14:paraId="55F549B8" w14:textId="77777777" w:rsidTr="00EB7505">
        <w:tc>
          <w:tcPr>
            <w:tcW w:w="1120" w:type="dxa"/>
          </w:tcPr>
          <w:p w14:paraId="6EC6F34B" w14:textId="77777777" w:rsidR="008747C1" w:rsidRPr="007D1918" w:rsidRDefault="008747C1" w:rsidP="007105AE">
            <w:pPr>
              <w:pStyle w:val="Tablecontents"/>
              <w:keepNext/>
              <w:keepLines/>
              <w:ind w:left="0"/>
            </w:pPr>
            <w:r w:rsidRPr="007D1918">
              <w:t>Femoral Thrombosis</w:t>
            </w:r>
          </w:p>
        </w:tc>
        <w:tc>
          <w:tcPr>
            <w:tcW w:w="569" w:type="dxa"/>
            <w:vAlign w:val="center"/>
          </w:tcPr>
          <w:p w14:paraId="61706CC5" w14:textId="77777777" w:rsidR="008747C1" w:rsidRPr="007D1918" w:rsidRDefault="008747C1" w:rsidP="007105AE">
            <w:pPr>
              <w:pStyle w:val="Tablecontents"/>
              <w:keepNext/>
              <w:keepLines/>
              <w:spacing w:before="0" w:after="0"/>
              <w:ind w:left="0"/>
              <w:jc w:val="center"/>
            </w:pPr>
            <w:r w:rsidRPr="007D1918">
              <w:t>0.2</w:t>
            </w:r>
          </w:p>
        </w:tc>
        <w:tc>
          <w:tcPr>
            <w:tcW w:w="569" w:type="dxa"/>
            <w:vAlign w:val="center"/>
          </w:tcPr>
          <w:p w14:paraId="3109AA64" w14:textId="77777777" w:rsidR="008747C1" w:rsidRPr="007D1918" w:rsidRDefault="008747C1" w:rsidP="007105AE">
            <w:pPr>
              <w:pStyle w:val="Tablecontents"/>
              <w:keepNext/>
              <w:keepLines/>
              <w:spacing w:before="0" w:after="0"/>
              <w:ind w:left="0"/>
              <w:jc w:val="center"/>
            </w:pPr>
            <w:r w:rsidRPr="007D1918">
              <w:t>0.2</w:t>
            </w:r>
          </w:p>
        </w:tc>
        <w:tc>
          <w:tcPr>
            <w:tcW w:w="709" w:type="dxa"/>
            <w:gridSpan w:val="2"/>
            <w:vAlign w:val="center"/>
          </w:tcPr>
          <w:p w14:paraId="5ADA9C96" w14:textId="77777777" w:rsidR="008747C1" w:rsidRPr="007D1918" w:rsidRDefault="008747C1" w:rsidP="007105AE">
            <w:pPr>
              <w:pStyle w:val="Tablecontents"/>
              <w:keepNext/>
              <w:keepLines/>
              <w:spacing w:before="0" w:after="0"/>
              <w:ind w:left="0"/>
              <w:jc w:val="center"/>
            </w:pPr>
            <w:r w:rsidRPr="007D1918">
              <w:t>0.2</w:t>
            </w:r>
          </w:p>
        </w:tc>
        <w:tc>
          <w:tcPr>
            <w:tcW w:w="648" w:type="dxa"/>
            <w:vAlign w:val="center"/>
          </w:tcPr>
          <w:p w14:paraId="0FB613AA" w14:textId="77777777" w:rsidR="008747C1" w:rsidRPr="007D1918" w:rsidRDefault="008747C1" w:rsidP="007105AE">
            <w:pPr>
              <w:pStyle w:val="Tablecontents"/>
              <w:keepNext/>
              <w:keepLines/>
              <w:spacing w:before="0" w:after="0"/>
              <w:ind w:left="0"/>
              <w:jc w:val="center"/>
            </w:pPr>
            <w:r w:rsidRPr="007D1918">
              <w:t>0.2</w:t>
            </w:r>
          </w:p>
        </w:tc>
        <w:tc>
          <w:tcPr>
            <w:tcW w:w="648" w:type="dxa"/>
            <w:gridSpan w:val="3"/>
            <w:vAlign w:val="center"/>
          </w:tcPr>
          <w:p w14:paraId="571D2D2F" w14:textId="77777777" w:rsidR="008747C1" w:rsidRPr="007D1918" w:rsidRDefault="008747C1" w:rsidP="007105AE">
            <w:pPr>
              <w:pStyle w:val="Tablecontents"/>
              <w:keepNext/>
              <w:keepLines/>
              <w:spacing w:before="0" w:after="0"/>
              <w:ind w:left="0"/>
              <w:jc w:val="center"/>
            </w:pPr>
            <w:r w:rsidRPr="007D1918">
              <w:t>0.81</w:t>
            </w:r>
          </w:p>
        </w:tc>
        <w:tc>
          <w:tcPr>
            <w:tcW w:w="648" w:type="dxa"/>
            <w:gridSpan w:val="3"/>
            <w:vAlign w:val="center"/>
          </w:tcPr>
          <w:p w14:paraId="155B4868" w14:textId="77777777" w:rsidR="008747C1" w:rsidRPr="007D1918" w:rsidRDefault="008747C1" w:rsidP="007105AE">
            <w:pPr>
              <w:pStyle w:val="Tablecontents"/>
              <w:keepNext/>
              <w:keepLines/>
              <w:spacing w:before="0" w:after="0"/>
              <w:ind w:left="0"/>
              <w:jc w:val="center"/>
            </w:pPr>
            <w:r w:rsidRPr="007D1918">
              <w:t>0.81</w:t>
            </w:r>
          </w:p>
        </w:tc>
        <w:tc>
          <w:tcPr>
            <w:tcW w:w="648" w:type="dxa"/>
            <w:gridSpan w:val="3"/>
            <w:vAlign w:val="center"/>
          </w:tcPr>
          <w:p w14:paraId="69F57992" w14:textId="77777777" w:rsidR="008747C1" w:rsidRPr="007D1918" w:rsidRDefault="008747C1" w:rsidP="007105AE">
            <w:pPr>
              <w:pStyle w:val="Tablecontents"/>
              <w:keepNext/>
              <w:keepLines/>
              <w:spacing w:before="0" w:after="0"/>
              <w:ind w:left="0"/>
              <w:jc w:val="center"/>
            </w:pPr>
            <w:r w:rsidRPr="007D1918">
              <w:t>0.81</w:t>
            </w:r>
          </w:p>
        </w:tc>
        <w:tc>
          <w:tcPr>
            <w:tcW w:w="648" w:type="dxa"/>
            <w:gridSpan w:val="3"/>
            <w:vAlign w:val="center"/>
          </w:tcPr>
          <w:p w14:paraId="0945D44C" w14:textId="77777777" w:rsidR="008747C1" w:rsidRPr="007D1918" w:rsidRDefault="008747C1" w:rsidP="007105AE">
            <w:pPr>
              <w:pStyle w:val="Tablecontents"/>
              <w:keepNext/>
              <w:keepLines/>
              <w:spacing w:before="0" w:after="0"/>
              <w:ind w:left="0"/>
              <w:jc w:val="center"/>
            </w:pPr>
            <w:r w:rsidRPr="007D1918">
              <w:t>0.81</w:t>
            </w:r>
          </w:p>
        </w:tc>
        <w:tc>
          <w:tcPr>
            <w:tcW w:w="648" w:type="dxa"/>
            <w:gridSpan w:val="3"/>
            <w:vAlign w:val="center"/>
          </w:tcPr>
          <w:p w14:paraId="56EE1D8F" w14:textId="77777777" w:rsidR="008747C1" w:rsidRPr="007D1918" w:rsidRDefault="008747C1" w:rsidP="007105AE">
            <w:pPr>
              <w:pStyle w:val="Tablecontents"/>
              <w:keepNext/>
              <w:keepLines/>
              <w:spacing w:before="0" w:after="0"/>
              <w:ind w:left="0"/>
              <w:jc w:val="center"/>
            </w:pPr>
            <w:r w:rsidRPr="007D1918">
              <w:t>0.81</w:t>
            </w:r>
          </w:p>
        </w:tc>
        <w:tc>
          <w:tcPr>
            <w:tcW w:w="648" w:type="dxa"/>
            <w:gridSpan w:val="3"/>
            <w:vAlign w:val="center"/>
          </w:tcPr>
          <w:p w14:paraId="07F0C866" w14:textId="77777777" w:rsidR="008747C1" w:rsidRPr="007D1918" w:rsidRDefault="008747C1" w:rsidP="007105AE">
            <w:pPr>
              <w:pStyle w:val="Tablecontents"/>
              <w:keepNext/>
              <w:keepLines/>
              <w:spacing w:before="0" w:after="0"/>
              <w:ind w:left="0"/>
              <w:jc w:val="center"/>
            </w:pPr>
            <w:r w:rsidRPr="007D1918">
              <w:t>0.81</w:t>
            </w:r>
          </w:p>
        </w:tc>
        <w:tc>
          <w:tcPr>
            <w:tcW w:w="1559" w:type="dxa"/>
            <w:vMerge w:val="restart"/>
          </w:tcPr>
          <w:p w14:paraId="3B44B58A" w14:textId="5D129A9D" w:rsidR="008747C1" w:rsidRPr="007D1918" w:rsidRDefault="008747C1" w:rsidP="00E63823">
            <w:pPr>
              <w:pStyle w:val="Tablecontents"/>
              <w:keepNext/>
              <w:keepLines/>
              <w:ind w:left="0"/>
            </w:pPr>
            <w:r w:rsidRPr="007D1918">
              <w:t xml:space="preserve">18 days @ 0.13 = </w:t>
            </w:r>
          </w:p>
        </w:tc>
      </w:tr>
      <w:tr w:rsidR="008747C1" w:rsidRPr="007D1918" w14:paraId="02B61DAB" w14:textId="77777777" w:rsidTr="00EB7505">
        <w:tc>
          <w:tcPr>
            <w:tcW w:w="1120" w:type="dxa"/>
          </w:tcPr>
          <w:p w14:paraId="3E1A08D6" w14:textId="77777777" w:rsidR="008747C1" w:rsidRPr="007D1918" w:rsidRDefault="008747C1" w:rsidP="007105AE">
            <w:pPr>
              <w:pStyle w:val="Tablecontents"/>
              <w:keepNext/>
              <w:keepLines/>
              <w:ind w:left="0"/>
              <w:rPr>
                <w:b/>
              </w:rPr>
            </w:pPr>
            <w:r w:rsidRPr="007D1918">
              <w:rPr>
                <w:b/>
              </w:rPr>
              <w:t>Decrement</w:t>
            </w:r>
          </w:p>
        </w:tc>
        <w:tc>
          <w:tcPr>
            <w:tcW w:w="569" w:type="dxa"/>
            <w:shd w:val="clear" w:color="auto" w:fill="auto"/>
            <w:vAlign w:val="center"/>
          </w:tcPr>
          <w:p w14:paraId="07D1D04A" w14:textId="77777777" w:rsidR="008747C1" w:rsidRPr="007D1918" w:rsidRDefault="008747C1" w:rsidP="007105AE">
            <w:pPr>
              <w:pStyle w:val="Tablecontents"/>
              <w:keepNext/>
              <w:keepLines/>
              <w:spacing w:before="0" w:after="0"/>
              <w:ind w:left="0"/>
              <w:jc w:val="center"/>
              <w:rPr>
                <w:b/>
              </w:rPr>
            </w:pPr>
            <w:r w:rsidRPr="007D1918">
              <w:rPr>
                <w:b/>
              </w:rPr>
              <w:t>0</w:t>
            </w:r>
          </w:p>
        </w:tc>
        <w:tc>
          <w:tcPr>
            <w:tcW w:w="569" w:type="dxa"/>
            <w:shd w:val="clear" w:color="auto" w:fill="auto"/>
            <w:vAlign w:val="center"/>
          </w:tcPr>
          <w:p w14:paraId="1730527E" w14:textId="77777777" w:rsidR="008747C1" w:rsidRPr="007D1918" w:rsidRDefault="008747C1" w:rsidP="007105AE">
            <w:pPr>
              <w:pStyle w:val="Tablecontents"/>
              <w:keepNext/>
              <w:keepLines/>
              <w:spacing w:before="0" w:after="0"/>
              <w:ind w:left="0"/>
              <w:jc w:val="center"/>
              <w:rPr>
                <w:b/>
              </w:rPr>
            </w:pPr>
            <w:r w:rsidRPr="007D1918">
              <w:rPr>
                <w:b/>
              </w:rPr>
              <w:t>0</w:t>
            </w:r>
          </w:p>
        </w:tc>
        <w:tc>
          <w:tcPr>
            <w:tcW w:w="709" w:type="dxa"/>
            <w:gridSpan w:val="2"/>
            <w:shd w:val="clear" w:color="auto" w:fill="auto"/>
            <w:vAlign w:val="center"/>
          </w:tcPr>
          <w:p w14:paraId="33D97AAD" w14:textId="77777777" w:rsidR="008747C1" w:rsidRPr="007D1918" w:rsidRDefault="008747C1" w:rsidP="007105AE">
            <w:pPr>
              <w:pStyle w:val="Tablecontents"/>
              <w:keepNext/>
              <w:keepLines/>
              <w:spacing w:before="0" w:after="0"/>
              <w:ind w:left="0"/>
              <w:jc w:val="center"/>
              <w:rPr>
                <w:b/>
              </w:rPr>
            </w:pPr>
            <w:r w:rsidRPr="007D1918">
              <w:rPr>
                <w:b/>
              </w:rPr>
              <w:t>0</w:t>
            </w:r>
          </w:p>
        </w:tc>
        <w:tc>
          <w:tcPr>
            <w:tcW w:w="648" w:type="dxa"/>
            <w:shd w:val="clear" w:color="auto" w:fill="auto"/>
            <w:vAlign w:val="center"/>
          </w:tcPr>
          <w:p w14:paraId="3943FC97" w14:textId="77777777" w:rsidR="008747C1" w:rsidRPr="007D1918" w:rsidRDefault="008747C1" w:rsidP="007105AE">
            <w:pPr>
              <w:pStyle w:val="Tablecontents"/>
              <w:keepNext/>
              <w:keepLines/>
              <w:spacing w:before="0" w:after="0"/>
              <w:ind w:left="0"/>
              <w:jc w:val="center"/>
              <w:rPr>
                <w:b/>
              </w:rPr>
            </w:pPr>
            <w:r w:rsidRPr="007D1918">
              <w:rPr>
                <w:b/>
              </w:rPr>
              <w:t>0</w:t>
            </w:r>
          </w:p>
        </w:tc>
        <w:tc>
          <w:tcPr>
            <w:tcW w:w="648" w:type="dxa"/>
            <w:gridSpan w:val="3"/>
            <w:shd w:val="clear" w:color="auto" w:fill="FFFFFF" w:themeFill="background1"/>
            <w:vAlign w:val="center"/>
          </w:tcPr>
          <w:p w14:paraId="003DFA1C" w14:textId="77777777" w:rsidR="008747C1" w:rsidRPr="007D1918" w:rsidRDefault="008747C1" w:rsidP="007105AE">
            <w:pPr>
              <w:pStyle w:val="Tablecontents"/>
              <w:keepNext/>
              <w:keepLines/>
              <w:spacing w:before="0" w:after="0"/>
              <w:ind w:left="0"/>
              <w:jc w:val="center"/>
              <w:rPr>
                <w:b/>
              </w:rPr>
            </w:pPr>
            <w:r w:rsidRPr="007D1918">
              <w:rPr>
                <w:b/>
              </w:rPr>
              <w:t>-0.13</w:t>
            </w:r>
          </w:p>
        </w:tc>
        <w:tc>
          <w:tcPr>
            <w:tcW w:w="648" w:type="dxa"/>
            <w:gridSpan w:val="3"/>
            <w:shd w:val="clear" w:color="auto" w:fill="FFFFFF" w:themeFill="background1"/>
            <w:vAlign w:val="center"/>
          </w:tcPr>
          <w:p w14:paraId="64B0C210" w14:textId="77777777" w:rsidR="008747C1" w:rsidRPr="007D1918" w:rsidRDefault="008747C1" w:rsidP="007105AE">
            <w:pPr>
              <w:pStyle w:val="Tablecontents"/>
              <w:keepNext/>
              <w:keepLines/>
              <w:spacing w:before="0" w:after="0"/>
              <w:ind w:left="0"/>
              <w:jc w:val="center"/>
              <w:rPr>
                <w:b/>
              </w:rPr>
            </w:pPr>
            <w:r w:rsidRPr="007D1918">
              <w:rPr>
                <w:b/>
              </w:rPr>
              <w:t>-0.13</w:t>
            </w:r>
          </w:p>
        </w:tc>
        <w:tc>
          <w:tcPr>
            <w:tcW w:w="648" w:type="dxa"/>
            <w:gridSpan w:val="3"/>
            <w:shd w:val="clear" w:color="auto" w:fill="FFFFFF" w:themeFill="background1"/>
            <w:vAlign w:val="center"/>
          </w:tcPr>
          <w:p w14:paraId="6C11BB00" w14:textId="77777777" w:rsidR="008747C1" w:rsidRPr="007D1918" w:rsidRDefault="008747C1" w:rsidP="007105AE">
            <w:pPr>
              <w:pStyle w:val="Tablecontents"/>
              <w:keepNext/>
              <w:keepLines/>
              <w:spacing w:before="0" w:after="0"/>
              <w:ind w:left="0"/>
              <w:jc w:val="center"/>
              <w:rPr>
                <w:b/>
              </w:rPr>
            </w:pPr>
            <w:r w:rsidRPr="007D1918">
              <w:rPr>
                <w:b/>
              </w:rPr>
              <w:t>-0.13</w:t>
            </w:r>
          </w:p>
        </w:tc>
        <w:tc>
          <w:tcPr>
            <w:tcW w:w="648" w:type="dxa"/>
            <w:gridSpan w:val="3"/>
            <w:shd w:val="clear" w:color="auto" w:fill="FFFFFF" w:themeFill="background1"/>
            <w:vAlign w:val="center"/>
          </w:tcPr>
          <w:p w14:paraId="7F3FD965" w14:textId="77777777" w:rsidR="008747C1" w:rsidRPr="007D1918" w:rsidRDefault="008747C1" w:rsidP="007105AE">
            <w:pPr>
              <w:pStyle w:val="Tablecontents"/>
              <w:keepNext/>
              <w:keepLines/>
              <w:spacing w:before="0" w:after="0"/>
              <w:ind w:left="0"/>
              <w:jc w:val="center"/>
              <w:rPr>
                <w:b/>
              </w:rPr>
            </w:pPr>
            <w:r w:rsidRPr="007D1918">
              <w:rPr>
                <w:b/>
              </w:rPr>
              <w:t>-0.13</w:t>
            </w:r>
          </w:p>
        </w:tc>
        <w:tc>
          <w:tcPr>
            <w:tcW w:w="648" w:type="dxa"/>
            <w:gridSpan w:val="3"/>
            <w:shd w:val="clear" w:color="auto" w:fill="FFFFFF" w:themeFill="background1"/>
            <w:vAlign w:val="center"/>
          </w:tcPr>
          <w:p w14:paraId="4F83F532" w14:textId="77777777" w:rsidR="008747C1" w:rsidRPr="007D1918" w:rsidRDefault="008747C1" w:rsidP="007105AE">
            <w:pPr>
              <w:pStyle w:val="Tablecontents"/>
              <w:keepNext/>
              <w:keepLines/>
              <w:spacing w:before="0" w:after="0"/>
              <w:ind w:left="0"/>
              <w:jc w:val="center"/>
              <w:rPr>
                <w:b/>
              </w:rPr>
            </w:pPr>
            <w:r w:rsidRPr="007D1918">
              <w:rPr>
                <w:b/>
              </w:rPr>
              <w:t>-0.13</w:t>
            </w:r>
          </w:p>
        </w:tc>
        <w:tc>
          <w:tcPr>
            <w:tcW w:w="648" w:type="dxa"/>
            <w:gridSpan w:val="3"/>
            <w:shd w:val="clear" w:color="auto" w:fill="FFFFFF" w:themeFill="background1"/>
            <w:vAlign w:val="center"/>
          </w:tcPr>
          <w:p w14:paraId="14626299" w14:textId="77777777" w:rsidR="008747C1" w:rsidRPr="007D1918" w:rsidRDefault="008747C1" w:rsidP="007105AE">
            <w:pPr>
              <w:pStyle w:val="Tablecontents"/>
              <w:keepNext/>
              <w:keepLines/>
              <w:spacing w:before="0" w:after="0"/>
              <w:ind w:left="0"/>
              <w:jc w:val="center"/>
              <w:rPr>
                <w:b/>
              </w:rPr>
            </w:pPr>
            <w:r w:rsidRPr="007D1918">
              <w:rPr>
                <w:b/>
              </w:rPr>
              <w:t>-0.13</w:t>
            </w:r>
          </w:p>
        </w:tc>
        <w:tc>
          <w:tcPr>
            <w:tcW w:w="1559" w:type="dxa"/>
            <w:vMerge/>
          </w:tcPr>
          <w:p w14:paraId="1D6D3C7C" w14:textId="77777777" w:rsidR="008747C1" w:rsidRPr="007D1918" w:rsidRDefault="008747C1" w:rsidP="007105AE">
            <w:pPr>
              <w:pStyle w:val="Tablecontents"/>
              <w:keepNext/>
              <w:keepLines/>
              <w:ind w:left="0"/>
            </w:pPr>
          </w:p>
        </w:tc>
      </w:tr>
      <w:tr w:rsidR="008747C1" w:rsidRPr="007D1918" w14:paraId="6894A1F5" w14:textId="77777777" w:rsidTr="00AD3447">
        <w:tc>
          <w:tcPr>
            <w:tcW w:w="7503" w:type="dxa"/>
            <w:gridSpan w:val="24"/>
            <w:vAlign w:val="center"/>
          </w:tcPr>
          <w:p w14:paraId="1F9CDA93" w14:textId="60CC1B2D" w:rsidR="008747C1" w:rsidRPr="007D1918" w:rsidRDefault="00EB7505" w:rsidP="00E63823">
            <w:pPr>
              <w:pStyle w:val="Tablecontents"/>
              <w:keepNext/>
              <w:keepLines/>
              <w:spacing w:before="0" w:after="0"/>
              <w:ind w:left="0"/>
              <w:jc w:val="right"/>
            </w:pPr>
            <w:r w:rsidRPr="007D1918">
              <w:t>QALY decrement</w:t>
            </w:r>
            <w:r w:rsidR="005E42E4" w:rsidRPr="007D1918">
              <w:t xml:space="preserve"> </w:t>
            </w:r>
            <w:r w:rsidR="00E63823" w:rsidRPr="007D1918">
              <w:t>per event</w:t>
            </w:r>
          </w:p>
        </w:tc>
        <w:tc>
          <w:tcPr>
            <w:tcW w:w="1559" w:type="dxa"/>
          </w:tcPr>
          <w:p w14:paraId="5F7A0EBF" w14:textId="6F622B01" w:rsidR="008747C1" w:rsidRPr="007D1918" w:rsidRDefault="00E63823" w:rsidP="007105AE">
            <w:pPr>
              <w:pStyle w:val="Tablecontents"/>
              <w:keepNext/>
              <w:keepLines/>
              <w:ind w:left="0"/>
              <w:jc w:val="center"/>
            </w:pPr>
            <w:r w:rsidRPr="007D1918">
              <w:t>0.00641 QALYs</w:t>
            </w:r>
          </w:p>
        </w:tc>
      </w:tr>
      <w:tr w:rsidR="008747C1" w:rsidRPr="007D1918" w14:paraId="6E4DAA6C" w14:textId="77777777" w:rsidTr="00153384">
        <w:tc>
          <w:tcPr>
            <w:tcW w:w="7503" w:type="dxa"/>
            <w:gridSpan w:val="24"/>
          </w:tcPr>
          <w:p w14:paraId="2916156A" w14:textId="77777777" w:rsidR="008747C1" w:rsidRPr="007D1918" w:rsidRDefault="008747C1" w:rsidP="007105AE">
            <w:pPr>
              <w:pStyle w:val="Tablecontents"/>
              <w:keepNext/>
              <w:keepLines/>
              <w:spacing w:before="0" w:after="0"/>
              <w:ind w:left="0"/>
            </w:pPr>
            <w:r w:rsidRPr="007D1918">
              <w:t>3 months anticoagulant therapy</w:t>
            </w:r>
          </w:p>
        </w:tc>
        <w:tc>
          <w:tcPr>
            <w:tcW w:w="1559" w:type="dxa"/>
          </w:tcPr>
          <w:p w14:paraId="4F403C14" w14:textId="77777777" w:rsidR="008747C1" w:rsidRPr="007D1918" w:rsidRDefault="008747C1" w:rsidP="007105AE">
            <w:pPr>
              <w:pStyle w:val="Tablecontents"/>
              <w:keepNext/>
              <w:keepLines/>
            </w:pPr>
          </w:p>
        </w:tc>
      </w:tr>
      <w:tr w:rsidR="008747C1" w:rsidRPr="007D1918" w14:paraId="2B808190" w14:textId="77777777" w:rsidTr="00EB7505">
        <w:tc>
          <w:tcPr>
            <w:tcW w:w="1120" w:type="dxa"/>
          </w:tcPr>
          <w:p w14:paraId="348FE54D" w14:textId="77777777" w:rsidR="008747C1" w:rsidRPr="007D1918" w:rsidRDefault="008747C1" w:rsidP="007105AE">
            <w:pPr>
              <w:pStyle w:val="Tablecontents"/>
              <w:keepNext/>
              <w:keepLines/>
              <w:ind w:left="0"/>
            </w:pPr>
            <w:r w:rsidRPr="007D1918">
              <w:t>Utility multiplier of 0.948</w:t>
            </w:r>
          </w:p>
        </w:tc>
        <w:tc>
          <w:tcPr>
            <w:tcW w:w="6383" w:type="dxa"/>
            <w:gridSpan w:val="23"/>
            <w:shd w:val="clear" w:color="auto" w:fill="auto"/>
          </w:tcPr>
          <w:p w14:paraId="0F5C7C63" w14:textId="77777777" w:rsidR="008747C1" w:rsidRPr="007D1918" w:rsidRDefault="008747C1" w:rsidP="007105AE">
            <w:pPr>
              <w:pStyle w:val="Tablecontents"/>
              <w:keepNext/>
              <w:keepLines/>
              <w:spacing w:before="0" w:after="0"/>
              <w:ind w:left="0"/>
            </w:pPr>
            <w:r w:rsidRPr="007D1918">
              <w:t>Baseline utility (0.94) x 0.948 = 0.8911.</w:t>
            </w:r>
          </w:p>
          <w:p w14:paraId="6A1CAB64" w14:textId="77777777" w:rsidR="008747C1" w:rsidRPr="007D1918" w:rsidRDefault="008747C1" w:rsidP="007105AE">
            <w:pPr>
              <w:pStyle w:val="Tablecontents"/>
              <w:keepNext/>
              <w:keepLines/>
              <w:spacing w:before="0" w:after="0"/>
              <w:ind w:left="0"/>
            </w:pPr>
            <w:r w:rsidRPr="007D1918">
              <w:t>Daily decrement = 0.94 – 0.8911 = 0.04889</w:t>
            </w:r>
          </w:p>
        </w:tc>
        <w:tc>
          <w:tcPr>
            <w:tcW w:w="1559" w:type="dxa"/>
          </w:tcPr>
          <w:p w14:paraId="68E81BD4" w14:textId="77777777" w:rsidR="008747C1" w:rsidRPr="007D1918" w:rsidRDefault="008747C1" w:rsidP="007105AE">
            <w:pPr>
              <w:pStyle w:val="Tablecontents"/>
              <w:keepNext/>
              <w:keepLines/>
              <w:ind w:left="0"/>
            </w:pPr>
            <w:r w:rsidRPr="007D1918">
              <w:t>90 days @ 0.049</w:t>
            </w:r>
            <w:r w:rsidRPr="007D1918">
              <w:br/>
              <w:t>= 0.01205 QALYs</w:t>
            </w:r>
          </w:p>
        </w:tc>
      </w:tr>
      <w:tr w:rsidR="008747C1" w:rsidRPr="007D1918" w14:paraId="3869DE35" w14:textId="77777777" w:rsidTr="00AD3447">
        <w:tc>
          <w:tcPr>
            <w:tcW w:w="7503" w:type="dxa"/>
            <w:gridSpan w:val="24"/>
            <w:vAlign w:val="center"/>
          </w:tcPr>
          <w:p w14:paraId="7BF73A37" w14:textId="2418C292" w:rsidR="008747C1" w:rsidRPr="007D1918" w:rsidRDefault="00EB7505" w:rsidP="00E63823">
            <w:pPr>
              <w:pStyle w:val="Tablecontents"/>
              <w:keepNext/>
              <w:keepLines/>
              <w:spacing w:before="0" w:after="0"/>
              <w:jc w:val="right"/>
            </w:pPr>
            <w:r w:rsidRPr="007D1918">
              <w:t xml:space="preserve">QALY decrement </w:t>
            </w:r>
            <w:r w:rsidR="00E63823" w:rsidRPr="007D1918">
              <w:t>per event</w:t>
            </w:r>
          </w:p>
        </w:tc>
        <w:tc>
          <w:tcPr>
            <w:tcW w:w="1559" w:type="dxa"/>
            <w:vAlign w:val="center"/>
          </w:tcPr>
          <w:p w14:paraId="56814611" w14:textId="64ED2298" w:rsidR="008747C1" w:rsidRPr="007D1918" w:rsidRDefault="00E63823" w:rsidP="007105AE">
            <w:pPr>
              <w:pStyle w:val="Tablecontents"/>
              <w:keepNext/>
              <w:keepLines/>
              <w:ind w:left="0"/>
              <w:jc w:val="center"/>
            </w:pPr>
            <w:r w:rsidRPr="007D1918">
              <w:t>0.01205 QALYs</w:t>
            </w:r>
            <w:r w:rsidRPr="007D1918" w:rsidDel="00E63823">
              <w:t xml:space="preserve"> </w:t>
            </w:r>
          </w:p>
        </w:tc>
      </w:tr>
      <w:tr w:rsidR="00EB7505" w:rsidRPr="007D1918" w14:paraId="08E30781" w14:textId="77777777" w:rsidTr="00D62E2F">
        <w:tc>
          <w:tcPr>
            <w:tcW w:w="9062" w:type="dxa"/>
            <w:gridSpan w:val="25"/>
          </w:tcPr>
          <w:p w14:paraId="132EE3BA" w14:textId="78550CF6" w:rsidR="00EB7505" w:rsidRPr="007D1918" w:rsidRDefault="00EB7505" w:rsidP="00E93223">
            <w:pPr>
              <w:pStyle w:val="Tablecontents"/>
              <w:keepNext/>
              <w:keepLines/>
              <w:ind w:left="0"/>
              <w:rPr>
                <w:b/>
                <w:i/>
              </w:rPr>
            </w:pPr>
            <w:r w:rsidRPr="007D1918">
              <w:rPr>
                <w:b/>
                <w:i/>
              </w:rPr>
              <w:t>Serious infection</w:t>
            </w:r>
          </w:p>
        </w:tc>
      </w:tr>
      <w:tr w:rsidR="00EB7505" w:rsidRPr="007D1918" w14:paraId="543ADE63" w14:textId="77777777" w:rsidTr="00EB7505">
        <w:tc>
          <w:tcPr>
            <w:tcW w:w="1120" w:type="dxa"/>
          </w:tcPr>
          <w:p w14:paraId="08A3846F" w14:textId="77777777" w:rsidR="00EB7505" w:rsidRPr="007D1918" w:rsidRDefault="00EB7505" w:rsidP="007105AE">
            <w:pPr>
              <w:pStyle w:val="Tablecontents"/>
              <w:keepNext/>
              <w:keepLines/>
              <w:ind w:left="0"/>
            </w:pPr>
            <w:r w:rsidRPr="007D1918">
              <w:t>Infection Utility</w:t>
            </w:r>
          </w:p>
        </w:tc>
        <w:tc>
          <w:tcPr>
            <w:tcW w:w="569" w:type="dxa"/>
            <w:shd w:val="clear" w:color="auto" w:fill="auto"/>
            <w:vAlign w:val="center"/>
          </w:tcPr>
          <w:p w14:paraId="041C3C04" w14:textId="77777777" w:rsidR="00EB7505" w:rsidRPr="007D1918" w:rsidRDefault="00EB7505" w:rsidP="007105AE">
            <w:pPr>
              <w:pStyle w:val="Tablecontents"/>
              <w:keepNext/>
              <w:keepLines/>
              <w:spacing w:before="0" w:after="0"/>
              <w:ind w:left="0"/>
              <w:jc w:val="center"/>
            </w:pPr>
            <w:r w:rsidRPr="007D1918">
              <w:t>0.2</w:t>
            </w:r>
          </w:p>
        </w:tc>
        <w:tc>
          <w:tcPr>
            <w:tcW w:w="569" w:type="dxa"/>
            <w:shd w:val="clear" w:color="auto" w:fill="auto"/>
            <w:vAlign w:val="center"/>
          </w:tcPr>
          <w:p w14:paraId="4A3726F1" w14:textId="77777777" w:rsidR="00EB7505" w:rsidRPr="007D1918" w:rsidRDefault="00EB7505" w:rsidP="007105AE">
            <w:pPr>
              <w:pStyle w:val="Tablecontents"/>
              <w:keepNext/>
              <w:keepLines/>
              <w:spacing w:before="0" w:after="0"/>
              <w:ind w:left="0"/>
              <w:jc w:val="center"/>
            </w:pPr>
            <w:r w:rsidRPr="007D1918">
              <w:t>0.2</w:t>
            </w:r>
          </w:p>
        </w:tc>
        <w:tc>
          <w:tcPr>
            <w:tcW w:w="655" w:type="dxa"/>
            <w:shd w:val="clear" w:color="auto" w:fill="auto"/>
            <w:vAlign w:val="center"/>
          </w:tcPr>
          <w:p w14:paraId="40DDBBF3" w14:textId="77777777" w:rsidR="00EB7505" w:rsidRPr="007D1918" w:rsidRDefault="00EB7505" w:rsidP="007105AE">
            <w:pPr>
              <w:pStyle w:val="Tablecontents"/>
              <w:keepNext/>
              <w:keepLines/>
              <w:spacing w:before="0" w:after="0"/>
              <w:ind w:left="0"/>
              <w:jc w:val="center"/>
            </w:pPr>
            <w:r w:rsidRPr="007D1918">
              <w:t>0.5</w:t>
            </w:r>
          </w:p>
        </w:tc>
        <w:tc>
          <w:tcPr>
            <w:tcW w:w="722" w:type="dxa"/>
            <w:gridSpan w:val="3"/>
            <w:shd w:val="clear" w:color="auto" w:fill="auto"/>
            <w:vAlign w:val="center"/>
          </w:tcPr>
          <w:p w14:paraId="15802F4C" w14:textId="77777777" w:rsidR="00EB7505" w:rsidRPr="007D1918" w:rsidRDefault="00EB7505" w:rsidP="007105AE">
            <w:pPr>
              <w:pStyle w:val="Tablecontents"/>
              <w:keepNext/>
              <w:keepLines/>
              <w:spacing w:before="0" w:after="0"/>
              <w:ind w:left="0"/>
              <w:jc w:val="center"/>
            </w:pPr>
            <w:r w:rsidRPr="007D1918">
              <w:t>0.035</w:t>
            </w:r>
          </w:p>
        </w:tc>
        <w:tc>
          <w:tcPr>
            <w:tcW w:w="722" w:type="dxa"/>
            <w:gridSpan w:val="4"/>
            <w:shd w:val="clear" w:color="auto" w:fill="auto"/>
            <w:vAlign w:val="center"/>
          </w:tcPr>
          <w:p w14:paraId="71A33E2A" w14:textId="77777777" w:rsidR="00EB7505" w:rsidRPr="007D1918" w:rsidRDefault="00EB7505" w:rsidP="007105AE">
            <w:pPr>
              <w:pStyle w:val="Tablecontents"/>
              <w:keepNext/>
              <w:keepLines/>
              <w:spacing w:before="0" w:after="0"/>
              <w:ind w:left="0"/>
              <w:jc w:val="center"/>
            </w:pPr>
            <w:r w:rsidRPr="007D1918">
              <w:t>0.035</w:t>
            </w:r>
          </w:p>
        </w:tc>
        <w:tc>
          <w:tcPr>
            <w:tcW w:w="722" w:type="dxa"/>
            <w:gridSpan w:val="3"/>
            <w:shd w:val="clear" w:color="auto" w:fill="auto"/>
            <w:vAlign w:val="center"/>
          </w:tcPr>
          <w:p w14:paraId="1E94BD02" w14:textId="77777777" w:rsidR="00EB7505" w:rsidRPr="007D1918" w:rsidRDefault="00EB7505" w:rsidP="007105AE">
            <w:pPr>
              <w:pStyle w:val="Tablecontents"/>
              <w:keepNext/>
              <w:keepLines/>
              <w:spacing w:before="0" w:after="0"/>
              <w:ind w:left="0"/>
              <w:jc w:val="center"/>
            </w:pPr>
            <w:r w:rsidRPr="007D1918">
              <w:t>0.035</w:t>
            </w:r>
          </w:p>
        </w:tc>
        <w:tc>
          <w:tcPr>
            <w:tcW w:w="723" w:type="dxa"/>
            <w:gridSpan w:val="3"/>
            <w:shd w:val="clear" w:color="auto" w:fill="auto"/>
            <w:vAlign w:val="center"/>
          </w:tcPr>
          <w:p w14:paraId="4B23B0FF" w14:textId="77777777" w:rsidR="00EB7505" w:rsidRPr="007D1918" w:rsidRDefault="00EB7505" w:rsidP="007105AE">
            <w:pPr>
              <w:pStyle w:val="Tablecontents"/>
              <w:keepNext/>
              <w:keepLines/>
              <w:spacing w:before="0" w:after="0"/>
              <w:ind w:left="0"/>
              <w:jc w:val="center"/>
            </w:pPr>
            <w:r w:rsidRPr="007D1918">
              <w:t>0.035</w:t>
            </w:r>
          </w:p>
        </w:tc>
        <w:tc>
          <w:tcPr>
            <w:tcW w:w="567" w:type="dxa"/>
            <w:gridSpan w:val="3"/>
            <w:shd w:val="clear" w:color="auto" w:fill="auto"/>
            <w:vAlign w:val="center"/>
          </w:tcPr>
          <w:p w14:paraId="3349F41D" w14:textId="77777777" w:rsidR="00EB7505" w:rsidRPr="007D1918" w:rsidRDefault="00EB7505" w:rsidP="007105AE">
            <w:pPr>
              <w:pStyle w:val="Tablecontents"/>
              <w:keepNext/>
              <w:keepLines/>
              <w:spacing w:before="0" w:after="0"/>
              <w:ind w:left="0"/>
              <w:jc w:val="center"/>
            </w:pPr>
            <w:r w:rsidRPr="007D1918">
              <w:t>0.89</w:t>
            </w:r>
          </w:p>
        </w:tc>
        <w:tc>
          <w:tcPr>
            <w:tcW w:w="567" w:type="dxa"/>
            <w:gridSpan w:val="3"/>
            <w:shd w:val="clear" w:color="auto" w:fill="auto"/>
            <w:vAlign w:val="center"/>
          </w:tcPr>
          <w:p w14:paraId="3726CF55" w14:textId="77777777" w:rsidR="00EB7505" w:rsidRPr="007D1918" w:rsidRDefault="00EB7505" w:rsidP="007105AE">
            <w:pPr>
              <w:pStyle w:val="Tablecontents"/>
              <w:keepNext/>
              <w:keepLines/>
              <w:spacing w:before="0" w:after="0"/>
              <w:ind w:left="0"/>
              <w:jc w:val="center"/>
            </w:pPr>
            <w:r w:rsidRPr="007D1918">
              <w:t>0.89</w:t>
            </w:r>
          </w:p>
        </w:tc>
        <w:tc>
          <w:tcPr>
            <w:tcW w:w="567" w:type="dxa"/>
            <w:shd w:val="clear" w:color="auto" w:fill="auto"/>
            <w:vAlign w:val="center"/>
          </w:tcPr>
          <w:p w14:paraId="66ECBEB4" w14:textId="77777777" w:rsidR="00EB7505" w:rsidRPr="007D1918" w:rsidRDefault="00EB7505" w:rsidP="007105AE">
            <w:pPr>
              <w:pStyle w:val="Tablecontents"/>
              <w:keepNext/>
              <w:keepLines/>
              <w:spacing w:before="0" w:after="0"/>
              <w:ind w:left="0"/>
              <w:jc w:val="center"/>
            </w:pPr>
            <w:r w:rsidRPr="007D1918">
              <w:t>0.89</w:t>
            </w:r>
          </w:p>
        </w:tc>
        <w:tc>
          <w:tcPr>
            <w:tcW w:w="1559" w:type="dxa"/>
            <w:vMerge w:val="restart"/>
          </w:tcPr>
          <w:p w14:paraId="235CDC87" w14:textId="77777777" w:rsidR="00EB7505" w:rsidRPr="007D1918" w:rsidRDefault="00EB7505" w:rsidP="007105AE">
            <w:pPr>
              <w:pStyle w:val="Tablecontents"/>
              <w:keepNext/>
              <w:keepLines/>
              <w:ind w:left="0"/>
            </w:pPr>
            <w:r w:rsidRPr="007D1918">
              <w:t>9 days @ 0.905+</w:t>
            </w:r>
          </w:p>
          <w:p w14:paraId="3C84F86A" w14:textId="71DF4136" w:rsidR="00EB7505" w:rsidRPr="007D1918" w:rsidRDefault="00EB7505" w:rsidP="00AF74A3">
            <w:pPr>
              <w:pStyle w:val="Tablecontents"/>
              <w:keepNext/>
              <w:keepLines/>
              <w:ind w:left="0"/>
            </w:pPr>
            <w:r w:rsidRPr="007D1918">
              <w:t xml:space="preserve">3 days @ 0.665 = </w:t>
            </w:r>
          </w:p>
        </w:tc>
      </w:tr>
      <w:tr w:rsidR="00EB7505" w:rsidRPr="007D1918" w14:paraId="3E649BCE" w14:textId="77777777" w:rsidTr="00EB7505">
        <w:tc>
          <w:tcPr>
            <w:tcW w:w="1120" w:type="dxa"/>
          </w:tcPr>
          <w:p w14:paraId="71725AAC" w14:textId="77777777" w:rsidR="00EB7505" w:rsidRPr="007D1918" w:rsidRDefault="00EB7505" w:rsidP="007105AE">
            <w:pPr>
              <w:pStyle w:val="Tablecontents"/>
              <w:keepNext/>
              <w:keepLines/>
              <w:ind w:left="0"/>
            </w:pPr>
            <w:r w:rsidRPr="007D1918">
              <w:t>Decrement</w:t>
            </w:r>
          </w:p>
        </w:tc>
        <w:tc>
          <w:tcPr>
            <w:tcW w:w="569" w:type="dxa"/>
            <w:shd w:val="clear" w:color="auto" w:fill="auto"/>
            <w:vAlign w:val="center"/>
          </w:tcPr>
          <w:p w14:paraId="4B0D691A" w14:textId="77777777" w:rsidR="00EB7505" w:rsidRPr="007D1918" w:rsidRDefault="00EB7505" w:rsidP="007105AE">
            <w:pPr>
              <w:pStyle w:val="Tablecontents"/>
              <w:keepNext/>
              <w:keepLines/>
              <w:spacing w:before="0" w:after="0"/>
              <w:ind w:left="0"/>
              <w:jc w:val="center"/>
            </w:pPr>
            <w:r w:rsidRPr="007D1918">
              <w:t>0</w:t>
            </w:r>
          </w:p>
        </w:tc>
        <w:tc>
          <w:tcPr>
            <w:tcW w:w="569" w:type="dxa"/>
            <w:shd w:val="clear" w:color="auto" w:fill="auto"/>
            <w:vAlign w:val="center"/>
          </w:tcPr>
          <w:p w14:paraId="5C85E495" w14:textId="77777777" w:rsidR="00EB7505" w:rsidRPr="007D1918" w:rsidRDefault="00EB7505" w:rsidP="007105AE">
            <w:pPr>
              <w:pStyle w:val="Tablecontents"/>
              <w:keepNext/>
              <w:keepLines/>
              <w:spacing w:before="0" w:after="0"/>
              <w:ind w:left="0"/>
              <w:jc w:val="center"/>
            </w:pPr>
            <w:r w:rsidRPr="007D1918">
              <w:t>0</w:t>
            </w:r>
          </w:p>
        </w:tc>
        <w:tc>
          <w:tcPr>
            <w:tcW w:w="655" w:type="dxa"/>
            <w:shd w:val="clear" w:color="auto" w:fill="auto"/>
            <w:vAlign w:val="center"/>
          </w:tcPr>
          <w:p w14:paraId="179F15AD" w14:textId="77777777" w:rsidR="00EB7505" w:rsidRPr="007D1918" w:rsidRDefault="00EB7505" w:rsidP="007105AE">
            <w:pPr>
              <w:pStyle w:val="Tablecontents"/>
              <w:keepNext/>
              <w:keepLines/>
              <w:spacing w:before="0" w:after="0"/>
              <w:ind w:left="0"/>
              <w:jc w:val="center"/>
            </w:pPr>
            <w:r w:rsidRPr="007D1918">
              <w:t>0</w:t>
            </w:r>
          </w:p>
        </w:tc>
        <w:tc>
          <w:tcPr>
            <w:tcW w:w="722" w:type="dxa"/>
            <w:gridSpan w:val="3"/>
            <w:shd w:val="clear" w:color="auto" w:fill="auto"/>
            <w:vAlign w:val="center"/>
          </w:tcPr>
          <w:p w14:paraId="4D0F56C1" w14:textId="77777777" w:rsidR="00EB7505" w:rsidRPr="007D1918" w:rsidRDefault="00EB7505" w:rsidP="007105AE">
            <w:pPr>
              <w:pStyle w:val="Tablecontents"/>
              <w:keepNext/>
              <w:keepLines/>
              <w:spacing w:before="0" w:after="0"/>
              <w:ind w:left="0"/>
              <w:jc w:val="center"/>
            </w:pPr>
            <w:r w:rsidRPr="007D1918">
              <w:t>-0.665</w:t>
            </w:r>
          </w:p>
        </w:tc>
        <w:tc>
          <w:tcPr>
            <w:tcW w:w="722" w:type="dxa"/>
            <w:gridSpan w:val="4"/>
            <w:shd w:val="clear" w:color="auto" w:fill="auto"/>
            <w:vAlign w:val="center"/>
          </w:tcPr>
          <w:p w14:paraId="607FF9D6" w14:textId="77777777" w:rsidR="00EB7505" w:rsidRPr="007D1918" w:rsidRDefault="00EB7505" w:rsidP="007105AE">
            <w:pPr>
              <w:pStyle w:val="Tablecontents"/>
              <w:keepNext/>
              <w:keepLines/>
              <w:spacing w:before="0" w:after="0"/>
              <w:ind w:left="0"/>
              <w:jc w:val="center"/>
            </w:pPr>
            <w:r w:rsidRPr="007D1918">
              <w:t>-0.905</w:t>
            </w:r>
          </w:p>
        </w:tc>
        <w:tc>
          <w:tcPr>
            <w:tcW w:w="722" w:type="dxa"/>
            <w:gridSpan w:val="3"/>
            <w:shd w:val="clear" w:color="auto" w:fill="auto"/>
            <w:vAlign w:val="center"/>
          </w:tcPr>
          <w:p w14:paraId="28A06AC6" w14:textId="77777777" w:rsidR="00EB7505" w:rsidRPr="007D1918" w:rsidRDefault="00EB7505" w:rsidP="007105AE">
            <w:pPr>
              <w:pStyle w:val="Tablecontents"/>
              <w:keepNext/>
              <w:keepLines/>
              <w:spacing w:before="0" w:after="0"/>
              <w:ind w:left="0"/>
              <w:jc w:val="center"/>
            </w:pPr>
            <w:r w:rsidRPr="007D1918">
              <w:t>-0.905</w:t>
            </w:r>
          </w:p>
        </w:tc>
        <w:tc>
          <w:tcPr>
            <w:tcW w:w="723" w:type="dxa"/>
            <w:gridSpan w:val="3"/>
            <w:shd w:val="clear" w:color="auto" w:fill="auto"/>
            <w:vAlign w:val="center"/>
          </w:tcPr>
          <w:p w14:paraId="2D2CF437" w14:textId="77777777" w:rsidR="00EB7505" w:rsidRPr="007D1918" w:rsidRDefault="00EB7505" w:rsidP="007105AE">
            <w:pPr>
              <w:pStyle w:val="Tablecontents"/>
              <w:keepNext/>
              <w:keepLines/>
              <w:spacing w:before="0" w:after="0"/>
              <w:ind w:left="0"/>
              <w:jc w:val="center"/>
            </w:pPr>
            <w:r w:rsidRPr="007D1918">
              <w:t>-0.905</w:t>
            </w:r>
          </w:p>
        </w:tc>
        <w:tc>
          <w:tcPr>
            <w:tcW w:w="567" w:type="dxa"/>
            <w:gridSpan w:val="3"/>
            <w:shd w:val="clear" w:color="auto" w:fill="auto"/>
            <w:vAlign w:val="center"/>
          </w:tcPr>
          <w:p w14:paraId="30A1A3FE" w14:textId="77777777" w:rsidR="00EB7505" w:rsidRPr="007D1918" w:rsidRDefault="00EB7505" w:rsidP="007105AE">
            <w:pPr>
              <w:pStyle w:val="Tablecontents"/>
              <w:keepNext/>
              <w:keepLines/>
              <w:spacing w:before="0" w:after="0"/>
              <w:ind w:left="0"/>
              <w:jc w:val="center"/>
            </w:pPr>
            <w:r w:rsidRPr="007D1918">
              <w:t>0</w:t>
            </w:r>
          </w:p>
        </w:tc>
        <w:tc>
          <w:tcPr>
            <w:tcW w:w="567" w:type="dxa"/>
            <w:gridSpan w:val="3"/>
            <w:shd w:val="clear" w:color="auto" w:fill="auto"/>
            <w:vAlign w:val="center"/>
          </w:tcPr>
          <w:p w14:paraId="441D2216" w14:textId="77777777" w:rsidR="00EB7505" w:rsidRPr="007D1918" w:rsidRDefault="00EB7505" w:rsidP="007105AE">
            <w:pPr>
              <w:pStyle w:val="Tablecontents"/>
              <w:keepNext/>
              <w:keepLines/>
              <w:spacing w:before="0" w:after="0"/>
              <w:ind w:left="0"/>
              <w:jc w:val="center"/>
            </w:pPr>
            <w:r w:rsidRPr="007D1918">
              <w:t>0</w:t>
            </w:r>
          </w:p>
        </w:tc>
        <w:tc>
          <w:tcPr>
            <w:tcW w:w="567" w:type="dxa"/>
            <w:shd w:val="clear" w:color="auto" w:fill="auto"/>
            <w:vAlign w:val="center"/>
          </w:tcPr>
          <w:p w14:paraId="2CB18587" w14:textId="77777777" w:rsidR="00EB7505" w:rsidRPr="007D1918" w:rsidRDefault="00EB7505" w:rsidP="007105AE">
            <w:pPr>
              <w:pStyle w:val="Tablecontents"/>
              <w:keepNext/>
              <w:keepLines/>
              <w:spacing w:before="0" w:after="0"/>
              <w:ind w:left="0"/>
              <w:jc w:val="center"/>
            </w:pPr>
            <w:r w:rsidRPr="007D1918">
              <w:t>0</w:t>
            </w:r>
          </w:p>
        </w:tc>
        <w:tc>
          <w:tcPr>
            <w:tcW w:w="1559" w:type="dxa"/>
            <w:vMerge/>
          </w:tcPr>
          <w:p w14:paraId="315C5639" w14:textId="77777777" w:rsidR="00EB7505" w:rsidRPr="007D1918" w:rsidRDefault="00EB7505" w:rsidP="007105AE">
            <w:pPr>
              <w:pStyle w:val="Tablecontents"/>
              <w:keepNext/>
              <w:keepLines/>
              <w:ind w:left="0"/>
            </w:pPr>
          </w:p>
        </w:tc>
      </w:tr>
      <w:tr w:rsidR="00EB7505" w:rsidRPr="007D1918" w14:paraId="0DB19617" w14:textId="77777777" w:rsidTr="00D62E2F">
        <w:tc>
          <w:tcPr>
            <w:tcW w:w="7503" w:type="dxa"/>
            <w:gridSpan w:val="24"/>
          </w:tcPr>
          <w:p w14:paraId="34B9F22C" w14:textId="1CD59A99" w:rsidR="00EB7505" w:rsidRPr="007D1918" w:rsidRDefault="00AF74A3" w:rsidP="007105AE">
            <w:pPr>
              <w:pStyle w:val="Tablecontents"/>
              <w:keepNext/>
              <w:keepLines/>
              <w:ind w:left="0"/>
              <w:jc w:val="right"/>
            </w:pPr>
            <w:r w:rsidRPr="007D1918">
              <w:t>QALY decrement per event</w:t>
            </w:r>
          </w:p>
        </w:tc>
        <w:tc>
          <w:tcPr>
            <w:tcW w:w="1559" w:type="dxa"/>
          </w:tcPr>
          <w:p w14:paraId="5C8C4EA2" w14:textId="49989B4D" w:rsidR="00EB7505" w:rsidRPr="007D1918" w:rsidRDefault="00AF74A3" w:rsidP="007105AE">
            <w:pPr>
              <w:pStyle w:val="Tablecontents"/>
              <w:keepNext/>
              <w:keepLines/>
              <w:ind w:left="0"/>
              <w:jc w:val="center"/>
            </w:pPr>
            <w:r w:rsidRPr="007D1918">
              <w:t>0.01305 QALYs</w:t>
            </w:r>
          </w:p>
        </w:tc>
      </w:tr>
      <w:tr w:rsidR="00EB7505" w:rsidRPr="007D1918" w14:paraId="5960DF08" w14:textId="77777777" w:rsidTr="00D62E2F">
        <w:tc>
          <w:tcPr>
            <w:tcW w:w="9062" w:type="dxa"/>
            <w:gridSpan w:val="25"/>
          </w:tcPr>
          <w:p w14:paraId="49478FB5" w14:textId="2E9C6429" w:rsidR="00EB7505" w:rsidRPr="007D1918" w:rsidRDefault="00EB7505" w:rsidP="005E42E4">
            <w:pPr>
              <w:pStyle w:val="Tablecontents"/>
              <w:keepNext/>
              <w:keepLines/>
              <w:ind w:left="0"/>
              <w:rPr>
                <w:b/>
                <w:i/>
              </w:rPr>
            </w:pPr>
            <w:r w:rsidRPr="007D1918">
              <w:rPr>
                <w:b/>
                <w:i/>
              </w:rPr>
              <w:t xml:space="preserve">Exploratory </w:t>
            </w:r>
            <w:r w:rsidR="005E42E4" w:rsidRPr="007D1918">
              <w:rPr>
                <w:b/>
                <w:i/>
              </w:rPr>
              <w:t>modelled</w:t>
            </w:r>
            <w:r w:rsidRPr="007D1918">
              <w:rPr>
                <w:b/>
                <w:i/>
              </w:rPr>
              <w:t xml:space="preserve"> mortality </w:t>
            </w:r>
            <w:r w:rsidR="007105AE" w:rsidRPr="007D1918">
              <w:rPr>
                <w:b/>
                <w:i/>
              </w:rPr>
              <w:t xml:space="preserve">and morbidity </w:t>
            </w:r>
            <w:r w:rsidR="005E42E4" w:rsidRPr="007D1918">
              <w:rPr>
                <w:b/>
                <w:i/>
              </w:rPr>
              <w:t>in</w:t>
            </w:r>
            <w:r w:rsidR="007105AE" w:rsidRPr="007D1918">
              <w:rPr>
                <w:b/>
                <w:i/>
              </w:rPr>
              <w:t xml:space="preserve"> sepsis</w:t>
            </w:r>
          </w:p>
        </w:tc>
      </w:tr>
      <w:tr w:rsidR="00EB7505" w:rsidRPr="007D1918" w14:paraId="1A3BE5DF" w14:textId="77777777" w:rsidTr="00942701">
        <w:tc>
          <w:tcPr>
            <w:tcW w:w="7503" w:type="dxa"/>
            <w:gridSpan w:val="24"/>
            <w:vAlign w:val="center"/>
          </w:tcPr>
          <w:p w14:paraId="74590C4C" w14:textId="2C870590" w:rsidR="00EB7505" w:rsidRPr="007D1918" w:rsidRDefault="00EB7505" w:rsidP="00A176F1">
            <w:pPr>
              <w:pStyle w:val="Tablecontents"/>
              <w:keepNext/>
              <w:keepLines/>
              <w:ind w:left="0"/>
            </w:pPr>
            <w:r w:rsidRPr="007D1918">
              <w:t xml:space="preserve">Utility decrement </w:t>
            </w:r>
            <w:r w:rsidR="007105AE" w:rsidRPr="007D1918">
              <w:t xml:space="preserve">per sepsis </w:t>
            </w:r>
            <w:r w:rsidR="005E42E4" w:rsidRPr="007D1918">
              <w:t xml:space="preserve">death </w:t>
            </w:r>
            <w:r w:rsidRPr="007D1918">
              <w:t xml:space="preserve">(15 years, discounted): </w:t>
            </w:r>
          </w:p>
        </w:tc>
        <w:tc>
          <w:tcPr>
            <w:tcW w:w="1559" w:type="dxa"/>
            <w:vAlign w:val="center"/>
          </w:tcPr>
          <w:p w14:paraId="1739AA03" w14:textId="13552891" w:rsidR="00EB7505" w:rsidRPr="007D1918" w:rsidRDefault="005E42E4" w:rsidP="00942701">
            <w:pPr>
              <w:spacing w:after="0" w:line="240" w:lineRule="auto"/>
              <w:ind w:left="0"/>
              <w:jc w:val="center"/>
              <w:rPr>
                <w:rFonts w:ascii="Arial Narrow" w:hAnsi="Arial Narrow" w:cs="Times New Roman"/>
                <w:sz w:val="20"/>
                <w:szCs w:val="20"/>
              </w:rPr>
            </w:pPr>
            <w:r w:rsidRPr="007D1918">
              <w:rPr>
                <w:rFonts w:ascii="Arial Narrow" w:hAnsi="Arial Narrow" w:cs="Times New Roman"/>
                <w:sz w:val="20"/>
                <w:szCs w:val="20"/>
              </w:rPr>
              <w:t>9.01671 QALYs</w:t>
            </w:r>
          </w:p>
        </w:tc>
      </w:tr>
      <w:tr w:rsidR="0005514D" w:rsidRPr="007D1918" w14:paraId="7B384F17" w14:textId="77777777" w:rsidTr="00942701">
        <w:trPr>
          <w:trHeight w:val="359"/>
        </w:trPr>
        <w:tc>
          <w:tcPr>
            <w:tcW w:w="7503" w:type="dxa"/>
            <w:gridSpan w:val="24"/>
            <w:vAlign w:val="center"/>
          </w:tcPr>
          <w:p w14:paraId="7FC78B0C" w14:textId="52ED3CFA" w:rsidR="0005514D" w:rsidRPr="007D1918" w:rsidRDefault="0005514D" w:rsidP="00A176F1">
            <w:pPr>
              <w:pStyle w:val="Tablecontents"/>
              <w:keepNext/>
              <w:keepLines/>
              <w:ind w:left="0"/>
            </w:pPr>
            <w:r w:rsidRPr="007D1918">
              <w:t xml:space="preserve">Utility decrement </w:t>
            </w:r>
            <w:r w:rsidR="007105AE" w:rsidRPr="007D1918">
              <w:t xml:space="preserve">per sepsis </w:t>
            </w:r>
            <w:r w:rsidR="005E42E4" w:rsidRPr="007D1918">
              <w:t xml:space="preserve">survivor </w:t>
            </w:r>
            <w:r w:rsidRPr="007D1918">
              <w:t xml:space="preserve">(15 years, discounted): </w:t>
            </w:r>
          </w:p>
        </w:tc>
        <w:tc>
          <w:tcPr>
            <w:tcW w:w="1559" w:type="dxa"/>
            <w:vAlign w:val="center"/>
          </w:tcPr>
          <w:p w14:paraId="252E45CB" w14:textId="7B12DC62" w:rsidR="0005514D" w:rsidRPr="007D1918" w:rsidRDefault="005E42E4" w:rsidP="00942701">
            <w:pPr>
              <w:pStyle w:val="Tablecontents"/>
              <w:keepNext/>
              <w:keepLines/>
              <w:ind w:left="0"/>
              <w:jc w:val="center"/>
            </w:pPr>
            <w:r w:rsidRPr="007D1918">
              <w:t>1.50278 QALYs</w:t>
            </w:r>
          </w:p>
        </w:tc>
      </w:tr>
    </w:tbl>
    <w:p w14:paraId="29D13ACC" w14:textId="77777777" w:rsidR="00EB7505" w:rsidRPr="007D1918" w:rsidRDefault="00EB7505" w:rsidP="007105AE">
      <w:pPr>
        <w:pStyle w:val="Tablenotes0"/>
        <w:keepNext/>
        <w:keepLines/>
      </w:pPr>
      <w:r w:rsidRPr="007D1918">
        <w:t>AE = adverse events; MG = myasthenia gravis; PE = plasma exchange; QALY = quality-adjusted life years</w:t>
      </w:r>
    </w:p>
    <w:p w14:paraId="5AC9621C" w14:textId="1C77AEAE" w:rsidR="00EB7505" w:rsidRPr="007D1918" w:rsidRDefault="00EB7505" w:rsidP="007105AE">
      <w:pPr>
        <w:pStyle w:val="Tablenotes0"/>
        <w:keepNext/>
        <w:keepLines/>
      </w:pPr>
      <w:r w:rsidRPr="007D1918">
        <w:t xml:space="preserve">Source: See </w:t>
      </w:r>
      <w:r w:rsidRPr="007D1918">
        <w:fldChar w:fldCharType="begin"/>
      </w:r>
      <w:r w:rsidRPr="007D1918">
        <w:instrText xml:space="preserve"> REF _Ref17966517 \h </w:instrText>
      </w:r>
      <w:r w:rsidR="00E07567" w:rsidRPr="007D1918">
        <w:instrText xml:space="preserve"> \* MERGEFORMAT </w:instrText>
      </w:r>
      <w:r w:rsidRPr="007D1918">
        <w:fldChar w:fldCharType="separate"/>
      </w:r>
      <w:r w:rsidRPr="007D1918">
        <w:t xml:space="preserve">Table </w:t>
      </w:r>
      <w:r w:rsidRPr="007D1918">
        <w:rPr>
          <w:noProof/>
        </w:rPr>
        <w:t>57</w:t>
      </w:r>
      <w:r w:rsidRPr="007D1918">
        <w:fldChar w:fldCharType="end"/>
      </w:r>
      <w:r w:rsidRPr="007D1918">
        <w:t xml:space="preserve"> for published sources of health state utility values.</w:t>
      </w:r>
    </w:p>
    <w:p w14:paraId="7FA20E3F" w14:textId="77777777" w:rsidR="008747C1" w:rsidRPr="007D1918" w:rsidRDefault="008747C1" w:rsidP="008747C1"/>
    <w:p w14:paraId="070975B6" w14:textId="77777777" w:rsidR="008747C1" w:rsidRPr="007D1918" w:rsidRDefault="008747C1" w:rsidP="008747C1">
      <w:pPr>
        <w:pStyle w:val="Heading3"/>
      </w:pPr>
      <w:bookmarkStart w:id="358" w:name="_Toc23766990"/>
      <w:r w:rsidRPr="007D1918">
        <w:t>Indication 3</w:t>
      </w:r>
      <w:bookmarkEnd w:id="358"/>
    </w:p>
    <w:p w14:paraId="10F56D1C" w14:textId="77777777" w:rsidR="008747C1" w:rsidRPr="007D1918" w:rsidRDefault="008747C1" w:rsidP="008747C1">
      <w:pPr>
        <w:pStyle w:val="Heading4"/>
      </w:pPr>
      <w:r w:rsidRPr="007D1918">
        <w:t>C.4.3.</w:t>
      </w:r>
      <w:r w:rsidRPr="007D1918">
        <w:tab/>
        <w:t>Should safety profile (adverse effect) differences be incorporated into the economic evaluation?</w:t>
      </w:r>
    </w:p>
    <w:p w14:paraId="3267822C" w14:textId="5FDAA798" w:rsidR="008747C1" w:rsidRPr="007D1918" w:rsidRDefault="008747C1" w:rsidP="008747C1">
      <w:pPr>
        <w:jc w:val="both"/>
      </w:pPr>
      <w:r w:rsidRPr="007D1918">
        <w:t xml:space="preserve">The clinical assessment did not identify differences in safety outcomes between IVIg and PE in Indication 3, however clinical advice received during the assessment suggested that this may be due to inadequate statistical power. Literature regarding long-term PE therapy more generally (i.e. not necessarily in MG patients) suggests that PE is associated with increased risk of infection, including </w:t>
      </w:r>
      <w:r w:rsidRPr="007D1918">
        <w:lastRenderedPageBreak/>
        <w:t xml:space="preserve">septicaemia, associated with the IV access requirements </w:t>
      </w:r>
      <w:r w:rsidR="007F4CDE" w:rsidRPr="007D1918">
        <w:fldChar w:fldCharType="begin"/>
      </w:r>
      <w:r w:rsidR="007F4CDE" w:rsidRPr="007D1918">
        <w:instrText xml:space="preserve"> ADDIN EN.CITE &lt;EndNote&gt;&lt;Cite&gt;&lt;Author&gt;Vucic&lt;/Author&gt;&lt;Year&gt;1998&lt;/Year&gt;&lt;RecNum&gt;36&lt;/RecNum&gt;&lt;DisplayText&gt;(Vucic &amp;amp; Davies 1998)&lt;/DisplayText&gt;&lt;record&gt;&lt;rec-number&gt;36&lt;/rec-number&gt;&lt;foreign-keys&gt;&lt;key app="EN" db-id="2aevrx2slsts5ve9sdavatf125dsx0av2v9d" timestamp="1561528498"&gt;36&lt;/key&gt;&lt;/foreign-keys&gt;&lt;ref-type name="Journal Article"&gt;17&lt;/ref-type&gt;&lt;contributors&gt;&lt;authors&gt;&lt;author&gt;Vucic, S.&lt;/author&gt;&lt;author&gt;Davies, L.&lt;/author&gt;&lt;/authors&gt;&lt;/contributors&gt;&lt;auth-address&gt;Department of Neurology, Royal Prince Alfred Hospital, Sydney, NSW.&lt;/auth-address&gt;&lt;titles&gt;&lt;title&gt;Safety of plasmapheresis in the treatment of neurological disease&lt;/title&gt;&lt;secondary-title&gt;Aust N Z J Med&lt;/secondary-title&gt;&lt;/titles&gt;&lt;periodical&gt;&lt;full-title&gt;Aust N Z J Med&lt;/full-title&gt;&lt;/periodical&gt;&lt;pages&gt;301-5&lt;/pages&gt;&lt;volume&gt;28&lt;/volume&gt;&lt;number&gt;3&lt;/number&gt;&lt;edition&gt;1998/07/23&lt;/edition&gt;&lt;keywords&gt;&lt;keyword&gt;Adult&lt;/keyword&gt;&lt;keyword&gt;Aged&lt;/keyword&gt;&lt;keyword&gt;Aged, 80 and over&lt;/keyword&gt;&lt;keyword&gt;Blood-Borne Pathogens&lt;/keyword&gt;&lt;keyword&gt;Catheterization, Peripheral/instrumentation&lt;/keyword&gt;&lt;keyword&gt;Equipment Failure Analysis&lt;/keyword&gt;&lt;keyword&gt;Female&lt;/keyword&gt;&lt;keyword&gt;Humans&lt;/keyword&gt;&lt;keyword&gt;Male&lt;/keyword&gt;&lt;keyword&gt;Middle Aged&lt;/keyword&gt;&lt;keyword&gt;Nervous System Diseases/ therapy&lt;/keyword&gt;&lt;keyword&gt;New South Wales&lt;/keyword&gt;&lt;keyword&gt;Plasmapheresis/ adverse effects/instrumentation&lt;/keyword&gt;&lt;keyword&gt;Retrospective Studies&lt;/keyword&gt;&lt;keyword&gt;Risk Factors&lt;/keyword&gt;&lt;keyword&gt;Sepsis/etiology&lt;/keyword&gt;&lt;/keywords&gt;&lt;dates&gt;&lt;year&gt;1998&lt;/year&gt;&lt;pub-dates&gt;&lt;date&gt;Jun&lt;/date&gt;&lt;/pub-dates&gt;&lt;/dates&gt;&lt;isbn&gt;0004-8291 (Print)&amp;#xD;0004-8291 (Linking)&lt;/isbn&gt;&lt;accession-num&gt;9673740&lt;/accession-num&gt;&lt;urls&gt;&lt;related-urls&gt;&lt;url&gt;https://onlinelibrary.wiley.com/doi/pdf/10.1111/j.1445-5994.1998.tb01952.x&lt;/url&gt;&lt;/related-urls&gt;&lt;/urls&gt;&lt;remote-database-provider&gt;NLM&lt;/remote-database-provider&gt;&lt;language&gt;eng&lt;/language&gt;&lt;/record&gt;&lt;/Cite&gt;&lt;/EndNote&gt;</w:instrText>
      </w:r>
      <w:r w:rsidR="007F4CDE" w:rsidRPr="007D1918">
        <w:fldChar w:fldCharType="separate"/>
      </w:r>
      <w:r w:rsidR="007F4CDE" w:rsidRPr="007D1918">
        <w:rPr>
          <w:noProof/>
        </w:rPr>
        <w:t>(</w:t>
      </w:r>
      <w:hyperlink w:anchor="_ENREF_102" w:tooltip="Vucic, 1998 #36" w:history="1">
        <w:r w:rsidR="007D4948" w:rsidRPr="007D1918">
          <w:rPr>
            <w:noProof/>
          </w:rPr>
          <w:t>Vucic &amp; Davies 1998</w:t>
        </w:r>
      </w:hyperlink>
      <w:r w:rsidR="007F4CDE" w:rsidRPr="007D1918">
        <w:rPr>
          <w:noProof/>
        </w:rPr>
        <w:t>)</w:t>
      </w:r>
      <w:r w:rsidR="007F4CDE" w:rsidRPr="007D1918">
        <w:fldChar w:fldCharType="end"/>
      </w:r>
      <w:r w:rsidRPr="007D1918">
        <w:t>. Therefore over the long-term, the safety profile of IVIg has been speculated to be superior. Given there is no comparative information to support this assumption, the base case economic analysis does not account for inferior safety or an increased infection rate in the comparison of IVIg and PE for indication 3</w:t>
      </w:r>
      <w:r w:rsidR="00633D94" w:rsidRPr="007D1918">
        <w:t xml:space="preserve">. However </w:t>
      </w:r>
      <w:r w:rsidRPr="007D1918">
        <w:t>given plausibility of the claim and the lack of long-term evidence to the contrary, an exploratory analysis identifying the potential economic impact of an increased infection rate is presented for consideration</w:t>
      </w:r>
      <w:r w:rsidR="00633D94" w:rsidRPr="007D1918">
        <w:t>.</w:t>
      </w:r>
      <w:r w:rsidRPr="007D1918">
        <w:t xml:space="preserve"> </w:t>
      </w:r>
    </w:p>
    <w:p w14:paraId="47F991E6" w14:textId="2FC8E181" w:rsidR="008747C1" w:rsidRPr="007D1918" w:rsidRDefault="008747C1" w:rsidP="008747C1">
      <w:pPr>
        <w:jc w:val="both"/>
      </w:pPr>
      <w:r w:rsidRPr="007D1918">
        <w:t xml:space="preserve">The severe complication rate in PE procedures (observed over a 4.5 year period) in </w:t>
      </w:r>
      <w:r w:rsidR="007F4CDE" w:rsidRPr="007D1918">
        <w:fldChar w:fldCharType="begin"/>
      </w:r>
      <w:r w:rsidR="007F4CDE" w:rsidRPr="007D1918">
        <w:instrText xml:space="preserve"> ADDIN EN.CITE &lt;EndNote&gt;&lt;Cite&gt;&lt;Author&gt;Vucic&lt;/Author&gt;&lt;Year&gt;1998&lt;/Year&gt;&lt;RecNum&gt;36&lt;/RecNum&gt;&lt;DisplayText&gt;(Vucic &amp;amp; Davies 1998)&lt;/DisplayText&gt;&lt;record&gt;&lt;rec-number&gt;36&lt;/rec-number&gt;&lt;foreign-keys&gt;&lt;key app="EN" db-id="2aevrx2slsts5ve9sdavatf125dsx0av2v9d" timestamp="1561528498"&gt;36&lt;/key&gt;&lt;/foreign-keys&gt;&lt;ref-type name="Journal Article"&gt;17&lt;/ref-type&gt;&lt;contributors&gt;&lt;authors&gt;&lt;author&gt;Vucic, S.&lt;/author&gt;&lt;author&gt;Davies, L.&lt;/author&gt;&lt;/authors&gt;&lt;/contributors&gt;&lt;auth-address&gt;Department of Neurology, Royal Prince Alfred Hospital, Sydney, NSW.&lt;/auth-address&gt;&lt;titles&gt;&lt;title&gt;Safety of plasmapheresis in the treatment of neurological disease&lt;/title&gt;&lt;secondary-title&gt;Aust N Z J Med&lt;/secondary-title&gt;&lt;/titles&gt;&lt;periodical&gt;&lt;full-title&gt;Aust N Z J Med&lt;/full-title&gt;&lt;/periodical&gt;&lt;pages&gt;301-5&lt;/pages&gt;&lt;volume&gt;28&lt;/volume&gt;&lt;number&gt;3&lt;/number&gt;&lt;edition&gt;1998/07/23&lt;/edition&gt;&lt;keywords&gt;&lt;keyword&gt;Adult&lt;/keyword&gt;&lt;keyword&gt;Aged&lt;/keyword&gt;&lt;keyword&gt;Aged, 80 and over&lt;/keyword&gt;&lt;keyword&gt;Blood-Borne Pathogens&lt;/keyword&gt;&lt;keyword&gt;Catheterization, Peripheral/instrumentation&lt;/keyword&gt;&lt;keyword&gt;Equipment Failure Analysis&lt;/keyword&gt;&lt;keyword&gt;Female&lt;/keyword&gt;&lt;keyword&gt;Humans&lt;/keyword&gt;&lt;keyword&gt;Male&lt;/keyword&gt;&lt;keyword&gt;Middle Aged&lt;/keyword&gt;&lt;keyword&gt;Nervous System Diseases/ therapy&lt;/keyword&gt;&lt;keyword&gt;New South Wales&lt;/keyword&gt;&lt;keyword&gt;Plasmapheresis/ adverse effects/instrumentation&lt;/keyword&gt;&lt;keyword&gt;Retrospective Studies&lt;/keyword&gt;&lt;keyword&gt;Risk Factors&lt;/keyword&gt;&lt;keyword&gt;Sepsis/etiology&lt;/keyword&gt;&lt;/keywords&gt;&lt;dates&gt;&lt;year&gt;1998&lt;/year&gt;&lt;pub-dates&gt;&lt;date&gt;Jun&lt;/date&gt;&lt;/pub-dates&gt;&lt;/dates&gt;&lt;isbn&gt;0004-8291 (Print)&amp;#xD;0004-8291 (Linking)&lt;/isbn&gt;&lt;accession-num&gt;9673740&lt;/accession-num&gt;&lt;urls&gt;&lt;related-urls&gt;&lt;url&gt;https://onlinelibrary.wiley.com/doi/pdf/10.1111/j.1445-5994.1998.tb01952.x&lt;/url&gt;&lt;/related-urls&gt;&lt;/urls&gt;&lt;remote-database-provider&gt;NLM&lt;/remote-database-provider&gt;&lt;language&gt;eng&lt;/language&gt;&lt;/record&gt;&lt;/Cite&gt;&lt;/EndNote&gt;</w:instrText>
      </w:r>
      <w:r w:rsidR="007F4CDE" w:rsidRPr="007D1918">
        <w:fldChar w:fldCharType="separate"/>
      </w:r>
      <w:r w:rsidR="007F4CDE" w:rsidRPr="007D1918">
        <w:rPr>
          <w:noProof/>
        </w:rPr>
        <w:t>(</w:t>
      </w:r>
      <w:hyperlink w:anchor="_ENREF_102" w:tooltip="Vucic, 1998 #36" w:history="1">
        <w:r w:rsidR="007D4948" w:rsidRPr="007D1918">
          <w:rPr>
            <w:noProof/>
          </w:rPr>
          <w:t>Vucic &amp; Davies 1998</w:t>
        </w:r>
      </w:hyperlink>
      <w:r w:rsidR="007F4CDE" w:rsidRPr="007D1918">
        <w:rPr>
          <w:noProof/>
        </w:rPr>
        <w:t>)</w:t>
      </w:r>
      <w:r w:rsidR="007F4CDE" w:rsidRPr="007D1918">
        <w:fldChar w:fldCharType="end"/>
      </w:r>
      <w:r w:rsidRPr="007D1918">
        <w:t xml:space="preserve"> was 0.7%; with infection at the venous access site occurring in 0.5% of procedures and sepsis accompanying this in 0.2% of procedures. It is assumed patients with sepsis are admitted to hospital.</w:t>
      </w:r>
    </w:p>
    <w:p w14:paraId="4C5EFC12" w14:textId="591E95FD" w:rsidR="008747C1" w:rsidRPr="007D1918" w:rsidRDefault="008747C1" w:rsidP="008747C1">
      <w:pPr>
        <w:jc w:val="both"/>
      </w:pPr>
      <w:r w:rsidRPr="007D1918">
        <w:t xml:space="preserve">For the exploratory analysis purposes, the utility decrement associated with </w:t>
      </w:r>
      <w:r w:rsidR="00AD3447" w:rsidRPr="007D1918">
        <w:t xml:space="preserve">serious </w:t>
      </w:r>
      <w:r w:rsidRPr="007D1918">
        <w:t>infection is estimated to be 0.</w:t>
      </w:r>
      <w:r w:rsidR="00AD3447" w:rsidRPr="007D1918">
        <w:t>905</w:t>
      </w:r>
      <w:r w:rsidRPr="007D1918">
        <w:t xml:space="preserve"> (based on the difference in utility between MG in remission; 0.94 and utility with </w:t>
      </w:r>
      <w:r w:rsidR="00AD3447" w:rsidRPr="007D1918">
        <w:t xml:space="preserve">serious </w:t>
      </w:r>
      <w:r w:rsidRPr="007D1918">
        <w:t>infection a 0.</w:t>
      </w:r>
      <w:r w:rsidR="00AD3447" w:rsidRPr="007D1918">
        <w:t>035</w:t>
      </w:r>
      <w:r w:rsidRPr="007D1918">
        <w:t>, as identified in Section C.4.2). The septicaemia hospital admission codes (6A-C) have a weighted average length of stay of 6.87 days. If the disutility is applied to hospitalisation time this represents a QALY decrement of 0.0</w:t>
      </w:r>
      <w:r w:rsidR="00AD3447" w:rsidRPr="007D1918">
        <w:t>1704</w:t>
      </w:r>
      <w:r w:rsidRPr="007D1918">
        <w:t xml:space="preserve"> per infection episode.</w:t>
      </w:r>
    </w:p>
    <w:p w14:paraId="13BD1F57" w14:textId="77777777" w:rsidR="004831F5" w:rsidRPr="007D1918" w:rsidRDefault="004831F5" w:rsidP="00FA060E"/>
    <w:p w14:paraId="510FBE89" w14:textId="77777777" w:rsidR="00AB68D3" w:rsidRPr="007D1918" w:rsidRDefault="0077418B" w:rsidP="00DF343F">
      <w:pPr>
        <w:pStyle w:val="Heading1"/>
        <w:jc w:val="both"/>
      </w:pPr>
      <w:bookmarkStart w:id="359" w:name="_Toc379118086"/>
      <w:bookmarkStart w:id="360" w:name="_Toc381796473"/>
      <w:bookmarkStart w:id="361" w:name="_Toc23766991"/>
      <w:r w:rsidRPr="007D1918">
        <w:lastRenderedPageBreak/>
        <w:t>Section D</w:t>
      </w:r>
      <w:r w:rsidRPr="007D1918">
        <w:tab/>
        <w:t>Ec</w:t>
      </w:r>
      <w:r w:rsidR="00AB68D3" w:rsidRPr="007D1918">
        <w:t xml:space="preserve">onomic </w:t>
      </w:r>
      <w:r w:rsidRPr="007D1918">
        <w:t>Evaluation</w:t>
      </w:r>
      <w:bookmarkEnd w:id="359"/>
      <w:bookmarkEnd w:id="360"/>
      <w:bookmarkEnd w:id="361"/>
    </w:p>
    <w:p w14:paraId="640D7325" w14:textId="77777777" w:rsidR="005A5EC8" w:rsidRPr="007D1918" w:rsidRDefault="005A5EC8" w:rsidP="00CE3A8B">
      <w:pPr>
        <w:pStyle w:val="Heading2"/>
        <w:numPr>
          <w:ilvl w:val="3"/>
          <w:numId w:val="11"/>
        </w:numPr>
      </w:pPr>
      <w:bookmarkStart w:id="362" w:name="_Toc381796475"/>
      <w:bookmarkStart w:id="363" w:name="_Toc23766992"/>
      <w:r w:rsidRPr="007D1918">
        <w:t>Overview</w:t>
      </w:r>
      <w:bookmarkEnd w:id="362"/>
      <w:bookmarkEnd w:id="363"/>
    </w:p>
    <w:p w14:paraId="36420883" w14:textId="00DFFF07" w:rsidR="00F81104" w:rsidRPr="007D1918" w:rsidRDefault="00F81104" w:rsidP="00F81104">
      <w:pPr>
        <w:jc w:val="both"/>
      </w:pPr>
      <w:bookmarkStart w:id="364" w:name="_Ref395195344"/>
      <w:r w:rsidRPr="007D1918">
        <w:t xml:space="preserve">The </w:t>
      </w:r>
      <w:r w:rsidR="00551132" w:rsidRPr="007D1918">
        <w:t xml:space="preserve">interpretation of the </w:t>
      </w:r>
      <w:r w:rsidRPr="007D1918">
        <w:t xml:space="preserve">clinical evaluation </w:t>
      </w:r>
      <w:r w:rsidR="00551132" w:rsidRPr="007D1918">
        <w:t>in B.7</w:t>
      </w:r>
      <w:r w:rsidR="00D239BB" w:rsidRPr="007D1918">
        <w:t xml:space="preserve"> </w:t>
      </w:r>
      <w:r w:rsidR="00551132" w:rsidRPr="007D1918">
        <w:t>is</w:t>
      </w:r>
      <w:r w:rsidRPr="007D1918">
        <w:t xml:space="preserve"> that, relative to the relevant comparator (PE for Indications 1</w:t>
      </w:r>
      <w:r w:rsidR="002C37DE" w:rsidRPr="007D1918">
        <w:t>,</w:t>
      </w:r>
      <w:r w:rsidRPr="007D1918">
        <w:t xml:space="preserve"> and 2, various therapies for Indication 3), IV Immunoglobulin has</w:t>
      </w:r>
      <w:r w:rsidR="00D239BB" w:rsidRPr="007D1918">
        <w:t>:</w:t>
      </w:r>
    </w:p>
    <w:p w14:paraId="1E4D6528" w14:textId="1654F22A" w:rsidR="00F81104" w:rsidRPr="007D1918" w:rsidRDefault="00002C8F" w:rsidP="00551132">
      <w:pPr>
        <w:pStyle w:val="ListParagraph"/>
        <w:numPr>
          <w:ilvl w:val="0"/>
          <w:numId w:val="38"/>
        </w:numPr>
        <w:jc w:val="both"/>
      </w:pPr>
      <w:r w:rsidRPr="007D1918">
        <w:t>For</w:t>
      </w:r>
      <w:r w:rsidR="00F81104" w:rsidRPr="007D1918">
        <w:t xml:space="preserve"> </w:t>
      </w:r>
      <w:r w:rsidR="00D239BB" w:rsidRPr="007D1918">
        <w:t>Indication</w:t>
      </w:r>
      <w:r w:rsidR="00F81104" w:rsidRPr="007D1918">
        <w:t xml:space="preserve"> 1 patients: (myasthenic crisis): superior safety and non-inferior effectiveness</w:t>
      </w:r>
    </w:p>
    <w:p w14:paraId="1A2E61A9" w14:textId="473E2E95" w:rsidR="00F81104" w:rsidRPr="007D1918" w:rsidRDefault="00002C8F" w:rsidP="00551132">
      <w:pPr>
        <w:pStyle w:val="ListParagraph"/>
        <w:numPr>
          <w:ilvl w:val="0"/>
          <w:numId w:val="38"/>
        </w:numPr>
        <w:jc w:val="both"/>
      </w:pPr>
      <w:r w:rsidRPr="007D1918">
        <w:t>For</w:t>
      </w:r>
      <w:r w:rsidR="00F81104" w:rsidRPr="007D1918">
        <w:t xml:space="preserve"> </w:t>
      </w:r>
      <w:r w:rsidR="00D239BB" w:rsidRPr="007D1918">
        <w:t>Indication</w:t>
      </w:r>
      <w:r w:rsidR="00F81104" w:rsidRPr="007D1918">
        <w:t xml:space="preserve"> 2 patients: (prior to surgery and/or thymectomy): </w:t>
      </w:r>
      <w:r w:rsidR="009262BB" w:rsidRPr="007D1918">
        <w:t>uncertain</w:t>
      </w:r>
      <w:r w:rsidR="00F81104" w:rsidRPr="007D1918">
        <w:t xml:space="preserve"> safety and </w:t>
      </w:r>
      <w:r w:rsidR="002A2637" w:rsidRPr="007D1918">
        <w:t xml:space="preserve">uncertain </w:t>
      </w:r>
      <w:r w:rsidR="00F81104" w:rsidRPr="007D1918">
        <w:t>effectiveness</w:t>
      </w:r>
    </w:p>
    <w:p w14:paraId="006557BB" w14:textId="719F53B0" w:rsidR="00F81104" w:rsidRPr="007D1918" w:rsidRDefault="00002C8F" w:rsidP="00551132">
      <w:pPr>
        <w:pStyle w:val="ListParagraph"/>
        <w:numPr>
          <w:ilvl w:val="0"/>
          <w:numId w:val="38"/>
        </w:numPr>
        <w:jc w:val="both"/>
      </w:pPr>
      <w:r w:rsidRPr="007D1918">
        <w:t>For</w:t>
      </w:r>
      <w:r w:rsidR="00D239BB" w:rsidRPr="007D1918">
        <w:t xml:space="preserve"> Indication</w:t>
      </w:r>
      <w:r w:rsidR="00F81104" w:rsidRPr="007D1918">
        <w:t xml:space="preserve"> 3 patients: (moderate to severe MG, failed 2 other therapies): non-inferior safety and non-inferior effectiveness</w:t>
      </w:r>
      <w:r w:rsidR="002A2637" w:rsidRPr="007D1918">
        <w:t xml:space="preserve"> vs PE, but uncertain safety and uncertain effectiveness vs surgical or pharmaceutical comparators</w:t>
      </w:r>
      <w:r w:rsidRPr="007D1918">
        <w:t>.</w:t>
      </w:r>
    </w:p>
    <w:bookmarkEnd w:id="364"/>
    <w:p w14:paraId="4AE35169" w14:textId="51A5219A" w:rsidR="00F81104" w:rsidRPr="007D1918" w:rsidRDefault="00002C8F" w:rsidP="00F81104">
      <w:pPr>
        <w:jc w:val="both"/>
      </w:pPr>
      <w:r w:rsidRPr="007D1918">
        <w:fldChar w:fldCharType="begin"/>
      </w:r>
      <w:r w:rsidRPr="007D1918">
        <w:instrText xml:space="preserve"> REF _Ref3291314 \h </w:instrText>
      </w:r>
      <w:r w:rsidR="00E07567" w:rsidRPr="007D1918">
        <w:instrText xml:space="preserve"> \* MERGEFORMAT </w:instrText>
      </w:r>
      <w:r w:rsidRPr="007D1918">
        <w:fldChar w:fldCharType="separate"/>
      </w:r>
      <w:r w:rsidR="007C33AD" w:rsidRPr="007D1918">
        <w:t xml:space="preserve">Table </w:t>
      </w:r>
      <w:r w:rsidR="007C33AD" w:rsidRPr="007D1918">
        <w:rPr>
          <w:noProof/>
        </w:rPr>
        <w:t>59</w:t>
      </w:r>
      <w:r w:rsidRPr="007D1918">
        <w:fldChar w:fldCharType="end"/>
      </w:r>
      <w:r w:rsidRPr="007D1918">
        <w:t xml:space="preserve"> </w:t>
      </w:r>
      <w:r w:rsidR="00F81104" w:rsidRPr="007D1918">
        <w:t>sets out the framework that was used to classify the clinical evidence in Section B so that a decision could be made about the type of economic analysis to undertake in this Section.</w:t>
      </w:r>
    </w:p>
    <w:p w14:paraId="0DB716FF" w14:textId="0682212E" w:rsidR="00F81104" w:rsidRPr="007D1918" w:rsidRDefault="00F81104" w:rsidP="00F81104">
      <w:pPr>
        <w:pStyle w:val="Caption"/>
      </w:pPr>
      <w:bookmarkStart w:id="365" w:name="_Ref3291314"/>
      <w:bookmarkStart w:id="366" w:name="_Toc3883476"/>
      <w:bookmarkStart w:id="367" w:name="_Toc23769546"/>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7C33AD" w:rsidRPr="007D1918">
        <w:rPr>
          <w:noProof/>
        </w:rPr>
        <w:t>59</w:t>
      </w:r>
      <w:r w:rsidRPr="007D1918">
        <w:rPr>
          <w:noProof/>
        </w:rPr>
        <w:fldChar w:fldCharType="end"/>
      </w:r>
      <w:bookmarkEnd w:id="365"/>
      <w:r w:rsidR="00002C8F" w:rsidRPr="007D1918">
        <w:tab/>
      </w:r>
      <w:r w:rsidRPr="007D1918">
        <w:t>Decision algorithm for undertaking an economic evaluation in the setting of the Ig Review.</w:t>
      </w:r>
      <w:bookmarkEnd w:id="366"/>
      <w:bookmarkEnd w:id="367"/>
      <w:r w:rsidRPr="007D1918">
        <w:t>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1"/>
        <w:gridCol w:w="1280"/>
        <w:gridCol w:w="1280"/>
        <w:gridCol w:w="1568"/>
        <w:gridCol w:w="1569"/>
        <w:gridCol w:w="1569"/>
      </w:tblGrid>
      <w:tr w:rsidR="00F81104" w:rsidRPr="007D1918" w14:paraId="00303BAC" w14:textId="77777777" w:rsidTr="001C184A">
        <w:tc>
          <w:tcPr>
            <w:tcW w:w="1801" w:type="dxa"/>
            <w:vMerge w:val="restart"/>
            <w:shd w:val="clear" w:color="auto" w:fill="ACB9CA"/>
            <w:vAlign w:val="center"/>
          </w:tcPr>
          <w:p w14:paraId="43F9DB13" w14:textId="77777777" w:rsidR="00F81104" w:rsidRPr="007D1918" w:rsidRDefault="00F81104" w:rsidP="001C184A">
            <w:pPr>
              <w:pStyle w:val="TableHeading"/>
            </w:pPr>
            <w:r w:rsidRPr="007D1918">
              <w:t>Comparative safety of Ig</w:t>
            </w:r>
          </w:p>
        </w:tc>
        <w:tc>
          <w:tcPr>
            <w:tcW w:w="7266" w:type="dxa"/>
            <w:gridSpan w:val="5"/>
            <w:shd w:val="clear" w:color="auto" w:fill="ACB9CA"/>
          </w:tcPr>
          <w:p w14:paraId="635648B5" w14:textId="77777777" w:rsidR="00F81104" w:rsidRPr="007D1918" w:rsidRDefault="00F81104" w:rsidP="001C184A">
            <w:pPr>
              <w:pStyle w:val="TableHeading"/>
            </w:pPr>
            <w:r w:rsidRPr="007D1918">
              <w:t>Comparative effectiveness of Ig</w:t>
            </w:r>
          </w:p>
        </w:tc>
      </w:tr>
      <w:tr w:rsidR="00F81104" w:rsidRPr="007D1918" w14:paraId="293B2CC6" w14:textId="77777777" w:rsidTr="001C184A">
        <w:tc>
          <w:tcPr>
            <w:tcW w:w="1801" w:type="dxa"/>
            <w:vMerge/>
            <w:shd w:val="clear" w:color="auto" w:fill="ACB9CA"/>
          </w:tcPr>
          <w:p w14:paraId="556DE8E2" w14:textId="77777777" w:rsidR="00F81104" w:rsidRPr="007D1918" w:rsidRDefault="00F81104" w:rsidP="001C184A">
            <w:pPr>
              <w:pStyle w:val="Caption1"/>
              <w:spacing w:after="60"/>
              <w:ind w:right="85"/>
              <w:rPr>
                <w:rFonts w:ascii="Calibri" w:hAnsi="Calibri" w:cs="Calibri"/>
                <w:szCs w:val="20"/>
              </w:rPr>
            </w:pPr>
          </w:p>
        </w:tc>
        <w:tc>
          <w:tcPr>
            <w:tcW w:w="2560" w:type="dxa"/>
            <w:gridSpan w:val="2"/>
            <w:shd w:val="clear" w:color="auto" w:fill="FFFFFF" w:themeFill="background1"/>
            <w:vAlign w:val="center"/>
          </w:tcPr>
          <w:p w14:paraId="748C172B" w14:textId="77777777" w:rsidR="00F81104" w:rsidRPr="007D1918" w:rsidRDefault="00F81104" w:rsidP="001C184A">
            <w:pPr>
              <w:pStyle w:val="Tabletext1"/>
              <w:jc w:val="center"/>
            </w:pPr>
            <w:r w:rsidRPr="007D1918">
              <w:t>Inferior</w:t>
            </w:r>
          </w:p>
        </w:tc>
        <w:tc>
          <w:tcPr>
            <w:tcW w:w="1568" w:type="dxa"/>
            <w:vMerge w:val="restart"/>
            <w:shd w:val="clear" w:color="auto" w:fill="FFFFFF" w:themeFill="background1"/>
          </w:tcPr>
          <w:p w14:paraId="3D61B885" w14:textId="77777777" w:rsidR="00F81104" w:rsidRPr="007D1918" w:rsidRDefault="00F81104" w:rsidP="001C184A">
            <w:pPr>
              <w:pStyle w:val="Tabletext1"/>
              <w:jc w:val="center"/>
            </w:pPr>
            <w:r w:rsidRPr="007D1918">
              <w:t>Uncertain</w:t>
            </w:r>
          </w:p>
        </w:tc>
        <w:tc>
          <w:tcPr>
            <w:tcW w:w="1569" w:type="dxa"/>
            <w:vMerge w:val="restart"/>
            <w:shd w:val="clear" w:color="auto" w:fill="FFFFFF" w:themeFill="background1"/>
          </w:tcPr>
          <w:p w14:paraId="68F08F5F" w14:textId="77777777" w:rsidR="00F81104" w:rsidRPr="007D1918" w:rsidRDefault="00F81104" w:rsidP="001C184A">
            <w:pPr>
              <w:pStyle w:val="Tabletext1"/>
              <w:jc w:val="center"/>
            </w:pPr>
            <w:r w:rsidRPr="007D1918">
              <w:t>Non-inferior</w:t>
            </w:r>
          </w:p>
        </w:tc>
        <w:tc>
          <w:tcPr>
            <w:tcW w:w="1569" w:type="dxa"/>
            <w:vMerge w:val="restart"/>
            <w:shd w:val="clear" w:color="auto" w:fill="FFFFFF" w:themeFill="background1"/>
          </w:tcPr>
          <w:p w14:paraId="6FB90D2B" w14:textId="77777777" w:rsidR="00F81104" w:rsidRPr="007D1918" w:rsidRDefault="00F81104" w:rsidP="001C184A">
            <w:pPr>
              <w:pStyle w:val="Tabletext1"/>
              <w:jc w:val="center"/>
            </w:pPr>
            <w:r w:rsidRPr="007D1918">
              <w:t>Superior</w:t>
            </w:r>
          </w:p>
        </w:tc>
      </w:tr>
      <w:tr w:rsidR="00F81104" w:rsidRPr="007D1918" w14:paraId="4D2E1DDE" w14:textId="77777777" w:rsidTr="001C184A">
        <w:tc>
          <w:tcPr>
            <w:tcW w:w="1801" w:type="dxa"/>
            <w:vMerge/>
            <w:shd w:val="clear" w:color="auto" w:fill="ACB9CA"/>
          </w:tcPr>
          <w:p w14:paraId="5E316F09" w14:textId="77777777" w:rsidR="00F81104" w:rsidRPr="007D1918" w:rsidRDefault="00F81104" w:rsidP="001C184A">
            <w:pPr>
              <w:pStyle w:val="Caption1"/>
              <w:spacing w:after="60"/>
              <w:ind w:right="85"/>
              <w:rPr>
                <w:rFonts w:ascii="Calibri" w:hAnsi="Calibri" w:cs="Calibri"/>
                <w:szCs w:val="20"/>
              </w:rPr>
            </w:pPr>
          </w:p>
        </w:tc>
        <w:tc>
          <w:tcPr>
            <w:tcW w:w="1280" w:type="dxa"/>
            <w:shd w:val="clear" w:color="auto" w:fill="FFFFFF" w:themeFill="background1"/>
          </w:tcPr>
          <w:p w14:paraId="297D9492" w14:textId="77777777" w:rsidR="00F81104" w:rsidRPr="007D1918" w:rsidRDefault="00F81104" w:rsidP="001C184A">
            <w:pPr>
              <w:pStyle w:val="Tabletext1"/>
              <w:jc w:val="center"/>
            </w:pPr>
            <w:r w:rsidRPr="007D1918">
              <w:t>No active comparator</w:t>
            </w:r>
          </w:p>
        </w:tc>
        <w:tc>
          <w:tcPr>
            <w:tcW w:w="1280" w:type="dxa"/>
            <w:shd w:val="clear" w:color="auto" w:fill="FFFFFF" w:themeFill="background1"/>
          </w:tcPr>
          <w:p w14:paraId="51B978E2" w14:textId="77777777" w:rsidR="00F81104" w:rsidRPr="007D1918" w:rsidRDefault="00F81104" w:rsidP="001C184A">
            <w:pPr>
              <w:pStyle w:val="Tabletext1"/>
              <w:jc w:val="center"/>
            </w:pPr>
            <w:r w:rsidRPr="007D1918">
              <w:t>Active comparator</w:t>
            </w:r>
          </w:p>
        </w:tc>
        <w:tc>
          <w:tcPr>
            <w:tcW w:w="1568" w:type="dxa"/>
            <w:vMerge/>
            <w:shd w:val="clear" w:color="auto" w:fill="auto"/>
          </w:tcPr>
          <w:p w14:paraId="535F59C1" w14:textId="77777777" w:rsidR="00F81104" w:rsidRPr="007D1918" w:rsidRDefault="00F81104" w:rsidP="001C184A">
            <w:pPr>
              <w:pStyle w:val="Caption1"/>
              <w:spacing w:after="60"/>
              <w:ind w:right="85"/>
              <w:rPr>
                <w:rFonts w:ascii="Calibri" w:hAnsi="Calibri" w:cs="Calibri"/>
                <w:szCs w:val="20"/>
              </w:rPr>
            </w:pPr>
          </w:p>
        </w:tc>
        <w:tc>
          <w:tcPr>
            <w:tcW w:w="1569" w:type="dxa"/>
            <w:vMerge/>
            <w:shd w:val="clear" w:color="auto" w:fill="auto"/>
          </w:tcPr>
          <w:p w14:paraId="0C033149" w14:textId="77777777" w:rsidR="00F81104" w:rsidRPr="007D1918" w:rsidRDefault="00F81104" w:rsidP="001C184A">
            <w:pPr>
              <w:pStyle w:val="Caption1"/>
              <w:spacing w:after="60"/>
              <w:ind w:right="85"/>
              <w:rPr>
                <w:rFonts w:ascii="Calibri" w:hAnsi="Calibri" w:cs="Calibri"/>
                <w:szCs w:val="20"/>
              </w:rPr>
            </w:pPr>
          </w:p>
        </w:tc>
        <w:tc>
          <w:tcPr>
            <w:tcW w:w="1569" w:type="dxa"/>
            <w:vMerge/>
            <w:shd w:val="clear" w:color="auto" w:fill="auto"/>
          </w:tcPr>
          <w:p w14:paraId="71866DC5" w14:textId="77777777" w:rsidR="00F81104" w:rsidRPr="007D1918" w:rsidRDefault="00F81104" w:rsidP="001C184A">
            <w:pPr>
              <w:pStyle w:val="Caption1"/>
              <w:spacing w:after="60"/>
              <w:ind w:right="85"/>
              <w:rPr>
                <w:rFonts w:ascii="Calibri" w:hAnsi="Calibri" w:cs="Calibri"/>
                <w:szCs w:val="20"/>
              </w:rPr>
            </w:pPr>
          </w:p>
        </w:tc>
      </w:tr>
      <w:tr w:rsidR="00F81104" w:rsidRPr="007D1918" w14:paraId="5D51D261" w14:textId="77777777" w:rsidTr="001C184A">
        <w:tc>
          <w:tcPr>
            <w:tcW w:w="1801" w:type="dxa"/>
            <w:shd w:val="clear" w:color="auto" w:fill="D9D9D9"/>
          </w:tcPr>
          <w:p w14:paraId="7D3CBEDD" w14:textId="77777777" w:rsidR="00F81104" w:rsidRPr="007D1918" w:rsidRDefault="00F81104" w:rsidP="001C184A">
            <w:pPr>
              <w:pStyle w:val="Tabletext1"/>
            </w:pPr>
            <w:r w:rsidRPr="007D1918">
              <w:t>Inferior</w:t>
            </w:r>
          </w:p>
        </w:tc>
        <w:tc>
          <w:tcPr>
            <w:tcW w:w="1280" w:type="dxa"/>
            <w:shd w:val="clear" w:color="auto" w:fill="D9D9D9"/>
          </w:tcPr>
          <w:p w14:paraId="1E730FBC" w14:textId="77777777" w:rsidR="00F81104" w:rsidRPr="007D1918" w:rsidRDefault="00F81104" w:rsidP="001C184A">
            <w:pPr>
              <w:pStyle w:val="Tabletext1"/>
              <w:jc w:val="center"/>
            </w:pPr>
            <w:r w:rsidRPr="007D1918">
              <w:t>x</w:t>
            </w:r>
          </w:p>
        </w:tc>
        <w:tc>
          <w:tcPr>
            <w:tcW w:w="1280" w:type="dxa"/>
            <w:shd w:val="clear" w:color="auto" w:fill="D9D9D9"/>
          </w:tcPr>
          <w:p w14:paraId="3F2F650E" w14:textId="77777777" w:rsidR="00F81104" w:rsidRPr="007D1918" w:rsidRDefault="00F81104" w:rsidP="001C184A">
            <w:pPr>
              <w:pStyle w:val="Tabletext1"/>
              <w:jc w:val="center"/>
            </w:pPr>
            <w:r w:rsidRPr="007D1918">
              <w:t>F</w:t>
            </w:r>
          </w:p>
        </w:tc>
        <w:tc>
          <w:tcPr>
            <w:tcW w:w="1568" w:type="dxa"/>
            <w:shd w:val="clear" w:color="auto" w:fill="D9D9D9"/>
          </w:tcPr>
          <w:p w14:paraId="1844A80C" w14:textId="77777777" w:rsidR="00F81104" w:rsidRPr="007D1918" w:rsidRDefault="00F81104" w:rsidP="001C184A">
            <w:pPr>
              <w:pStyle w:val="Tabletext1"/>
              <w:jc w:val="center"/>
            </w:pPr>
            <w:r w:rsidRPr="007D1918">
              <w:t>?</w:t>
            </w:r>
          </w:p>
        </w:tc>
        <w:tc>
          <w:tcPr>
            <w:tcW w:w="1569" w:type="dxa"/>
            <w:shd w:val="clear" w:color="auto" w:fill="D9D9D9"/>
          </w:tcPr>
          <w:p w14:paraId="1CEFA5A9" w14:textId="77777777" w:rsidR="00F81104" w:rsidRPr="007D1918" w:rsidRDefault="00F81104" w:rsidP="001C184A">
            <w:pPr>
              <w:pStyle w:val="Tabletext1"/>
              <w:jc w:val="center"/>
            </w:pPr>
            <w:r w:rsidRPr="007D1918">
              <w:t>F</w:t>
            </w:r>
            <w:r w:rsidRPr="007D1918">
              <w:rPr>
                <w:vertAlign w:val="superscript"/>
              </w:rPr>
              <w:t>b</w:t>
            </w:r>
          </w:p>
        </w:tc>
        <w:tc>
          <w:tcPr>
            <w:tcW w:w="1569" w:type="dxa"/>
            <w:shd w:val="clear" w:color="auto" w:fill="D9D9D9"/>
          </w:tcPr>
          <w:p w14:paraId="30B2FAF2" w14:textId="77777777" w:rsidR="00F81104" w:rsidRPr="007D1918" w:rsidRDefault="00F81104" w:rsidP="001C184A">
            <w:pPr>
              <w:pStyle w:val="Tabletext1"/>
              <w:jc w:val="center"/>
            </w:pPr>
            <w:r w:rsidRPr="007D1918">
              <w:t>F</w:t>
            </w:r>
            <w:r w:rsidRPr="007D1918">
              <w:rPr>
                <w:vertAlign w:val="superscript"/>
              </w:rPr>
              <w:t>a</w:t>
            </w:r>
          </w:p>
        </w:tc>
      </w:tr>
      <w:tr w:rsidR="00F81104" w:rsidRPr="007D1918" w14:paraId="24249D62" w14:textId="77777777" w:rsidTr="001C184A">
        <w:tc>
          <w:tcPr>
            <w:tcW w:w="1801" w:type="dxa"/>
            <w:shd w:val="clear" w:color="auto" w:fill="FFFFFF" w:themeFill="background1"/>
          </w:tcPr>
          <w:p w14:paraId="2700C37C" w14:textId="77777777" w:rsidR="00F81104" w:rsidRPr="007D1918" w:rsidRDefault="00F81104" w:rsidP="001C184A">
            <w:pPr>
              <w:pStyle w:val="Tabletext1"/>
            </w:pPr>
            <w:r w:rsidRPr="007D1918">
              <w:t>Uncertain</w:t>
            </w:r>
          </w:p>
        </w:tc>
        <w:tc>
          <w:tcPr>
            <w:tcW w:w="1280" w:type="dxa"/>
            <w:shd w:val="clear" w:color="auto" w:fill="FFFFFF" w:themeFill="background1"/>
          </w:tcPr>
          <w:p w14:paraId="63582344" w14:textId="77777777" w:rsidR="00F81104" w:rsidRPr="007D1918" w:rsidRDefault="00F81104" w:rsidP="001C184A">
            <w:pPr>
              <w:pStyle w:val="Tabletext1"/>
              <w:jc w:val="center"/>
            </w:pPr>
            <w:r w:rsidRPr="007D1918">
              <w:t>x</w:t>
            </w:r>
          </w:p>
        </w:tc>
        <w:tc>
          <w:tcPr>
            <w:tcW w:w="1280" w:type="dxa"/>
            <w:shd w:val="clear" w:color="auto" w:fill="FFFFFF" w:themeFill="background1"/>
          </w:tcPr>
          <w:p w14:paraId="474DE2E3" w14:textId="77777777" w:rsidR="00F81104" w:rsidRPr="007D1918" w:rsidRDefault="00F81104" w:rsidP="001C184A">
            <w:pPr>
              <w:pStyle w:val="Tabletext1"/>
              <w:jc w:val="center"/>
            </w:pPr>
            <w:r w:rsidRPr="007D1918">
              <w:t>F</w:t>
            </w:r>
            <w:r w:rsidRPr="007D1918">
              <w:rPr>
                <w:vertAlign w:val="superscript"/>
              </w:rPr>
              <w:t>a</w:t>
            </w:r>
          </w:p>
        </w:tc>
        <w:tc>
          <w:tcPr>
            <w:tcW w:w="1568" w:type="dxa"/>
            <w:shd w:val="clear" w:color="auto" w:fill="FDE9D9" w:themeFill="accent6" w:themeFillTint="33"/>
          </w:tcPr>
          <w:p w14:paraId="1205E99F" w14:textId="77777777" w:rsidR="00F81104" w:rsidRPr="007D1918" w:rsidRDefault="00F81104" w:rsidP="001C184A">
            <w:pPr>
              <w:pStyle w:val="Tabletext1"/>
              <w:jc w:val="center"/>
            </w:pPr>
            <w:r w:rsidRPr="007D1918">
              <w:t>?</w:t>
            </w:r>
          </w:p>
        </w:tc>
        <w:tc>
          <w:tcPr>
            <w:tcW w:w="1569" w:type="dxa"/>
            <w:shd w:val="clear" w:color="auto" w:fill="FFFFFF" w:themeFill="background1"/>
          </w:tcPr>
          <w:p w14:paraId="07E0335C" w14:textId="77777777" w:rsidR="00F81104" w:rsidRPr="007D1918" w:rsidRDefault="00F81104" w:rsidP="001C184A">
            <w:pPr>
              <w:pStyle w:val="Tabletext1"/>
              <w:jc w:val="center"/>
            </w:pPr>
            <w:r w:rsidRPr="007D1918">
              <w:t>?</w:t>
            </w:r>
          </w:p>
        </w:tc>
        <w:tc>
          <w:tcPr>
            <w:tcW w:w="1569" w:type="dxa"/>
            <w:shd w:val="clear" w:color="auto" w:fill="FFFFFF" w:themeFill="background1"/>
          </w:tcPr>
          <w:p w14:paraId="3F1F058C" w14:textId="77777777" w:rsidR="00F81104" w:rsidRPr="007D1918" w:rsidRDefault="00F81104" w:rsidP="001C184A">
            <w:pPr>
              <w:pStyle w:val="Tabletext1"/>
              <w:jc w:val="center"/>
            </w:pPr>
            <w:r w:rsidRPr="007D1918">
              <w:t>F</w:t>
            </w:r>
            <w:r w:rsidRPr="007D1918">
              <w:rPr>
                <w:vertAlign w:val="superscript"/>
              </w:rPr>
              <w:t>a</w:t>
            </w:r>
          </w:p>
        </w:tc>
      </w:tr>
      <w:tr w:rsidR="00F81104" w:rsidRPr="007D1918" w14:paraId="18C807C7" w14:textId="77777777" w:rsidTr="001C184A">
        <w:tc>
          <w:tcPr>
            <w:tcW w:w="1801" w:type="dxa"/>
            <w:shd w:val="clear" w:color="auto" w:fill="D9D9D9"/>
          </w:tcPr>
          <w:p w14:paraId="2BB6840E" w14:textId="77777777" w:rsidR="00F81104" w:rsidRPr="007D1918" w:rsidRDefault="00F81104" w:rsidP="001C184A">
            <w:pPr>
              <w:pStyle w:val="Tabletext1"/>
            </w:pPr>
            <w:r w:rsidRPr="007D1918">
              <w:t>Non-inferior</w:t>
            </w:r>
          </w:p>
        </w:tc>
        <w:tc>
          <w:tcPr>
            <w:tcW w:w="1280" w:type="dxa"/>
            <w:shd w:val="clear" w:color="auto" w:fill="D9D9D9"/>
          </w:tcPr>
          <w:p w14:paraId="13F4E38E" w14:textId="77777777" w:rsidR="00F81104" w:rsidRPr="007D1918" w:rsidRDefault="00F81104" w:rsidP="001C184A">
            <w:pPr>
              <w:pStyle w:val="Tabletext1"/>
              <w:jc w:val="center"/>
            </w:pPr>
            <w:r w:rsidRPr="007D1918">
              <w:t>x</w:t>
            </w:r>
            <w:r w:rsidRPr="007D1918">
              <w:rPr>
                <w:vertAlign w:val="superscript"/>
              </w:rPr>
              <w:t>c</w:t>
            </w:r>
          </w:p>
        </w:tc>
        <w:tc>
          <w:tcPr>
            <w:tcW w:w="1280" w:type="dxa"/>
            <w:shd w:val="clear" w:color="auto" w:fill="D9D9D9"/>
          </w:tcPr>
          <w:p w14:paraId="34CA8997" w14:textId="77777777" w:rsidR="00F81104" w:rsidRPr="007D1918" w:rsidRDefault="00F81104" w:rsidP="001C184A">
            <w:pPr>
              <w:pStyle w:val="Tabletext1"/>
              <w:jc w:val="center"/>
            </w:pPr>
            <w:r w:rsidRPr="007D1918">
              <w:t>F</w:t>
            </w:r>
          </w:p>
        </w:tc>
        <w:tc>
          <w:tcPr>
            <w:tcW w:w="1568" w:type="dxa"/>
            <w:shd w:val="clear" w:color="auto" w:fill="D9D9D9"/>
          </w:tcPr>
          <w:p w14:paraId="590D38E0" w14:textId="77777777" w:rsidR="00F81104" w:rsidRPr="007D1918" w:rsidRDefault="00F81104" w:rsidP="001C184A">
            <w:pPr>
              <w:pStyle w:val="Tabletext1"/>
              <w:jc w:val="center"/>
            </w:pPr>
            <w:r w:rsidRPr="007D1918">
              <w:t>?</w:t>
            </w:r>
          </w:p>
        </w:tc>
        <w:tc>
          <w:tcPr>
            <w:tcW w:w="1569" w:type="dxa"/>
            <w:shd w:val="clear" w:color="auto" w:fill="EAF1DD" w:themeFill="accent3" w:themeFillTint="33"/>
          </w:tcPr>
          <w:p w14:paraId="6B4BCD1A" w14:textId="77777777" w:rsidR="00F81104" w:rsidRPr="007D1918" w:rsidRDefault="00F81104" w:rsidP="001C184A">
            <w:pPr>
              <w:pStyle w:val="Tabletext1"/>
              <w:jc w:val="center"/>
            </w:pPr>
            <w:r w:rsidRPr="007D1918">
              <w:t>$</w:t>
            </w:r>
          </w:p>
        </w:tc>
        <w:tc>
          <w:tcPr>
            <w:tcW w:w="1569" w:type="dxa"/>
            <w:shd w:val="clear" w:color="auto" w:fill="D9D9D9"/>
          </w:tcPr>
          <w:p w14:paraId="56085595" w14:textId="77777777" w:rsidR="00F81104" w:rsidRPr="007D1918" w:rsidRDefault="00F81104" w:rsidP="001C184A">
            <w:pPr>
              <w:pStyle w:val="Tabletext1"/>
              <w:jc w:val="center"/>
            </w:pPr>
            <w:r w:rsidRPr="007D1918">
              <w:t>F</w:t>
            </w:r>
          </w:p>
        </w:tc>
      </w:tr>
      <w:tr w:rsidR="00F81104" w:rsidRPr="007D1918" w14:paraId="2D1CD6E0" w14:textId="77777777" w:rsidTr="001C184A">
        <w:tc>
          <w:tcPr>
            <w:tcW w:w="1801" w:type="dxa"/>
            <w:shd w:val="clear" w:color="auto" w:fill="FFFFFF" w:themeFill="background1"/>
          </w:tcPr>
          <w:p w14:paraId="4CDF1E2E" w14:textId="77777777" w:rsidR="00F81104" w:rsidRPr="007D1918" w:rsidRDefault="00F81104" w:rsidP="001C184A">
            <w:pPr>
              <w:pStyle w:val="Tabletext1"/>
            </w:pPr>
            <w:r w:rsidRPr="007D1918">
              <w:t>Superior</w:t>
            </w:r>
          </w:p>
        </w:tc>
        <w:tc>
          <w:tcPr>
            <w:tcW w:w="1280" w:type="dxa"/>
            <w:shd w:val="clear" w:color="auto" w:fill="FFFFFF" w:themeFill="background1"/>
          </w:tcPr>
          <w:p w14:paraId="2695B017" w14:textId="77777777" w:rsidR="00F81104" w:rsidRPr="007D1918" w:rsidRDefault="00F81104" w:rsidP="001C184A">
            <w:pPr>
              <w:pStyle w:val="Tabletext1"/>
              <w:jc w:val="center"/>
            </w:pPr>
            <w:r w:rsidRPr="007D1918">
              <w:t>x</w:t>
            </w:r>
            <w:r w:rsidRPr="007D1918">
              <w:rPr>
                <w:vertAlign w:val="superscript"/>
              </w:rPr>
              <w:t>c</w:t>
            </w:r>
          </w:p>
        </w:tc>
        <w:tc>
          <w:tcPr>
            <w:tcW w:w="1280" w:type="dxa"/>
            <w:shd w:val="clear" w:color="auto" w:fill="FFFFFF" w:themeFill="background1"/>
          </w:tcPr>
          <w:p w14:paraId="579132FA" w14:textId="77777777" w:rsidR="00F81104" w:rsidRPr="007D1918" w:rsidRDefault="00F81104" w:rsidP="001C184A">
            <w:pPr>
              <w:pStyle w:val="Tabletext1"/>
              <w:jc w:val="center"/>
            </w:pPr>
            <w:r w:rsidRPr="007D1918">
              <w:t>F</w:t>
            </w:r>
            <w:r w:rsidRPr="007D1918">
              <w:rPr>
                <w:vertAlign w:val="superscript"/>
              </w:rPr>
              <w:t>a</w:t>
            </w:r>
          </w:p>
        </w:tc>
        <w:tc>
          <w:tcPr>
            <w:tcW w:w="1568" w:type="dxa"/>
            <w:shd w:val="clear" w:color="auto" w:fill="FFFFFF" w:themeFill="background1"/>
          </w:tcPr>
          <w:p w14:paraId="785D8BBD" w14:textId="77777777" w:rsidR="00F81104" w:rsidRPr="007D1918" w:rsidRDefault="00F81104" w:rsidP="001C184A">
            <w:pPr>
              <w:pStyle w:val="Tabletext1"/>
              <w:jc w:val="center"/>
            </w:pPr>
            <w:r w:rsidRPr="007D1918">
              <w:t>?</w:t>
            </w:r>
          </w:p>
        </w:tc>
        <w:tc>
          <w:tcPr>
            <w:tcW w:w="1569" w:type="dxa"/>
            <w:shd w:val="clear" w:color="auto" w:fill="DAEEF3" w:themeFill="accent5" w:themeFillTint="33"/>
          </w:tcPr>
          <w:p w14:paraId="37C6D995" w14:textId="77777777" w:rsidR="00F81104" w:rsidRPr="007D1918" w:rsidRDefault="00F81104" w:rsidP="001C184A">
            <w:pPr>
              <w:pStyle w:val="Tabletext1"/>
              <w:jc w:val="center"/>
            </w:pPr>
            <w:r w:rsidRPr="007D1918">
              <w:t>F</w:t>
            </w:r>
            <w:r w:rsidRPr="007D1918">
              <w:rPr>
                <w:vertAlign w:val="superscript"/>
              </w:rPr>
              <w:t>b</w:t>
            </w:r>
          </w:p>
        </w:tc>
        <w:tc>
          <w:tcPr>
            <w:tcW w:w="1569" w:type="dxa"/>
            <w:shd w:val="clear" w:color="auto" w:fill="FFFFFF" w:themeFill="background1"/>
          </w:tcPr>
          <w:p w14:paraId="6295EFC9" w14:textId="77777777" w:rsidR="00F81104" w:rsidRPr="007D1918" w:rsidRDefault="00F81104" w:rsidP="001C184A">
            <w:pPr>
              <w:pStyle w:val="Tabletext1"/>
              <w:jc w:val="center"/>
            </w:pPr>
            <w:r w:rsidRPr="007D1918">
              <w:t>F</w:t>
            </w:r>
          </w:p>
        </w:tc>
      </w:tr>
    </w:tbl>
    <w:p w14:paraId="466C1595" w14:textId="77777777" w:rsidR="00F81104" w:rsidRPr="007D1918" w:rsidRDefault="00F81104" w:rsidP="00F81104">
      <w:pPr>
        <w:pStyle w:val="Tablenotes0"/>
        <w:spacing w:after="40"/>
        <w:contextualSpacing w:val="0"/>
      </w:pPr>
      <w:r w:rsidRPr="007D1918">
        <w:t>x = health forgone (at cost). An economic evaluation is not warranted and continued use of Ig should not occur in this circumstance unless there are other supportive factors.</w:t>
      </w:r>
    </w:p>
    <w:p w14:paraId="3B84D689" w14:textId="77777777" w:rsidR="00F81104" w:rsidRPr="007D1918" w:rsidRDefault="00F81104" w:rsidP="00F81104">
      <w:pPr>
        <w:pStyle w:val="Tablenotes0"/>
        <w:spacing w:after="40"/>
        <w:contextualSpacing w:val="0"/>
      </w:pPr>
      <w:r w:rsidRPr="007D1918">
        <w:t xml:space="preserve">F = undertake a full economic evaluation. These may take the form of cost-utility analyses (preferred if adequate data are available) or cost effectiveness analyses in terms of clinically relevant outcome(s). </w:t>
      </w:r>
    </w:p>
    <w:p w14:paraId="722724B3" w14:textId="77777777" w:rsidR="00F81104" w:rsidRPr="007D1918" w:rsidRDefault="00F81104" w:rsidP="00F81104">
      <w:pPr>
        <w:pStyle w:val="Tablenotes0"/>
        <w:spacing w:after="40"/>
        <w:contextualSpacing w:val="0"/>
      </w:pPr>
      <w:r w:rsidRPr="007D1918">
        <w:t>? = high levels of uncertainty will occur in an economic evaluation (if it is feasible to construct one). A cost analysis (partial economic evaluation) could be performed.</w:t>
      </w:r>
    </w:p>
    <w:p w14:paraId="62B7EC8C" w14:textId="77777777" w:rsidR="00F81104" w:rsidRPr="007D1918" w:rsidRDefault="00F81104" w:rsidP="00F81104">
      <w:pPr>
        <w:pStyle w:val="Tablenotes0"/>
        <w:spacing w:after="40"/>
        <w:contextualSpacing w:val="0"/>
      </w:pPr>
      <w:r w:rsidRPr="007D1918">
        <w:t xml:space="preserve">$ = cost minimisation analysis (partial economic evaluation that explicitly assumes no significant differences in health outcomes, associated with either effectiveness or safety, and analyses cost-differences only). </w:t>
      </w:r>
    </w:p>
    <w:p w14:paraId="44FAAB13" w14:textId="77777777" w:rsidR="00F81104" w:rsidRPr="007D1918" w:rsidRDefault="00F81104" w:rsidP="00F81104">
      <w:pPr>
        <w:pStyle w:val="Tablenotes0"/>
        <w:spacing w:after="40"/>
        <w:contextualSpacing w:val="0"/>
      </w:pPr>
      <w:r w:rsidRPr="007D1918">
        <w:t>a where the conclusions with respect to effectiveness and safety are not congruent, then analyses identifying all relevant health consequences (i.e. effectiveness and safety outcomes in opposing directions of benefit) need to be presented. If a CUA is presented, this should capture effectiveness and safety collectively. If a CUA is not possible, then a single CEA may not capture all health consequences adequately and so a CCA is likely to be required. Where possible, the CCA should be quantitative, but in the absence of adequate data, a minimum qualitative identification of consequences should be presented.</w:t>
      </w:r>
    </w:p>
    <w:p w14:paraId="5F81C72D" w14:textId="77777777" w:rsidR="00F81104" w:rsidRPr="007D1918" w:rsidRDefault="00F81104" w:rsidP="00F81104">
      <w:pPr>
        <w:pStyle w:val="Tablenotes0"/>
        <w:shd w:val="clear" w:color="auto" w:fill="FFFFFF" w:themeFill="background1"/>
        <w:spacing w:after="40"/>
        <w:contextualSpacing w:val="0"/>
      </w:pPr>
      <w:r w:rsidRPr="007D1918">
        <w:t>b where effectiveness is assessed as non-inferior but safety differences exist, and in the absence of a CUA being possible, the outcomes component of the analysis should include a clinically relevant outcome which reflects the safety differences between Ig and the comparator.</w:t>
      </w:r>
    </w:p>
    <w:p w14:paraId="10C2E9EF" w14:textId="77777777" w:rsidR="00F81104" w:rsidRPr="007D1918" w:rsidRDefault="00F81104" w:rsidP="00F81104">
      <w:pPr>
        <w:pStyle w:val="Tablenotes0"/>
        <w:spacing w:after="40"/>
        <w:contextualSpacing w:val="0"/>
      </w:pPr>
      <w:r w:rsidRPr="007D1918">
        <w:t>c The small but unavoidable potential risks associated with administering a blood product means that a conclusion of non-inferior or superior Ig safety relative to no active comparator, should never arise.</w:t>
      </w:r>
    </w:p>
    <w:p w14:paraId="20952E79" w14:textId="77777777" w:rsidR="00F81104" w:rsidRPr="007D1918" w:rsidRDefault="00F81104" w:rsidP="00F81104">
      <w:pPr>
        <w:pStyle w:val="Tablenotes0"/>
        <w:spacing w:after="40"/>
        <w:contextualSpacing w:val="0"/>
      </w:pPr>
      <w:r w:rsidRPr="007D1918">
        <w:t>Source: Schubert, C and Merlin T, Adelaide Health Technology Assessment, 2018</w:t>
      </w:r>
    </w:p>
    <w:p w14:paraId="162497B9" w14:textId="5E4E67A6" w:rsidR="00F81104" w:rsidRPr="007D1918" w:rsidRDefault="00002C8F" w:rsidP="00F81104">
      <w:pPr>
        <w:pStyle w:val="Tablenotes0"/>
        <w:spacing w:after="40"/>
        <w:contextualSpacing w:val="0"/>
        <w:rPr>
          <w:b/>
        </w:rPr>
      </w:pPr>
      <w:r w:rsidRPr="007D1918">
        <w:rPr>
          <w:b/>
          <w:shd w:val="clear" w:color="auto" w:fill="DAEEF3" w:themeFill="accent5" w:themeFillTint="33"/>
        </w:rPr>
        <w:t>Indication</w:t>
      </w:r>
      <w:r w:rsidR="00F81104" w:rsidRPr="007D1918">
        <w:rPr>
          <w:b/>
          <w:shd w:val="clear" w:color="auto" w:fill="DAEEF3" w:themeFill="accent5" w:themeFillTint="33"/>
        </w:rPr>
        <w:t xml:space="preserve"> 1 conclusion shaded blue</w:t>
      </w:r>
      <w:r w:rsidR="00F81104" w:rsidRPr="007D1918">
        <w:rPr>
          <w:b/>
        </w:rPr>
        <w:t xml:space="preserve">, </w:t>
      </w:r>
      <w:r w:rsidRPr="007D1918">
        <w:rPr>
          <w:b/>
          <w:shd w:val="clear" w:color="auto" w:fill="FDE9D9" w:themeFill="accent6" w:themeFillTint="33"/>
        </w:rPr>
        <w:t>Indication</w:t>
      </w:r>
      <w:r w:rsidR="00F81104" w:rsidRPr="007D1918">
        <w:rPr>
          <w:b/>
          <w:shd w:val="clear" w:color="auto" w:fill="FDE9D9" w:themeFill="accent6" w:themeFillTint="33"/>
        </w:rPr>
        <w:t xml:space="preserve"> 2 conclusion shaded </w:t>
      </w:r>
      <w:r w:rsidR="002A2637" w:rsidRPr="007D1918">
        <w:rPr>
          <w:b/>
          <w:shd w:val="clear" w:color="auto" w:fill="FDE9D9" w:themeFill="accent6" w:themeFillTint="33"/>
        </w:rPr>
        <w:t>orange</w:t>
      </w:r>
      <w:r w:rsidR="00F81104" w:rsidRPr="007D1918">
        <w:rPr>
          <w:b/>
        </w:rPr>
        <w:t xml:space="preserve">, </w:t>
      </w:r>
      <w:r w:rsidRPr="007D1918">
        <w:rPr>
          <w:b/>
          <w:shd w:val="clear" w:color="auto" w:fill="EAF1DD" w:themeFill="accent3" w:themeFillTint="33"/>
        </w:rPr>
        <w:t>Indication</w:t>
      </w:r>
      <w:r w:rsidR="00F81104" w:rsidRPr="007D1918">
        <w:rPr>
          <w:b/>
          <w:shd w:val="clear" w:color="auto" w:fill="EAF1DD" w:themeFill="accent3" w:themeFillTint="33"/>
        </w:rPr>
        <w:t xml:space="preserve"> 3 conclusion</w:t>
      </w:r>
      <w:r w:rsidR="002A2637" w:rsidRPr="007D1918">
        <w:rPr>
          <w:b/>
          <w:shd w:val="clear" w:color="auto" w:fill="EAF1DD" w:themeFill="accent3" w:themeFillTint="33"/>
        </w:rPr>
        <w:t xml:space="preserve"> vs PE shaded green</w:t>
      </w:r>
      <w:r w:rsidR="002A2637" w:rsidRPr="007D1918">
        <w:rPr>
          <w:b/>
        </w:rPr>
        <w:t xml:space="preserve">; </w:t>
      </w:r>
      <w:r w:rsidR="002A2637" w:rsidRPr="007D1918">
        <w:rPr>
          <w:b/>
          <w:shd w:val="clear" w:color="auto" w:fill="FDE9D9" w:themeFill="accent6" w:themeFillTint="33"/>
        </w:rPr>
        <w:t>vs surgery/pharmaceuticals</w:t>
      </w:r>
      <w:r w:rsidR="00F81104" w:rsidRPr="007D1918">
        <w:rPr>
          <w:b/>
          <w:shd w:val="clear" w:color="auto" w:fill="FDE9D9" w:themeFill="accent6" w:themeFillTint="33"/>
        </w:rPr>
        <w:t xml:space="preserve"> shaded orange</w:t>
      </w:r>
      <w:r w:rsidR="00F81104" w:rsidRPr="007D1918">
        <w:rPr>
          <w:b/>
        </w:rPr>
        <w:t>.</w:t>
      </w:r>
    </w:p>
    <w:p w14:paraId="14DD5DCA" w14:textId="77777777" w:rsidR="00F81104" w:rsidRPr="007D1918" w:rsidRDefault="00F81104" w:rsidP="00F81104">
      <w:pPr>
        <w:pStyle w:val="Tablenotes0"/>
        <w:spacing w:after="40"/>
        <w:contextualSpacing w:val="0"/>
      </w:pPr>
    </w:p>
    <w:p w14:paraId="352F4190" w14:textId="6ECC7716" w:rsidR="008747C1" w:rsidRPr="007D1918" w:rsidRDefault="008747C1" w:rsidP="008747C1">
      <w:pPr>
        <w:jc w:val="both"/>
      </w:pPr>
      <w:r w:rsidRPr="007D1918">
        <w:t xml:space="preserve">Based on the decision algorithm, full cost-utility analysis would occur for Indication 1. This has been undertaken however it should be noted that data on safety differences is based on limited patient numbers with little clinical information and no </w:t>
      </w:r>
      <w:r w:rsidR="002A2637" w:rsidRPr="007D1918">
        <w:t xml:space="preserve">long-term follow-up or </w:t>
      </w:r>
      <w:r w:rsidRPr="007D1918">
        <w:t xml:space="preserve">quality of life information. The cost utility analysis required </w:t>
      </w:r>
      <w:r w:rsidR="002A2637" w:rsidRPr="007D1918">
        <w:t xml:space="preserve">extrapolation and </w:t>
      </w:r>
      <w:r w:rsidRPr="007D1918">
        <w:t xml:space="preserve">transformations to estimate utilities (and therefore QALY differences) and these were not considered particularly accurate. </w:t>
      </w:r>
    </w:p>
    <w:p w14:paraId="70F313EA" w14:textId="47EAFDB0" w:rsidR="008747C1" w:rsidRPr="007D1918" w:rsidRDefault="008747C1" w:rsidP="008747C1">
      <w:pPr>
        <w:jc w:val="both"/>
      </w:pPr>
      <w:r w:rsidRPr="007D1918">
        <w:t>For Indication 2, based on the decision algorithm, a cost analysis is appropriate.</w:t>
      </w:r>
    </w:p>
    <w:p w14:paraId="4EC1F8D6" w14:textId="0EBCC848" w:rsidR="00CC1D82" w:rsidRPr="007D1918" w:rsidRDefault="008747C1" w:rsidP="008747C1">
      <w:pPr>
        <w:jc w:val="both"/>
      </w:pPr>
      <w:r w:rsidRPr="007D1918">
        <w:t xml:space="preserve">For Indication 3, based on the decision algorithm, a cost-minimisation analysis is appropriate for the comparison with PE, but only </w:t>
      </w:r>
      <w:r w:rsidR="00D93C9E" w:rsidRPr="007D1918">
        <w:t xml:space="preserve">a </w:t>
      </w:r>
      <w:r w:rsidRPr="007D1918">
        <w:t xml:space="preserve">non-comparative cost-analysis (noting that the results cannot inform cost-effectiveness) can be provided for all other comparators, noting </w:t>
      </w:r>
      <w:r w:rsidR="00912619" w:rsidRPr="007D1918">
        <w:t xml:space="preserve">there was insufficient evidence to </w:t>
      </w:r>
      <w:r w:rsidRPr="007D1918">
        <w:t xml:space="preserve"> assume equivalence between treatments. </w:t>
      </w:r>
      <w:r w:rsidR="00AC25A1" w:rsidRPr="007D1918">
        <w:t>At the request of the Ig Reference Group and their advice that PE is less safe than Ig (due to septicaemia associated with central line access)</w:t>
      </w:r>
      <w:r w:rsidR="009262BB" w:rsidRPr="007D1918">
        <w:t>,</w:t>
      </w:r>
      <w:r w:rsidR="00AC25A1" w:rsidRPr="007D1918">
        <w:t xml:space="preserve"> a</w:t>
      </w:r>
      <w:r w:rsidRPr="007D1918">
        <w:t xml:space="preserve"> supplementary, exploratory cost-utility analysis </w:t>
      </w:r>
      <w:r w:rsidR="00AC25A1" w:rsidRPr="007D1918">
        <w:t>was</w:t>
      </w:r>
      <w:r w:rsidRPr="007D1918">
        <w:t>undertaken</w:t>
      </w:r>
      <w:r w:rsidR="00AC25A1" w:rsidRPr="007D1918">
        <w:t xml:space="preserve">. </w:t>
      </w:r>
      <w:r w:rsidRPr="007D1918">
        <w:t xml:space="preserve"> </w:t>
      </w:r>
      <w:r w:rsidR="00AC25A1" w:rsidRPr="007D1918">
        <w:t>However</w:t>
      </w:r>
      <w:r w:rsidR="009262BB" w:rsidRPr="007D1918">
        <w:t>,</w:t>
      </w:r>
      <w:r w:rsidR="00AC25A1" w:rsidRPr="007D1918">
        <w:t xml:space="preserve"> caution should be made in interpreting the results of this </w:t>
      </w:r>
      <w:r w:rsidR="00077D4B" w:rsidRPr="007D1918">
        <w:t>exploratory analysis</w:t>
      </w:r>
      <w:r w:rsidR="00AC25A1" w:rsidRPr="007D1918">
        <w:t xml:space="preserve">, as it is </w:t>
      </w:r>
      <w:r w:rsidR="009925BC" w:rsidRPr="007D1918">
        <w:t>based on</w:t>
      </w:r>
      <w:r w:rsidRPr="007D1918">
        <w:t xml:space="preserve"> inadequate evidence</w:t>
      </w:r>
      <w:r w:rsidR="009262BB" w:rsidRPr="007D1918">
        <w:t xml:space="preserve"> and should not</w:t>
      </w:r>
      <w:r w:rsidRPr="007D1918">
        <w:t xml:space="preserve"> be relied upon as a base case in decision-making.</w:t>
      </w:r>
    </w:p>
    <w:p w14:paraId="0273F80C" w14:textId="77777777" w:rsidR="005A5EC8" w:rsidRPr="007D1918" w:rsidRDefault="005A5EC8" w:rsidP="00CE3A8B">
      <w:pPr>
        <w:pStyle w:val="Heading2"/>
        <w:numPr>
          <w:ilvl w:val="3"/>
          <w:numId w:val="11"/>
        </w:numPr>
      </w:pPr>
      <w:bookmarkStart w:id="368" w:name="_Toc381796477"/>
      <w:bookmarkStart w:id="369" w:name="_Toc23766993"/>
      <w:r w:rsidRPr="007D1918">
        <w:t>Populations and settings</w:t>
      </w:r>
      <w:bookmarkEnd w:id="368"/>
      <w:bookmarkEnd w:id="369"/>
    </w:p>
    <w:p w14:paraId="2CF537E3" w14:textId="2C7D9B95" w:rsidR="008747C1" w:rsidRPr="007D1918" w:rsidRDefault="008747C1" w:rsidP="008747C1">
      <w:pPr>
        <w:jc w:val="both"/>
      </w:pPr>
      <w:bookmarkStart w:id="370" w:name="_Toc381796478"/>
      <w:r w:rsidRPr="007D1918">
        <w:t xml:space="preserve">The populations in the economic analysis are intended to represent the Australian population with MG who meet the BloodSTAR </w:t>
      </w:r>
      <w:r w:rsidRPr="007D1918">
        <w:rPr>
          <w:i/>
        </w:rPr>
        <w:t>Criteria V3</w:t>
      </w:r>
      <w:r w:rsidRPr="007D1918">
        <w:t xml:space="preserve"> and are currently eligible for Ig. Demographic data on the patients currently accessing IVIg for MG in Australia has been provided by the NBA and Department of Health and indicates that patient ages currently range between 5 and 97 years, with an average patient age of 62 years. The average patient weight is </w:t>
      </w:r>
      <w:r w:rsidR="00B161A6" w:rsidRPr="007D1918">
        <w:t>81</w:t>
      </w:r>
      <w:r w:rsidRPr="007D1918">
        <w:t xml:space="preserve">kg (data sourced from the 'HTA Data April2019.xlsx' workbook provided by the </w:t>
      </w:r>
      <w:r w:rsidR="00CD7403">
        <w:t>NBA</w:t>
      </w:r>
      <w:r w:rsidRPr="007D1918">
        <w:t>).</w:t>
      </w:r>
    </w:p>
    <w:p w14:paraId="566DBEDA" w14:textId="77777777" w:rsidR="008747C1" w:rsidRPr="007D1918" w:rsidRDefault="008747C1" w:rsidP="008747C1">
      <w:pPr>
        <w:jc w:val="both"/>
      </w:pPr>
      <w:r w:rsidRPr="007D1918">
        <w:t xml:space="preserve">The estimations of average Immunoglobulin use (i.e. per dose and total use) for the MG population is directly sourced from the BloodSTAR database and therefore is directly applicable in terms of population and setting, however these data have not been divided into the three indications being considered, therefore assumptions have been made on the distribution of usage. All Australian patients receiving Ig for MG receive it intravenously, therefore a medically supervised setting (inpatient or day stay) is assumed. </w:t>
      </w:r>
    </w:p>
    <w:p w14:paraId="5F68201F" w14:textId="6BA6EA46" w:rsidR="008747C1" w:rsidRPr="007D1918" w:rsidRDefault="008747C1" w:rsidP="008747C1">
      <w:pPr>
        <w:jc w:val="both"/>
      </w:pPr>
      <w:r w:rsidRPr="007D1918">
        <w:t>The estimations of comparator use however are modelled based on data sourced from clinical trials with various populations and settings, therefore the applicability of these data is less certain. A summary of the populations in other data sources is described below with an assessment of applicability. For Indication 1, the severity of acute crisis necessitates hospitalisation and an ICU setting is assumed. For Indication 2, the context is preceding surgery</w:t>
      </w:r>
      <w:r w:rsidR="004063C5" w:rsidRPr="007D1918">
        <w:t>,</w:t>
      </w:r>
      <w:r w:rsidRPr="007D1918">
        <w:t xml:space="preserve"> therefore an in-patient setting is assumed for both the intervention and the comparator. For Indication 3, ongoing maintenance treatment is assumed to be undertaken on an outpatient basis.</w:t>
      </w:r>
    </w:p>
    <w:p w14:paraId="44E92542" w14:textId="38A5283E" w:rsidR="00AD4851" w:rsidRPr="007D1918" w:rsidRDefault="00AD4851" w:rsidP="008747C1">
      <w:pPr>
        <w:jc w:val="both"/>
      </w:pPr>
      <w:r w:rsidRPr="007D1918">
        <w:lastRenderedPageBreak/>
        <w:br w:type="page"/>
      </w:r>
    </w:p>
    <w:p w14:paraId="4A976ECA" w14:textId="77777777" w:rsidR="005A5EC8" w:rsidRPr="007D1918" w:rsidRDefault="005A5EC8" w:rsidP="00CE3A8B">
      <w:pPr>
        <w:pStyle w:val="Heading2"/>
        <w:numPr>
          <w:ilvl w:val="3"/>
          <w:numId w:val="11"/>
        </w:numPr>
      </w:pPr>
      <w:bookmarkStart w:id="371" w:name="_Toc23766994"/>
      <w:r w:rsidRPr="007D1918">
        <w:lastRenderedPageBreak/>
        <w:t>Structure and rationale of the economic evaluation</w:t>
      </w:r>
      <w:bookmarkEnd w:id="370"/>
      <w:bookmarkEnd w:id="371"/>
    </w:p>
    <w:p w14:paraId="53A8A3AF" w14:textId="77777777" w:rsidR="001C184A" w:rsidRPr="007D1918" w:rsidRDefault="001C184A" w:rsidP="001C184A">
      <w:r w:rsidRPr="007D1918">
        <w:t xml:space="preserve">A summary of the key characteristics of the economic evaluations is given in </w:t>
      </w:r>
      <w:r w:rsidRPr="007D1918">
        <w:fldChar w:fldCharType="begin"/>
      </w:r>
      <w:r w:rsidRPr="007D1918">
        <w:instrText xml:space="preserve"> REF _Ref395196756 \h  \* MERGEFORMAT </w:instrText>
      </w:r>
      <w:r w:rsidRPr="007D1918">
        <w:fldChar w:fldCharType="separate"/>
      </w:r>
      <w:r w:rsidR="00AA6011" w:rsidRPr="007D1918">
        <w:t xml:space="preserve">Table </w:t>
      </w:r>
      <w:r w:rsidR="00AA6011" w:rsidRPr="007D1918">
        <w:rPr>
          <w:noProof/>
        </w:rPr>
        <w:t>60</w:t>
      </w:r>
      <w:r w:rsidRPr="007D1918">
        <w:fldChar w:fldCharType="end"/>
      </w:r>
      <w:r w:rsidRPr="007D1918">
        <w:t>.</w:t>
      </w:r>
    </w:p>
    <w:p w14:paraId="1C2D7ABA" w14:textId="77777777" w:rsidR="008747C1" w:rsidRPr="007D1918" w:rsidRDefault="008747C1" w:rsidP="008747C1">
      <w:pPr>
        <w:pStyle w:val="Caption"/>
        <w:keepNext/>
        <w:keepLines/>
        <w:tabs>
          <w:tab w:val="left" w:pos="1134"/>
        </w:tabs>
        <w:ind w:left="1134" w:hanging="1134"/>
        <w:jc w:val="both"/>
      </w:pPr>
      <w:bookmarkStart w:id="372" w:name="_Ref395196756"/>
      <w:bookmarkStart w:id="373" w:name="_Toc13142370"/>
      <w:bookmarkStart w:id="374" w:name="_Toc15561965"/>
      <w:bookmarkStart w:id="375" w:name="_Toc2376954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60</w:t>
      </w:r>
      <w:r w:rsidRPr="007D1918">
        <w:rPr>
          <w:noProof/>
        </w:rPr>
        <w:fldChar w:fldCharType="end"/>
      </w:r>
      <w:bookmarkEnd w:id="372"/>
      <w:r w:rsidRPr="007D1918">
        <w:tab/>
        <w:t>Summary of the economic evaluation</w:t>
      </w:r>
      <w:bookmarkEnd w:id="373"/>
      <w:r w:rsidRPr="007D1918">
        <w:t>s</w:t>
      </w:r>
      <w:bookmarkEnd w:id="374"/>
      <w:bookmarkEnd w:id="375"/>
      <w:r w:rsidRPr="007D1918">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le 20 Summary of the economic evaluation"/>
        <w:tblDescription w:val="This table describes the key constructs of the economic evaluation that is provided in the assessment report."/>
      </w:tblPr>
      <w:tblGrid>
        <w:gridCol w:w="1989"/>
        <w:gridCol w:w="2344"/>
        <w:gridCol w:w="2344"/>
        <w:gridCol w:w="2344"/>
      </w:tblGrid>
      <w:tr w:rsidR="008747C1" w:rsidRPr="007D1918" w14:paraId="0485DC38"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tcPr>
          <w:p w14:paraId="17C9F502" w14:textId="77777777" w:rsidR="008747C1" w:rsidRPr="007D1918" w:rsidRDefault="008747C1" w:rsidP="00153384">
            <w:pPr>
              <w:pStyle w:val="Tabletext1"/>
              <w:keepNext/>
              <w:keepLines/>
              <w:rPr>
                <w:b/>
                <w:color w:val="000000" w:themeColor="text1"/>
              </w:rPr>
            </w:pPr>
          </w:p>
        </w:tc>
        <w:tc>
          <w:tcPr>
            <w:tcW w:w="2344" w:type="dxa"/>
            <w:tcBorders>
              <w:top w:val="single" w:sz="4" w:space="0" w:color="auto"/>
              <w:left w:val="single" w:sz="4" w:space="0" w:color="auto"/>
              <w:bottom w:val="single" w:sz="4" w:space="0" w:color="auto"/>
              <w:right w:val="single" w:sz="4" w:space="0" w:color="auto"/>
            </w:tcBorders>
          </w:tcPr>
          <w:p w14:paraId="39C9137C" w14:textId="77777777" w:rsidR="008747C1" w:rsidRPr="007D1918" w:rsidRDefault="008747C1" w:rsidP="00153384">
            <w:pPr>
              <w:pStyle w:val="TableHeading"/>
              <w:keepLines/>
            </w:pPr>
            <w:r w:rsidRPr="007D1918">
              <w:t>Indication 1</w:t>
            </w:r>
          </w:p>
          <w:p w14:paraId="71FD5A01" w14:textId="77777777" w:rsidR="008747C1" w:rsidRPr="007D1918" w:rsidRDefault="008747C1" w:rsidP="00153384">
            <w:pPr>
              <w:pStyle w:val="Tabletext1"/>
              <w:keepNext/>
              <w:keepLines/>
            </w:pPr>
            <w:r w:rsidRPr="007D1918">
              <w:t>MG crisis</w:t>
            </w:r>
          </w:p>
        </w:tc>
        <w:tc>
          <w:tcPr>
            <w:tcW w:w="2344" w:type="dxa"/>
            <w:tcBorders>
              <w:top w:val="single" w:sz="4" w:space="0" w:color="auto"/>
              <w:left w:val="single" w:sz="4" w:space="0" w:color="auto"/>
              <w:bottom w:val="single" w:sz="4" w:space="0" w:color="auto"/>
              <w:right w:val="single" w:sz="4" w:space="0" w:color="auto"/>
            </w:tcBorders>
          </w:tcPr>
          <w:p w14:paraId="1F72D007" w14:textId="77777777" w:rsidR="008747C1" w:rsidRPr="007D1918" w:rsidRDefault="008747C1" w:rsidP="00153384">
            <w:pPr>
              <w:pStyle w:val="TableHeading"/>
              <w:keepLines/>
            </w:pPr>
            <w:r w:rsidRPr="007D1918">
              <w:t>Indication 2</w:t>
            </w:r>
          </w:p>
          <w:p w14:paraId="12A3532B" w14:textId="77777777" w:rsidR="008747C1" w:rsidRPr="007D1918" w:rsidRDefault="008747C1" w:rsidP="00153384">
            <w:pPr>
              <w:pStyle w:val="Tabletext1"/>
              <w:keepNext/>
              <w:keepLines/>
            </w:pPr>
            <w:r w:rsidRPr="007D1918">
              <w:t>MG patients pre-surgery</w:t>
            </w:r>
          </w:p>
        </w:tc>
        <w:tc>
          <w:tcPr>
            <w:tcW w:w="2344" w:type="dxa"/>
            <w:tcBorders>
              <w:top w:val="single" w:sz="4" w:space="0" w:color="auto"/>
              <w:left w:val="single" w:sz="4" w:space="0" w:color="auto"/>
              <w:bottom w:val="single" w:sz="4" w:space="0" w:color="auto"/>
              <w:right w:val="single" w:sz="4" w:space="0" w:color="auto"/>
            </w:tcBorders>
          </w:tcPr>
          <w:p w14:paraId="1EBA5C0F" w14:textId="77777777" w:rsidR="008747C1" w:rsidRPr="007D1918" w:rsidRDefault="008747C1" w:rsidP="00153384">
            <w:pPr>
              <w:pStyle w:val="TableHeading"/>
              <w:keepLines/>
            </w:pPr>
            <w:r w:rsidRPr="007D1918">
              <w:t>Indication 3</w:t>
            </w:r>
          </w:p>
          <w:p w14:paraId="6E6A7134" w14:textId="77777777" w:rsidR="008747C1" w:rsidRPr="007D1918" w:rsidRDefault="008747C1" w:rsidP="00153384">
            <w:pPr>
              <w:pStyle w:val="Tabletext1"/>
              <w:keepNext/>
              <w:keepLines/>
            </w:pPr>
            <w:r w:rsidRPr="007D1918">
              <w:t>Maintenance in refractory MG disease</w:t>
            </w:r>
          </w:p>
        </w:tc>
      </w:tr>
      <w:tr w:rsidR="008747C1" w:rsidRPr="007D1918" w14:paraId="6B80B1D0"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tcPr>
          <w:p w14:paraId="1E5DFB6E" w14:textId="77777777" w:rsidR="008747C1" w:rsidRPr="007D1918" w:rsidRDefault="008747C1" w:rsidP="00153384">
            <w:pPr>
              <w:pStyle w:val="Tabletext1"/>
              <w:keepNext/>
              <w:keepLines/>
              <w:rPr>
                <w:b/>
                <w:color w:val="000000" w:themeColor="text1"/>
              </w:rPr>
            </w:pPr>
            <w:r w:rsidRPr="007D1918">
              <w:rPr>
                <w:b/>
                <w:color w:val="000000" w:themeColor="text1"/>
              </w:rPr>
              <w:t>Perspective</w:t>
            </w:r>
          </w:p>
        </w:tc>
        <w:tc>
          <w:tcPr>
            <w:tcW w:w="2344" w:type="dxa"/>
            <w:tcBorders>
              <w:top w:val="single" w:sz="4" w:space="0" w:color="auto"/>
              <w:left w:val="single" w:sz="4" w:space="0" w:color="auto"/>
              <w:bottom w:val="single" w:sz="4" w:space="0" w:color="auto"/>
              <w:right w:val="single" w:sz="4" w:space="0" w:color="auto"/>
            </w:tcBorders>
          </w:tcPr>
          <w:p w14:paraId="16836F73" w14:textId="77777777" w:rsidR="008747C1" w:rsidRPr="007D1918" w:rsidRDefault="008747C1" w:rsidP="00153384">
            <w:pPr>
              <w:pStyle w:val="Tabletext1"/>
              <w:keepNext/>
              <w:keepLines/>
            </w:pPr>
            <w:r w:rsidRPr="007D1918">
              <w:t>Healthcare system</w:t>
            </w:r>
          </w:p>
        </w:tc>
        <w:tc>
          <w:tcPr>
            <w:tcW w:w="2344" w:type="dxa"/>
            <w:tcBorders>
              <w:top w:val="single" w:sz="4" w:space="0" w:color="auto"/>
              <w:left w:val="single" w:sz="4" w:space="0" w:color="auto"/>
              <w:bottom w:val="single" w:sz="4" w:space="0" w:color="auto"/>
              <w:right w:val="single" w:sz="4" w:space="0" w:color="auto"/>
            </w:tcBorders>
          </w:tcPr>
          <w:p w14:paraId="4B574301" w14:textId="77777777" w:rsidR="008747C1" w:rsidRPr="007D1918" w:rsidRDefault="008747C1" w:rsidP="00153384">
            <w:pPr>
              <w:pStyle w:val="Tabletext1"/>
              <w:keepNext/>
              <w:keepLines/>
            </w:pPr>
            <w:r w:rsidRPr="007D1918">
              <w:t>Healthcare system</w:t>
            </w:r>
          </w:p>
        </w:tc>
        <w:tc>
          <w:tcPr>
            <w:tcW w:w="2344" w:type="dxa"/>
            <w:tcBorders>
              <w:top w:val="single" w:sz="4" w:space="0" w:color="auto"/>
              <w:left w:val="single" w:sz="4" w:space="0" w:color="auto"/>
              <w:bottom w:val="single" w:sz="4" w:space="0" w:color="auto"/>
              <w:right w:val="single" w:sz="4" w:space="0" w:color="auto"/>
            </w:tcBorders>
          </w:tcPr>
          <w:p w14:paraId="6DB247FD" w14:textId="77777777" w:rsidR="008747C1" w:rsidRPr="007D1918" w:rsidRDefault="008747C1" w:rsidP="00153384">
            <w:pPr>
              <w:pStyle w:val="Tabletext1"/>
              <w:keepNext/>
              <w:keepLines/>
            </w:pPr>
            <w:r w:rsidRPr="007D1918">
              <w:t>Healthcare system</w:t>
            </w:r>
          </w:p>
        </w:tc>
      </w:tr>
      <w:tr w:rsidR="008747C1" w:rsidRPr="007D1918" w14:paraId="7794A027"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tcPr>
          <w:p w14:paraId="433270F9" w14:textId="77777777" w:rsidR="008747C1" w:rsidRPr="007D1918" w:rsidRDefault="008747C1" w:rsidP="00153384">
            <w:pPr>
              <w:pStyle w:val="Tabletext1"/>
              <w:rPr>
                <w:b/>
                <w:color w:val="000000" w:themeColor="text1"/>
              </w:rPr>
            </w:pPr>
            <w:r w:rsidRPr="007D1918">
              <w:rPr>
                <w:b/>
                <w:color w:val="000000" w:themeColor="text1"/>
              </w:rPr>
              <w:t>Comparator</w:t>
            </w:r>
          </w:p>
        </w:tc>
        <w:tc>
          <w:tcPr>
            <w:tcW w:w="2344" w:type="dxa"/>
            <w:tcBorders>
              <w:top w:val="single" w:sz="4" w:space="0" w:color="auto"/>
              <w:left w:val="single" w:sz="4" w:space="0" w:color="auto"/>
              <w:bottom w:val="single" w:sz="4" w:space="0" w:color="auto"/>
              <w:right w:val="single" w:sz="4" w:space="0" w:color="auto"/>
            </w:tcBorders>
          </w:tcPr>
          <w:p w14:paraId="0124D667" w14:textId="77777777" w:rsidR="008747C1" w:rsidRPr="007D1918" w:rsidRDefault="008747C1" w:rsidP="00153384">
            <w:pPr>
              <w:pStyle w:val="Tabletext1"/>
            </w:pPr>
            <w:r w:rsidRPr="007D1918">
              <w:t>PE</w:t>
            </w:r>
          </w:p>
        </w:tc>
        <w:tc>
          <w:tcPr>
            <w:tcW w:w="2344" w:type="dxa"/>
            <w:tcBorders>
              <w:top w:val="single" w:sz="4" w:space="0" w:color="auto"/>
              <w:left w:val="single" w:sz="4" w:space="0" w:color="auto"/>
              <w:bottom w:val="single" w:sz="4" w:space="0" w:color="auto"/>
              <w:right w:val="single" w:sz="4" w:space="0" w:color="auto"/>
            </w:tcBorders>
          </w:tcPr>
          <w:p w14:paraId="7D41EE01" w14:textId="77777777" w:rsidR="008747C1" w:rsidRPr="007D1918" w:rsidRDefault="008747C1" w:rsidP="00153384">
            <w:pPr>
              <w:pStyle w:val="Tabletext1"/>
            </w:pPr>
            <w:r w:rsidRPr="007D1918">
              <w:t>PE</w:t>
            </w:r>
          </w:p>
        </w:tc>
        <w:tc>
          <w:tcPr>
            <w:tcW w:w="2344" w:type="dxa"/>
            <w:tcBorders>
              <w:top w:val="single" w:sz="4" w:space="0" w:color="auto"/>
              <w:left w:val="single" w:sz="4" w:space="0" w:color="auto"/>
              <w:bottom w:val="single" w:sz="4" w:space="0" w:color="auto"/>
              <w:right w:val="single" w:sz="4" w:space="0" w:color="auto"/>
            </w:tcBorders>
          </w:tcPr>
          <w:p w14:paraId="65548C3B" w14:textId="77777777" w:rsidR="008747C1" w:rsidRPr="007D1918" w:rsidRDefault="008747C1" w:rsidP="00153384">
            <w:pPr>
              <w:pStyle w:val="Tabletext1"/>
            </w:pPr>
            <w:r w:rsidRPr="007D1918">
              <w:t>Various pharmacological treatments (anticholinesterases, immunomodulation), surgery or PE</w:t>
            </w:r>
          </w:p>
        </w:tc>
      </w:tr>
      <w:tr w:rsidR="008747C1" w:rsidRPr="007D1918" w14:paraId="6F2A89BD"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tcPr>
          <w:p w14:paraId="1BD0E784" w14:textId="77777777" w:rsidR="008747C1" w:rsidRPr="007D1918" w:rsidRDefault="008747C1" w:rsidP="00153384">
            <w:pPr>
              <w:pStyle w:val="Tabletext1"/>
              <w:rPr>
                <w:b/>
                <w:color w:val="000000" w:themeColor="text1"/>
              </w:rPr>
            </w:pPr>
            <w:r w:rsidRPr="007D1918">
              <w:rPr>
                <w:b/>
                <w:color w:val="000000" w:themeColor="text1"/>
              </w:rPr>
              <w:t>Type of economic evaluation</w:t>
            </w:r>
          </w:p>
        </w:tc>
        <w:tc>
          <w:tcPr>
            <w:tcW w:w="2344" w:type="dxa"/>
            <w:tcBorders>
              <w:top w:val="single" w:sz="4" w:space="0" w:color="auto"/>
              <w:left w:val="single" w:sz="4" w:space="0" w:color="auto"/>
              <w:bottom w:val="single" w:sz="4" w:space="0" w:color="auto"/>
              <w:right w:val="single" w:sz="4" w:space="0" w:color="auto"/>
            </w:tcBorders>
          </w:tcPr>
          <w:p w14:paraId="384E636F" w14:textId="1DC12666" w:rsidR="008747C1" w:rsidRPr="007D1918" w:rsidRDefault="008747C1" w:rsidP="00153384">
            <w:pPr>
              <w:pStyle w:val="Tabletext1"/>
            </w:pPr>
            <w:r w:rsidRPr="007D1918">
              <w:t>Cost-utility analysis</w:t>
            </w:r>
          </w:p>
          <w:p w14:paraId="324960CF" w14:textId="77777777" w:rsidR="008747C1" w:rsidRPr="007D1918" w:rsidRDefault="008747C1" w:rsidP="00153384">
            <w:pPr>
              <w:pStyle w:val="Tabletext1"/>
            </w:pPr>
            <w:r w:rsidRPr="007D1918">
              <w:t>Cost-consequences analysis</w:t>
            </w:r>
          </w:p>
        </w:tc>
        <w:tc>
          <w:tcPr>
            <w:tcW w:w="2344" w:type="dxa"/>
            <w:tcBorders>
              <w:top w:val="single" w:sz="4" w:space="0" w:color="auto"/>
              <w:left w:val="single" w:sz="4" w:space="0" w:color="auto"/>
              <w:bottom w:val="single" w:sz="4" w:space="0" w:color="auto"/>
              <w:right w:val="single" w:sz="4" w:space="0" w:color="auto"/>
            </w:tcBorders>
          </w:tcPr>
          <w:p w14:paraId="4413A39D" w14:textId="77777777" w:rsidR="008747C1" w:rsidRPr="007D1918" w:rsidRDefault="008747C1" w:rsidP="00153384">
            <w:pPr>
              <w:pStyle w:val="Tabletext1"/>
            </w:pPr>
            <w:r w:rsidRPr="007D1918">
              <w:t>Cost-analysis</w:t>
            </w:r>
          </w:p>
        </w:tc>
        <w:tc>
          <w:tcPr>
            <w:tcW w:w="2344" w:type="dxa"/>
            <w:tcBorders>
              <w:top w:val="single" w:sz="4" w:space="0" w:color="auto"/>
              <w:left w:val="single" w:sz="4" w:space="0" w:color="auto"/>
              <w:bottom w:val="single" w:sz="4" w:space="0" w:color="auto"/>
              <w:right w:val="single" w:sz="4" w:space="0" w:color="auto"/>
            </w:tcBorders>
          </w:tcPr>
          <w:p w14:paraId="0CCC2618" w14:textId="77777777" w:rsidR="008747C1" w:rsidRPr="007D1918" w:rsidRDefault="008747C1" w:rsidP="00153384">
            <w:pPr>
              <w:pStyle w:val="Tabletext1"/>
            </w:pPr>
            <w:r w:rsidRPr="007D1918">
              <w:t>Individual non-comparative cost-analyses.</w:t>
            </w:r>
          </w:p>
          <w:p w14:paraId="4078A3A3" w14:textId="4A619C97" w:rsidR="00AD42C9" w:rsidRPr="007D1918" w:rsidRDefault="00AD42C9" w:rsidP="00153384">
            <w:pPr>
              <w:pStyle w:val="Tabletext1"/>
            </w:pPr>
            <w:r w:rsidRPr="007D1918">
              <w:t xml:space="preserve">Exploratory cost-utility analysis </w:t>
            </w:r>
            <w:r w:rsidR="00C90CB9" w:rsidRPr="007D1918">
              <w:t xml:space="preserve">of </w:t>
            </w:r>
            <w:r w:rsidRPr="007D1918">
              <w:t>IVIg vs PE.</w:t>
            </w:r>
          </w:p>
        </w:tc>
      </w:tr>
      <w:tr w:rsidR="008747C1" w:rsidRPr="007D1918" w14:paraId="4403F6D1"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tcPr>
          <w:p w14:paraId="4DF31C95" w14:textId="77777777" w:rsidR="008747C1" w:rsidRPr="007D1918" w:rsidRDefault="008747C1" w:rsidP="00153384">
            <w:pPr>
              <w:pStyle w:val="Tabletext1"/>
              <w:rPr>
                <w:b/>
              </w:rPr>
            </w:pPr>
            <w:r w:rsidRPr="007D1918">
              <w:rPr>
                <w:b/>
              </w:rPr>
              <w:t>Sources of evidence</w:t>
            </w:r>
          </w:p>
        </w:tc>
        <w:tc>
          <w:tcPr>
            <w:tcW w:w="2344" w:type="dxa"/>
            <w:tcBorders>
              <w:top w:val="single" w:sz="4" w:space="0" w:color="auto"/>
              <w:left w:val="single" w:sz="4" w:space="0" w:color="auto"/>
              <w:bottom w:val="single" w:sz="4" w:space="0" w:color="auto"/>
              <w:right w:val="single" w:sz="4" w:space="0" w:color="auto"/>
            </w:tcBorders>
          </w:tcPr>
          <w:p w14:paraId="029C62F7" w14:textId="77777777" w:rsidR="008747C1" w:rsidRPr="007D1918" w:rsidRDefault="008747C1" w:rsidP="00153384">
            <w:pPr>
              <w:pStyle w:val="Tabletext1"/>
            </w:pPr>
            <w:r w:rsidRPr="007D1918">
              <w:t xml:space="preserve">Gajdos 1997 is the basis of the clinical outcomes (single RCT detailed in </w:t>
            </w:r>
            <w:r w:rsidRPr="007D1918">
              <w:rPr>
                <w:i/>
              </w:rPr>
              <w:t>Section B</w:t>
            </w:r>
            <w:r w:rsidRPr="007D1918">
              <w:t>).</w:t>
            </w:r>
          </w:p>
          <w:p w14:paraId="448D413F" w14:textId="77777777" w:rsidR="008747C1" w:rsidRPr="007D1918" w:rsidRDefault="008747C1" w:rsidP="00153384">
            <w:pPr>
              <w:pStyle w:val="Tabletext1"/>
            </w:pPr>
            <w:r w:rsidRPr="007D1918">
              <w:t>Multiple additional references for utility values and to inform resource requirements (see C.4, D.4)</w:t>
            </w:r>
          </w:p>
        </w:tc>
        <w:tc>
          <w:tcPr>
            <w:tcW w:w="2344" w:type="dxa"/>
            <w:tcBorders>
              <w:top w:val="single" w:sz="4" w:space="0" w:color="auto"/>
              <w:left w:val="single" w:sz="4" w:space="0" w:color="auto"/>
              <w:bottom w:val="single" w:sz="4" w:space="0" w:color="auto"/>
              <w:right w:val="single" w:sz="4" w:space="0" w:color="auto"/>
            </w:tcBorders>
          </w:tcPr>
          <w:p w14:paraId="7A0CEB79" w14:textId="77777777" w:rsidR="008747C1" w:rsidRPr="007D1918" w:rsidRDefault="002814BF" w:rsidP="00153384">
            <w:pPr>
              <w:pStyle w:val="Tabletext1"/>
            </w:pPr>
            <w:hyperlink w:anchor="_ENREF_3" w:tooltip="Alipour-Faz, 2017 #30" w:history="1">
              <w:r w:rsidR="008747C1" w:rsidRPr="007D1918">
                <w:t>Alipour-Faz et al. 2017</w:t>
              </w:r>
            </w:hyperlink>
            <w:r w:rsidR="008747C1" w:rsidRPr="007D1918">
              <w:t xml:space="preserve"> is the basis of the clinical outcomes (single RCT identified in Systematic Review in </w:t>
            </w:r>
            <w:r w:rsidR="008747C1" w:rsidRPr="007D1918">
              <w:rPr>
                <w:i/>
              </w:rPr>
              <w:t>Section B</w:t>
            </w:r>
            <w:r w:rsidR="008747C1" w:rsidRPr="007D1918">
              <w:t>).</w:t>
            </w:r>
          </w:p>
        </w:tc>
        <w:tc>
          <w:tcPr>
            <w:tcW w:w="2344" w:type="dxa"/>
            <w:tcBorders>
              <w:top w:val="single" w:sz="4" w:space="0" w:color="auto"/>
              <w:left w:val="single" w:sz="4" w:space="0" w:color="auto"/>
              <w:bottom w:val="single" w:sz="4" w:space="0" w:color="auto"/>
              <w:right w:val="single" w:sz="4" w:space="0" w:color="auto"/>
            </w:tcBorders>
          </w:tcPr>
          <w:p w14:paraId="5CB26CC7" w14:textId="77777777" w:rsidR="008747C1" w:rsidRPr="007D1918" w:rsidRDefault="008747C1" w:rsidP="00153384">
            <w:pPr>
              <w:pStyle w:val="Tabletext1"/>
            </w:pPr>
            <w:r w:rsidRPr="007D1918">
              <w:t xml:space="preserve">Various sources (no RCTs for most comparators in Systematic Review, </w:t>
            </w:r>
            <w:r w:rsidRPr="007D1918">
              <w:rPr>
                <w:i/>
              </w:rPr>
              <w:t>Section B</w:t>
            </w:r>
            <w:r w:rsidRPr="007D1918">
              <w:t>). Sources detailed in D.4</w:t>
            </w:r>
          </w:p>
        </w:tc>
      </w:tr>
      <w:tr w:rsidR="008747C1" w:rsidRPr="007D1918" w14:paraId="6A5D71D6"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hideMark/>
          </w:tcPr>
          <w:p w14:paraId="672098AC" w14:textId="77777777" w:rsidR="008747C1" w:rsidRPr="007D1918" w:rsidRDefault="008747C1" w:rsidP="00153384">
            <w:pPr>
              <w:pStyle w:val="Tabletext1"/>
              <w:rPr>
                <w:b/>
              </w:rPr>
            </w:pPr>
            <w:r w:rsidRPr="007D1918">
              <w:rPr>
                <w:b/>
              </w:rPr>
              <w:t>Time horizon</w:t>
            </w:r>
          </w:p>
        </w:tc>
        <w:tc>
          <w:tcPr>
            <w:tcW w:w="2344" w:type="dxa"/>
            <w:tcBorders>
              <w:top w:val="single" w:sz="4" w:space="0" w:color="auto"/>
              <w:left w:val="single" w:sz="4" w:space="0" w:color="auto"/>
              <w:bottom w:val="single" w:sz="4" w:space="0" w:color="auto"/>
              <w:right w:val="single" w:sz="4" w:space="0" w:color="auto"/>
            </w:tcBorders>
            <w:hideMark/>
          </w:tcPr>
          <w:p w14:paraId="688DFC23" w14:textId="77777777" w:rsidR="008747C1" w:rsidRPr="007D1918" w:rsidRDefault="008747C1" w:rsidP="00153384">
            <w:pPr>
              <w:pStyle w:val="Tabletext1"/>
            </w:pPr>
            <w:r w:rsidRPr="007D1918">
              <w:t>Base case: 3 months</w:t>
            </w:r>
          </w:p>
          <w:p w14:paraId="2A0EBC02" w14:textId="77777777" w:rsidR="008747C1" w:rsidRPr="007D1918" w:rsidRDefault="008747C1" w:rsidP="00153384">
            <w:pPr>
              <w:pStyle w:val="Tabletext1"/>
            </w:pPr>
            <w:r w:rsidRPr="007D1918">
              <w:t>(Exploratory analysis including QALY loss due to fatal AE: 10 years)</w:t>
            </w:r>
          </w:p>
        </w:tc>
        <w:tc>
          <w:tcPr>
            <w:tcW w:w="2344" w:type="dxa"/>
            <w:tcBorders>
              <w:top w:val="single" w:sz="4" w:space="0" w:color="auto"/>
              <w:left w:val="single" w:sz="4" w:space="0" w:color="auto"/>
              <w:bottom w:val="single" w:sz="4" w:space="0" w:color="auto"/>
              <w:right w:val="single" w:sz="4" w:space="0" w:color="auto"/>
            </w:tcBorders>
          </w:tcPr>
          <w:p w14:paraId="124F64C8" w14:textId="77777777" w:rsidR="008747C1" w:rsidRPr="007D1918" w:rsidRDefault="008747C1" w:rsidP="00153384">
            <w:pPr>
              <w:pStyle w:val="Tabletext1"/>
            </w:pPr>
            <w:r w:rsidRPr="007D1918">
              <w:t>4 weeks</w:t>
            </w:r>
          </w:p>
        </w:tc>
        <w:tc>
          <w:tcPr>
            <w:tcW w:w="2344" w:type="dxa"/>
            <w:tcBorders>
              <w:top w:val="single" w:sz="4" w:space="0" w:color="auto"/>
              <w:left w:val="single" w:sz="4" w:space="0" w:color="auto"/>
              <w:bottom w:val="single" w:sz="4" w:space="0" w:color="auto"/>
              <w:right w:val="single" w:sz="4" w:space="0" w:color="auto"/>
            </w:tcBorders>
          </w:tcPr>
          <w:p w14:paraId="0ADA0E26" w14:textId="77777777" w:rsidR="008747C1" w:rsidRPr="007D1918" w:rsidRDefault="008747C1" w:rsidP="00153384">
            <w:pPr>
              <w:pStyle w:val="Tabletext1"/>
            </w:pPr>
            <w:r w:rsidRPr="007D1918">
              <w:t>1 year to 10 years</w:t>
            </w:r>
          </w:p>
        </w:tc>
      </w:tr>
      <w:tr w:rsidR="008747C1" w:rsidRPr="007D1918" w14:paraId="37DCD299"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hideMark/>
          </w:tcPr>
          <w:p w14:paraId="1DE51B20" w14:textId="77777777" w:rsidR="008747C1" w:rsidRPr="007D1918" w:rsidRDefault="008747C1" w:rsidP="00153384">
            <w:pPr>
              <w:pStyle w:val="Tabletext1"/>
              <w:rPr>
                <w:b/>
              </w:rPr>
            </w:pPr>
            <w:r w:rsidRPr="007D1918">
              <w:rPr>
                <w:b/>
              </w:rPr>
              <w:t>Outcomes</w:t>
            </w:r>
          </w:p>
        </w:tc>
        <w:tc>
          <w:tcPr>
            <w:tcW w:w="2344" w:type="dxa"/>
            <w:tcBorders>
              <w:top w:val="single" w:sz="4" w:space="0" w:color="auto"/>
              <w:left w:val="single" w:sz="4" w:space="0" w:color="auto"/>
              <w:bottom w:val="single" w:sz="4" w:space="0" w:color="auto"/>
              <w:right w:val="single" w:sz="4" w:space="0" w:color="auto"/>
            </w:tcBorders>
          </w:tcPr>
          <w:p w14:paraId="794E622E" w14:textId="77777777" w:rsidR="008747C1" w:rsidRPr="007D1918" w:rsidRDefault="008747C1" w:rsidP="00153384">
            <w:pPr>
              <w:pStyle w:val="Tabletext1"/>
            </w:pPr>
            <w:r w:rsidRPr="007D1918">
              <w:t>$ per QALY</w:t>
            </w:r>
          </w:p>
          <w:p w14:paraId="4F196A75" w14:textId="77777777" w:rsidR="008747C1" w:rsidRPr="007D1918" w:rsidRDefault="008747C1" w:rsidP="00153384">
            <w:pPr>
              <w:pStyle w:val="Tabletext1"/>
            </w:pPr>
            <w:r w:rsidRPr="007D1918">
              <w:t>$ per adverse event avoided</w:t>
            </w:r>
          </w:p>
        </w:tc>
        <w:tc>
          <w:tcPr>
            <w:tcW w:w="2344" w:type="dxa"/>
            <w:tcBorders>
              <w:top w:val="single" w:sz="4" w:space="0" w:color="auto"/>
              <w:left w:val="single" w:sz="4" w:space="0" w:color="auto"/>
              <w:bottom w:val="single" w:sz="4" w:space="0" w:color="auto"/>
              <w:right w:val="single" w:sz="4" w:space="0" w:color="auto"/>
            </w:tcBorders>
          </w:tcPr>
          <w:p w14:paraId="1D15EC23" w14:textId="77777777" w:rsidR="008747C1" w:rsidRPr="007D1918" w:rsidRDefault="008747C1" w:rsidP="00153384">
            <w:pPr>
              <w:pStyle w:val="Tabletext1"/>
            </w:pPr>
            <w:r w:rsidRPr="007D1918">
              <w:t>Cost difference</w:t>
            </w:r>
          </w:p>
        </w:tc>
        <w:tc>
          <w:tcPr>
            <w:tcW w:w="2344" w:type="dxa"/>
            <w:tcBorders>
              <w:top w:val="single" w:sz="4" w:space="0" w:color="auto"/>
              <w:left w:val="single" w:sz="4" w:space="0" w:color="auto"/>
              <w:bottom w:val="single" w:sz="4" w:space="0" w:color="auto"/>
              <w:right w:val="single" w:sz="4" w:space="0" w:color="auto"/>
            </w:tcBorders>
          </w:tcPr>
          <w:p w14:paraId="6D10C830" w14:textId="77777777" w:rsidR="008747C1" w:rsidRPr="007D1918" w:rsidRDefault="008747C1" w:rsidP="00153384">
            <w:pPr>
              <w:pStyle w:val="Tabletext1"/>
            </w:pPr>
            <w:r w:rsidRPr="007D1918">
              <w:t>Costs (including discounted costs)</w:t>
            </w:r>
          </w:p>
        </w:tc>
      </w:tr>
      <w:tr w:rsidR="008747C1" w:rsidRPr="007D1918" w14:paraId="473227FF"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hideMark/>
          </w:tcPr>
          <w:p w14:paraId="2D88067C" w14:textId="77777777" w:rsidR="008747C1" w:rsidRPr="007D1918" w:rsidRDefault="008747C1" w:rsidP="00153384">
            <w:pPr>
              <w:pStyle w:val="Tabletext1"/>
              <w:rPr>
                <w:b/>
              </w:rPr>
            </w:pPr>
            <w:r w:rsidRPr="007D1918">
              <w:rPr>
                <w:b/>
              </w:rPr>
              <w:t>Methods used to generate results</w:t>
            </w:r>
          </w:p>
        </w:tc>
        <w:tc>
          <w:tcPr>
            <w:tcW w:w="2344" w:type="dxa"/>
            <w:tcBorders>
              <w:top w:val="single" w:sz="4" w:space="0" w:color="auto"/>
              <w:left w:val="single" w:sz="4" w:space="0" w:color="auto"/>
              <w:bottom w:val="single" w:sz="4" w:space="0" w:color="auto"/>
              <w:right w:val="single" w:sz="4" w:space="0" w:color="auto"/>
            </w:tcBorders>
          </w:tcPr>
          <w:p w14:paraId="566D80C9" w14:textId="77777777" w:rsidR="008747C1" w:rsidRPr="007D1918" w:rsidRDefault="008747C1" w:rsidP="00153384">
            <w:pPr>
              <w:pStyle w:val="Tabletext1"/>
            </w:pPr>
            <w:r w:rsidRPr="007D1918">
              <w:t>Trial-based analysis, with stepped analysis incorporating NBA IVIg usage data: cohort expected value analysis.</w:t>
            </w:r>
          </w:p>
        </w:tc>
        <w:tc>
          <w:tcPr>
            <w:tcW w:w="2344" w:type="dxa"/>
            <w:tcBorders>
              <w:top w:val="single" w:sz="4" w:space="0" w:color="auto"/>
              <w:left w:val="single" w:sz="4" w:space="0" w:color="auto"/>
              <w:bottom w:val="single" w:sz="4" w:space="0" w:color="auto"/>
              <w:right w:val="single" w:sz="4" w:space="0" w:color="auto"/>
            </w:tcBorders>
          </w:tcPr>
          <w:p w14:paraId="41F292A2" w14:textId="77777777" w:rsidR="008747C1" w:rsidRPr="007D1918" w:rsidRDefault="008747C1" w:rsidP="00153384">
            <w:pPr>
              <w:pStyle w:val="Tabletext1"/>
            </w:pPr>
            <w:r w:rsidRPr="007D1918">
              <w:t>Trial-based analysis, with stepped analysis incorporating NBA IVIg usage data</w:t>
            </w:r>
          </w:p>
        </w:tc>
        <w:tc>
          <w:tcPr>
            <w:tcW w:w="2344" w:type="dxa"/>
            <w:tcBorders>
              <w:top w:val="single" w:sz="4" w:space="0" w:color="auto"/>
              <w:left w:val="single" w:sz="4" w:space="0" w:color="auto"/>
              <w:bottom w:val="single" w:sz="4" w:space="0" w:color="auto"/>
              <w:right w:val="single" w:sz="4" w:space="0" w:color="auto"/>
            </w:tcBorders>
          </w:tcPr>
          <w:p w14:paraId="11F0351C" w14:textId="77777777" w:rsidR="008747C1" w:rsidRPr="007D1918" w:rsidRDefault="008747C1" w:rsidP="00153384">
            <w:pPr>
              <w:pStyle w:val="Tabletext1"/>
            </w:pPr>
            <w:r w:rsidRPr="007D1918">
              <w:t>Expected value analysis</w:t>
            </w:r>
          </w:p>
        </w:tc>
      </w:tr>
      <w:tr w:rsidR="008747C1" w:rsidRPr="007D1918" w14:paraId="1D305901"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hideMark/>
          </w:tcPr>
          <w:p w14:paraId="6A353DA5" w14:textId="77777777" w:rsidR="008747C1" w:rsidRPr="007D1918" w:rsidRDefault="008747C1" w:rsidP="00153384">
            <w:pPr>
              <w:pStyle w:val="Tabletext1"/>
              <w:rPr>
                <w:b/>
              </w:rPr>
            </w:pPr>
            <w:r w:rsidRPr="007D1918">
              <w:rPr>
                <w:b/>
              </w:rPr>
              <w:t>Discount rate</w:t>
            </w:r>
          </w:p>
        </w:tc>
        <w:tc>
          <w:tcPr>
            <w:tcW w:w="2344" w:type="dxa"/>
            <w:tcBorders>
              <w:top w:val="single" w:sz="4" w:space="0" w:color="auto"/>
              <w:left w:val="single" w:sz="4" w:space="0" w:color="auto"/>
              <w:bottom w:val="single" w:sz="4" w:space="0" w:color="auto"/>
              <w:right w:val="single" w:sz="4" w:space="0" w:color="auto"/>
            </w:tcBorders>
          </w:tcPr>
          <w:p w14:paraId="178AE53F" w14:textId="77777777" w:rsidR="008747C1" w:rsidRPr="007D1918" w:rsidRDefault="008747C1" w:rsidP="00153384">
            <w:pPr>
              <w:pStyle w:val="Tabletext1"/>
            </w:pPr>
            <w:r w:rsidRPr="007D1918">
              <w:t>NA</w:t>
            </w:r>
          </w:p>
        </w:tc>
        <w:tc>
          <w:tcPr>
            <w:tcW w:w="2344" w:type="dxa"/>
            <w:tcBorders>
              <w:top w:val="single" w:sz="4" w:space="0" w:color="auto"/>
              <w:left w:val="single" w:sz="4" w:space="0" w:color="auto"/>
              <w:bottom w:val="single" w:sz="4" w:space="0" w:color="auto"/>
              <w:right w:val="single" w:sz="4" w:space="0" w:color="auto"/>
            </w:tcBorders>
          </w:tcPr>
          <w:p w14:paraId="4689507E" w14:textId="77777777" w:rsidR="008747C1" w:rsidRPr="007D1918" w:rsidRDefault="008747C1" w:rsidP="00153384">
            <w:pPr>
              <w:pStyle w:val="Tabletext1"/>
            </w:pPr>
            <w:r w:rsidRPr="007D1918">
              <w:t>NA</w:t>
            </w:r>
          </w:p>
        </w:tc>
        <w:tc>
          <w:tcPr>
            <w:tcW w:w="2344" w:type="dxa"/>
            <w:tcBorders>
              <w:top w:val="single" w:sz="4" w:space="0" w:color="auto"/>
              <w:left w:val="single" w:sz="4" w:space="0" w:color="auto"/>
              <w:bottom w:val="single" w:sz="4" w:space="0" w:color="auto"/>
              <w:right w:val="single" w:sz="4" w:space="0" w:color="auto"/>
            </w:tcBorders>
          </w:tcPr>
          <w:p w14:paraId="1CE1CADE" w14:textId="77777777" w:rsidR="008747C1" w:rsidRPr="007D1918" w:rsidRDefault="008747C1" w:rsidP="00153384">
            <w:pPr>
              <w:pStyle w:val="Tabletext1"/>
            </w:pPr>
            <w:r w:rsidRPr="007D1918">
              <w:t>5% pa</w:t>
            </w:r>
          </w:p>
        </w:tc>
      </w:tr>
      <w:tr w:rsidR="008747C1" w:rsidRPr="007D1918" w14:paraId="0910F909" w14:textId="77777777" w:rsidTr="00153384">
        <w:trPr>
          <w:trHeight w:val="20"/>
        </w:trPr>
        <w:tc>
          <w:tcPr>
            <w:tcW w:w="1989" w:type="dxa"/>
            <w:tcBorders>
              <w:top w:val="single" w:sz="4" w:space="0" w:color="auto"/>
              <w:left w:val="single" w:sz="4" w:space="0" w:color="auto"/>
              <w:bottom w:val="single" w:sz="4" w:space="0" w:color="auto"/>
              <w:right w:val="single" w:sz="4" w:space="0" w:color="auto"/>
            </w:tcBorders>
            <w:hideMark/>
          </w:tcPr>
          <w:p w14:paraId="62D3313C" w14:textId="77777777" w:rsidR="008747C1" w:rsidRPr="007D1918" w:rsidRDefault="008747C1" w:rsidP="00153384">
            <w:pPr>
              <w:pStyle w:val="Tabletext1"/>
              <w:rPr>
                <w:b/>
              </w:rPr>
            </w:pPr>
            <w:r w:rsidRPr="007D1918">
              <w:rPr>
                <w:b/>
              </w:rPr>
              <w:t>Software packages used</w:t>
            </w:r>
          </w:p>
        </w:tc>
        <w:tc>
          <w:tcPr>
            <w:tcW w:w="2344" w:type="dxa"/>
            <w:tcBorders>
              <w:top w:val="single" w:sz="4" w:space="0" w:color="auto"/>
              <w:left w:val="single" w:sz="4" w:space="0" w:color="auto"/>
              <w:bottom w:val="single" w:sz="4" w:space="0" w:color="auto"/>
              <w:right w:val="single" w:sz="4" w:space="0" w:color="auto"/>
            </w:tcBorders>
          </w:tcPr>
          <w:p w14:paraId="5B14BBA3" w14:textId="77777777" w:rsidR="008747C1" w:rsidRPr="007D1918" w:rsidRDefault="008747C1" w:rsidP="00153384">
            <w:pPr>
              <w:pStyle w:val="Tabletext1"/>
            </w:pPr>
            <w:r w:rsidRPr="007D1918">
              <w:t>Excel</w:t>
            </w:r>
          </w:p>
        </w:tc>
        <w:tc>
          <w:tcPr>
            <w:tcW w:w="2344" w:type="dxa"/>
            <w:tcBorders>
              <w:top w:val="single" w:sz="4" w:space="0" w:color="auto"/>
              <w:left w:val="single" w:sz="4" w:space="0" w:color="auto"/>
              <w:bottom w:val="single" w:sz="4" w:space="0" w:color="auto"/>
              <w:right w:val="single" w:sz="4" w:space="0" w:color="auto"/>
            </w:tcBorders>
          </w:tcPr>
          <w:p w14:paraId="456F4B2F" w14:textId="77777777" w:rsidR="008747C1" w:rsidRPr="007D1918" w:rsidRDefault="008747C1" w:rsidP="00153384">
            <w:pPr>
              <w:pStyle w:val="Tabletext1"/>
            </w:pPr>
            <w:r w:rsidRPr="007D1918">
              <w:t>Excel</w:t>
            </w:r>
          </w:p>
        </w:tc>
        <w:tc>
          <w:tcPr>
            <w:tcW w:w="2344" w:type="dxa"/>
            <w:tcBorders>
              <w:top w:val="single" w:sz="4" w:space="0" w:color="auto"/>
              <w:left w:val="single" w:sz="4" w:space="0" w:color="auto"/>
              <w:bottom w:val="single" w:sz="4" w:space="0" w:color="auto"/>
              <w:right w:val="single" w:sz="4" w:space="0" w:color="auto"/>
            </w:tcBorders>
          </w:tcPr>
          <w:p w14:paraId="59A42449" w14:textId="77777777" w:rsidR="008747C1" w:rsidRPr="007D1918" w:rsidRDefault="008747C1" w:rsidP="00153384">
            <w:pPr>
              <w:pStyle w:val="Tabletext1"/>
            </w:pPr>
            <w:r w:rsidRPr="007D1918">
              <w:t>Excel</w:t>
            </w:r>
          </w:p>
        </w:tc>
      </w:tr>
    </w:tbl>
    <w:p w14:paraId="6B2E930D" w14:textId="3CC4CA1D" w:rsidR="008747C1" w:rsidRPr="007D1918" w:rsidRDefault="008747C1" w:rsidP="008747C1">
      <w:pPr>
        <w:widowControl w:val="0"/>
        <w:spacing w:after="6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 xml:space="preserve">IVIg = intravenous immunoglobulin; MG = myasthenia gravis; NA = not applicable; NBA = National Blood Authority; PE = plasma exchange; </w:t>
      </w:r>
      <w:r w:rsidR="00AD42C9" w:rsidRPr="007D1918">
        <w:rPr>
          <w:rFonts w:ascii="Arial Narrow" w:hAnsi="Arial Narrow" w:cs="Arial"/>
          <w:snapToGrid w:val="0"/>
          <w:sz w:val="18"/>
          <w:szCs w:val="20"/>
          <w:lang w:eastAsia="en-US"/>
        </w:rPr>
        <w:t xml:space="preserve">QALY = quality adjusted life year; </w:t>
      </w:r>
      <w:r w:rsidRPr="007D1918">
        <w:rPr>
          <w:rFonts w:ascii="Arial Narrow" w:hAnsi="Arial Narrow" w:cs="Arial"/>
          <w:snapToGrid w:val="0"/>
          <w:sz w:val="18"/>
          <w:szCs w:val="20"/>
          <w:lang w:eastAsia="en-US"/>
        </w:rPr>
        <w:t>RCT = randomised controlled trial</w:t>
      </w:r>
    </w:p>
    <w:p w14:paraId="74CC502E" w14:textId="77777777" w:rsidR="008747C1" w:rsidRPr="007D1918" w:rsidRDefault="008747C1" w:rsidP="008747C1">
      <w:pPr>
        <w:pStyle w:val="Tablenotes0"/>
      </w:pPr>
      <w:r w:rsidRPr="007D1918">
        <w:t>See Table D.3.1 in the MSAC Therapeutic Guidelines.</w:t>
      </w:r>
    </w:p>
    <w:p w14:paraId="5D2CFBA8" w14:textId="77777777" w:rsidR="008747C1" w:rsidRPr="007D1918" w:rsidRDefault="008747C1" w:rsidP="008747C1">
      <w:pPr>
        <w:jc w:val="both"/>
      </w:pPr>
      <w:r w:rsidRPr="007D1918">
        <w:t xml:space="preserve">The following published economic or costing studies of IV Immunoglobulin use in myasthenia gravis were identified when searching the literature, however none of these are ‘cost-effectiveness analyses’ </w:t>
      </w:r>
      <w:r w:rsidRPr="007D1918">
        <w:rPr>
          <w:i/>
        </w:rPr>
        <w:t>per se</w:t>
      </w:r>
      <w:r w:rsidRPr="007D1918">
        <w:t>.</w:t>
      </w:r>
    </w:p>
    <w:p w14:paraId="21BF3B1E" w14:textId="77777777" w:rsidR="008747C1" w:rsidRPr="007D1918" w:rsidRDefault="008747C1" w:rsidP="008747C1">
      <w:pPr>
        <w:contextualSpacing/>
        <w:jc w:val="both"/>
      </w:pPr>
      <w:r w:rsidRPr="007D1918">
        <w:t xml:space="preserve">For patients meeting Indication 1 (Myasthenic crisis – requiring airways support), a summary of economic findings is presented in </w:t>
      </w:r>
      <w:r w:rsidRPr="007D1918">
        <w:fldChar w:fldCharType="begin"/>
      </w:r>
      <w:r w:rsidRPr="007D1918">
        <w:instrText xml:space="preserve"> REF _Ref14265981 \h  \* MERGEFORMAT </w:instrText>
      </w:r>
      <w:r w:rsidRPr="007D1918">
        <w:fldChar w:fldCharType="separate"/>
      </w:r>
      <w:r w:rsidR="00AA6011" w:rsidRPr="007D1918">
        <w:t>Table 61</w:t>
      </w:r>
      <w:r w:rsidRPr="007D1918">
        <w:fldChar w:fldCharType="end"/>
      </w:r>
      <w:r w:rsidRPr="007D1918">
        <w:t>:</w:t>
      </w:r>
    </w:p>
    <w:p w14:paraId="1EAB6B9E" w14:textId="77777777" w:rsidR="001C184A" w:rsidRPr="007D1918" w:rsidRDefault="001C184A" w:rsidP="001C184A">
      <w:pPr>
        <w:contextualSpacing/>
      </w:pPr>
    </w:p>
    <w:p w14:paraId="5698EE6A" w14:textId="77777777" w:rsidR="008747C1" w:rsidRPr="007D1918" w:rsidRDefault="008747C1" w:rsidP="008747C1">
      <w:pPr>
        <w:pStyle w:val="Caption"/>
        <w:keepNext/>
      </w:pPr>
      <w:bookmarkStart w:id="376" w:name="_Ref14265981"/>
      <w:bookmarkStart w:id="377" w:name="_Toc15561966"/>
      <w:bookmarkStart w:id="378" w:name="_Toc23769548"/>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61</w:t>
      </w:r>
      <w:r w:rsidRPr="007D1918">
        <w:rPr>
          <w:noProof/>
        </w:rPr>
        <w:fldChar w:fldCharType="end"/>
      </w:r>
      <w:bookmarkEnd w:id="376"/>
      <w:r w:rsidRPr="007D1918">
        <w:rPr>
          <w:noProof/>
        </w:rPr>
        <w:tab/>
      </w:r>
      <w:r w:rsidRPr="007D1918">
        <w:t>Published economic evaluations of IVIg use in patients with myasthenic crisis (Indication 1)</w:t>
      </w:r>
      <w:bookmarkEnd w:id="377"/>
      <w:bookmarkEnd w:id="378"/>
    </w:p>
    <w:tbl>
      <w:tblPr>
        <w:tblStyle w:val="TableGrid"/>
        <w:tblW w:w="0" w:type="auto"/>
        <w:tblLook w:val="04A0" w:firstRow="1" w:lastRow="0" w:firstColumn="1" w:lastColumn="0" w:noHBand="0" w:noVBand="1"/>
        <w:tblCaption w:val="Table 61 Published economic evaluations of IVIg use in patients with myasthenic crisis (Indication 1)"/>
      </w:tblPr>
      <w:tblGrid>
        <w:gridCol w:w="3006"/>
        <w:gridCol w:w="3005"/>
        <w:gridCol w:w="3005"/>
      </w:tblGrid>
      <w:tr w:rsidR="008747C1" w:rsidRPr="007D1918" w14:paraId="38C64773" w14:textId="77777777" w:rsidTr="00BD29C0">
        <w:trPr>
          <w:tblHeader/>
        </w:trPr>
        <w:tc>
          <w:tcPr>
            <w:tcW w:w="3006" w:type="dxa"/>
          </w:tcPr>
          <w:p w14:paraId="43FF3558"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Publication</w:t>
            </w:r>
          </w:p>
        </w:tc>
        <w:tc>
          <w:tcPr>
            <w:tcW w:w="3005" w:type="dxa"/>
          </w:tcPr>
          <w:p w14:paraId="30AE4CD5"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Description of analysis</w:t>
            </w:r>
          </w:p>
        </w:tc>
        <w:tc>
          <w:tcPr>
            <w:tcW w:w="3005" w:type="dxa"/>
          </w:tcPr>
          <w:p w14:paraId="29C65562"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Evaluation findings</w:t>
            </w:r>
          </w:p>
        </w:tc>
      </w:tr>
      <w:tr w:rsidR="008747C1" w:rsidRPr="007D1918" w14:paraId="4B74D9E8" w14:textId="77777777" w:rsidTr="00153384">
        <w:trPr>
          <w:trHeight w:val="1984"/>
        </w:trPr>
        <w:tc>
          <w:tcPr>
            <w:tcW w:w="3006" w:type="dxa"/>
          </w:tcPr>
          <w:p w14:paraId="29AFDF1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Furlan JC, Barth D, et al. </w:t>
            </w:r>
          </w:p>
          <w:p w14:paraId="5B0F61A8" w14:textId="77777777" w:rsidR="008747C1" w:rsidRPr="007D1918" w:rsidRDefault="008747C1" w:rsidP="00153384">
            <w:pPr>
              <w:spacing w:before="40" w:after="40" w:line="240" w:lineRule="auto"/>
              <w:ind w:left="0"/>
              <w:rPr>
                <w:rFonts w:ascii="Arial Narrow" w:hAnsi="Arial Narrow"/>
                <w:i/>
                <w:sz w:val="20"/>
                <w:szCs w:val="20"/>
              </w:rPr>
            </w:pPr>
            <w:r w:rsidRPr="007D1918">
              <w:rPr>
                <w:rFonts w:ascii="Arial Narrow" w:hAnsi="Arial Narrow"/>
                <w:i/>
                <w:sz w:val="20"/>
                <w:szCs w:val="20"/>
              </w:rPr>
              <w:t xml:space="preserve">Cost-minimization analysis comparing intravenous immunoglobulin with plasma exchange in the management of patients with myasthenia gravis. </w:t>
            </w:r>
          </w:p>
          <w:p w14:paraId="7822491D"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Muscle Nerve. 2016 Jun;53(6):872-6.</w:t>
            </w:r>
          </w:p>
          <w:p w14:paraId="565BCAA1" w14:textId="77777777" w:rsidR="008747C1" w:rsidRPr="007D1918" w:rsidRDefault="008747C1" w:rsidP="00153384">
            <w:pPr>
              <w:spacing w:before="40" w:after="40" w:line="240" w:lineRule="auto"/>
              <w:ind w:left="0"/>
              <w:rPr>
                <w:rFonts w:ascii="Arial Narrow" w:hAnsi="Arial Narrow"/>
                <w:sz w:val="20"/>
                <w:szCs w:val="20"/>
              </w:rPr>
            </w:pPr>
          </w:p>
          <w:p w14:paraId="1A796E50"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Canada</w:t>
            </w:r>
          </w:p>
        </w:tc>
        <w:tc>
          <w:tcPr>
            <w:tcW w:w="3005" w:type="dxa"/>
          </w:tcPr>
          <w:p w14:paraId="3F89B526" w14:textId="1DEE486E"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t xml:space="preserve">A cost-minimisation analysis comparing IVIg with PE for treatment of patients with MG exacerbation, using Ontario-based health cost data with clinical data from </w:t>
            </w: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Pr="007D1918">
              <w:rPr>
                <w:rFonts w:ascii="Cambria Math" w:hAnsi="Cambria Math" w:cs="Cambria Math"/>
                <w:sz w:val="20"/>
                <w:szCs w:val="20"/>
              </w:rPr>
              <w:instrText>‐</w:instrText>
            </w:r>
            <w:r w:rsidRPr="007D1918">
              <w:rPr>
                <w:rFonts w:ascii="Arial Narrow" w:hAnsi="Arial Narrow"/>
                <w:sz w:val="20"/>
                <w:szCs w:val="20"/>
              </w:rPr>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Pr="007D1918">
              <w:rPr>
                <w:rFonts w:ascii="Cambria Math" w:hAnsi="Cambria Math" w:cs="Cambria Math"/>
                <w:sz w:val="20"/>
                <w:szCs w:val="20"/>
              </w:rPr>
              <w:instrText>‐</w:instrText>
            </w:r>
            <w:r w:rsidRPr="007D1918">
              <w:rPr>
                <w:rFonts w:ascii="Arial Narrow" w:hAnsi="Arial Narrow"/>
                <w:sz w:val="20"/>
                <w:szCs w:val="20"/>
              </w:rPr>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Pr="007D1918">
              <w:rPr>
                <w:rFonts w:ascii="Cambria Math" w:hAnsi="Cambria Math" w:cs="Cambria Math"/>
                <w:sz w:val="20"/>
                <w:szCs w:val="20"/>
              </w:rPr>
              <w:instrText>‐</w:instrText>
            </w:r>
            <w:r w:rsidRPr="007D1918">
              <w:rPr>
                <w:rFonts w:ascii="Arial Narrow" w:hAnsi="Arial Narrow"/>
                <w:sz w:val="20"/>
                <w:szCs w:val="20"/>
              </w:rPr>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8" w:tooltip="Barth, 2011 #48" w:history="1">
              <w:r w:rsidR="007D4948" w:rsidRPr="007D1918">
                <w:rPr>
                  <w:rFonts w:ascii="Arial Narrow" w:hAnsi="Arial Narrow"/>
                  <w:noProof/>
                  <w:sz w:val="20"/>
                  <w:szCs w:val="20"/>
                </w:rPr>
                <w:t>Barth et al. 2011</w:t>
              </w:r>
            </w:hyperlink>
            <w:r w:rsidRPr="007D1918">
              <w:rPr>
                <w:rFonts w:ascii="Arial Narrow" w:hAnsi="Arial Narrow"/>
                <w:noProof/>
                <w:sz w:val="20"/>
                <w:szCs w:val="20"/>
              </w:rPr>
              <w:t>)</w:t>
            </w:r>
            <w:r w:rsidRPr="007D1918">
              <w:rPr>
                <w:rFonts w:ascii="Arial Narrow" w:hAnsi="Arial Narrow"/>
                <w:sz w:val="20"/>
                <w:szCs w:val="20"/>
              </w:rPr>
              <w:fldChar w:fldCharType="end"/>
            </w:r>
            <w:r w:rsidRPr="007D1918">
              <w:rPr>
                <w:rFonts w:ascii="Arial Narrow" w:hAnsi="Arial Narrow"/>
                <w:sz w:val="20"/>
                <w:szCs w:val="20"/>
              </w:rPr>
              <w:t>. Analyses were undertaken from the perspectives of a public healthcare insurer and a tertiary university hospital payer.</w:t>
            </w:r>
          </w:p>
        </w:tc>
        <w:tc>
          <w:tcPr>
            <w:tcW w:w="3005" w:type="dxa"/>
          </w:tcPr>
          <w:p w14:paraId="20F75497"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PE can be considered a short-term cost-minimising therapy (i.e. cost-saving) when compared with IVIg for treatment of MG exacerbation among patients with BMI &gt;15.7 kg/m2, from the perspective of a public healthcare insurer. However it was more costly than IVIg from the perspective of the hospital payer when the costs of blood products were excluded.</w:t>
            </w:r>
          </w:p>
        </w:tc>
      </w:tr>
      <w:tr w:rsidR="008747C1" w:rsidRPr="007D1918" w14:paraId="18737713" w14:textId="77777777" w:rsidTr="00153384">
        <w:tc>
          <w:tcPr>
            <w:tcW w:w="3006" w:type="dxa"/>
          </w:tcPr>
          <w:p w14:paraId="5CD863D5"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Heatwole C, Johnson N, et al.</w:t>
            </w:r>
          </w:p>
          <w:p w14:paraId="747AD850" w14:textId="77777777" w:rsidR="008747C1" w:rsidRPr="007D1918" w:rsidRDefault="008747C1" w:rsidP="00153384">
            <w:pPr>
              <w:spacing w:before="40" w:after="40" w:line="240" w:lineRule="auto"/>
              <w:ind w:left="0"/>
              <w:rPr>
                <w:rFonts w:ascii="Arial Narrow" w:hAnsi="Arial Narrow"/>
                <w:i/>
                <w:sz w:val="20"/>
                <w:szCs w:val="20"/>
              </w:rPr>
            </w:pPr>
            <w:r w:rsidRPr="007D1918">
              <w:rPr>
                <w:rFonts w:ascii="Arial Narrow" w:hAnsi="Arial Narrow"/>
                <w:i/>
                <w:sz w:val="20"/>
                <w:szCs w:val="20"/>
              </w:rPr>
              <w:t>Plasma exchange versus intravenous immunoglobulin for myasthenia gravis crisis: an acute hospital cost comparison study.</w:t>
            </w:r>
          </w:p>
          <w:p w14:paraId="27C97185"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J Clin Neuromuscul Dis. 2011 Dec; 13(2):85-94.</w:t>
            </w:r>
          </w:p>
          <w:p w14:paraId="7614C9EA" w14:textId="77777777" w:rsidR="008747C1" w:rsidRPr="007D1918" w:rsidRDefault="008747C1" w:rsidP="00153384">
            <w:pPr>
              <w:spacing w:before="40" w:after="40" w:line="240" w:lineRule="auto"/>
              <w:ind w:left="0"/>
              <w:rPr>
                <w:rFonts w:ascii="Arial Narrow" w:hAnsi="Arial Narrow"/>
                <w:sz w:val="20"/>
                <w:szCs w:val="20"/>
              </w:rPr>
            </w:pPr>
          </w:p>
          <w:p w14:paraId="1693049B"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United States</w:t>
            </w:r>
          </w:p>
        </w:tc>
        <w:tc>
          <w:tcPr>
            <w:tcW w:w="3005" w:type="dxa"/>
          </w:tcPr>
          <w:p w14:paraId="212465A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Cost-minimisation analysis of IVIg vs PE, based on two observational studies.</w:t>
            </w:r>
          </w:p>
          <w:p w14:paraId="0C5DA6F8"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Included costs: professional fees, hospital and ICU rates, medicines, IVIg, albumin, laboratory studies, implementing PE, catheter + placement/removal costs, and adverse event costs.</w:t>
            </w:r>
          </w:p>
        </w:tc>
        <w:tc>
          <w:tcPr>
            <w:tcW w:w="3005" w:type="dxa"/>
          </w:tcPr>
          <w:p w14:paraId="7FDB3B00"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The average total difference in cost favoured the IVIg arm with an estimated savings of $22,326 per patient (US dollars). (Total average short term cost for utilizing plasma exchange was $101,140 per patient vs $78,814 for IVIg). </w:t>
            </w:r>
          </w:p>
        </w:tc>
      </w:tr>
      <w:tr w:rsidR="008747C1" w:rsidRPr="007D1918" w14:paraId="4CF0D989" w14:textId="77777777" w:rsidTr="00153384">
        <w:tc>
          <w:tcPr>
            <w:tcW w:w="3006" w:type="dxa"/>
          </w:tcPr>
          <w:p w14:paraId="20ABC1FC"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Mandawat A, Kaminski HJ, et al.</w:t>
            </w:r>
          </w:p>
          <w:p w14:paraId="783DAF38" w14:textId="77777777" w:rsidR="008747C1" w:rsidRPr="007D1918" w:rsidRDefault="008747C1" w:rsidP="00153384">
            <w:pPr>
              <w:spacing w:before="40" w:after="40" w:line="240" w:lineRule="auto"/>
              <w:ind w:left="0"/>
              <w:rPr>
                <w:rFonts w:ascii="Arial Narrow" w:hAnsi="Arial Narrow"/>
                <w:i/>
                <w:sz w:val="20"/>
                <w:szCs w:val="20"/>
              </w:rPr>
            </w:pPr>
            <w:r w:rsidRPr="007D1918">
              <w:rPr>
                <w:rFonts w:ascii="Arial Narrow" w:hAnsi="Arial Narrow"/>
                <w:i/>
                <w:sz w:val="20"/>
                <w:szCs w:val="20"/>
              </w:rPr>
              <w:t>Comparative analysis of therapeutic options used for myasthenia gravis.</w:t>
            </w:r>
          </w:p>
          <w:p w14:paraId="7177ECE7"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Ann Neurol. 2010 Dec;68(6):797-805.</w:t>
            </w:r>
          </w:p>
          <w:p w14:paraId="20C859F9" w14:textId="77777777" w:rsidR="008747C1" w:rsidRPr="007D1918" w:rsidRDefault="008747C1" w:rsidP="00153384">
            <w:pPr>
              <w:spacing w:before="40" w:after="40" w:line="240" w:lineRule="auto"/>
              <w:ind w:left="0"/>
              <w:rPr>
                <w:rFonts w:ascii="Arial Narrow" w:hAnsi="Arial Narrow"/>
                <w:sz w:val="20"/>
                <w:szCs w:val="20"/>
              </w:rPr>
            </w:pPr>
          </w:p>
          <w:p w14:paraId="41306944"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United States</w:t>
            </w:r>
          </w:p>
        </w:tc>
        <w:tc>
          <w:tcPr>
            <w:tcW w:w="3005" w:type="dxa"/>
          </w:tcPr>
          <w:p w14:paraId="79433E4D"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 cohort of MG patients identified from a nation-wide (US) inpatient sample database (2000-2005), identified as receiving Ig or PE.</w:t>
            </w:r>
          </w:p>
          <w:p w14:paraId="23B9FFB1"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Multivariate regression analysis was undertaken on disease predictors, complications, length of stay and inpatient costs.</w:t>
            </w:r>
          </w:p>
          <w:p w14:paraId="3192FC8C"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The MG crisis population was identified from within the broader population of MG patients and analysed individually.</w:t>
            </w:r>
          </w:p>
        </w:tc>
        <w:tc>
          <w:tcPr>
            <w:tcW w:w="3005" w:type="dxa"/>
          </w:tcPr>
          <w:p w14:paraId="6EEF5921"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In MG crisis patients, length of stay was significantly longer for patients receiving PE. (10 vs 5 days, p &lt; 0.001) and inpatient costs were higher ($53,801 vs $33,924, p &lt; 0.001) </w:t>
            </w:r>
          </w:p>
          <w:p w14:paraId="6F3B31C2"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Overall, IVIg appears to have similar clinical outcomes (mortality and complications) and perhaps superior economic outcomes compared to PE.</w:t>
            </w:r>
          </w:p>
        </w:tc>
      </w:tr>
    </w:tbl>
    <w:p w14:paraId="4ED63290" w14:textId="77777777" w:rsidR="008747C1" w:rsidRPr="007D1918" w:rsidRDefault="008747C1" w:rsidP="008747C1">
      <w:pPr>
        <w:widowControl w:val="0"/>
        <w:spacing w:after="36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BMI = body mass index; ICU = intensive care unit; IVIg = intravenous immunoglobulin; MG = myasthenia gravis; PE = plasma exchange; RCT = randomised controlled trial; US = United States</w:t>
      </w:r>
    </w:p>
    <w:p w14:paraId="0A5E9755" w14:textId="5BB7D888" w:rsidR="008747C1" w:rsidRPr="007D1918" w:rsidRDefault="008747C1" w:rsidP="008747C1">
      <w:pPr>
        <w:jc w:val="both"/>
      </w:pPr>
      <w:r w:rsidRPr="007D1918">
        <w:t xml:space="preserve">It is noted that both Furlan </w:t>
      </w:r>
      <w:r w:rsidRPr="007D1918">
        <w:fldChar w:fldCharType="begin">
          <w:fldData xml:space="preserve">PEVuZE5vdGU+PENpdGU+PEF1dGhvcj5GdXJsYW48L0F1dGhvcj48WWVhcj4yMDE2PC9ZZWFyPjxS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</w:fldData>
        </w:fldChar>
      </w:r>
      <w:r w:rsidR="007D4948" w:rsidRPr="007D1918">
        <w:instrText xml:space="preserve"> ADDIN EN.CITE </w:instrText>
      </w:r>
      <w:r w:rsidR="007D4948" w:rsidRPr="007D1918">
        <w:fldChar w:fldCharType="begin">
          <w:fldData xml:space="preserve">PEVuZE5vdGU+PENpdGU+PEF1dGhvcj5GdXJsYW48L0F1dGhvcj48WWVhcj4yMDE2PC9ZZWFyPjxS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</w:fldData>
        </w:fldChar>
      </w:r>
      <w:r w:rsidR="007D4948" w:rsidRPr="007D1918">
        <w:instrText xml:space="preserve"> ADDIN EN.CITE.DATA </w:instrText>
      </w:r>
      <w:r w:rsidR="007D4948" w:rsidRPr="007D1918">
        <w:fldChar w:fldCharType="end"/>
      </w:r>
      <w:r w:rsidRPr="007D1918">
        <w:fldChar w:fldCharType="separate"/>
      </w:r>
      <w:r w:rsidR="007D4948" w:rsidRPr="007D1918">
        <w:rPr>
          <w:noProof/>
        </w:rPr>
        <w:t>(</w:t>
      </w:r>
      <w:hyperlink w:anchor="_ENREF_26" w:tooltip="Furlan, 2016 #10" w:history="1">
        <w:r w:rsidR="007D4948" w:rsidRPr="007D1918">
          <w:rPr>
            <w:noProof/>
          </w:rPr>
          <w:t>Furlan et al. 2016b</w:t>
        </w:r>
      </w:hyperlink>
      <w:r w:rsidR="007D4948" w:rsidRPr="007D1918">
        <w:rPr>
          <w:noProof/>
        </w:rPr>
        <w:t>)</w:t>
      </w:r>
      <w:r w:rsidRPr="007D1918">
        <w:fldChar w:fldCharType="end"/>
      </w:r>
      <w:r w:rsidRPr="007D1918">
        <w:t xml:space="preserve"> and Heatwole </w:t>
      </w:r>
      <w:r w:rsidRPr="007D1918">
        <w:fldChar w:fldCharType="begin"/>
      </w:r>
      <w:r w:rsidRPr="007D1918">
        <w:instrText xml:space="preserve"> ADDIN EN.CITE &lt;EndNote&gt;&lt;Cite&gt;&lt;Author&gt;Heatwole&lt;/Author&gt;&lt;Year&gt;2011&lt;/Year&gt;&lt;RecNum&gt;70&lt;/RecNum&gt;&lt;DisplayText&gt;(Heatwole et al. 2011)&lt;/DisplayText&gt;&lt;record&gt;&lt;rec-number&gt;70&lt;/rec-number&gt;&lt;foreign-keys&gt;&lt;key app="EN" db-id="2aevrx2slsts5ve9sdavatf125dsx0av2v9d" timestamp="1563282279"&gt;70&lt;/key&gt;&lt;/foreign-keys&gt;&lt;ref-type name="Journal Article"&gt;17&lt;/ref-type&gt;&lt;contributors&gt;&lt;authors&gt;&lt;author&gt;Heatwole, C.&lt;/author&gt;&lt;author&gt;Johnson, N.&lt;/author&gt;&lt;author&gt;Holloway, R.&lt;/author&gt;&lt;author&gt;Noyes, K.&lt;/author&gt;&lt;/authors&gt;&lt;/contributors&gt;&lt;auth-address&gt;Department of Neurology, University of Rochester, Rochester, NY 14642, USA. Chad_Heatwole@urmc.rochester.edu&lt;/auth-address&gt;&lt;titles&gt;&lt;title&gt;Plasma exchange versus intravenous immunoglobulin for myasthenia gravis crisis: an acute hospital cost comparison study&lt;/title&gt;&lt;secondary-title&gt;J Clin Neuromuscul Dis&lt;/secondary-title&gt;&lt;/titles&gt;&lt;periodical&gt;&lt;full-title&gt;J Clin Neuromuscul Dis&lt;/full-title&gt;&lt;/periodical&gt;&lt;pages&gt;85-94&lt;/pages&gt;&lt;volume&gt;13&lt;/volume&gt;&lt;number&gt;2&lt;/number&gt;&lt;edition&gt;2012/03/01&lt;/edition&gt;&lt;keywords&gt;&lt;keyword&gt;Acute Disease&lt;/keyword&gt;&lt;keyword&gt;Hospital Costs/ trends&lt;/keyword&gt;&lt;keyword&gt;Hospitalization/economics&lt;/keyword&gt;&lt;keyword&gt;Humans&lt;/keyword&gt;&lt;keyword&gt;Immunoglobulins, Intravenous/ economics/therapeutic use&lt;/keyword&gt;&lt;keyword&gt;Myasthenia Gravis/ economics/epidemiology/ therapy&lt;/keyword&gt;&lt;keyword&gt;Plasma Exchange/ economics&lt;/keyword&gt;&lt;/keywords&gt;&lt;dates&gt;&lt;year&gt;2011&lt;/year&gt;&lt;pub-dates&gt;&lt;date&gt;Dec&lt;/date&gt;&lt;/pub-dates&gt;&lt;/dates&gt;&lt;isbn&gt;1537-1611 (Electronic)&amp;#xD;1522-0443 (Linking)&lt;/isbn&gt;&lt;accession-num&gt;22361692&lt;/accession-num&gt;&lt;urls&gt;&lt;related-urls&gt;&lt;url&gt;https://www.ncbi.nlm.nih.gov/pmc/articles/PMC3291869/pdf/nihms316728.pdf&lt;/url&gt;&lt;/related-urls&gt;&lt;/urls&gt;&lt;custom2&gt;PMC3291869&lt;/custom2&gt;&lt;custom6&gt;Nihms316728&lt;/custom6&gt;&lt;electronic-resource-num&gt;10.1097/CND.0b013e31822c34dd&lt;/electronic-resource-num&gt;&lt;remote-database-provider&gt;NLM&lt;/remote-database-provider&gt;&lt;language&gt;eng&lt;/language&gt;&lt;/record&gt;&lt;/Cite&gt;&lt;/EndNote&gt;</w:instrText>
      </w:r>
      <w:r w:rsidRPr="007D1918">
        <w:fldChar w:fldCharType="separate"/>
      </w:r>
      <w:r w:rsidRPr="007D1918">
        <w:rPr>
          <w:noProof/>
        </w:rPr>
        <w:t>(</w:t>
      </w:r>
      <w:hyperlink w:anchor="_ENREF_45" w:tooltip="Heatwole, 2011 #70" w:history="1">
        <w:r w:rsidR="007D4948" w:rsidRPr="007D1918">
          <w:rPr>
            <w:noProof/>
          </w:rPr>
          <w:t>Heatwole et al. 2011</w:t>
        </w:r>
      </w:hyperlink>
      <w:r w:rsidRPr="007D1918">
        <w:rPr>
          <w:noProof/>
        </w:rPr>
        <w:t>)</w:t>
      </w:r>
      <w:r w:rsidRPr="007D1918">
        <w:fldChar w:fldCharType="end"/>
      </w:r>
      <w:r w:rsidRPr="007D1918">
        <w:t xml:space="preserve"> describe their analyses as cost-minimisation: implicitly stating that equivalent effectiveness is established, however on consideration of the Systematic Review findings described in </w:t>
      </w:r>
      <w:r w:rsidRPr="007D1918">
        <w:rPr>
          <w:i/>
        </w:rPr>
        <w:t>Section B</w:t>
      </w:r>
      <w:r w:rsidRPr="007D1918">
        <w:t xml:space="preserve">, this review did not consider the evidence available sufficient to form this conclusion with an acceptable degree of certainty. </w:t>
      </w:r>
    </w:p>
    <w:p w14:paraId="69E04343" w14:textId="41F865CA" w:rsidR="008747C1" w:rsidRPr="007D1918" w:rsidRDefault="008747C1" w:rsidP="008747C1">
      <w:pPr>
        <w:contextualSpacing/>
        <w:jc w:val="both"/>
      </w:pPr>
      <w:r w:rsidRPr="007D1918">
        <w:t xml:space="preserve">The cost-minimisation by Furlan et al is a trial-based economic analysis of the Barth et al RCT </w:t>
      </w:r>
      <w:r w:rsidRPr="007D1918">
        <w:fldChar w:fldCharType="begin"/>
      </w:r>
      <w:r w:rsidRPr="007D1918">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2023&lt;/pages&gt;&lt;volume&gt;76&lt;/volume&gt;&lt;number&gt;23&lt;/number&gt;&lt;keywords&gt;&lt;keyword&gt;Adult&lt;/keyword&gt;&lt;keyword&gt;Aged&lt;/keyword&gt;&lt;keyword&gt;Aged, 80 and over&lt;/keyword&gt;&lt;keyword&gt;Autoantibodies [biosynthesis, blood]&lt;/keyword&gt;&lt;keyword&gt;Disability Evaluation&lt;/keyword&gt;&lt;keyword&gt;Evidence‐Based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fldChar w:fldCharType="separate"/>
      </w:r>
      <w:r w:rsidRPr="007D1918">
        <w:rPr>
          <w:noProof/>
        </w:rPr>
        <w:t>(</w:t>
      </w:r>
      <w:hyperlink w:anchor="_ENREF_8" w:tooltip="Barth, 2011 #48" w:history="1">
        <w:r w:rsidR="007D4948" w:rsidRPr="007D1918">
          <w:rPr>
            <w:noProof/>
          </w:rPr>
          <w:t>Barth et al. 2011</w:t>
        </w:r>
      </w:hyperlink>
      <w:r w:rsidRPr="007D1918">
        <w:rPr>
          <w:noProof/>
        </w:rPr>
        <w:t>)</w:t>
      </w:r>
      <w:r w:rsidRPr="007D1918">
        <w:fldChar w:fldCharType="end"/>
      </w:r>
      <w:r w:rsidRPr="007D1918">
        <w:t xml:space="preserve">, interpreting the RCT as identifying Immunoglobulin and plasma exchange as having similar effectiveness. In this analysis ‘real-world’ hospital cost data was obtained for 70 of the 84 patients enrolled in Barth; 74% (32/43) of PE patients and 93% (38/41) of IVIg patients. Additional costs were calculated using a schedule of physician fees and an estimate of blood product costs provided by the Canadian Blood Services and assuming a mean body weight of 70kg. Sensitivity analysis indicated that the cost differential between treatments is sensitive to body mass index, with PE becoming increasingly cost-saving as BMI increased. Although Canadian resource prices, and therefore the numerical results, are not directly applicable to the Australian setting, the perspective and context is </w:t>
      </w:r>
      <w:r w:rsidRPr="007D1918">
        <w:lastRenderedPageBreak/>
        <w:t>similar, and comparable results might be expected in the current analysis. A summary of the costs associated with identified treatment components and overall results is presented below (in 2014 Canadian dollars):</w:t>
      </w:r>
    </w:p>
    <w:p w14:paraId="5B8141B2" w14:textId="77777777" w:rsidR="008747C1" w:rsidRPr="007D1918" w:rsidRDefault="008747C1" w:rsidP="008747C1">
      <w:pPr>
        <w:contextualSpacing/>
        <w:jc w:val="both"/>
      </w:pPr>
    </w:p>
    <w:p w14:paraId="08C23A23" w14:textId="20D0CB05" w:rsidR="008747C1" w:rsidRPr="007D1918" w:rsidRDefault="008747C1" w:rsidP="008747C1">
      <w:pPr>
        <w:pStyle w:val="Caption"/>
      </w:pPr>
      <w:bookmarkStart w:id="379" w:name="_Toc23769549"/>
      <w:bookmarkStart w:id="380" w:name="_Toc1556196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62</w:t>
      </w:r>
      <w:r w:rsidRPr="007D1918">
        <w:rPr>
          <w:noProof/>
        </w:rPr>
        <w:fldChar w:fldCharType="end"/>
      </w:r>
      <w:r w:rsidRPr="007D1918">
        <w:tab/>
        <w:t xml:space="preserve">Results of cost-minimisation analysis IVIg vs PE for MG exacerbation, from public healthcare insurer perspective (in 2014 Canadian dollars) </w:t>
      </w:r>
      <w:r w:rsidRPr="007D1918">
        <w:fldChar w:fldCharType="begin">
          <w:fldData xml:space="preserve">PEVuZE5vdGU+PENpdGU+PEF1dGhvcj5GdXJsYW48L0F1dGhvcj48WWVhcj4yMDE2PC9ZZWFyPjxS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=
</w:fldData>
        </w:fldChar>
      </w:r>
      <w:r w:rsidR="007D4948" w:rsidRPr="007D1918">
        <w:instrText xml:space="preserve"> ADDIN EN.CITE </w:instrText>
      </w:r>
      <w:r w:rsidR="007D4948" w:rsidRPr="007D1918">
        <w:fldChar w:fldCharType="begin">
          <w:fldData xml:space="preserve">PEVuZE5vdGU+PENpdGU+PEF1dGhvcj5GdXJsYW48L0F1dGhvcj48WWVhcj4yMDE2PC9ZZWFyPjxS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=
</w:fldData>
        </w:fldChar>
      </w:r>
      <w:r w:rsidR="007D4948" w:rsidRPr="007D1918">
        <w:instrText xml:space="preserve"> ADDIN EN.CITE.DATA </w:instrText>
      </w:r>
      <w:r w:rsidR="007D4948" w:rsidRPr="007D1918">
        <w:fldChar w:fldCharType="end"/>
      </w:r>
      <w:r w:rsidRPr="007D1918">
        <w:fldChar w:fldCharType="separate"/>
      </w:r>
      <w:bookmarkEnd w:id="379"/>
      <w:bookmarkEnd w:id="380"/>
      <w:r w:rsidR="007D4948" w:rsidRPr="007D1918">
        <w:rPr>
          <w:noProof/>
        </w:rPr>
        <w:t>(</w:t>
      </w:r>
      <w:hyperlink w:anchor="_ENREF_25" w:tooltip="Furlan, 2016 #52" w:history="1">
        <w:r w:rsidR="007D4948" w:rsidRPr="007D1918">
          <w:rPr>
            <w:noProof/>
          </w:rPr>
          <w:t>Furlan et al. 2016a</w:t>
        </w:r>
      </w:hyperlink>
      <w:r w:rsidR="007D4948" w:rsidRPr="007D1918">
        <w:rPr>
          <w:noProof/>
        </w:rPr>
        <w:t>)</w:t>
      </w:r>
      <w:r w:rsidRPr="007D1918">
        <w:fldChar w:fldCharType="end"/>
      </w:r>
    </w:p>
    <w:tbl>
      <w:tblPr>
        <w:tblStyle w:val="TableGrid"/>
        <w:tblW w:w="0" w:type="auto"/>
        <w:tblLook w:val="04A0" w:firstRow="1" w:lastRow="0" w:firstColumn="1" w:lastColumn="0" w:noHBand="0" w:noVBand="1"/>
        <w:tblCaption w:val="Table 62 Results of cost-minimisation analysis IVIg vs PE for MG exacerbation, from public healthcare insurer perspective (in 2014 Canadian dollars) (Furlan et al. 2016a)"/>
      </w:tblPr>
      <w:tblGrid>
        <w:gridCol w:w="2254"/>
        <w:gridCol w:w="2254"/>
        <w:gridCol w:w="2858"/>
        <w:gridCol w:w="1650"/>
      </w:tblGrid>
      <w:tr w:rsidR="008747C1" w:rsidRPr="007D1918" w14:paraId="567A7D2D" w14:textId="77777777" w:rsidTr="00BD29C0">
        <w:trPr>
          <w:tblHeader/>
        </w:trPr>
        <w:tc>
          <w:tcPr>
            <w:tcW w:w="2254" w:type="dxa"/>
          </w:tcPr>
          <w:p w14:paraId="1E3CF67B"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Cost type</w:t>
            </w:r>
          </w:p>
        </w:tc>
        <w:tc>
          <w:tcPr>
            <w:tcW w:w="2254" w:type="dxa"/>
          </w:tcPr>
          <w:p w14:paraId="23C89524" w14:textId="77777777" w:rsidR="008747C1" w:rsidRPr="007D1918" w:rsidRDefault="008747C1"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IVIg</w:t>
            </w:r>
          </w:p>
        </w:tc>
        <w:tc>
          <w:tcPr>
            <w:tcW w:w="2858" w:type="dxa"/>
          </w:tcPr>
          <w:p w14:paraId="610E525A" w14:textId="77777777" w:rsidR="008747C1" w:rsidRPr="007D1918" w:rsidRDefault="008747C1"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PE</w:t>
            </w:r>
          </w:p>
        </w:tc>
        <w:tc>
          <w:tcPr>
            <w:tcW w:w="1650" w:type="dxa"/>
          </w:tcPr>
          <w:p w14:paraId="7D7A4373" w14:textId="77777777" w:rsidR="008747C1" w:rsidRPr="007D1918" w:rsidRDefault="008747C1"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p-value</w:t>
            </w:r>
          </w:p>
        </w:tc>
      </w:tr>
      <w:tr w:rsidR="008747C1" w:rsidRPr="007D1918" w14:paraId="46252D8C" w14:textId="77777777" w:rsidTr="00153384">
        <w:tc>
          <w:tcPr>
            <w:tcW w:w="2254" w:type="dxa"/>
          </w:tcPr>
          <w:p w14:paraId="3420FE7E"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Hospital costs</w:t>
            </w:r>
          </w:p>
        </w:tc>
        <w:tc>
          <w:tcPr>
            <w:tcW w:w="2254" w:type="dxa"/>
          </w:tcPr>
          <w:p w14:paraId="70CFE4C3" w14:textId="77777777" w:rsidR="008747C1" w:rsidRPr="007D1918" w:rsidRDefault="008747C1" w:rsidP="00153384">
            <w:pPr>
              <w:spacing w:before="40" w:after="40" w:line="240" w:lineRule="auto"/>
              <w:ind w:left="0"/>
              <w:jc w:val="right"/>
              <w:rPr>
                <w:rFonts w:ascii="Arial Narrow" w:hAnsi="Arial Narrow"/>
                <w:sz w:val="20"/>
                <w:szCs w:val="20"/>
              </w:rPr>
            </w:pPr>
            <w:r w:rsidRPr="007D1918">
              <w:rPr>
                <w:rFonts w:ascii="Arial Narrow" w:hAnsi="Arial Narrow"/>
                <w:sz w:val="20"/>
                <w:szCs w:val="20"/>
              </w:rPr>
              <w:t xml:space="preserve">$1,453.80 </w:t>
            </w:r>
            <w:r w:rsidRPr="007D1918">
              <w:rPr>
                <w:rFonts w:asciiTheme="minorHAnsi" w:hAnsiTheme="minorHAnsi"/>
                <w:sz w:val="20"/>
                <w:szCs w:val="20"/>
              </w:rPr>
              <w:t>±</w:t>
            </w:r>
            <w:r w:rsidRPr="007D1918">
              <w:rPr>
                <w:rFonts w:ascii="Arial Narrow" w:hAnsi="Arial Narrow"/>
                <w:sz w:val="20"/>
                <w:szCs w:val="20"/>
              </w:rPr>
              <w:t xml:space="preserve"> $77.48</w:t>
            </w:r>
          </w:p>
        </w:tc>
        <w:tc>
          <w:tcPr>
            <w:tcW w:w="2858" w:type="dxa"/>
          </w:tcPr>
          <w:p w14:paraId="7288077F" w14:textId="77777777" w:rsidR="008747C1" w:rsidRPr="007D1918" w:rsidRDefault="008747C1" w:rsidP="00153384">
            <w:pPr>
              <w:spacing w:before="40" w:after="40" w:line="240" w:lineRule="auto"/>
              <w:ind w:left="0"/>
              <w:jc w:val="right"/>
              <w:rPr>
                <w:rFonts w:ascii="Arial Narrow" w:hAnsi="Arial Narrow"/>
                <w:sz w:val="20"/>
                <w:szCs w:val="20"/>
              </w:rPr>
            </w:pPr>
            <w:r w:rsidRPr="007D1918">
              <w:rPr>
                <w:rFonts w:ascii="Arial Narrow" w:hAnsi="Arial Narrow"/>
                <w:sz w:val="20"/>
                <w:szCs w:val="20"/>
              </w:rPr>
              <w:t xml:space="preserve">$4,628.21 </w:t>
            </w:r>
            <w:r w:rsidRPr="007D1918">
              <w:rPr>
                <w:rFonts w:asciiTheme="minorHAnsi" w:hAnsiTheme="minorHAnsi"/>
                <w:sz w:val="20"/>
                <w:szCs w:val="20"/>
              </w:rPr>
              <w:t>±</w:t>
            </w:r>
            <w:r w:rsidRPr="007D1918">
              <w:rPr>
                <w:rFonts w:ascii="Arial Narrow" w:hAnsi="Arial Narrow"/>
                <w:sz w:val="20"/>
                <w:szCs w:val="20"/>
              </w:rPr>
              <w:t xml:space="preserve"> $120.58</w:t>
            </w:r>
          </w:p>
        </w:tc>
        <w:tc>
          <w:tcPr>
            <w:tcW w:w="1650" w:type="dxa"/>
          </w:tcPr>
          <w:p w14:paraId="67947A50"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&lt;0.001</w:t>
            </w:r>
          </w:p>
        </w:tc>
      </w:tr>
      <w:tr w:rsidR="008747C1" w:rsidRPr="007D1918" w14:paraId="1492AB10" w14:textId="77777777" w:rsidTr="00153384">
        <w:tc>
          <w:tcPr>
            <w:tcW w:w="2254" w:type="dxa"/>
          </w:tcPr>
          <w:p w14:paraId="1B512F93"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Blood Products</w:t>
            </w:r>
          </w:p>
        </w:tc>
        <w:tc>
          <w:tcPr>
            <w:tcW w:w="2254" w:type="dxa"/>
          </w:tcPr>
          <w:p w14:paraId="149ADA78" w14:textId="77777777" w:rsidR="008747C1" w:rsidRPr="007D1918" w:rsidRDefault="008747C1" w:rsidP="00153384">
            <w:pPr>
              <w:spacing w:before="40" w:after="40" w:line="240" w:lineRule="auto"/>
              <w:ind w:left="0"/>
              <w:jc w:val="right"/>
              <w:rPr>
                <w:rFonts w:ascii="Arial Narrow" w:hAnsi="Arial Narrow"/>
                <w:sz w:val="20"/>
                <w:szCs w:val="20"/>
              </w:rPr>
            </w:pPr>
            <w:r w:rsidRPr="007D1918">
              <w:rPr>
                <w:rFonts w:ascii="Arial Narrow" w:hAnsi="Arial Narrow"/>
                <w:sz w:val="20"/>
                <w:szCs w:val="20"/>
              </w:rPr>
              <w:t xml:space="preserve">$6,823.60 </w:t>
            </w:r>
            <w:r w:rsidRPr="007D1918">
              <w:rPr>
                <w:rFonts w:asciiTheme="minorHAnsi" w:hAnsiTheme="minorHAnsi"/>
                <w:sz w:val="20"/>
                <w:szCs w:val="20"/>
              </w:rPr>
              <w:t>±</w:t>
            </w:r>
            <w:r w:rsidRPr="007D1918">
              <w:rPr>
                <w:rFonts w:ascii="Arial Narrow" w:hAnsi="Arial Narrow"/>
                <w:sz w:val="20"/>
                <w:szCs w:val="20"/>
              </w:rPr>
              <w:t xml:space="preserve"> 0 </w:t>
            </w:r>
          </w:p>
        </w:tc>
        <w:tc>
          <w:tcPr>
            <w:tcW w:w="2858" w:type="dxa"/>
          </w:tcPr>
          <w:p w14:paraId="13BBECB0" w14:textId="77777777" w:rsidR="008747C1" w:rsidRPr="007D1918" w:rsidRDefault="008747C1" w:rsidP="00153384">
            <w:pPr>
              <w:spacing w:before="40" w:after="40" w:line="240" w:lineRule="auto"/>
              <w:ind w:left="0"/>
              <w:jc w:val="right"/>
              <w:rPr>
                <w:rFonts w:ascii="Arial Narrow" w:hAnsi="Arial Narrow"/>
                <w:sz w:val="20"/>
                <w:szCs w:val="20"/>
              </w:rPr>
            </w:pPr>
            <w:r w:rsidRPr="007D1918">
              <w:rPr>
                <w:rFonts w:ascii="Arial Narrow" w:hAnsi="Arial Narrow"/>
                <w:sz w:val="20"/>
                <w:szCs w:val="20"/>
              </w:rPr>
              <w:t xml:space="preserve">$1,455.83 </w:t>
            </w:r>
            <w:r w:rsidRPr="007D1918">
              <w:rPr>
                <w:rFonts w:asciiTheme="minorHAnsi" w:hAnsiTheme="minorHAnsi"/>
                <w:sz w:val="20"/>
                <w:szCs w:val="20"/>
              </w:rPr>
              <w:t>±</w:t>
            </w:r>
            <w:r w:rsidRPr="007D1918">
              <w:rPr>
                <w:rFonts w:ascii="Arial Narrow" w:hAnsi="Arial Narrow"/>
                <w:sz w:val="20"/>
                <w:szCs w:val="20"/>
              </w:rPr>
              <w:t xml:space="preserve"> $33.11 </w:t>
            </w:r>
          </w:p>
        </w:tc>
        <w:tc>
          <w:tcPr>
            <w:tcW w:w="1650" w:type="dxa"/>
          </w:tcPr>
          <w:p w14:paraId="2B73CD2B"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&lt;0.001</w:t>
            </w:r>
          </w:p>
        </w:tc>
      </w:tr>
      <w:tr w:rsidR="008747C1" w:rsidRPr="007D1918" w14:paraId="504BE4F6" w14:textId="77777777" w:rsidTr="00153384">
        <w:tc>
          <w:tcPr>
            <w:tcW w:w="2254" w:type="dxa"/>
          </w:tcPr>
          <w:p w14:paraId="59B94061"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Physician fees</w:t>
            </w:r>
          </w:p>
        </w:tc>
        <w:tc>
          <w:tcPr>
            <w:tcW w:w="2254" w:type="dxa"/>
          </w:tcPr>
          <w:p w14:paraId="32E7B297" w14:textId="77777777" w:rsidR="008747C1" w:rsidRPr="007D1918" w:rsidRDefault="008747C1" w:rsidP="00153384">
            <w:pPr>
              <w:spacing w:before="40" w:after="40" w:line="240" w:lineRule="auto"/>
              <w:ind w:left="0"/>
              <w:jc w:val="right"/>
              <w:rPr>
                <w:rFonts w:ascii="Arial Narrow" w:hAnsi="Arial Narrow"/>
                <w:sz w:val="20"/>
                <w:szCs w:val="20"/>
              </w:rPr>
            </w:pPr>
            <w:r w:rsidRPr="007D1918">
              <w:rPr>
                <w:rFonts w:ascii="Arial Narrow" w:hAnsi="Arial Narrow"/>
                <w:sz w:val="20"/>
                <w:szCs w:val="20"/>
              </w:rPr>
              <w:t xml:space="preserve">$32.14 </w:t>
            </w:r>
            <w:r w:rsidRPr="007D1918">
              <w:rPr>
                <w:rFonts w:asciiTheme="minorHAnsi" w:hAnsiTheme="minorHAnsi"/>
                <w:sz w:val="20"/>
                <w:szCs w:val="20"/>
              </w:rPr>
              <w:t>±</w:t>
            </w:r>
            <w:r w:rsidRPr="007D1918">
              <w:rPr>
                <w:rFonts w:ascii="Arial Narrow" w:hAnsi="Arial Narrow"/>
                <w:sz w:val="20"/>
                <w:szCs w:val="20"/>
              </w:rPr>
              <w:t xml:space="preserve"> $61.16</w:t>
            </w:r>
          </w:p>
        </w:tc>
        <w:tc>
          <w:tcPr>
            <w:tcW w:w="2858" w:type="dxa"/>
          </w:tcPr>
          <w:p w14:paraId="7DBB0D2A" w14:textId="77777777" w:rsidR="008747C1" w:rsidRPr="007D1918" w:rsidRDefault="008747C1" w:rsidP="00153384">
            <w:pPr>
              <w:spacing w:before="40" w:after="40" w:line="240" w:lineRule="auto"/>
              <w:ind w:left="0"/>
              <w:jc w:val="right"/>
              <w:rPr>
                <w:rFonts w:ascii="Arial Narrow" w:hAnsi="Arial Narrow"/>
                <w:sz w:val="20"/>
                <w:szCs w:val="20"/>
              </w:rPr>
            </w:pPr>
            <w:r w:rsidRPr="007D1918">
              <w:rPr>
                <w:rFonts w:ascii="Arial Narrow" w:hAnsi="Arial Narrow"/>
                <w:sz w:val="20"/>
                <w:szCs w:val="20"/>
              </w:rPr>
              <w:t xml:space="preserve">$187.15 </w:t>
            </w:r>
            <w:r w:rsidRPr="007D1918">
              <w:rPr>
                <w:rFonts w:asciiTheme="minorHAnsi" w:hAnsiTheme="minorHAnsi"/>
                <w:sz w:val="20"/>
                <w:szCs w:val="20"/>
              </w:rPr>
              <w:t>±</w:t>
            </w:r>
            <w:r w:rsidRPr="007D1918">
              <w:rPr>
                <w:rFonts w:ascii="Arial Narrow" w:hAnsi="Arial Narrow"/>
                <w:sz w:val="20"/>
                <w:szCs w:val="20"/>
              </w:rPr>
              <w:t xml:space="preserve"> $1.53 </w:t>
            </w:r>
          </w:p>
        </w:tc>
        <w:tc>
          <w:tcPr>
            <w:tcW w:w="1650" w:type="dxa"/>
          </w:tcPr>
          <w:p w14:paraId="0BF4FAF3"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&lt;0.001</w:t>
            </w:r>
          </w:p>
        </w:tc>
      </w:tr>
      <w:tr w:rsidR="008747C1" w:rsidRPr="007D1918" w14:paraId="34630427" w14:textId="77777777" w:rsidTr="00153384">
        <w:tc>
          <w:tcPr>
            <w:tcW w:w="2254" w:type="dxa"/>
          </w:tcPr>
          <w:p w14:paraId="0A9BA369" w14:textId="77777777" w:rsidR="008747C1" w:rsidRPr="007D1918" w:rsidRDefault="008747C1" w:rsidP="00153384">
            <w:pPr>
              <w:spacing w:before="40" w:after="40" w:line="240" w:lineRule="auto"/>
              <w:ind w:left="0"/>
              <w:rPr>
                <w:rFonts w:ascii="Arial Narrow" w:hAnsi="Arial Narrow"/>
                <w:b/>
                <w:sz w:val="20"/>
                <w:szCs w:val="20"/>
              </w:rPr>
            </w:pPr>
            <w:r w:rsidRPr="007D1918">
              <w:rPr>
                <w:rFonts w:ascii="Arial Narrow" w:hAnsi="Arial Narrow"/>
                <w:b/>
                <w:sz w:val="20"/>
                <w:szCs w:val="20"/>
              </w:rPr>
              <w:t>Total</w:t>
            </w:r>
          </w:p>
        </w:tc>
        <w:tc>
          <w:tcPr>
            <w:tcW w:w="2254" w:type="dxa"/>
          </w:tcPr>
          <w:p w14:paraId="0FD8B828" w14:textId="77777777" w:rsidR="008747C1" w:rsidRPr="007D1918" w:rsidRDefault="008747C1" w:rsidP="00153384">
            <w:pPr>
              <w:spacing w:before="40" w:after="40" w:line="240" w:lineRule="auto"/>
              <w:ind w:left="0"/>
              <w:jc w:val="right"/>
              <w:rPr>
                <w:rFonts w:ascii="Arial Narrow" w:hAnsi="Arial Narrow"/>
                <w:b/>
                <w:sz w:val="20"/>
                <w:szCs w:val="20"/>
              </w:rPr>
            </w:pPr>
            <w:r w:rsidRPr="007D1918">
              <w:rPr>
                <w:rFonts w:ascii="Arial Narrow" w:hAnsi="Arial Narrow"/>
                <w:b/>
                <w:sz w:val="20"/>
                <w:szCs w:val="20"/>
              </w:rPr>
              <w:t xml:space="preserve">$8,309.72 </w:t>
            </w:r>
            <w:r w:rsidRPr="007D1918">
              <w:rPr>
                <w:rFonts w:asciiTheme="minorHAnsi" w:hAnsiTheme="minorHAnsi"/>
                <w:b/>
                <w:sz w:val="20"/>
                <w:szCs w:val="20"/>
              </w:rPr>
              <w:t>±</w:t>
            </w:r>
            <w:r w:rsidRPr="007D1918">
              <w:rPr>
                <w:rFonts w:ascii="Arial Narrow" w:hAnsi="Arial Narrow"/>
                <w:b/>
                <w:sz w:val="20"/>
                <w:szCs w:val="20"/>
              </w:rPr>
              <w:t xml:space="preserve"> $77.87</w:t>
            </w:r>
          </w:p>
        </w:tc>
        <w:tc>
          <w:tcPr>
            <w:tcW w:w="2858" w:type="dxa"/>
          </w:tcPr>
          <w:p w14:paraId="081D952D" w14:textId="77777777" w:rsidR="008747C1" w:rsidRPr="007D1918" w:rsidRDefault="008747C1" w:rsidP="00153384">
            <w:pPr>
              <w:spacing w:before="40" w:after="40" w:line="240" w:lineRule="auto"/>
              <w:ind w:left="0"/>
              <w:jc w:val="right"/>
              <w:rPr>
                <w:rFonts w:ascii="Arial Narrow" w:hAnsi="Arial Narrow"/>
                <w:b/>
                <w:sz w:val="20"/>
                <w:szCs w:val="20"/>
              </w:rPr>
            </w:pPr>
            <w:r w:rsidRPr="007D1918">
              <w:rPr>
                <w:rFonts w:ascii="Arial Narrow" w:hAnsi="Arial Narrow"/>
                <w:b/>
                <w:sz w:val="20"/>
                <w:szCs w:val="20"/>
              </w:rPr>
              <w:t xml:space="preserve">$6,271.19 </w:t>
            </w:r>
            <w:r w:rsidRPr="007D1918">
              <w:rPr>
                <w:rFonts w:asciiTheme="minorHAnsi" w:hAnsiTheme="minorHAnsi"/>
                <w:b/>
                <w:sz w:val="20"/>
                <w:szCs w:val="20"/>
              </w:rPr>
              <w:t>±</w:t>
            </w:r>
            <w:r w:rsidRPr="007D1918">
              <w:rPr>
                <w:rFonts w:ascii="Arial Narrow" w:hAnsi="Arial Narrow"/>
                <w:b/>
                <w:sz w:val="20"/>
                <w:szCs w:val="20"/>
              </w:rPr>
              <w:t xml:space="preserve"> $139.12</w:t>
            </w:r>
          </w:p>
        </w:tc>
        <w:tc>
          <w:tcPr>
            <w:tcW w:w="1650" w:type="dxa"/>
          </w:tcPr>
          <w:p w14:paraId="71F08D20" w14:textId="77777777" w:rsidR="008747C1" w:rsidRPr="007D1918" w:rsidRDefault="008747C1" w:rsidP="00153384">
            <w:pPr>
              <w:spacing w:before="40" w:after="40" w:line="240" w:lineRule="auto"/>
              <w:ind w:left="0"/>
              <w:jc w:val="center"/>
              <w:rPr>
                <w:rFonts w:ascii="Arial Narrow" w:hAnsi="Arial Narrow"/>
                <w:b/>
                <w:sz w:val="20"/>
                <w:szCs w:val="20"/>
              </w:rPr>
            </w:pPr>
            <w:r w:rsidRPr="007D1918">
              <w:rPr>
                <w:rFonts w:ascii="Arial Narrow" w:hAnsi="Arial Narrow"/>
                <w:b/>
                <w:sz w:val="20"/>
                <w:szCs w:val="20"/>
              </w:rPr>
              <w:t>&lt;0.001</w:t>
            </w:r>
          </w:p>
        </w:tc>
      </w:tr>
    </w:tbl>
    <w:p w14:paraId="55A32C00" w14:textId="77777777" w:rsidR="008747C1" w:rsidRPr="007D1918" w:rsidRDefault="008747C1" w:rsidP="008747C1">
      <w:pPr>
        <w:widowControl w:val="0"/>
        <w:spacing w:after="6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IVIg = intravenous immunoglobulin; PE = plasma exchange; MG = myasthenia gravis</w:t>
      </w:r>
    </w:p>
    <w:p w14:paraId="6FDBE20D" w14:textId="0E8A49DC" w:rsidR="008747C1" w:rsidRPr="007D1918" w:rsidRDefault="008747C1" w:rsidP="008747C1">
      <w:pPr>
        <w:widowControl w:val="0"/>
        <w:spacing w:after="12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 xml:space="preserve">Source: </w:t>
      </w:r>
      <w:r w:rsidRPr="007D1918">
        <w:rPr>
          <w:rFonts w:ascii="Arial Narrow" w:hAnsi="Arial Narrow" w:cs="Arial"/>
          <w:snapToGrid w:val="0"/>
          <w:sz w:val="18"/>
          <w:szCs w:val="20"/>
          <w:lang w:eastAsia="en-US"/>
        </w:rPr>
        <w:fldChar w:fldCharType="begin">
          <w:fldData xml:space="preserve">PEVuZE5vdGU+PENpdGU+PEF1dGhvcj5GdXJsYW48L0F1dGhvcj48WWVhcj4yMDE2PC9ZZWFyPjxS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=
</w:fldData>
        </w:fldChar>
      </w:r>
      <w:r w:rsidR="007D4948" w:rsidRPr="007D1918">
        <w:rPr>
          <w:rFonts w:ascii="Arial Narrow" w:hAnsi="Arial Narrow" w:cs="Arial"/>
          <w:snapToGrid w:val="0"/>
          <w:sz w:val="18"/>
          <w:szCs w:val="20"/>
          <w:lang w:eastAsia="en-US"/>
        </w:rPr>
        <w:instrText xml:space="preserve"> ADDIN EN.CITE </w:instrText>
      </w:r>
      <w:r w:rsidR="007D4948" w:rsidRPr="007D1918">
        <w:rPr>
          <w:rFonts w:ascii="Arial Narrow" w:hAnsi="Arial Narrow" w:cs="Arial"/>
          <w:snapToGrid w:val="0"/>
          <w:sz w:val="18"/>
          <w:szCs w:val="20"/>
          <w:lang w:eastAsia="en-US"/>
        </w:rPr>
        <w:fldChar w:fldCharType="begin">
          <w:fldData xml:space="preserve">PEVuZE5vdGU+PENpdGU+PEF1dGhvcj5GdXJsYW48L0F1dGhvcj48WWVhcj4yMDE2PC9ZZWFyPjxS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=
</w:fldData>
        </w:fldChar>
      </w:r>
      <w:r w:rsidR="007D4948" w:rsidRPr="007D1918">
        <w:rPr>
          <w:rFonts w:ascii="Arial Narrow" w:hAnsi="Arial Narrow" w:cs="Arial"/>
          <w:snapToGrid w:val="0"/>
          <w:sz w:val="18"/>
          <w:szCs w:val="20"/>
          <w:lang w:eastAsia="en-US"/>
        </w:rPr>
        <w:instrText xml:space="preserve"> ADDIN EN.CITE.DATA </w:instrText>
      </w:r>
      <w:r w:rsidR="007D4948" w:rsidRPr="007D1918">
        <w:rPr>
          <w:rFonts w:ascii="Arial Narrow" w:hAnsi="Arial Narrow" w:cs="Arial"/>
          <w:snapToGrid w:val="0"/>
          <w:sz w:val="18"/>
          <w:szCs w:val="20"/>
          <w:lang w:eastAsia="en-US"/>
        </w:rPr>
      </w:r>
      <w:r w:rsidR="007D4948" w:rsidRPr="007D1918">
        <w:rPr>
          <w:rFonts w:ascii="Arial Narrow" w:hAnsi="Arial Narrow" w:cs="Arial"/>
          <w:snapToGrid w:val="0"/>
          <w:sz w:val="18"/>
          <w:szCs w:val="20"/>
          <w:lang w:eastAsia="en-US"/>
        </w:rPr>
        <w:fldChar w:fldCharType="end"/>
      </w:r>
      <w:r w:rsidRPr="007D1918">
        <w:rPr>
          <w:rFonts w:ascii="Arial Narrow" w:hAnsi="Arial Narrow" w:cs="Arial"/>
          <w:snapToGrid w:val="0"/>
          <w:sz w:val="18"/>
          <w:szCs w:val="20"/>
          <w:lang w:eastAsia="en-US"/>
        </w:rPr>
      </w:r>
      <w:r w:rsidRPr="007D1918">
        <w:rPr>
          <w:rFonts w:ascii="Arial Narrow" w:hAnsi="Arial Narrow" w:cs="Arial"/>
          <w:snapToGrid w:val="0"/>
          <w:sz w:val="18"/>
          <w:szCs w:val="20"/>
          <w:lang w:eastAsia="en-US"/>
        </w:rPr>
        <w:fldChar w:fldCharType="separate"/>
      </w:r>
      <w:r w:rsidR="007D4948" w:rsidRPr="007D1918">
        <w:rPr>
          <w:rFonts w:ascii="Arial Narrow" w:hAnsi="Arial Narrow" w:cs="Arial"/>
          <w:noProof/>
          <w:snapToGrid w:val="0"/>
          <w:sz w:val="18"/>
          <w:szCs w:val="20"/>
          <w:lang w:eastAsia="en-US"/>
        </w:rPr>
        <w:t>(</w:t>
      </w:r>
      <w:hyperlink w:anchor="_ENREF_25" w:tooltip="Furlan, 2016 #52" w:history="1">
        <w:r w:rsidR="007D4948" w:rsidRPr="007D1918">
          <w:rPr>
            <w:rFonts w:ascii="Arial Narrow" w:hAnsi="Arial Narrow" w:cs="Arial"/>
            <w:noProof/>
            <w:snapToGrid w:val="0"/>
            <w:sz w:val="18"/>
            <w:szCs w:val="20"/>
            <w:lang w:eastAsia="en-US"/>
          </w:rPr>
          <w:t>Furlan et al. 2016a</w:t>
        </w:r>
      </w:hyperlink>
      <w:r w:rsidR="007D4948" w:rsidRPr="007D1918">
        <w:rPr>
          <w:rFonts w:ascii="Arial Narrow" w:hAnsi="Arial Narrow" w:cs="Arial"/>
          <w:noProof/>
          <w:snapToGrid w:val="0"/>
          <w:sz w:val="18"/>
          <w:szCs w:val="20"/>
          <w:lang w:eastAsia="en-US"/>
        </w:rPr>
        <w:t>)</w:t>
      </w:r>
      <w:r w:rsidRPr="007D1918">
        <w:rPr>
          <w:rFonts w:ascii="Arial Narrow" w:hAnsi="Arial Narrow" w:cs="Arial"/>
          <w:snapToGrid w:val="0"/>
          <w:sz w:val="18"/>
          <w:szCs w:val="20"/>
          <w:lang w:eastAsia="en-US"/>
        </w:rPr>
        <w:fldChar w:fldCharType="end"/>
      </w:r>
      <w:r w:rsidR="002106C0" w:rsidRPr="007D1918">
        <w:rPr>
          <w:rFonts w:ascii="Arial Narrow" w:hAnsi="Arial Narrow" w:cs="Arial"/>
          <w:snapToGrid w:val="0"/>
          <w:sz w:val="18"/>
          <w:szCs w:val="20"/>
          <w:lang w:eastAsia="en-US"/>
        </w:rPr>
        <w:t>)</w:t>
      </w:r>
    </w:p>
    <w:p w14:paraId="617BF5B2" w14:textId="77777777" w:rsidR="008747C1" w:rsidRPr="007D1918" w:rsidRDefault="008747C1" w:rsidP="008747C1">
      <w:pPr>
        <w:widowControl w:val="0"/>
        <w:spacing w:after="120" w:line="240" w:lineRule="auto"/>
        <w:jc w:val="both"/>
        <w:rPr>
          <w:rFonts w:ascii="Arial Narrow" w:hAnsi="Arial Narrow" w:cs="Arial"/>
          <w:snapToGrid w:val="0"/>
          <w:sz w:val="18"/>
          <w:szCs w:val="20"/>
          <w:lang w:eastAsia="en-US"/>
        </w:rPr>
      </w:pPr>
    </w:p>
    <w:p w14:paraId="6B8D99EF" w14:textId="44BA8FC5" w:rsidR="008747C1" w:rsidRPr="007D1918" w:rsidRDefault="008747C1" w:rsidP="008747C1">
      <w:pPr>
        <w:jc w:val="both"/>
      </w:pPr>
      <w:r w:rsidRPr="007D1918">
        <w:t xml:space="preserve">Both Heatwole </w:t>
      </w:r>
      <w:r w:rsidRPr="007D1918">
        <w:fldChar w:fldCharType="begin"/>
      </w:r>
      <w:r w:rsidRPr="007D1918">
        <w:instrText xml:space="preserve"> ADDIN EN.CITE &lt;EndNote&gt;&lt;Cite&gt;&lt;Author&gt;Heatwole&lt;/Author&gt;&lt;Year&gt;2011&lt;/Year&gt;&lt;RecNum&gt;70&lt;/RecNum&gt;&lt;DisplayText&gt;(Heatwole et al. 2011)&lt;/DisplayText&gt;&lt;record&gt;&lt;rec-number&gt;70&lt;/rec-number&gt;&lt;foreign-keys&gt;&lt;key app="EN" db-id="2aevrx2slsts5ve9sdavatf125dsx0av2v9d" timestamp="1563282279"&gt;70&lt;/key&gt;&lt;/foreign-keys&gt;&lt;ref-type name="Journal Article"&gt;17&lt;/ref-type&gt;&lt;contributors&gt;&lt;authors&gt;&lt;author&gt;Heatwole, C.&lt;/author&gt;&lt;author&gt;Johnson, N.&lt;/author&gt;&lt;author&gt;Holloway, R.&lt;/author&gt;&lt;author&gt;Noyes, K.&lt;/author&gt;&lt;/authors&gt;&lt;/contributors&gt;&lt;auth-address&gt;Department of Neurology, University of Rochester, Rochester, NY 14642, USA. Chad_Heatwole@urmc.rochester.edu&lt;/auth-address&gt;&lt;titles&gt;&lt;title&gt;Plasma exchange versus intravenous immunoglobulin for myasthenia gravis crisis: an acute hospital cost comparison study&lt;/title&gt;&lt;secondary-title&gt;J Clin Neuromuscul Dis&lt;/secondary-title&gt;&lt;/titles&gt;&lt;periodical&gt;&lt;full-title&gt;J Clin Neuromuscul Dis&lt;/full-title&gt;&lt;/periodical&gt;&lt;pages&gt;85-94&lt;/pages&gt;&lt;volume&gt;13&lt;/volume&gt;&lt;number&gt;2&lt;/number&gt;&lt;edition&gt;2012/03/01&lt;/edition&gt;&lt;keywords&gt;&lt;keyword&gt;Acute Disease&lt;/keyword&gt;&lt;keyword&gt;Hospital Costs/ trends&lt;/keyword&gt;&lt;keyword&gt;Hospitalization/economics&lt;/keyword&gt;&lt;keyword&gt;Humans&lt;/keyword&gt;&lt;keyword&gt;Immunoglobulins, Intravenous/ economics/therapeutic use&lt;/keyword&gt;&lt;keyword&gt;Myasthenia Gravis/ economics/epidemiology/ therapy&lt;/keyword&gt;&lt;keyword&gt;Plasma Exchange/ economics&lt;/keyword&gt;&lt;/keywords&gt;&lt;dates&gt;&lt;year&gt;2011&lt;/year&gt;&lt;pub-dates&gt;&lt;date&gt;Dec&lt;/date&gt;&lt;/pub-dates&gt;&lt;/dates&gt;&lt;isbn&gt;1537-1611 (Electronic)&amp;#xD;1522-0443 (Linking)&lt;/isbn&gt;&lt;accession-num&gt;22361692&lt;/accession-num&gt;&lt;urls&gt;&lt;related-urls&gt;&lt;url&gt;https://www.ncbi.nlm.nih.gov/pmc/articles/PMC3291869/pdf/nihms316728.pdf&lt;/url&gt;&lt;/related-urls&gt;&lt;/urls&gt;&lt;custom2&gt;PMC3291869&lt;/custom2&gt;&lt;custom6&gt;Nihms316728&lt;/custom6&gt;&lt;electronic-resource-num&gt;10.1097/CND.0b013e31822c34dd&lt;/electronic-resource-num&gt;&lt;remote-database-provider&gt;NLM&lt;/remote-database-provider&gt;&lt;language&gt;eng&lt;/language&gt;&lt;/record&gt;&lt;/Cite&gt;&lt;/EndNote&gt;</w:instrText>
      </w:r>
      <w:r w:rsidRPr="007D1918">
        <w:fldChar w:fldCharType="separate"/>
      </w:r>
      <w:r w:rsidRPr="007D1918">
        <w:rPr>
          <w:noProof/>
        </w:rPr>
        <w:t>(</w:t>
      </w:r>
      <w:hyperlink w:anchor="_ENREF_45" w:tooltip="Heatwole, 2011 #70" w:history="1">
        <w:r w:rsidR="007D4948" w:rsidRPr="007D1918">
          <w:rPr>
            <w:noProof/>
          </w:rPr>
          <w:t>Heatwole et al. 2011</w:t>
        </w:r>
      </w:hyperlink>
      <w:r w:rsidRPr="007D1918">
        <w:rPr>
          <w:noProof/>
        </w:rPr>
        <w:t>)</w:t>
      </w:r>
      <w:r w:rsidRPr="007D1918">
        <w:fldChar w:fldCharType="end"/>
      </w:r>
      <w:r w:rsidRPr="007D1918">
        <w:t xml:space="preserve"> and Mandawat </w:t>
      </w:r>
      <w:r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Pr="007D1918">
        <w:fldChar w:fldCharType="separate"/>
      </w:r>
      <w:r w:rsidRPr="007D1918">
        <w:rPr>
          <w:noProof/>
        </w:rPr>
        <w:t>(</w:t>
      </w:r>
      <w:hyperlink w:anchor="_ENREF_64" w:tooltip="Mandawat, 2010 #37" w:history="1">
        <w:r w:rsidR="007D4948" w:rsidRPr="007D1918">
          <w:rPr>
            <w:noProof/>
          </w:rPr>
          <w:t>Mandawat et al. 2010</w:t>
        </w:r>
      </w:hyperlink>
      <w:r w:rsidRPr="007D1918">
        <w:rPr>
          <w:noProof/>
        </w:rPr>
        <w:t>)</w:t>
      </w:r>
      <w:r w:rsidRPr="007D1918">
        <w:fldChar w:fldCharType="end"/>
      </w:r>
      <w:r w:rsidRPr="007D1918">
        <w:t xml:space="preserve"> were based on observational-data sources where the most significant contribution to the overall cost difference between treatments was due to differences in the duration of hospitalisation/ICU stay, and in each</w:t>
      </w:r>
      <w:r w:rsidR="00DA1008" w:rsidRPr="007D1918">
        <w:t>,</w:t>
      </w:r>
      <w:r w:rsidRPr="007D1918">
        <w:t xml:space="preserve"> PE was associated with longer admissions. Indirect resource use associated with treatment (e.g. management of adverse events) are included – either modelled directly </w:t>
      </w:r>
      <w:r w:rsidRPr="007D1918">
        <w:fldChar w:fldCharType="begin"/>
      </w:r>
      <w:r w:rsidRPr="007D1918">
        <w:instrText xml:space="preserve"> ADDIN EN.CITE &lt;EndNote&gt;&lt;Cite&gt;&lt;Author&gt;Heatwole&lt;/Author&gt;&lt;Year&gt;2011&lt;/Year&gt;&lt;RecNum&gt;70&lt;/RecNum&gt;&lt;DisplayText&gt;(Heatwole et al. 2011)&lt;/DisplayText&gt;&lt;record&gt;&lt;rec-number&gt;70&lt;/rec-number&gt;&lt;foreign-keys&gt;&lt;key app="EN" db-id="2aevrx2slsts5ve9sdavatf125dsx0av2v9d" timestamp="1563282279"&gt;70&lt;/key&gt;&lt;/foreign-keys&gt;&lt;ref-type name="Journal Article"&gt;17&lt;/ref-type&gt;&lt;contributors&gt;&lt;authors&gt;&lt;author&gt;Heatwole, C.&lt;/author&gt;&lt;author&gt;Johnson, N.&lt;/author&gt;&lt;author&gt;Holloway, R.&lt;/author&gt;&lt;author&gt;Noyes, K.&lt;/author&gt;&lt;/authors&gt;&lt;/contributors&gt;&lt;auth-address&gt;Department of Neurology, University of Rochester, Rochester, NY 14642, USA. Chad_Heatwole@urmc.rochester.edu&lt;/auth-address&gt;&lt;titles&gt;&lt;title&gt;Plasma exchange versus intravenous immunoglobulin for myasthenia gravis crisis: an acute hospital cost comparison study&lt;/title&gt;&lt;secondary-title&gt;J Clin Neuromuscul Dis&lt;/secondary-title&gt;&lt;/titles&gt;&lt;periodical&gt;&lt;full-title&gt;J Clin Neuromuscul Dis&lt;/full-title&gt;&lt;/periodical&gt;&lt;pages&gt;85-94&lt;/pages&gt;&lt;volume&gt;13&lt;/volume&gt;&lt;number&gt;2&lt;/number&gt;&lt;edition&gt;2012/03/01&lt;/edition&gt;&lt;keywords&gt;&lt;keyword&gt;Acute Disease&lt;/keyword&gt;&lt;keyword&gt;Hospital Costs/ trends&lt;/keyword&gt;&lt;keyword&gt;Hospitalization/economics&lt;/keyword&gt;&lt;keyword&gt;Humans&lt;/keyword&gt;&lt;keyword&gt;Immunoglobulins, Intravenous/ economics/therapeutic use&lt;/keyword&gt;&lt;keyword&gt;Myasthenia Gravis/ economics/epidemiology/ therapy&lt;/keyword&gt;&lt;keyword&gt;Plasma Exchange/ economics&lt;/keyword&gt;&lt;/keywords&gt;&lt;dates&gt;&lt;year&gt;2011&lt;/year&gt;&lt;pub-dates&gt;&lt;date&gt;Dec&lt;/date&gt;&lt;/pub-dates&gt;&lt;/dates&gt;&lt;isbn&gt;1537-1611 (Electronic)&amp;#xD;1522-0443 (Linking)&lt;/isbn&gt;&lt;accession-num&gt;22361692&lt;/accession-num&gt;&lt;urls&gt;&lt;related-urls&gt;&lt;url&gt;https://www.ncbi.nlm.nih.gov/pmc/articles/PMC3291869/pdf/nihms316728.pdf&lt;/url&gt;&lt;/related-urls&gt;&lt;/urls&gt;&lt;custom2&gt;PMC3291869&lt;/custom2&gt;&lt;custom6&gt;Nihms316728&lt;/custom6&gt;&lt;electronic-resource-num&gt;10.1097/CND.0b013e31822c34dd&lt;/electronic-resource-num&gt;&lt;remote-database-provider&gt;NLM&lt;/remote-database-provider&gt;&lt;language&gt;eng&lt;/language&gt;&lt;/record&gt;&lt;/Cite&gt;&lt;/EndNote&gt;</w:instrText>
      </w:r>
      <w:r w:rsidRPr="007D1918">
        <w:fldChar w:fldCharType="separate"/>
      </w:r>
      <w:r w:rsidRPr="007D1918">
        <w:rPr>
          <w:noProof/>
        </w:rPr>
        <w:t>(</w:t>
      </w:r>
      <w:hyperlink w:anchor="_ENREF_45" w:tooltip="Heatwole, 2011 #70" w:history="1">
        <w:r w:rsidR="007D4948" w:rsidRPr="007D1918">
          <w:rPr>
            <w:noProof/>
          </w:rPr>
          <w:t>Heatwole et al. 2011</w:t>
        </w:r>
      </w:hyperlink>
      <w:r w:rsidRPr="007D1918">
        <w:rPr>
          <w:noProof/>
        </w:rPr>
        <w:t>)</w:t>
      </w:r>
      <w:r w:rsidRPr="007D1918">
        <w:fldChar w:fldCharType="end"/>
      </w:r>
      <w:r w:rsidRPr="007D1918">
        <w:t xml:space="preserve"> or implicitly captured in the hospital cost data </w:t>
      </w:r>
      <w:r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 </w:instrText>
      </w:r>
      <w:r w:rsidR="007F4CDE" w:rsidRPr="007D1918">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instrText xml:space="preserve"> ADDIN EN.CITE.DATA </w:instrText>
      </w:r>
      <w:r w:rsidR="007F4CDE" w:rsidRPr="007D1918">
        <w:fldChar w:fldCharType="end"/>
      </w:r>
      <w:r w:rsidRPr="007D1918">
        <w:fldChar w:fldCharType="separate"/>
      </w:r>
      <w:r w:rsidRPr="007D1918">
        <w:rPr>
          <w:noProof/>
        </w:rPr>
        <w:t>(</w:t>
      </w:r>
      <w:hyperlink w:anchor="_ENREF_64" w:tooltip="Mandawat, 2010 #37" w:history="1">
        <w:r w:rsidR="007D4948" w:rsidRPr="007D1918">
          <w:rPr>
            <w:noProof/>
          </w:rPr>
          <w:t>Mandawat et al. 2010</w:t>
        </w:r>
      </w:hyperlink>
      <w:r w:rsidRPr="007D1918">
        <w:rPr>
          <w:noProof/>
        </w:rPr>
        <w:t>)</w:t>
      </w:r>
      <w:r w:rsidRPr="007D1918">
        <w:fldChar w:fldCharType="end"/>
      </w:r>
      <w:r w:rsidRPr="007D1918">
        <w:t>. Therapy acquisition and administration costs are estimated in Heatwole et al (with IVIg having greater direct costa than plasma exchange with albumin), but are not disaggregated in Mandawat et al.</w:t>
      </w:r>
    </w:p>
    <w:p w14:paraId="325751B9" w14:textId="09140092" w:rsidR="008747C1" w:rsidRPr="007D1918" w:rsidRDefault="008747C1" w:rsidP="008747C1">
      <w:pPr>
        <w:jc w:val="both"/>
      </w:pPr>
      <w:r w:rsidRPr="007D1918">
        <w:t xml:space="preserve">In both evaluations the inputs were based on data where selection bias </w:t>
      </w:r>
      <w:r w:rsidR="00DA1008" w:rsidRPr="007D1918">
        <w:t xml:space="preserve">had </w:t>
      </w:r>
      <w:r w:rsidRPr="007D1918">
        <w:t>been identified as likely; sicker patients in greater respiratory distress are more likely to receive PE (due to it being commonly accepted that it has a quicker onset of action). Therefore, if identical cohorts were to receive each treatment, the cost difference may be less than as projected in the published analyses, or not occur. Furthermore, neither of the analyses are current with respect to costs (and possibly some aspects of care have also changed), and both relate to the US healthcare setting; therefore the actual and relative costs may be quite different to the current Australian setting (for hospitalisation, IVIg and PE).</w:t>
      </w:r>
    </w:p>
    <w:p w14:paraId="6875BB00" w14:textId="77777777" w:rsidR="008747C1" w:rsidRPr="007D1918" w:rsidRDefault="008747C1" w:rsidP="008747C1">
      <w:pPr>
        <w:jc w:val="both"/>
      </w:pPr>
      <w:r w:rsidRPr="007D1918">
        <w:t>There were no published economic evaluations identified analysing IVIg use in patients prior to surgery (Indication 2).</w:t>
      </w:r>
    </w:p>
    <w:p w14:paraId="4BD76E6A" w14:textId="77777777" w:rsidR="008747C1" w:rsidRPr="007D1918" w:rsidRDefault="008747C1" w:rsidP="008747C1">
      <w:pPr>
        <w:jc w:val="both"/>
      </w:pPr>
      <w:r w:rsidRPr="007D1918">
        <w:t xml:space="preserve">A summary of the published economic analyses in the MG maintenance setting potentially relevant to Indication 3, is shown below in </w:t>
      </w:r>
      <w:r w:rsidRPr="007D1918">
        <w:fldChar w:fldCharType="begin"/>
      </w:r>
      <w:r w:rsidRPr="007D1918">
        <w:instrText xml:space="preserve"> REF _Ref14268197 \h  \* MERGEFORMAT </w:instrText>
      </w:r>
      <w:r w:rsidRPr="007D1918">
        <w:fldChar w:fldCharType="separate"/>
      </w:r>
      <w:r w:rsidR="00AA6011" w:rsidRPr="007D1918">
        <w:t>Table 63</w:t>
      </w:r>
      <w:r w:rsidRPr="007D1918">
        <w:fldChar w:fldCharType="end"/>
      </w:r>
      <w:r w:rsidRPr="007D1918">
        <w:t xml:space="preserve">. </w:t>
      </w:r>
    </w:p>
    <w:p w14:paraId="33D776C8" w14:textId="77777777" w:rsidR="00117D2B" w:rsidRPr="007D1918" w:rsidRDefault="00117D2B" w:rsidP="008747C1">
      <w:pPr>
        <w:jc w:val="both"/>
      </w:pPr>
    </w:p>
    <w:p w14:paraId="63ED4512" w14:textId="77777777" w:rsidR="008747C1" w:rsidRPr="007D1918" w:rsidRDefault="008747C1" w:rsidP="00117D2B">
      <w:pPr>
        <w:pStyle w:val="Caption"/>
        <w:keepNext/>
        <w:keepLines/>
      </w:pPr>
      <w:bookmarkStart w:id="381" w:name="_Ref14268197"/>
      <w:bookmarkStart w:id="382" w:name="_Toc15561968"/>
      <w:bookmarkStart w:id="383" w:name="_Toc23769550"/>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63</w:t>
      </w:r>
      <w:r w:rsidRPr="007D1918">
        <w:rPr>
          <w:noProof/>
        </w:rPr>
        <w:fldChar w:fldCharType="end"/>
      </w:r>
      <w:bookmarkEnd w:id="381"/>
      <w:r w:rsidRPr="007D1918">
        <w:tab/>
        <w:t>Published economic evaluations in patients with moderate-severe refractory MG (Indication 3)</w:t>
      </w:r>
      <w:bookmarkEnd w:id="382"/>
      <w:bookmarkEnd w:id="383"/>
    </w:p>
    <w:tbl>
      <w:tblPr>
        <w:tblStyle w:val="TableGrid"/>
        <w:tblW w:w="0" w:type="auto"/>
        <w:tblLook w:val="04A0" w:firstRow="1" w:lastRow="0" w:firstColumn="1" w:lastColumn="0" w:noHBand="0" w:noVBand="1"/>
        <w:tblCaption w:val="Table 63 Published economic evaluations in patients with moderate-severe refractory MG (Indication 3)"/>
      </w:tblPr>
      <w:tblGrid>
        <w:gridCol w:w="3006"/>
        <w:gridCol w:w="3005"/>
        <w:gridCol w:w="3005"/>
      </w:tblGrid>
      <w:tr w:rsidR="008747C1" w:rsidRPr="007D1918" w14:paraId="0E21900C" w14:textId="77777777" w:rsidTr="00BD29C0">
        <w:trPr>
          <w:tblHeader/>
        </w:trPr>
        <w:tc>
          <w:tcPr>
            <w:tcW w:w="3006" w:type="dxa"/>
          </w:tcPr>
          <w:p w14:paraId="207FA6D2" w14:textId="77777777" w:rsidR="008747C1" w:rsidRPr="007D1918" w:rsidRDefault="008747C1" w:rsidP="00117D2B">
            <w:pPr>
              <w:keepNext/>
              <w:keepLines/>
              <w:spacing w:before="40" w:after="40" w:line="240" w:lineRule="auto"/>
              <w:ind w:left="0"/>
              <w:rPr>
                <w:rFonts w:ascii="Arial Narrow" w:hAnsi="Arial Narrow"/>
                <w:b/>
                <w:sz w:val="20"/>
                <w:szCs w:val="20"/>
              </w:rPr>
            </w:pPr>
            <w:r w:rsidRPr="007D1918">
              <w:rPr>
                <w:rFonts w:ascii="Arial Narrow" w:hAnsi="Arial Narrow"/>
                <w:b/>
                <w:sz w:val="20"/>
                <w:szCs w:val="20"/>
              </w:rPr>
              <w:t>Publication</w:t>
            </w:r>
          </w:p>
        </w:tc>
        <w:tc>
          <w:tcPr>
            <w:tcW w:w="3005" w:type="dxa"/>
          </w:tcPr>
          <w:p w14:paraId="5C2F939D" w14:textId="77777777" w:rsidR="008747C1" w:rsidRPr="007D1918" w:rsidRDefault="008747C1" w:rsidP="00117D2B">
            <w:pPr>
              <w:keepNext/>
              <w:keepLines/>
              <w:spacing w:before="40" w:after="40" w:line="240" w:lineRule="auto"/>
              <w:ind w:left="0"/>
              <w:rPr>
                <w:rFonts w:ascii="Arial Narrow" w:hAnsi="Arial Narrow"/>
                <w:b/>
                <w:sz w:val="20"/>
                <w:szCs w:val="20"/>
              </w:rPr>
            </w:pPr>
            <w:r w:rsidRPr="007D1918">
              <w:rPr>
                <w:rFonts w:ascii="Arial Narrow" w:hAnsi="Arial Narrow"/>
                <w:b/>
                <w:sz w:val="20"/>
                <w:szCs w:val="20"/>
              </w:rPr>
              <w:t>Description of analysis</w:t>
            </w:r>
          </w:p>
        </w:tc>
        <w:tc>
          <w:tcPr>
            <w:tcW w:w="3005" w:type="dxa"/>
          </w:tcPr>
          <w:p w14:paraId="283ED942" w14:textId="77777777" w:rsidR="008747C1" w:rsidRPr="007D1918" w:rsidRDefault="008747C1" w:rsidP="00117D2B">
            <w:pPr>
              <w:keepNext/>
              <w:keepLines/>
              <w:spacing w:before="40" w:after="40" w:line="240" w:lineRule="auto"/>
              <w:ind w:left="0"/>
              <w:rPr>
                <w:rFonts w:ascii="Arial Narrow" w:hAnsi="Arial Narrow"/>
                <w:b/>
                <w:sz w:val="20"/>
                <w:szCs w:val="20"/>
              </w:rPr>
            </w:pPr>
            <w:r w:rsidRPr="007D1918">
              <w:rPr>
                <w:rFonts w:ascii="Arial Narrow" w:hAnsi="Arial Narrow"/>
                <w:b/>
                <w:sz w:val="20"/>
                <w:szCs w:val="20"/>
              </w:rPr>
              <w:t>Evaluation findings</w:t>
            </w:r>
          </w:p>
        </w:tc>
      </w:tr>
      <w:tr w:rsidR="008747C1" w:rsidRPr="007D1918" w14:paraId="49A58F23" w14:textId="77777777" w:rsidTr="00153384">
        <w:tc>
          <w:tcPr>
            <w:tcW w:w="3006" w:type="dxa"/>
          </w:tcPr>
          <w:p w14:paraId="389FD262" w14:textId="77777777" w:rsidR="008747C1" w:rsidRPr="007D1918" w:rsidRDefault="008747C1" w:rsidP="00117D2B">
            <w:pPr>
              <w:keepNext/>
              <w:keepLines/>
              <w:spacing w:before="40" w:after="40" w:line="240" w:lineRule="auto"/>
              <w:ind w:left="0"/>
              <w:rPr>
                <w:rFonts w:ascii="Arial Narrow" w:hAnsi="Arial Narrow"/>
                <w:sz w:val="20"/>
                <w:szCs w:val="20"/>
              </w:rPr>
            </w:pPr>
            <w:r w:rsidRPr="007D1918">
              <w:rPr>
                <w:rFonts w:ascii="Arial Narrow" w:hAnsi="Arial Narrow"/>
                <w:sz w:val="20"/>
                <w:szCs w:val="20"/>
              </w:rPr>
              <w:t xml:space="preserve">Chicaiza-Becerra LA, Garcia-Molina M, et al. </w:t>
            </w:r>
          </w:p>
          <w:p w14:paraId="6656D204" w14:textId="77777777" w:rsidR="008747C1" w:rsidRPr="007D1918" w:rsidRDefault="008747C1" w:rsidP="00117D2B">
            <w:pPr>
              <w:keepNext/>
              <w:keepLines/>
              <w:spacing w:before="40" w:after="40" w:line="240" w:lineRule="auto"/>
              <w:ind w:left="0"/>
              <w:rPr>
                <w:rFonts w:ascii="Arial Narrow" w:hAnsi="Arial Narrow"/>
                <w:sz w:val="20"/>
                <w:szCs w:val="20"/>
              </w:rPr>
            </w:pPr>
            <w:r w:rsidRPr="007D1918">
              <w:rPr>
                <w:rFonts w:ascii="Arial Narrow" w:hAnsi="Arial Narrow"/>
                <w:i/>
                <w:sz w:val="20"/>
                <w:szCs w:val="20"/>
              </w:rPr>
              <w:t>The cost-effectiveness of open or thoracoscopic thymectomy compared to medical treatment in managing myasthenia gravis without thymomas.</w:t>
            </w:r>
            <w:r w:rsidRPr="007D1918">
              <w:rPr>
                <w:rFonts w:ascii="Arial Narrow" w:hAnsi="Arial Narrow"/>
                <w:sz w:val="20"/>
                <w:szCs w:val="20"/>
              </w:rPr>
              <w:t xml:space="preserve"> </w:t>
            </w:r>
          </w:p>
          <w:p w14:paraId="2BC3CA2E" w14:textId="77777777" w:rsidR="008747C1" w:rsidRPr="007D1918" w:rsidRDefault="008747C1" w:rsidP="00117D2B">
            <w:pPr>
              <w:keepNext/>
              <w:keepLines/>
              <w:spacing w:before="40" w:after="40" w:line="240" w:lineRule="auto"/>
              <w:ind w:left="0"/>
              <w:rPr>
                <w:rFonts w:ascii="Arial Narrow" w:hAnsi="Arial Narrow"/>
                <w:sz w:val="20"/>
                <w:szCs w:val="20"/>
              </w:rPr>
            </w:pPr>
            <w:r w:rsidRPr="007D1918">
              <w:rPr>
                <w:rFonts w:ascii="Arial Narrow" w:hAnsi="Arial Narrow"/>
                <w:sz w:val="20"/>
                <w:szCs w:val="20"/>
              </w:rPr>
              <w:t>Rev Salud Publica (Bogota). 2012 Mar-Apr;14(2):260-70.</w:t>
            </w:r>
          </w:p>
          <w:p w14:paraId="113021AD" w14:textId="77777777" w:rsidR="008747C1" w:rsidRPr="007D1918" w:rsidRDefault="008747C1" w:rsidP="00117D2B">
            <w:pPr>
              <w:keepNext/>
              <w:keepLines/>
              <w:spacing w:before="40" w:after="40" w:line="240" w:lineRule="auto"/>
              <w:ind w:left="0"/>
              <w:rPr>
                <w:rFonts w:ascii="Arial Narrow" w:hAnsi="Arial Narrow"/>
                <w:b/>
                <w:i/>
                <w:sz w:val="20"/>
                <w:szCs w:val="20"/>
              </w:rPr>
            </w:pPr>
            <w:r w:rsidRPr="007D1918">
              <w:rPr>
                <w:rFonts w:ascii="Arial Narrow" w:hAnsi="Arial Narrow"/>
                <w:b/>
                <w:i/>
                <w:sz w:val="20"/>
                <w:szCs w:val="20"/>
              </w:rPr>
              <w:t>* Did not include immunoglobulin</w:t>
            </w:r>
          </w:p>
          <w:p w14:paraId="7E88B0F3" w14:textId="77777777" w:rsidR="008747C1" w:rsidRPr="007D1918" w:rsidRDefault="008747C1" w:rsidP="00117D2B">
            <w:pPr>
              <w:keepNext/>
              <w:keepLines/>
              <w:spacing w:before="40" w:after="40" w:line="240" w:lineRule="auto"/>
              <w:ind w:left="0"/>
              <w:rPr>
                <w:rFonts w:ascii="Arial Narrow" w:hAnsi="Arial Narrow"/>
                <w:sz w:val="20"/>
                <w:szCs w:val="20"/>
              </w:rPr>
            </w:pPr>
          </w:p>
          <w:p w14:paraId="5CF968F0" w14:textId="77777777" w:rsidR="008747C1" w:rsidRPr="007D1918" w:rsidRDefault="008747C1" w:rsidP="00117D2B">
            <w:pPr>
              <w:keepNext/>
              <w:keepLines/>
              <w:spacing w:before="40" w:after="40" w:line="240" w:lineRule="auto"/>
              <w:ind w:left="0"/>
              <w:rPr>
                <w:rFonts w:ascii="Arial Narrow" w:hAnsi="Arial Narrow"/>
                <w:b/>
                <w:i/>
                <w:sz w:val="20"/>
                <w:szCs w:val="20"/>
              </w:rPr>
            </w:pPr>
            <w:r w:rsidRPr="007D1918">
              <w:rPr>
                <w:rFonts w:ascii="Arial Narrow" w:hAnsi="Arial Narrow"/>
                <w:sz w:val="20"/>
                <w:szCs w:val="20"/>
              </w:rPr>
              <w:t>Colombia</w:t>
            </w:r>
          </w:p>
        </w:tc>
        <w:tc>
          <w:tcPr>
            <w:tcW w:w="3005" w:type="dxa"/>
          </w:tcPr>
          <w:p w14:paraId="673BB965" w14:textId="77777777" w:rsidR="008747C1" w:rsidRPr="007D1918" w:rsidRDefault="008747C1" w:rsidP="00117D2B">
            <w:pPr>
              <w:keepNext/>
              <w:keepLines/>
              <w:spacing w:before="40" w:after="40" w:line="240" w:lineRule="auto"/>
              <w:ind w:left="0"/>
              <w:rPr>
                <w:rFonts w:ascii="Arial Narrow" w:hAnsi="Arial Narrow"/>
                <w:sz w:val="20"/>
                <w:szCs w:val="20"/>
              </w:rPr>
            </w:pPr>
            <w:r w:rsidRPr="007D1918">
              <w:rPr>
                <w:rFonts w:ascii="Arial Narrow" w:hAnsi="Arial Narrow"/>
                <w:sz w:val="20"/>
                <w:szCs w:val="20"/>
              </w:rPr>
              <w:t>A cost-effectiveness assessment of thoracoscopic thymectomy compared to i) open thymectomy and ii) medical therapy, for managing MG not associated with thymoma. The specific medical treatment modelled was: prednisolone 10mg days (57 to 74% of patients), pyridostimgine 223 mg day 2 to 3 mg/kg azathioprine or cyclosporine 4 to 5 mg/kg day (10% to 14% of patients).</w:t>
            </w:r>
          </w:p>
        </w:tc>
        <w:tc>
          <w:tcPr>
            <w:tcW w:w="3005" w:type="dxa"/>
          </w:tcPr>
          <w:p w14:paraId="79443B58" w14:textId="77777777" w:rsidR="008747C1" w:rsidRPr="007D1918" w:rsidRDefault="008747C1" w:rsidP="00117D2B">
            <w:pPr>
              <w:keepNext/>
              <w:keepLines/>
              <w:spacing w:before="40" w:after="40" w:line="240" w:lineRule="auto"/>
              <w:ind w:left="0"/>
              <w:rPr>
                <w:rFonts w:ascii="Arial Narrow" w:hAnsi="Arial Narrow"/>
                <w:sz w:val="20"/>
                <w:szCs w:val="20"/>
              </w:rPr>
            </w:pPr>
            <w:r w:rsidRPr="007D1918">
              <w:rPr>
                <w:rFonts w:ascii="Arial Narrow" w:hAnsi="Arial Narrow"/>
                <w:sz w:val="20"/>
                <w:szCs w:val="20"/>
              </w:rPr>
              <w:t>A Markov model identified that thoracoscopic thymectomy was the most effective and least costly (it dominated the two alternatives). The cost per life year gained was, in CP 2008; 1,129,531 undiscounted and CP 805,179 with discount. Sensitivity analysis showed that the main variables affecting the results were; discount rate, the cost of a myasthenic crisis and the probability of complete remission.</w:t>
            </w:r>
          </w:p>
        </w:tc>
      </w:tr>
      <w:tr w:rsidR="008747C1" w:rsidRPr="007D1918" w14:paraId="2358946A" w14:textId="77777777" w:rsidTr="00153384">
        <w:tc>
          <w:tcPr>
            <w:tcW w:w="3006" w:type="dxa"/>
          </w:tcPr>
          <w:p w14:paraId="6F710868"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Mandawat A, Kaminski HJ, et al.</w:t>
            </w:r>
          </w:p>
          <w:p w14:paraId="5E5C5DB0" w14:textId="77777777" w:rsidR="008747C1" w:rsidRPr="007D1918" w:rsidRDefault="008747C1" w:rsidP="00153384">
            <w:pPr>
              <w:spacing w:before="40" w:after="40" w:line="240" w:lineRule="auto"/>
              <w:ind w:left="0"/>
              <w:rPr>
                <w:rFonts w:ascii="Arial Narrow" w:hAnsi="Arial Narrow"/>
                <w:i/>
                <w:sz w:val="20"/>
                <w:szCs w:val="20"/>
              </w:rPr>
            </w:pPr>
            <w:r w:rsidRPr="007D1918">
              <w:rPr>
                <w:rFonts w:ascii="Arial Narrow" w:hAnsi="Arial Narrow"/>
                <w:i/>
                <w:sz w:val="20"/>
                <w:szCs w:val="20"/>
              </w:rPr>
              <w:t>Comparative analysis of therapeutic options used for myasthenia gravis.</w:t>
            </w:r>
          </w:p>
          <w:p w14:paraId="188315F6"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Ann Neurol. 2010 Dec;68(6):797-805.</w:t>
            </w:r>
          </w:p>
          <w:p w14:paraId="77EE3CDB" w14:textId="77777777" w:rsidR="008747C1" w:rsidRPr="007D1918" w:rsidRDefault="008747C1" w:rsidP="00153384">
            <w:pPr>
              <w:spacing w:before="40" w:after="40" w:line="240" w:lineRule="auto"/>
              <w:ind w:left="0"/>
              <w:rPr>
                <w:rFonts w:ascii="Arial Narrow" w:hAnsi="Arial Narrow"/>
                <w:sz w:val="20"/>
                <w:szCs w:val="20"/>
              </w:rPr>
            </w:pPr>
          </w:p>
          <w:p w14:paraId="09A18A22"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United States</w:t>
            </w:r>
          </w:p>
        </w:tc>
        <w:tc>
          <w:tcPr>
            <w:tcW w:w="3005" w:type="dxa"/>
          </w:tcPr>
          <w:p w14:paraId="153CF579"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 cohort of MG patients identified from a nation-wide (US) inpatient sample database (2000-2005), identified as receiving IVIg or PE.</w:t>
            </w:r>
          </w:p>
          <w:p w14:paraId="5EA1E27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Multivariate regression analysis was undertaken on disease predictors, complications, length of stay and inpatient costs.</w:t>
            </w:r>
          </w:p>
          <w:p w14:paraId="037AFD2E" w14:textId="77777777" w:rsidR="008747C1" w:rsidRPr="007D1918" w:rsidRDefault="008747C1" w:rsidP="00153384">
            <w:pPr>
              <w:spacing w:before="60" w:after="60" w:line="240" w:lineRule="auto"/>
              <w:ind w:left="0"/>
              <w:rPr>
                <w:rFonts w:ascii="Arial Narrow" w:hAnsi="Arial Narrow"/>
                <w:sz w:val="20"/>
                <w:szCs w:val="20"/>
              </w:rPr>
            </w:pPr>
            <w:r w:rsidRPr="007D1918">
              <w:rPr>
                <w:rFonts w:ascii="Arial Narrow" w:hAnsi="Arial Narrow"/>
                <w:sz w:val="20"/>
                <w:szCs w:val="20"/>
              </w:rPr>
              <w:t>MG crisis patients were excluded from the separate analysis specific to a non-crisis population.</w:t>
            </w:r>
          </w:p>
        </w:tc>
        <w:tc>
          <w:tcPr>
            <w:tcW w:w="3005" w:type="dxa"/>
          </w:tcPr>
          <w:p w14:paraId="204F756D"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Adjusted mortality and complication rates were not significantly different between treatment groups. Length of stay was significantly longer (6 vs 4 days), and inpatient costs were higher ($26,662 vs $21,124) for MG patients receiving PE.</w:t>
            </w:r>
            <w:r w:rsidRPr="007D1918">
              <w:rPr>
                <w:rFonts w:ascii="Arial Narrow" w:hAnsi="Arial Narrow"/>
                <w:sz w:val="20"/>
                <w:szCs w:val="20"/>
              </w:rPr>
              <w:br/>
              <w:t>Interpretation: Compared to PE, IVIg appears of similar clinically, and perhaps superior economically (length of stay, total inpatient charges) in the treatment of MG. Elderly and those with complex comorbid diseases including acute respiratory failure may be better treated with IVIg.</w:t>
            </w:r>
          </w:p>
        </w:tc>
      </w:tr>
      <w:tr w:rsidR="008747C1" w:rsidRPr="007D1918" w14:paraId="18F9F07B" w14:textId="77777777" w:rsidTr="00153384">
        <w:tc>
          <w:tcPr>
            <w:tcW w:w="3006" w:type="dxa"/>
          </w:tcPr>
          <w:p w14:paraId="18427ABB"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Wali A, Park C, et al.</w:t>
            </w:r>
          </w:p>
          <w:p w14:paraId="496B11B4"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i/>
                <w:sz w:val="20"/>
                <w:szCs w:val="20"/>
              </w:rPr>
              <w:t>Cost comparison between rituximab, plasmapheresis and intravenous immunoglobulin for refractory MuSK antibody positive myasthenia gravis.</w:t>
            </w:r>
            <w:r w:rsidRPr="007D1918">
              <w:rPr>
                <w:rFonts w:ascii="Arial Narrow" w:hAnsi="Arial Narrow"/>
                <w:sz w:val="20"/>
                <w:szCs w:val="20"/>
              </w:rPr>
              <w:t xml:space="preserve"> </w:t>
            </w:r>
          </w:p>
          <w:p w14:paraId="2B9301F4"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American Association of Neuromuscular &amp; Electrodiagnostic Medicine Annual Meeting Abstracts (Muscle &amp; Nerve, Sept 2017)</w:t>
            </w:r>
          </w:p>
          <w:p w14:paraId="41BEC622" w14:textId="77777777" w:rsidR="008747C1" w:rsidRPr="007D1918" w:rsidRDefault="008747C1" w:rsidP="00153384">
            <w:pPr>
              <w:spacing w:before="40" w:after="40" w:line="240" w:lineRule="auto"/>
              <w:ind w:left="0"/>
              <w:rPr>
                <w:rFonts w:ascii="Arial Narrow" w:hAnsi="Arial Narrow"/>
                <w:sz w:val="20"/>
                <w:szCs w:val="20"/>
                <w:u w:val="single"/>
              </w:rPr>
            </w:pPr>
            <w:r w:rsidRPr="007D1918">
              <w:rPr>
                <w:rFonts w:ascii="Arial Narrow" w:hAnsi="Arial Narrow"/>
                <w:sz w:val="20"/>
                <w:szCs w:val="20"/>
                <w:u w:val="single"/>
              </w:rPr>
              <w:t>Abstract only</w:t>
            </w:r>
          </w:p>
          <w:p w14:paraId="4EC3CDAF" w14:textId="77777777" w:rsidR="008747C1" w:rsidRPr="007D1918" w:rsidRDefault="008747C1" w:rsidP="00153384">
            <w:pPr>
              <w:spacing w:before="40" w:after="40" w:line="240" w:lineRule="auto"/>
              <w:ind w:left="0"/>
              <w:rPr>
                <w:rFonts w:ascii="Arial Narrow" w:hAnsi="Arial Narrow"/>
                <w:sz w:val="20"/>
                <w:szCs w:val="20"/>
              </w:rPr>
            </w:pPr>
          </w:p>
          <w:p w14:paraId="48B6896A"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United States</w:t>
            </w:r>
          </w:p>
        </w:tc>
        <w:tc>
          <w:tcPr>
            <w:tcW w:w="3005" w:type="dxa"/>
          </w:tcPr>
          <w:p w14:paraId="1DC2955B"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Treatments were assumed as near equivalent efficacy for the purposes of this analysis. A Markov model estimated discounted lifetime costs associated with Rituximab, PE, and IVIg for a 25-year old female with refractory MuSK positive MG (US, 2017 costs). Dose assumptions were: IVIg 70gm every 3 weeks; PE every 10 days; Rituximab 375mg/m2 x 4, twice yearly for life. TreeAge Pro was used for all cost-analyses and discounting was 3% per year.</w:t>
            </w:r>
          </w:p>
        </w:tc>
        <w:tc>
          <w:tcPr>
            <w:tcW w:w="3005" w:type="dxa"/>
          </w:tcPr>
          <w:p w14:paraId="4CE88279"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Rituximab, PE, and IVIg were associated with lifetime costs of US $655,800, $1,323,300, and $2,210,380 respectively.</w:t>
            </w:r>
          </w:p>
          <w:p w14:paraId="0EE24190"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Conclusion: Lifelong Rituximab costs approximately half that of PE and one-third that of IVIg (with stated assumptions). This supports insurance authorizations for Rituximab use in refractory MG. </w:t>
            </w:r>
          </w:p>
        </w:tc>
      </w:tr>
    </w:tbl>
    <w:p w14:paraId="478B56E1" w14:textId="77777777" w:rsidR="008747C1" w:rsidRPr="007D1918" w:rsidRDefault="008747C1" w:rsidP="008747C1">
      <w:pPr>
        <w:pStyle w:val="Tablenotes1"/>
        <w:spacing w:after="360"/>
      </w:pPr>
      <w:r w:rsidRPr="007D1918">
        <w:t>CP = Columbian pesos; IVIg = intravenous immunoglobulin; MG = myasthenia gravis; PE = plasma exchange; US = United States</w:t>
      </w:r>
    </w:p>
    <w:p w14:paraId="4790D86B" w14:textId="145ED70C" w:rsidR="008747C1" w:rsidRPr="007D1918" w:rsidRDefault="008747C1" w:rsidP="00AA6011">
      <w:pPr>
        <w:jc w:val="both"/>
      </w:pPr>
      <w:r w:rsidRPr="007D1918">
        <w:t xml:space="preserve">The cost-effectiveness analysis by Chicaiza-Becerra et al </w:t>
      </w:r>
      <w:r w:rsidRPr="007D1918">
        <w:fldChar w:fldCharType="begin">
          <w:fldData xml:space="preserve">PEVuZE5vdGU+PENpdGU+PEF1dGhvcj5DaGljYWl6YS1CZWNlcnJhPC9BdXRob3I+PFllYXI+MjAx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</w:fldData>
        </w:fldChar>
      </w:r>
      <w:r w:rsidRPr="007D1918">
        <w:instrText xml:space="preserve"> ADDIN EN.CITE </w:instrText>
      </w:r>
      <w:r w:rsidRPr="007D1918">
        <w:fldChar w:fldCharType="begin">
          <w:fldData xml:space="preserve">PEVuZE5vdGU+PENpdGU+PEF1dGhvcj5DaGljYWl6YS1CZWNlcnJhPC9BdXRob3I+PFllYXI+MjAx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</w:fldData>
        </w:fldChar>
      </w:r>
      <w:r w:rsidRPr="007D1918">
        <w:instrText xml:space="preserve"> ADDIN EN.CITE.DATA </w:instrText>
      </w:r>
      <w:r w:rsidRPr="007D1918">
        <w:fldChar w:fldCharType="end"/>
      </w:r>
      <w:r w:rsidRPr="007D1918">
        <w:fldChar w:fldCharType="separate"/>
      </w:r>
      <w:r w:rsidRPr="007D1918">
        <w:rPr>
          <w:noProof/>
        </w:rPr>
        <w:t>(</w:t>
      </w:r>
      <w:hyperlink w:anchor="_ENREF_18" w:tooltip="Chicaiza-Becerra, 2012 #71" w:history="1">
        <w:r w:rsidR="007D4948" w:rsidRPr="007D1918">
          <w:rPr>
            <w:noProof/>
          </w:rPr>
          <w:t>Chicaiza-Becerra et al. 2012</w:t>
        </w:r>
      </w:hyperlink>
      <w:r w:rsidRPr="007D1918">
        <w:rPr>
          <w:noProof/>
        </w:rPr>
        <w:t>)</w:t>
      </w:r>
      <w:r w:rsidRPr="007D1918">
        <w:fldChar w:fldCharType="end"/>
      </w:r>
      <w:r w:rsidRPr="007D1918">
        <w:t xml:space="preserve"> is not informative to the current review. It does not include immunoglobulin in the medical management strategy for MG and neither the clinical nor the resource use modelling inputs are likely to be applicable to the current Australian health care setting (clinical inputs are drawn from a non-published systematic review of publications between 1989 and 2007, resource inputs relate to the Columbian healthcare system with prices based on official Columbian tariff rates of 2008).</w:t>
      </w:r>
    </w:p>
    <w:p w14:paraId="07A89B2E" w14:textId="77777777" w:rsidR="008747C1" w:rsidRPr="007D1918" w:rsidRDefault="008747C1" w:rsidP="008747C1">
      <w:pPr>
        <w:contextualSpacing/>
        <w:jc w:val="both"/>
      </w:pPr>
      <w:r w:rsidRPr="007D1918">
        <w:t xml:space="preserve">The analysis by Mandawat et al, based on US hospital administrative claims data, identified that non-crisis MG hospital in-patients who had received immunoglobulin had reduced hospital stays and </w:t>
      </w:r>
      <w:r w:rsidRPr="007D1918">
        <w:lastRenderedPageBreak/>
        <w:t>overall lower hospital episode costs than non-crisis MG patients admitted for plasma exchange. However, this data is also observational with significant potential for selection bias and confounding, and it does not capture relative costs of management with Ig or PE in an outpatient settings which is particularly relevant for maintenance treatment of non-crisis MG.</w:t>
      </w:r>
    </w:p>
    <w:p w14:paraId="7BB59810" w14:textId="7E57739E" w:rsidR="008747C1" w:rsidRPr="007D1918" w:rsidRDefault="008747C1" w:rsidP="00AA6011">
      <w:pPr>
        <w:jc w:val="both"/>
      </w:pPr>
      <w:r w:rsidRPr="007D1918">
        <w:t xml:space="preserve">A cost comparison including rituximab was published in abstract form only </w:t>
      </w:r>
      <w:r w:rsidRPr="007D1918">
        <w:fldChar w:fldCharType="begin"/>
      </w:r>
      <w:r w:rsidRPr="007D1918">
        <w:instrText xml:space="preserve"> ADDIN EN.CITE &lt;EndNote&gt;&lt;Cite&gt;&lt;Author&gt;Wali A&lt;/Author&gt;&lt;Year&gt;2017&lt;/Year&gt;&lt;RecNum&gt;76&lt;/RecNum&gt;&lt;DisplayText&gt;(Wali A 2017)&lt;/DisplayText&gt;&lt;record&gt;&lt;rec-number&gt;76&lt;/rec-number&gt;&lt;foreign-keys&gt;&lt;key app="EN" db-id="2aevrx2slsts5ve9sdavatf125dsx0av2v9d" timestamp="1563283361"&gt;76&lt;/key&gt;&lt;/foreign-keys&gt;&lt;ref-type name="Journal Article"&gt;17&lt;/ref-type&gt;&lt;contributors&gt;&lt;authors&gt;&lt;author&gt;Wali A, Park C, Bello N, Mandeville R.&lt;/author&gt;&lt;/authors&gt;&lt;/contributors&gt;&lt;titles&gt;&lt;title&gt;Cost comparison between rituximab, plasmapheresis and intravenous immnoglobulin for refractory Musk antibody positivie myasthenia gravis. (Abstract Only)&lt;/title&gt;&lt;secondary-title&gt;American Association of Neuromuscular &amp;amp; Electrodiagnostic Medicine &lt;/secondary-title&gt;&lt;/titles&gt;&lt;periodical&gt;&lt;full-title&gt;American Association of Neuromuscular &amp;amp; Electrodiagnostic Medicine&lt;/full-title&gt;&lt;/periodical&gt;&lt;volume&gt;Annual Meeting Abstracts&lt;/volume&gt;&lt;number&gt;Phoenix, Arizona | &lt;/number&gt;&lt;dates&gt;&lt;year&gt;2017&lt;/year&gt;&lt;pub-dates&gt;&lt;date&gt;September 13–16, 2017&lt;/date&gt;&lt;/pub-dates&gt;&lt;/dates&gt;&lt;urls&gt;&lt;related-urls&gt;&lt;url&gt;&lt;style face="underline" font="default" size="100%"&gt;https://www.aanem.org/getmedia/317d32c1-6163-47ff-998e-7046d07ff68f/2017-Abstracts-web.pdf&lt;/style&gt;&lt;/url&gt;&lt;/related-urls&gt;&lt;/urls&gt;&lt;/record&gt;&lt;/Cite&gt;&lt;/EndNote&gt;</w:instrText>
      </w:r>
      <w:r w:rsidRPr="007D1918">
        <w:fldChar w:fldCharType="separate"/>
      </w:r>
      <w:r w:rsidRPr="007D1918">
        <w:rPr>
          <w:noProof/>
        </w:rPr>
        <w:t>(</w:t>
      </w:r>
      <w:hyperlink w:anchor="_ENREF_103" w:tooltip="Wali A, 2017 #76" w:history="1">
        <w:r w:rsidR="007D4948" w:rsidRPr="007D1918">
          <w:rPr>
            <w:noProof/>
          </w:rPr>
          <w:t>Wali A 2017</w:t>
        </w:r>
      </w:hyperlink>
      <w:r w:rsidRPr="007D1918">
        <w:rPr>
          <w:noProof/>
        </w:rPr>
        <w:t>)</w:t>
      </w:r>
      <w:r w:rsidRPr="007D1918">
        <w:fldChar w:fldCharType="end"/>
      </w:r>
      <w:r w:rsidRPr="007D1918">
        <w:t>. This estimated costs for a single refractory patient in the US and assumed similar effectiveness across all treatments being compared. The evidence base for the assumptions in the analysis were not provided, therefore the reliability and applicability of the results are unknown.</w:t>
      </w:r>
    </w:p>
    <w:p w14:paraId="55141FEC" w14:textId="77777777" w:rsidR="008747C1" w:rsidRPr="007D1918" w:rsidRDefault="008747C1" w:rsidP="008747C1">
      <w:pPr>
        <w:contextualSpacing/>
        <w:jc w:val="both"/>
      </w:pPr>
      <w:r w:rsidRPr="007D1918">
        <w:t xml:space="preserve">Other published economic analyses of immunoglobulin use in MG which do not differentiate by the clinical criteria specified for access in Australia are summarised in </w:t>
      </w:r>
      <w:r w:rsidRPr="007D1918">
        <w:fldChar w:fldCharType="begin"/>
      </w:r>
      <w:r w:rsidRPr="007D1918">
        <w:instrText xml:space="preserve"> REF _Ref14268493 \h  \* MERGEFORMAT </w:instrText>
      </w:r>
      <w:r w:rsidRPr="007D1918">
        <w:fldChar w:fldCharType="separate"/>
      </w:r>
      <w:r w:rsidR="00AA6011" w:rsidRPr="007D1918">
        <w:t>Table 64</w:t>
      </w:r>
      <w:r w:rsidRPr="007D1918">
        <w:fldChar w:fldCharType="end"/>
      </w:r>
      <w:r w:rsidRPr="007D1918">
        <w:t xml:space="preserve">. </w:t>
      </w:r>
    </w:p>
    <w:p w14:paraId="0019957A" w14:textId="77777777" w:rsidR="008747C1" w:rsidRPr="007D1918" w:rsidRDefault="008747C1" w:rsidP="008747C1">
      <w:pPr>
        <w:pStyle w:val="Caption"/>
      </w:pPr>
      <w:bookmarkStart w:id="384" w:name="_Ref14268493"/>
      <w:bookmarkStart w:id="385" w:name="_Toc15561969"/>
      <w:bookmarkStart w:id="386" w:name="_Toc23769551"/>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64</w:t>
      </w:r>
      <w:r w:rsidRPr="007D1918">
        <w:rPr>
          <w:noProof/>
        </w:rPr>
        <w:fldChar w:fldCharType="end"/>
      </w:r>
      <w:bookmarkEnd w:id="384"/>
      <w:r w:rsidRPr="007D1918">
        <w:tab/>
        <w:t xml:space="preserve">Other published economic evaluations of Ig use in MG (not matched to BloodSTAR </w:t>
      </w:r>
      <w:r w:rsidRPr="007D1918">
        <w:rPr>
          <w:i/>
        </w:rPr>
        <w:t>Criteria V3</w:t>
      </w:r>
      <w:r w:rsidRPr="007D1918">
        <w:t>)</w:t>
      </w:r>
      <w:bookmarkEnd w:id="385"/>
      <w:bookmarkEnd w:id="386"/>
    </w:p>
    <w:tbl>
      <w:tblPr>
        <w:tblStyle w:val="TableGrid"/>
        <w:tblW w:w="0" w:type="auto"/>
        <w:tblLook w:val="04A0" w:firstRow="1" w:lastRow="0" w:firstColumn="1" w:lastColumn="0" w:noHBand="0" w:noVBand="1"/>
        <w:tblCaption w:val="Table 64 Other published economic evaluations of Ig use in MG (not matched to BloodSTAR Criteria V3)"/>
      </w:tblPr>
      <w:tblGrid>
        <w:gridCol w:w="2122"/>
        <w:gridCol w:w="3118"/>
        <w:gridCol w:w="3776"/>
      </w:tblGrid>
      <w:tr w:rsidR="008747C1" w:rsidRPr="007D1918" w14:paraId="1F8A828A" w14:textId="77777777" w:rsidTr="00BD29C0">
        <w:trPr>
          <w:tblHeader/>
        </w:trPr>
        <w:tc>
          <w:tcPr>
            <w:tcW w:w="2122" w:type="dxa"/>
            <w:tcBorders>
              <w:bottom w:val="single" w:sz="4" w:space="0" w:color="auto"/>
            </w:tcBorders>
          </w:tcPr>
          <w:p w14:paraId="7088281C"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Publication</w:t>
            </w:r>
          </w:p>
        </w:tc>
        <w:tc>
          <w:tcPr>
            <w:tcW w:w="3118" w:type="dxa"/>
            <w:tcBorders>
              <w:bottom w:val="single" w:sz="4" w:space="0" w:color="auto"/>
            </w:tcBorders>
          </w:tcPr>
          <w:p w14:paraId="32779C41"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Description of analysis</w:t>
            </w:r>
          </w:p>
        </w:tc>
        <w:tc>
          <w:tcPr>
            <w:tcW w:w="3776" w:type="dxa"/>
            <w:tcBorders>
              <w:bottom w:val="single" w:sz="4" w:space="0" w:color="auto"/>
            </w:tcBorders>
          </w:tcPr>
          <w:p w14:paraId="31B24840"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Evaluation findings</w:t>
            </w:r>
          </w:p>
        </w:tc>
      </w:tr>
      <w:tr w:rsidR="008747C1" w:rsidRPr="007D1918" w14:paraId="02E494B8" w14:textId="77777777" w:rsidTr="00153384">
        <w:tc>
          <w:tcPr>
            <w:tcW w:w="2122" w:type="dxa"/>
            <w:tcBorders>
              <w:top w:val="single" w:sz="4" w:space="0" w:color="auto"/>
              <w:left w:val="single" w:sz="4" w:space="0" w:color="auto"/>
              <w:bottom w:val="single" w:sz="4" w:space="0" w:color="auto"/>
              <w:right w:val="single" w:sz="4" w:space="0" w:color="auto"/>
            </w:tcBorders>
          </w:tcPr>
          <w:p w14:paraId="1FBE9FF5"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Guptill JT, Sharma BK, Marano A, Soucy A, Krueger A, Sanders DB.</w:t>
            </w:r>
          </w:p>
          <w:p w14:paraId="6F0B39D7" w14:textId="77777777" w:rsidR="008747C1" w:rsidRPr="007D1918" w:rsidRDefault="008747C1" w:rsidP="00153384">
            <w:pPr>
              <w:spacing w:before="40" w:after="40" w:line="240" w:lineRule="auto"/>
              <w:ind w:left="0"/>
              <w:rPr>
                <w:rFonts w:ascii="Arial Narrow" w:hAnsi="Arial Narrow"/>
                <w:i/>
                <w:sz w:val="20"/>
                <w:szCs w:val="20"/>
              </w:rPr>
            </w:pPr>
            <w:r w:rsidRPr="007D1918">
              <w:rPr>
                <w:rFonts w:ascii="Arial Narrow" w:hAnsi="Arial Narrow"/>
                <w:i/>
                <w:sz w:val="20"/>
                <w:szCs w:val="20"/>
              </w:rPr>
              <w:t>Estimated cost of treating myasthenia gravis in an insured U.S. population.</w:t>
            </w:r>
          </w:p>
          <w:p w14:paraId="1CB6E405"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Muscle Nerve. 2012 Mar;45(3):363-6.</w:t>
            </w:r>
          </w:p>
          <w:p w14:paraId="2F56517C" w14:textId="77777777" w:rsidR="008747C1" w:rsidRPr="007D1918" w:rsidRDefault="008747C1" w:rsidP="00153384">
            <w:pPr>
              <w:spacing w:before="40" w:after="40" w:line="240" w:lineRule="auto"/>
              <w:ind w:left="0"/>
              <w:rPr>
                <w:rFonts w:ascii="Arial Narrow" w:hAnsi="Arial Narrow"/>
                <w:sz w:val="20"/>
                <w:szCs w:val="20"/>
              </w:rPr>
            </w:pPr>
          </w:p>
          <w:p w14:paraId="1D80C855" w14:textId="77777777" w:rsidR="008747C1" w:rsidRPr="007D1918" w:rsidRDefault="008747C1" w:rsidP="00153384">
            <w:pPr>
              <w:spacing w:before="40" w:after="40" w:line="240" w:lineRule="auto"/>
              <w:ind w:left="0"/>
              <w:rPr>
                <w:rFonts w:ascii="Arial Narrow" w:hAnsi="Arial Narrow"/>
                <w:b/>
                <w:i/>
                <w:sz w:val="20"/>
                <w:szCs w:val="20"/>
              </w:rPr>
            </w:pPr>
            <w:r w:rsidRPr="007D1918">
              <w:rPr>
                <w:rFonts w:ascii="Arial Narrow" w:hAnsi="Arial Narrow"/>
                <w:sz w:val="20"/>
                <w:szCs w:val="20"/>
              </w:rPr>
              <w:t>United States</w:t>
            </w:r>
          </w:p>
        </w:tc>
        <w:tc>
          <w:tcPr>
            <w:tcW w:w="3118" w:type="dxa"/>
            <w:tcBorders>
              <w:top w:val="single" w:sz="4" w:space="0" w:color="auto"/>
              <w:left w:val="single" w:sz="4" w:space="0" w:color="auto"/>
              <w:bottom w:val="single" w:sz="4" w:space="0" w:color="auto"/>
              <w:right w:val="single" w:sz="4" w:space="0" w:color="auto"/>
            </w:tcBorders>
          </w:tcPr>
          <w:p w14:paraId="709226E3"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In this study we estimated the costs paid by US health plans for treating MG in 2009 and determined the major cost drivers. 113 MG patients were matched by propensity scores with 339 non-MG patients from a comprehensive health-care insurance database. The mean annual costs paid by the health plan for treating MG, costs by place of service, and costs for IVIg and PE were determined. </w:t>
            </w:r>
          </w:p>
        </w:tc>
        <w:tc>
          <w:tcPr>
            <w:tcW w:w="3776" w:type="dxa"/>
            <w:tcBorders>
              <w:top w:val="single" w:sz="4" w:space="0" w:color="auto"/>
              <w:left w:val="single" w:sz="4" w:space="0" w:color="auto"/>
              <w:bottom w:val="single" w:sz="4" w:space="0" w:color="auto"/>
              <w:right w:val="single" w:sz="4" w:space="0" w:color="auto"/>
            </w:tcBorders>
          </w:tcPr>
          <w:p w14:paraId="31EAD3A4" w14:textId="00AD6A8A"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Estimates a price of US$5,430 per session of IVIg and a price of US$1,306 per session of PE.</w:t>
            </w:r>
            <w:r w:rsidRPr="007D1918">
              <w:rPr>
                <w:rFonts w:ascii="Arial Narrow" w:hAnsi="Arial Narrow"/>
                <w:sz w:val="20"/>
                <w:szCs w:val="20"/>
              </w:rPr>
              <w:fldChar w:fldCharType="begin">
                <w:fldData xml:space="preserve">PEVuZE5vdGU+PENpdGU+PEF1dGhvcj5GdXJsYW48L0F1dGhvcj48WWVhcj4yMDE2PC9ZZWFyPjxS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</w:fldData>
              </w:fldChar>
            </w:r>
            <w:r w:rsidR="007D4948" w:rsidRPr="007D1918">
              <w:rPr>
                <w:rFonts w:ascii="Arial Narrow" w:hAnsi="Arial Narrow"/>
                <w:sz w:val="20"/>
                <w:szCs w:val="20"/>
              </w:rPr>
              <w:instrText xml:space="preserve"> ADDIN EN.CITE </w:instrText>
            </w:r>
            <w:r w:rsidR="007D4948" w:rsidRPr="007D1918">
              <w:rPr>
                <w:rFonts w:ascii="Arial Narrow" w:hAnsi="Arial Narrow"/>
                <w:sz w:val="20"/>
                <w:szCs w:val="20"/>
              </w:rPr>
              <w:fldChar w:fldCharType="begin">
                <w:fldData xml:space="preserve">PEVuZE5vdGU+PENpdGU+PEF1dGhvcj5GdXJsYW48L0F1dGhvcj48WWVhcj4yMDE2PC9ZZWFyPjxS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</w:fldData>
              </w:fldChar>
            </w:r>
            <w:r w:rsidR="007D4948" w:rsidRPr="007D1918">
              <w:rPr>
                <w:rFonts w:ascii="Arial Narrow" w:hAnsi="Arial Narrow"/>
                <w:sz w:val="20"/>
                <w:szCs w:val="20"/>
              </w:rPr>
              <w:instrText xml:space="preserve"> ADDIN EN.CITE.DATA </w:instrText>
            </w:r>
            <w:r w:rsidR="007D4948" w:rsidRPr="007D1918">
              <w:rPr>
                <w:rFonts w:ascii="Arial Narrow" w:hAnsi="Arial Narrow"/>
                <w:sz w:val="20"/>
                <w:szCs w:val="20"/>
              </w:rPr>
            </w:r>
            <w:r w:rsidR="007D4948"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007D4948" w:rsidRPr="007D1918">
              <w:rPr>
                <w:rFonts w:ascii="Arial Narrow" w:hAnsi="Arial Narrow"/>
                <w:noProof/>
                <w:sz w:val="20"/>
                <w:szCs w:val="20"/>
              </w:rPr>
              <w:t>(</w:t>
            </w:r>
            <w:hyperlink w:anchor="_ENREF_25" w:tooltip="Furlan, 2016 #52" w:history="1">
              <w:r w:rsidR="007D4948" w:rsidRPr="007D1918">
                <w:rPr>
                  <w:rFonts w:ascii="Arial Narrow" w:hAnsi="Arial Narrow"/>
                  <w:noProof/>
                  <w:sz w:val="20"/>
                  <w:szCs w:val="20"/>
                </w:rPr>
                <w:t>Furlan et al. 2016a</w:t>
              </w:r>
            </w:hyperlink>
            <w:r w:rsidR="007D4948" w:rsidRPr="007D1918">
              <w:rPr>
                <w:rFonts w:ascii="Arial Narrow" w:hAnsi="Arial Narrow"/>
                <w:noProof/>
                <w:sz w:val="20"/>
                <w:szCs w:val="20"/>
              </w:rPr>
              <w:t xml:space="preserve">; </w:t>
            </w:r>
            <w:hyperlink w:anchor="_ENREF_43" w:tooltip="Guptill, 2012 #73" w:history="1">
              <w:r w:rsidR="007D4948" w:rsidRPr="007D1918">
                <w:rPr>
                  <w:rFonts w:ascii="Arial Narrow" w:hAnsi="Arial Narrow"/>
                  <w:noProof/>
                  <w:sz w:val="20"/>
                  <w:szCs w:val="20"/>
                </w:rPr>
                <w:t>Guptill et al. 2012</w:t>
              </w:r>
            </w:hyperlink>
            <w:r w:rsidR="007D4948" w:rsidRPr="007D1918">
              <w:rPr>
                <w:rFonts w:ascii="Arial Narrow" w:hAnsi="Arial Narrow"/>
                <w:noProof/>
                <w:sz w:val="20"/>
                <w:szCs w:val="20"/>
              </w:rPr>
              <w:t>)</w:t>
            </w:r>
            <w:r w:rsidRPr="007D1918">
              <w:rPr>
                <w:rFonts w:ascii="Arial Narrow" w:hAnsi="Arial Narrow"/>
                <w:sz w:val="20"/>
                <w:szCs w:val="20"/>
              </w:rPr>
              <w:fldChar w:fldCharType="end"/>
            </w:r>
          </w:p>
          <w:p w14:paraId="18C61A1D"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Mean annual costs paid by the health plan per MG patient were $20,190 and costs attributable to treating MG were $15,675. Home health services accounted for 23% of MG patient costs and represented almost exclusively IVIg infusion costs. 6 MG patients had a total of 136 outpatient IVIg infusions at an average annual cost of $109,463 +/- $57,303.</w:t>
            </w:r>
          </w:p>
        </w:tc>
      </w:tr>
    </w:tbl>
    <w:p w14:paraId="162A0394" w14:textId="77777777" w:rsidR="008747C1" w:rsidRPr="007D1918" w:rsidRDefault="008747C1" w:rsidP="00FA4655">
      <w:pPr>
        <w:pStyle w:val="Tablenotes1"/>
        <w:spacing w:after="360"/>
      </w:pPr>
      <w:r w:rsidRPr="007D1918">
        <w:t>MG = myasthenia gravis; IVIg = intravenous immunoglobulin; PE = plasma exchange; US = United States</w:t>
      </w:r>
    </w:p>
    <w:p w14:paraId="4EE20E19" w14:textId="77777777" w:rsidR="008747C1" w:rsidRPr="007D1918" w:rsidRDefault="008747C1" w:rsidP="008747C1">
      <w:pPr>
        <w:jc w:val="both"/>
        <w:rPr>
          <w:snapToGrid w:val="0"/>
          <w:lang w:eastAsia="en-US"/>
        </w:rPr>
      </w:pPr>
      <w:r w:rsidRPr="007D1918">
        <w:rPr>
          <w:snapToGrid w:val="0"/>
          <w:lang w:eastAsia="en-US"/>
        </w:rPr>
        <w:t xml:space="preserve">None of the existing economic analyses are sufficiently applicable or generalizable to the Australian context to inform the MSAC of the costs or cost-effectiveness of IVIg, therefore new analyses are presented in this report. </w:t>
      </w:r>
    </w:p>
    <w:p w14:paraId="4A4F11B7" w14:textId="77777777" w:rsidR="00AD4851" w:rsidRPr="007D1918" w:rsidRDefault="00AD4851" w:rsidP="001C184A">
      <w:pPr>
        <w:jc w:val="both"/>
        <w:rPr>
          <w:snapToGrid w:val="0"/>
          <w:lang w:eastAsia="en-US"/>
        </w:rPr>
      </w:pPr>
    </w:p>
    <w:p w14:paraId="6C0BEE46" w14:textId="77777777" w:rsidR="00013791" w:rsidRPr="007D1918" w:rsidRDefault="00013791" w:rsidP="00013791">
      <w:pPr>
        <w:pStyle w:val="Heading3"/>
      </w:pPr>
      <w:bookmarkStart w:id="387" w:name="_Toc395200800"/>
      <w:bookmarkStart w:id="388" w:name="_Toc23766995"/>
      <w:r w:rsidRPr="007D1918">
        <w:t>Structure of the economic evaluation</w:t>
      </w:r>
      <w:bookmarkEnd w:id="387"/>
      <w:bookmarkEnd w:id="388"/>
    </w:p>
    <w:p w14:paraId="6D8E897D" w14:textId="77777777" w:rsidR="008747C1" w:rsidRPr="007D1918" w:rsidRDefault="008747C1" w:rsidP="008747C1">
      <w:pPr>
        <w:jc w:val="both"/>
      </w:pPr>
      <w:r w:rsidRPr="007D1918">
        <w:t>The results of the economic evaluations were calculated using Excel software.</w:t>
      </w:r>
    </w:p>
    <w:p w14:paraId="103D6FAF" w14:textId="6CC60986" w:rsidR="008747C1" w:rsidRPr="007D1918" w:rsidRDefault="008747C1" w:rsidP="008747C1">
      <w:pPr>
        <w:jc w:val="both"/>
      </w:pPr>
      <w:r w:rsidRPr="007D1918">
        <w:t xml:space="preserve">The nature of the comparison and the structures of the analyses, particularly with respect to time horizon, varies across the different MG indications for Ig supply. A description of the context of each comparison is provided </w:t>
      </w:r>
      <w:r w:rsidR="00852460" w:rsidRPr="007D1918">
        <w:t>as follows</w:t>
      </w:r>
      <w:r w:rsidRPr="007D1918">
        <w:t>.</w:t>
      </w:r>
    </w:p>
    <w:p w14:paraId="1FF23603" w14:textId="77777777" w:rsidR="008747C1" w:rsidRPr="007D1918" w:rsidRDefault="008747C1" w:rsidP="008747C1">
      <w:pPr>
        <w:jc w:val="both"/>
      </w:pPr>
      <w:r w:rsidRPr="007D1918">
        <w:rPr>
          <w:b/>
        </w:rPr>
        <w:t>Indication 1</w:t>
      </w:r>
    </w:p>
    <w:p w14:paraId="22F0B373" w14:textId="733FFBDC" w:rsidR="00C90CB9" w:rsidRPr="007D1918" w:rsidRDefault="008747C1" w:rsidP="008747C1">
      <w:pPr>
        <w:jc w:val="both"/>
      </w:pPr>
      <w:r w:rsidRPr="007D1918">
        <w:t>For the comparison of an acute supply of Ig versus PE for a single MG crisis episode, the clinical evaluation did not identify differences in clinical effectiveness outcomes associated with the treatments</w:t>
      </w:r>
      <w:r w:rsidR="00852460" w:rsidRPr="007D1918">
        <w:t>.</w:t>
      </w:r>
      <w:r w:rsidRPr="007D1918">
        <w:t xml:space="preserve"> </w:t>
      </w:r>
      <w:r w:rsidR="00852460" w:rsidRPr="007D1918">
        <w:t>H</w:t>
      </w:r>
      <w:r w:rsidRPr="007D1918">
        <w:t xml:space="preserve">owever a difference in safety was identified in the single RCT </w:t>
      </w:r>
      <w:r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instrText xml:space="preserve"> ADDIN EN.CITE </w:instrText>
      </w:r>
      <w:r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instrText xml:space="preserve"> ADDIN EN.CITE.DATA </w:instrText>
      </w:r>
      <w:r w:rsidRPr="007D1918">
        <w:fldChar w:fldCharType="end"/>
      </w:r>
      <w:r w:rsidRPr="007D1918">
        <w:fldChar w:fldCharType="separate"/>
      </w:r>
      <w:r w:rsidRPr="007D1918">
        <w:rPr>
          <w:noProof/>
        </w:rPr>
        <w:t>(</w:t>
      </w:r>
      <w:hyperlink w:anchor="_ENREF_28" w:tooltip="Gajdos, 1997 #45" w:history="1">
        <w:r w:rsidR="007D4948" w:rsidRPr="007D1918">
          <w:rPr>
            <w:noProof/>
          </w:rPr>
          <w:t>Gajdos et al. 1997</w:t>
        </w:r>
      </w:hyperlink>
      <w:r w:rsidRPr="007D1918">
        <w:rPr>
          <w:noProof/>
        </w:rPr>
        <w:t>)</w:t>
      </w:r>
      <w:r w:rsidRPr="007D1918">
        <w:fldChar w:fldCharType="end"/>
      </w:r>
      <w:r w:rsidRPr="007D1918">
        <w:t xml:space="preserve">with </w:t>
      </w:r>
      <w:r w:rsidRPr="007D1918">
        <w:lastRenderedPageBreak/>
        <w:t>patient adverse event rates of 19.5% (95% CI 7.4%, 31.6%) in the PE group compared to 2.2% (95% CI 0, 6.4%) in the IVIg group, p = 0.01. In the Ig group</w:t>
      </w:r>
      <w:r w:rsidR="00852460" w:rsidRPr="007D1918">
        <w:t>,</w:t>
      </w:r>
      <w:r w:rsidRPr="007D1918">
        <w:t xml:space="preserve"> the only adverse event reported was headache and it is assumed that this had no significant economic consequence</w:t>
      </w:r>
      <w:r w:rsidR="00852460" w:rsidRPr="007D1918">
        <w:t>.</w:t>
      </w:r>
      <w:r w:rsidRPr="007D1918">
        <w:t xml:space="preserve"> </w:t>
      </w:r>
      <w:r w:rsidR="00852460" w:rsidRPr="007D1918">
        <w:t>I</w:t>
      </w:r>
      <w:r w:rsidRPr="007D1918">
        <w:t>n the PE group, while most adverse effects were short-term and apparently administration-related, there were two serious adverse events which</w:t>
      </w:r>
      <w:r w:rsidR="00C90CB9" w:rsidRPr="007D1918">
        <w:t xml:space="preserve"> occurred in the RCT (retroperitoneal haematoma and femoral thrombosis), and a risk of sepsis identified separate to the clinical trial (see Section C.4.1). These serious adverse events potentially have mortality and long-term morbidity consequences, such that an extended modelled analysis is necessary to estimate cost-utility.</w:t>
      </w:r>
    </w:p>
    <w:p w14:paraId="162A02BC" w14:textId="77777777" w:rsidR="008747C1" w:rsidRPr="007D1918" w:rsidRDefault="008747C1" w:rsidP="008747C1">
      <w:pPr>
        <w:jc w:val="both"/>
      </w:pPr>
      <w:r w:rsidRPr="007D1918">
        <w:t>The serious adverse events required discontinuation of PE and medical management. Given the nature of the underlying indication however, it is assumed that it would then be necessary to also continue treatment of the MG crisis and switch these patients to IVIg.</w:t>
      </w:r>
    </w:p>
    <w:p w14:paraId="02A24C8D" w14:textId="11187B9E" w:rsidR="00160FC6" w:rsidRPr="007D1918" w:rsidRDefault="008747C1" w:rsidP="00160FC6">
      <w:pPr>
        <w:jc w:val="both"/>
      </w:pPr>
      <w:r w:rsidRPr="007D1918">
        <w:t>Therefore</w:t>
      </w:r>
      <w:r w:rsidR="00852460" w:rsidRPr="007D1918">
        <w:t>,</w:t>
      </w:r>
      <w:r w:rsidRPr="007D1918">
        <w:t xml:space="preserve"> a short-term </w:t>
      </w:r>
      <w:r w:rsidR="00160FC6" w:rsidRPr="007D1918">
        <w:t xml:space="preserve">trial-based </w:t>
      </w:r>
      <w:r w:rsidRPr="007D1918">
        <w:t>comparison of the acute treatments allowing for a single follow-up treatment over two weeks (i.e. a single crisis and short-term follow-up episode)</w:t>
      </w:r>
      <w:r w:rsidR="00160FC6" w:rsidRPr="007D1918">
        <w:t xml:space="preserve"> is costed initally</w:t>
      </w:r>
      <w:r w:rsidRPr="007D1918">
        <w:t>.</w:t>
      </w:r>
      <w:r w:rsidR="00160FC6" w:rsidRPr="007D1918">
        <w:t xml:space="preserve">  </w:t>
      </w:r>
      <w:r w:rsidRPr="007D1918">
        <w:t xml:space="preserve">The evidence on </w:t>
      </w:r>
      <w:r w:rsidR="00160FC6" w:rsidRPr="007D1918">
        <w:t>‘</w:t>
      </w:r>
      <w:r w:rsidRPr="007D1918">
        <w:t>Time to response</w:t>
      </w:r>
      <w:r w:rsidR="00160FC6" w:rsidRPr="007D1918">
        <w:t>’</w:t>
      </w:r>
      <w:r w:rsidRPr="007D1918">
        <w:t xml:space="preserve"> from Gajdos 1997 identifies PE as acting in a shorter duration of time, which is at odds with the observational data from Heatwole et al (2011) and Mandawat et al (2010) reporting shorter hospital stays with IVIg. The observational data is highly likely to be confounded with selection bias and possibly other confounders</w:t>
      </w:r>
      <w:r w:rsidR="00160FC6" w:rsidRPr="007D1918">
        <w:t>. G</w:t>
      </w:r>
      <w:r w:rsidRPr="007D1918">
        <w:t>iven the lack of reliable unbiased data on hospitalisation duration, it is assumed adverse event free patients have no difference in hospital time, but serious adverse event</w:t>
      </w:r>
      <w:r w:rsidR="005D2112" w:rsidRPr="007D1918">
        <w:t>s</w:t>
      </w:r>
      <w:r w:rsidRPr="007D1918">
        <w:t xml:space="preserve"> do add to hospital days.</w:t>
      </w:r>
    </w:p>
    <w:p w14:paraId="393023CE" w14:textId="0569336F" w:rsidR="00160FC6" w:rsidRPr="007D1918" w:rsidRDefault="00160FC6" w:rsidP="00160FC6">
      <w:pPr>
        <w:jc w:val="both"/>
      </w:pPr>
      <w:r w:rsidRPr="007D1918">
        <w:t>The structure of the extended model is slightly unconventional; rather than estimating total QALY outcomes associated with each arm of treatment and then determining the incremental difference, the approach used is to directly estimate the incremental QALY loss associated with adverse events from PE. The logic of this approach is consistent with the clinical assessment finding that health outcomes gained from treatment with IVIg versus PE were non-inferior, but the safety of PE was inferior. The QALY decrements were modelled over 15 years (as detailed in Section C.3.1), however there was no basis on which to estimate ongoing costs associated with PE adverse event-associated morbidity, and therefore the cost-effectiveness of IVIg is likely underestimated.</w:t>
      </w:r>
    </w:p>
    <w:p w14:paraId="74CF18DD" w14:textId="77777777" w:rsidR="008747C1" w:rsidRPr="007D1918" w:rsidRDefault="008747C1" w:rsidP="008747C1">
      <w:pPr>
        <w:jc w:val="both"/>
        <w:rPr>
          <w:b/>
        </w:rPr>
      </w:pPr>
      <w:r w:rsidRPr="007D1918">
        <w:rPr>
          <w:b/>
        </w:rPr>
        <w:t>Indication 2</w:t>
      </w:r>
    </w:p>
    <w:p w14:paraId="47F9C794" w14:textId="30819296" w:rsidR="00FA4655" w:rsidRPr="007D1918" w:rsidRDefault="008747C1" w:rsidP="008747C1">
      <w:pPr>
        <w:jc w:val="both"/>
      </w:pPr>
      <w:r w:rsidRPr="007D1918">
        <w:t>The relevant comparison in this context is the acute supply of Ig versus PE, preceding a specific episode surgery and/or thymectomy. The clinical evaluation did not identify evidence sufficient to conclude a difference or equivalence in health outcomes, regarding either effectiveness or safety, associated with the comparator treatments. Therefore</w:t>
      </w:r>
      <w:r w:rsidR="0040319B" w:rsidRPr="007D1918">
        <w:t>,</w:t>
      </w:r>
      <w:r w:rsidRPr="007D1918">
        <w:t xml:space="preserve"> no assumption of equal effectiveness should be made and a simple short-term comparison of the costs of the acute management strategies is presented</w:t>
      </w:r>
      <w:r w:rsidR="00160FC6" w:rsidRPr="007D1918">
        <w:t xml:space="preserve"> with Australian based resource usage estimates and costs</w:t>
      </w:r>
      <w:r w:rsidRPr="007D1918">
        <w:t>.</w:t>
      </w:r>
    </w:p>
    <w:p w14:paraId="28DB7B35" w14:textId="77777777" w:rsidR="00FA4655" w:rsidRPr="007D1918" w:rsidRDefault="00FA4655">
      <w:pPr>
        <w:spacing w:after="0" w:line="240" w:lineRule="auto"/>
      </w:pPr>
      <w:r w:rsidRPr="007D1918">
        <w:br w:type="page"/>
      </w:r>
    </w:p>
    <w:p w14:paraId="546A44D1" w14:textId="77777777" w:rsidR="008747C1" w:rsidRPr="007D1918" w:rsidRDefault="008747C1" w:rsidP="008747C1">
      <w:pPr>
        <w:jc w:val="both"/>
        <w:rPr>
          <w:b/>
        </w:rPr>
      </w:pPr>
      <w:r w:rsidRPr="007D1918">
        <w:rPr>
          <w:b/>
        </w:rPr>
        <w:lastRenderedPageBreak/>
        <w:t>Indication 3</w:t>
      </w:r>
    </w:p>
    <w:p w14:paraId="0BDEEDC8" w14:textId="77777777" w:rsidR="008747C1" w:rsidRPr="007D1918" w:rsidRDefault="008747C1" w:rsidP="008747C1">
      <w:pPr>
        <w:jc w:val="both"/>
      </w:pPr>
      <w:r w:rsidRPr="007D1918">
        <w:t xml:space="preserve">The systematic review did not identify sufficient evidence to identify whether IVIg had superior or inferior effectiveness or safety to any of the comparators of surgery, prednisolone, pyridostigmine, azathioprine, methotrexate, cyclophosphamide, ciclosporin, mycophenolate mofetil and rituximab. In the comparison vs PE, it concluded IVIg had non-inferior effectiveness and safety. Therefore while the cost comparison is undertaken for all comparators, an assumption of equivalent health outcomes is only appropriate for PE and IVIg. The circumstances of ongoing use of these treatments, as predicted to occur in Australian practice are described in </w:t>
      </w:r>
      <w:r w:rsidRPr="007D1918">
        <w:rPr>
          <w:i/>
        </w:rPr>
        <w:t>Section C.3</w:t>
      </w:r>
      <w:r w:rsidRPr="007D1918">
        <w:t>.</w:t>
      </w:r>
    </w:p>
    <w:p w14:paraId="0254BBB2" w14:textId="77777777" w:rsidR="008747C1" w:rsidRPr="007D1918" w:rsidRDefault="008747C1" w:rsidP="008747C1">
      <w:pPr>
        <w:jc w:val="both"/>
      </w:pPr>
      <w:r w:rsidRPr="007D1918">
        <w:t xml:space="preserve">As therapy may be ongoing, potentially long-term, time horizons of 1, 2, 5, and 10 years are costed. The analysis considers the total resource use and expenditure patterns associated specifically with each treatment on an annual basis, and compares cumulative costs over the stated time horizon, in undiscounted and discounted analyses. </w:t>
      </w:r>
    </w:p>
    <w:p w14:paraId="071258D4" w14:textId="77777777" w:rsidR="00FA4655" w:rsidRPr="007D1918" w:rsidRDefault="00FA4655" w:rsidP="008747C1">
      <w:pPr>
        <w:jc w:val="both"/>
      </w:pPr>
    </w:p>
    <w:p w14:paraId="07B14B52" w14:textId="77777777" w:rsidR="008747C1" w:rsidRPr="007D1918" w:rsidRDefault="008747C1" w:rsidP="008747C1">
      <w:pPr>
        <w:pStyle w:val="Heading4"/>
      </w:pPr>
      <w:r w:rsidRPr="007D1918">
        <w:t>Assumptions incorporated into the analyses</w:t>
      </w:r>
    </w:p>
    <w:p w14:paraId="65E675CF" w14:textId="3AB78EA3" w:rsidR="00FA4655" w:rsidRPr="007D1918" w:rsidRDefault="00FA4655" w:rsidP="00FA4655">
      <w:pPr>
        <w:jc w:val="both"/>
      </w:pPr>
      <w:r w:rsidRPr="007D1918">
        <w:t xml:space="preserve">All analyses assume IVIg use only in the context of the specified indication, estimating cost-effectiveness for the single decision to treat with IVIg at that time. There is no single model that captures cost-effectivenss of IVIg access for all MG patients across any criteria, or for patients who may seek access to IVIg at multiple times over their life under different indication criteria. </w:t>
      </w:r>
    </w:p>
    <w:p w14:paraId="2EE7D304" w14:textId="77777777" w:rsidR="00FA4655" w:rsidRPr="007D1918" w:rsidRDefault="00FA4655" w:rsidP="00FA4655">
      <w:pPr>
        <w:jc w:val="both"/>
      </w:pPr>
    </w:p>
    <w:p w14:paraId="37A35059" w14:textId="77777777" w:rsidR="008747C1" w:rsidRPr="007D1918" w:rsidRDefault="008747C1" w:rsidP="008747C1">
      <w:pPr>
        <w:pStyle w:val="Heading5"/>
      </w:pPr>
      <w:r w:rsidRPr="007D1918">
        <w:t>Indication 1</w:t>
      </w:r>
    </w:p>
    <w:p w14:paraId="0F4E42B6" w14:textId="624E3C5D" w:rsidR="008747C1" w:rsidRPr="007D1918" w:rsidRDefault="00E80FE4" w:rsidP="00DB69D2">
      <w:pPr>
        <w:pStyle w:val="ListParagraph"/>
        <w:numPr>
          <w:ilvl w:val="0"/>
          <w:numId w:val="40"/>
        </w:numPr>
        <w:ind w:left="714" w:hanging="357"/>
        <w:jc w:val="both"/>
      </w:pPr>
      <w:r w:rsidRPr="007D1918">
        <w:t>For the t</w:t>
      </w:r>
      <w:r w:rsidR="00160FC6" w:rsidRPr="007D1918">
        <w:t>rial-b</w:t>
      </w:r>
      <w:r w:rsidR="008747C1" w:rsidRPr="007D1918">
        <w:t xml:space="preserve">ase </w:t>
      </w:r>
      <w:r w:rsidR="00160FC6" w:rsidRPr="007D1918">
        <w:t>analysis</w:t>
      </w:r>
      <w:r w:rsidR="00DB69D2" w:rsidRPr="007D1918">
        <w:t xml:space="preserve">, </w:t>
      </w:r>
      <w:r w:rsidR="008747C1" w:rsidRPr="007D1918">
        <w:t>there are no differences in long-term health outcomes</w:t>
      </w:r>
      <w:r w:rsidR="00DB69D2" w:rsidRPr="007D1918">
        <w:t>, whereas in the long-term exploratory model, serious adverse events are also associated with mortality and longterm morbidity.</w:t>
      </w:r>
    </w:p>
    <w:p w14:paraId="4862093F" w14:textId="169CC1F3" w:rsidR="008747C1" w:rsidRPr="007D1918" w:rsidRDefault="008747C1" w:rsidP="00DB69D2">
      <w:pPr>
        <w:pStyle w:val="ListParagraph"/>
        <w:numPr>
          <w:ilvl w:val="0"/>
          <w:numId w:val="40"/>
        </w:numPr>
        <w:ind w:left="714" w:hanging="357"/>
        <w:jc w:val="both"/>
      </w:pPr>
      <w:r w:rsidRPr="007D1918">
        <w:t>Where treatment is given without adverse event, there is no difference in duration of hospitalisation (time to response data from Gajdos 1997 favours PE, observational data on hospitalisation time from Mandawat favours IVIg)</w:t>
      </w:r>
      <w:r w:rsidR="00E80FE4" w:rsidRPr="007D1918">
        <w:t>, and minor adverse events have minimal clinical or economic consequences and have no estimable health utility difference or measurable resource use difference.</w:t>
      </w:r>
      <w:r w:rsidRPr="007D1918">
        <w:t xml:space="preserve"> </w:t>
      </w:r>
    </w:p>
    <w:p w14:paraId="601D8A01" w14:textId="3B27D0F9" w:rsidR="00E80FE4" w:rsidRPr="007D1918" w:rsidRDefault="00E80FE4" w:rsidP="00DB69D2">
      <w:pPr>
        <w:pStyle w:val="ListParagraph"/>
        <w:numPr>
          <w:ilvl w:val="0"/>
          <w:numId w:val="40"/>
        </w:numPr>
        <w:ind w:left="714" w:hanging="357"/>
        <w:jc w:val="both"/>
      </w:pPr>
      <w:r w:rsidRPr="007D1918">
        <w:t xml:space="preserve">Major </w:t>
      </w:r>
      <w:r w:rsidR="001F747F" w:rsidRPr="007D1918">
        <w:t>thrombotic</w:t>
      </w:r>
      <w:r w:rsidRPr="007D1918">
        <w:t xml:space="preserve">/bleeding </w:t>
      </w:r>
      <w:r w:rsidR="00B034E2" w:rsidRPr="007D1918">
        <w:t>events n</w:t>
      </w:r>
      <w:r w:rsidR="008747C1" w:rsidRPr="007D1918">
        <w:t>ecessitate</w:t>
      </w:r>
      <w:r w:rsidRPr="007D1918">
        <w:t xml:space="preserve"> PE</w:t>
      </w:r>
      <w:r w:rsidR="00572EDA" w:rsidRPr="007D1918">
        <w:t xml:space="preserve"> </w:t>
      </w:r>
      <w:r w:rsidR="008747C1" w:rsidRPr="007D1918">
        <w:t>discontinuation</w:t>
      </w:r>
      <w:r w:rsidRPr="007D1918">
        <w:t xml:space="preserve"> </w:t>
      </w:r>
      <w:r w:rsidR="00B034E2" w:rsidRPr="007D1918">
        <w:t xml:space="preserve">(as per the RCT) </w:t>
      </w:r>
      <w:r w:rsidRPr="007D1918">
        <w:t xml:space="preserve">and </w:t>
      </w:r>
      <w:r w:rsidR="00B034E2" w:rsidRPr="007D1918">
        <w:t xml:space="preserve">therefore </w:t>
      </w:r>
      <w:r w:rsidR="008747C1" w:rsidRPr="007D1918">
        <w:t>initiat</w:t>
      </w:r>
      <w:r w:rsidRPr="007D1918">
        <w:t xml:space="preserve">ion of </w:t>
      </w:r>
      <w:r w:rsidR="008747C1" w:rsidRPr="007D1918">
        <w:t>IVIg</w:t>
      </w:r>
      <w:r w:rsidR="00DB69D2" w:rsidRPr="007D1918">
        <w:t>, and a PE-related sepsis rate is expected</w:t>
      </w:r>
      <w:r w:rsidR="00572EDA" w:rsidRPr="007D1918">
        <w:t>. Additionally the</w:t>
      </w:r>
      <w:r w:rsidR="00DB69D2" w:rsidRPr="007D1918">
        <w:t xml:space="preserve">se events </w:t>
      </w:r>
      <w:r w:rsidR="00B034E2" w:rsidRPr="007D1918">
        <w:t xml:space="preserve">have </w:t>
      </w:r>
      <w:r w:rsidR="00572EDA" w:rsidRPr="007D1918">
        <w:t xml:space="preserve">an immediate </w:t>
      </w:r>
      <w:r w:rsidR="00B034E2" w:rsidRPr="007D1918">
        <w:t>impact on healthcare resource use (</w:t>
      </w:r>
      <w:r w:rsidR="00572EDA" w:rsidRPr="007D1918">
        <w:t xml:space="preserve">extended </w:t>
      </w:r>
      <w:r w:rsidR="00B034E2" w:rsidRPr="007D1918">
        <w:t>hospital stay) and patient utility.</w:t>
      </w:r>
    </w:p>
    <w:p w14:paraId="65D44851" w14:textId="77777777" w:rsidR="008747C1" w:rsidRPr="007D1918" w:rsidRDefault="008747C1" w:rsidP="00572EDA">
      <w:pPr>
        <w:pStyle w:val="Heading5"/>
        <w:keepLines/>
        <w:jc w:val="both"/>
      </w:pPr>
      <w:r w:rsidRPr="007D1918">
        <w:lastRenderedPageBreak/>
        <w:t>Indication 2</w:t>
      </w:r>
    </w:p>
    <w:p w14:paraId="1BE7372D" w14:textId="7C8B0FDD" w:rsidR="008747C1" w:rsidRPr="007D1918" w:rsidRDefault="008747C1" w:rsidP="00B034E2">
      <w:pPr>
        <w:pStyle w:val="ListParagraph"/>
        <w:numPr>
          <w:ilvl w:val="0"/>
          <w:numId w:val="40"/>
        </w:numPr>
        <w:ind w:left="714" w:hanging="357"/>
        <w:jc w:val="both"/>
      </w:pPr>
      <w:r w:rsidRPr="007D1918">
        <w:t xml:space="preserve">The </w:t>
      </w:r>
      <w:r w:rsidR="00DB69D2" w:rsidRPr="007D1918">
        <w:t xml:space="preserve">base case assumes the </w:t>
      </w:r>
      <w:r w:rsidRPr="007D1918">
        <w:t xml:space="preserve">significant difference in average operation time identified in the RCT </w:t>
      </w:r>
      <w:r w:rsidR="00DB69D2" w:rsidRPr="007D1918">
        <w:t xml:space="preserve">is </w:t>
      </w:r>
      <w:r w:rsidRPr="007D1918">
        <w:t>associated with</w:t>
      </w:r>
      <w:r w:rsidR="00DB69D2" w:rsidRPr="007D1918">
        <w:t xml:space="preserve"> a downstream effect (e.g. bleeding propensity) associated with</w:t>
      </w:r>
      <w:r w:rsidRPr="007D1918">
        <w:t xml:space="preserve"> the </w:t>
      </w:r>
      <w:r w:rsidR="00DB69D2" w:rsidRPr="007D1918">
        <w:t xml:space="preserve">pre-surgery prophylactic </w:t>
      </w:r>
      <w:r w:rsidRPr="007D1918">
        <w:t>treatment choice.</w:t>
      </w:r>
      <w:r w:rsidR="00DB69D2" w:rsidRPr="007D1918">
        <w:t xml:space="preserve"> This is tested in a sensitivity analysis.</w:t>
      </w:r>
    </w:p>
    <w:p w14:paraId="103C7478" w14:textId="77777777" w:rsidR="008747C1" w:rsidRPr="007D1918" w:rsidRDefault="008747C1" w:rsidP="00DB69D2">
      <w:pPr>
        <w:pStyle w:val="ListParagraph"/>
        <w:numPr>
          <w:ilvl w:val="0"/>
          <w:numId w:val="40"/>
        </w:numPr>
        <w:ind w:left="714" w:hanging="357"/>
        <w:jc w:val="both"/>
      </w:pPr>
      <w:r w:rsidRPr="007D1918">
        <w:t>Operating time is directly associated with operating theatre resource use and therefore the time difference would have direct cost implications.</w:t>
      </w:r>
    </w:p>
    <w:p w14:paraId="7A4CDF21" w14:textId="77777777" w:rsidR="008747C1" w:rsidRPr="007D1918" w:rsidRDefault="008747C1" w:rsidP="00DB69D2">
      <w:pPr>
        <w:pStyle w:val="ListParagraph"/>
        <w:numPr>
          <w:ilvl w:val="0"/>
          <w:numId w:val="40"/>
        </w:numPr>
        <w:ind w:left="714" w:hanging="357"/>
        <w:jc w:val="both"/>
      </w:pPr>
      <w:r w:rsidRPr="007D1918">
        <w:t>The difference in operation time would have no effect on patient health or utility.</w:t>
      </w:r>
    </w:p>
    <w:p w14:paraId="7218F663" w14:textId="77777777" w:rsidR="008747C1" w:rsidRPr="007D1918" w:rsidRDefault="008747C1" w:rsidP="00DB69D2">
      <w:pPr>
        <w:pStyle w:val="ListParagraph"/>
        <w:numPr>
          <w:ilvl w:val="0"/>
          <w:numId w:val="40"/>
        </w:numPr>
        <w:jc w:val="both"/>
      </w:pPr>
      <w:r w:rsidRPr="007D1918">
        <w:t>Although duration on intubation varied this did not result in a significant difference in the duration of ICU stay, therefore this would not result in additional resource use.</w:t>
      </w:r>
    </w:p>
    <w:p w14:paraId="42B1287A" w14:textId="77777777" w:rsidR="008747C1" w:rsidRPr="007D1918" w:rsidRDefault="008747C1" w:rsidP="00DB69D2">
      <w:pPr>
        <w:pStyle w:val="Heading5"/>
        <w:keepNext w:val="0"/>
        <w:jc w:val="both"/>
      </w:pPr>
      <w:r w:rsidRPr="007D1918">
        <w:t>Indication 3</w:t>
      </w:r>
    </w:p>
    <w:p w14:paraId="216ABB8B" w14:textId="3D29E911" w:rsidR="008747C1" w:rsidRPr="007D1918" w:rsidRDefault="008747C1" w:rsidP="00DB69D2">
      <w:pPr>
        <w:pStyle w:val="ListParagraph"/>
        <w:numPr>
          <w:ilvl w:val="0"/>
          <w:numId w:val="40"/>
        </w:numPr>
        <w:ind w:left="714" w:hanging="357"/>
        <w:jc w:val="both"/>
      </w:pPr>
      <w:r w:rsidRPr="007D1918">
        <w:t xml:space="preserve">Patients </w:t>
      </w:r>
      <w:r w:rsidR="00DB69D2" w:rsidRPr="007D1918">
        <w:t xml:space="preserve">who </w:t>
      </w:r>
      <w:r w:rsidRPr="007D1918">
        <w:t>receiv</w:t>
      </w:r>
      <w:r w:rsidR="00DB69D2" w:rsidRPr="007D1918">
        <w:t xml:space="preserve">e </w:t>
      </w:r>
      <w:r w:rsidRPr="007D1918">
        <w:t>long-term PE require IV access; it is assumed 95% have a catheter (</w:t>
      </w:r>
      <w:r w:rsidR="00DB69D2" w:rsidRPr="007D1918">
        <w:t xml:space="preserve">assumed to last on average three years, therefore modelled with a 33% </w:t>
      </w:r>
      <w:r w:rsidRPr="007D1918">
        <w:t xml:space="preserve">replacement every year) and 5% receive an AV fistula which </w:t>
      </w:r>
      <w:r w:rsidR="00DB69D2" w:rsidRPr="007D1918">
        <w:t xml:space="preserve">is assumed to </w:t>
      </w:r>
      <w:r w:rsidRPr="007D1918">
        <w:t>last 10 years.</w:t>
      </w:r>
    </w:p>
    <w:p w14:paraId="16A99A91" w14:textId="77777777" w:rsidR="008747C1" w:rsidRPr="007D1918" w:rsidRDefault="008747C1" w:rsidP="00DB69D2">
      <w:pPr>
        <w:pStyle w:val="ListParagraph"/>
        <w:numPr>
          <w:ilvl w:val="0"/>
          <w:numId w:val="40"/>
        </w:numPr>
        <w:ind w:left="714" w:hanging="357"/>
        <w:jc w:val="both"/>
      </w:pPr>
      <w:r w:rsidRPr="007D1918">
        <w:t>Alternative pharmacological treatments are costed at maximum, or near maximum dose, given the population is defined as having severe and refractory MG.</w:t>
      </w:r>
    </w:p>
    <w:p w14:paraId="039B62B4" w14:textId="77777777" w:rsidR="008747C1" w:rsidRPr="007D1918" w:rsidRDefault="008747C1" w:rsidP="00DB69D2">
      <w:pPr>
        <w:pStyle w:val="ListParagraph"/>
        <w:numPr>
          <w:ilvl w:val="0"/>
          <w:numId w:val="40"/>
        </w:numPr>
        <w:ind w:left="714" w:hanging="357"/>
        <w:jc w:val="both"/>
      </w:pPr>
      <w:r w:rsidRPr="007D1918">
        <w:t>Monitoring for liver function, renal function and blood disorders is variable depending on treatments and included in the cost analysis.</w:t>
      </w:r>
    </w:p>
    <w:p w14:paraId="731AFFC5" w14:textId="6FDA5F8A" w:rsidR="005A5EC8" w:rsidRPr="007D1918" w:rsidRDefault="008747C1" w:rsidP="00DB69D2">
      <w:pPr>
        <w:pStyle w:val="ListParagraph"/>
        <w:numPr>
          <w:ilvl w:val="0"/>
          <w:numId w:val="40"/>
        </w:numPr>
        <w:ind w:left="714" w:hanging="357"/>
        <w:jc w:val="both"/>
      </w:pPr>
      <w:r w:rsidRPr="007D1918">
        <w:t>All patients receive regular medical/neurological consults and monitoring of disease related markers independently of the treatment choice therefore these costs are not included.</w:t>
      </w:r>
    </w:p>
    <w:p w14:paraId="6DD3119D" w14:textId="77777777" w:rsidR="005A5EC8" w:rsidRPr="007D1918" w:rsidRDefault="005A5EC8" w:rsidP="00DF343F">
      <w:pPr>
        <w:keepNext/>
        <w:spacing w:after="120" w:line="240" w:lineRule="auto"/>
        <w:jc w:val="both"/>
        <w:rPr>
          <w:rFonts w:ascii="Arial Narrow" w:hAnsi="Arial Narrow"/>
          <w:b/>
          <w:sz w:val="20"/>
          <w:szCs w:val="20"/>
        </w:rPr>
        <w:sectPr w:rsidR="005A5EC8" w:rsidRPr="007D1918" w:rsidSect="00945DB8">
          <w:headerReference w:type="default" r:id="rId57"/>
          <w:pgSz w:w="11906" w:h="16838"/>
          <w:pgMar w:top="1440" w:right="1440" w:bottom="1440" w:left="1440" w:header="720" w:footer="720" w:gutter="0"/>
          <w:paperSrc w:first="7" w:other="7"/>
          <w:cols w:space="720"/>
        </w:sectPr>
      </w:pPr>
    </w:p>
    <w:p w14:paraId="19FB5A8C" w14:textId="77777777" w:rsidR="003E7F7D" w:rsidRPr="007D1918" w:rsidRDefault="003E7F7D" w:rsidP="00CE3A8B">
      <w:pPr>
        <w:pStyle w:val="Heading2"/>
        <w:numPr>
          <w:ilvl w:val="3"/>
          <w:numId w:val="11"/>
        </w:numPr>
      </w:pPr>
      <w:bookmarkStart w:id="389" w:name="_Toc381796479"/>
      <w:bookmarkStart w:id="390" w:name="_Toc23766996"/>
      <w:r w:rsidRPr="007D1918">
        <w:lastRenderedPageBreak/>
        <w:t>Inputs to the economic evaluation</w:t>
      </w:r>
      <w:bookmarkEnd w:id="389"/>
      <w:bookmarkEnd w:id="390"/>
    </w:p>
    <w:p w14:paraId="10C8179C" w14:textId="048AEC29" w:rsidR="00AB0DDF" w:rsidRPr="007D1918" w:rsidRDefault="00AB0DDF" w:rsidP="00AB0DDF">
      <w:pPr>
        <w:jc w:val="both"/>
      </w:pPr>
      <w:r w:rsidRPr="007D1918">
        <w:t xml:space="preserve">The </w:t>
      </w:r>
      <w:r w:rsidR="0006606D" w:rsidRPr="007D1918">
        <w:t xml:space="preserve">inputs used to </w:t>
      </w:r>
      <w:r w:rsidRPr="007D1918">
        <w:t>inform costing</w:t>
      </w:r>
      <w:r w:rsidR="0006606D" w:rsidRPr="007D1918">
        <w:t xml:space="preserve"> are </w:t>
      </w:r>
      <w:r w:rsidRPr="007D1918">
        <w:t xml:space="preserve">categorised and described </w:t>
      </w:r>
      <w:r w:rsidR="0006606D" w:rsidRPr="007D1918">
        <w:t>throughout this section.</w:t>
      </w:r>
    </w:p>
    <w:p w14:paraId="673E63E8" w14:textId="77777777" w:rsidR="00AB0DDF" w:rsidRPr="007D1918" w:rsidRDefault="00AB0DDF" w:rsidP="00AB0DDF">
      <w:pPr>
        <w:pStyle w:val="Heading3"/>
      </w:pPr>
      <w:bookmarkStart w:id="391" w:name="_Toc23766997"/>
      <w:r w:rsidRPr="007D1918">
        <w:t>Patient Demographic inputs</w:t>
      </w:r>
      <w:bookmarkEnd w:id="391"/>
    </w:p>
    <w:p w14:paraId="5F8BA9E0" w14:textId="15B494F6" w:rsidR="00AB0DDF" w:rsidRPr="007D1918" w:rsidRDefault="00AB0DDF" w:rsidP="00AB0DDF">
      <w:r w:rsidRPr="007D1918">
        <w:t xml:space="preserve">Inputs (including assumptions) regarding the patient population are show in </w:t>
      </w:r>
      <w:r w:rsidRPr="007D1918">
        <w:fldChar w:fldCharType="begin"/>
      </w:r>
      <w:r w:rsidRPr="007D1918">
        <w:instrText xml:space="preserve"> REF _Ref14361554 \h  \* MERGEFORMAT </w:instrText>
      </w:r>
      <w:r w:rsidRPr="007D1918">
        <w:fldChar w:fldCharType="separate"/>
      </w:r>
      <w:r w:rsidR="007C33AD" w:rsidRPr="007D1918">
        <w:t>Table 65</w:t>
      </w:r>
      <w:r w:rsidRPr="007D1918">
        <w:fldChar w:fldCharType="end"/>
      </w:r>
      <w:r w:rsidRPr="007D1918">
        <w:t>.</w:t>
      </w:r>
    </w:p>
    <w:p w14:paraId="0C00D41D" w14:textId="1DDFF987" w:rsidR="00AB0DDF" w:rsidRPr="007D1918" w:rsidRDefault="00AB0DDF" w:rsidP="009A4D6B">
      <w:pPr>
        <w:pStyle w:val="Caption"/>
      </w:pPr>
      <w:bookmarkStart w:id="392" w:name="_Ref14361554"/>
      <w:bookmarkStart w:id="393" w:name="_Toc23769552"/>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7C33AD" w:rsidRPr="007D1918">
        <w:rPr>
          <w:noProof/>
        </w:rPr>
        <w:t>65</w:t>
      </w:r>
      <w:r w:rsidRPr="007D1918">
        <w:rPr>
          <w:noProof/>
        </w:rPr>
        <w:fldChar w:fldCharType="end"/>
      </w:r>
      <w:bookmarkEnd w:id="392"/>
      <w:r w:rsidR="00D22A62" w:rsidRPr="007D1918">
        <w:rPr>
          <w:noProof/>
        </w:rPr>
        <w:tab/>
      </w:r>
      <w:r w:rsidRPr="007D1918">
        <w:t>Patient population inputs</w:t>
      </w:r>
      <w:bookmarkEnd w:id="393"/>
    </w:p>
    <w:tbl>
      <w:tblPr>
        <w:tblStyle w:val="TableGrid"/>
        <w:tblW w:w="0" w:type="auto"/>
        <w:tblLayout w:type="fixed"/>
        <w:tblLook w:val="04A0" w:firstRow="1" w:lastRow="0" w:firstColumn="1" w:lastColumn="0" w:noHBand="0" w:noVBand="1"/>
        <w:tblCaption w:val="Table 65 Patient population inputs"/>
      </w:tblPr>
      <w:tblGrid>
        <w:gridCol w:w="2972"/>
        <w:gridCol w:w="1701"/>
        <w:gridCol w:w="3402"/>
        <w:gridCol w:w="941"/>
      </w:tblGrid>
      <w:tr w:rsidR="00AB0DDF" w:rsidRPr="007D1918" w14:paraId="442CB30F" w14:textId="77777777" w:rsidTr="00BD29C0">
        <w:trPr>
          <w:tblHeader/>
        </w:trPr>
        <w:tc>
          <w:tcPr>
            <w:tcW w:w="2972" w:type="dxa"/>
          </w:tcPr>
          <w:p w14:paraId="16D618EE" w14:textId="77777777" w:rsidR="00AB0DDF" w:rsidRPr="007D1918" w:rsidRDefault="00AB0DDF" w:rsidP="00AB0DDF">
            <w:pPr>
              <w:keepNext/>
              <w:spacing w:before="40" w:after="40" w:line="240" w:lineRule="auto"/>
              <w:ind w:left="0"/>
              <w:rPr>
                <w:rFonts w:ascii="Arial Narrow" w:hAnsi="Arial Narrow"/>
                <w:b/>
                <w:sz w:val="20"/>
                <w:szCs w:val="20"/>
              </w:rPr>
            </w:pPr>
            <w:r w:rsidRPr="007D1918">
              <w:rPr>
                <w:rFonts w:ascii="Arial Narrow" w:hAnsi="Arial Narrow"/>
                <w:b/>
                <w:sz w:val="20"/>
                <w:szCs w:val="20"/>
              </w:rPr>
              <w:t>Description</w:t>
            </w:r>
          </w:p>
        </w:tc>
        <w:tc>
          <w:tcPr>
            <w:tcW w:w="1701" w:type="dxa"/>
          </w:tcPr>
          <w:p w14:paraId="2E872560" w14:textId="77777777" w:rsidR="00AB0DDF" w:rsidRPr="007D1918" w:rsidRDefault="00AB0DDF" w:rsidP="00AB0DDF">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Input value</w:t>
            </w:r>
          </w:p>
        </w:tc>
        <w:tc>
          <w:tcPr>
            <w:tcW w:w="3402" w:type="dxa"/>
          </w:tcPr>
          <w:p w14:paraId="11B18F39" w14:textId="77777777" w:rsidR="00AB0DDF" w:rsidRPr="007D1918" w:rsidRDefault="00AB0DDF" w:rsidP="00AB0DDF">
            <w:pPr>
              <w:keepNext/>
              <w:spacing w:before="40" w:after="40" w:line="240" w:lineRule="auto"/>
              <w:ind w:left="0"/>
              <w:rPr>
                <w:rFonts w:ascii="Arial Narrow" w:hAnsi="Arial Narrow"/>
                <w:b/>
                <w:sz w:val="20"/>
                <w:szCs w:val="20"/>
              </w:rPr>
            </w:pPr>
            <w:r w:rsidRPr="007D1918">
              <w:rPr>
                <w:rFonts w:ascii="Arial Narrow" w:hAnsi="Arial Narrow"/>
                <w:b/>
                <w:sz w:val="20"/>
                <w:szCs w:val="20"/>
              </w:rPr>
              <w:t>Source</w:t>
            </w:r>
          </w:p>
        </w:tc>
        <w:tc>
          <w:tcPr>
            <w:tcW w:w="941" w:type="dxa"/>
          </w:tcPr>
          <w:p w14:paraId="63D02BC9" w14:textId="77777777" w:rsidR="00AB0DDF" w:rsidRPr="007D1918" w:rsidRDefault="00AB0DDF" w:rsidP="00AB0DDF">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Analysis</w:t>
            </w:r>
          </w:p>
        </w:tc>
      </w:tr>
      <w:tr w:rsidR="00AB0DDF" w:rsidRPr="007D1918" w14:paraId="7A257302" w14:textId="77777777" w:rsidTr="00AB0DDF">
        <w:tc>
          <w:tcPr>
            <w:tcW w:w="2972" w:type="dxa"/>
          </w:tcPr>
          <w:p w14:paraId="01DE15A7" w14:textId="77777777" w:rsidR="00AB0DDF" w:rsidRPr="007D1918" w:rsidRDefault="00AB0DDF" w:rsidP="00AB0DDF">
            <w:pPr>
              <w:spacing w:before="40" w:after="40" w:line="240" w:lineRule="auto"/>
              <w:ind w:left="0"/>
              <w:rPr>
                <w:rFonts w:ascii="Arial Narrow" w:hAnsi="Arial Narrow"/>
                <w:sz w:val="20"/>
                <w:szCs w:val="20"/>
              </w:rPr>
            </w:pPr>
            <w:r w:rsidRPr="007D1918">
              <w:rPr>
                <w:rFonts w:ascii="Arial Narrow" w:hAnsi="Arial Narrow"/>
                <w:sz w:val="20"/>
                <w:szCs w:val="20"/>
              </w:rPr>
              <w:t>Average Patient weight (base case)</w:t>
            </w:r>
          </w:p>
        </w:tc>
        <w:tc>
          <w:tcPr>
            <w:tcW w:w="1701" w:type="dxa"/>
          </w:tcPr>
          <w:p w14:paraId="3FF15AEB" w14:textId="77777777" w:rsidR="00AB0DDF" w:rsidRPr="007D1918" w:rsidRDefault="00AB0DDF" w:rsidP="00AB0DDF">
            <w:pPr>
              <w:spacing w:before="40" w:after="40" w:line="240" w:lineRule="auto"/>
              <w:ind w:left="0"/>
              <w:jc w:val="center"/>
              <w:rPr>
                <w:rFonts w:ascii="Arial Narrow" w:hAnsi="Arial Narrow"/>
                <w:sz w:val="20"/>
                <w:szCs w:val="20"/>
              </w:rPr>
            </w:pPr>
            <w:r w:rsidRPr="007D1918">
              <w:rPr>
                <w:rFonts w:ascii="Arial Narrow" w:hAnsi="Arial Narrow"/>
                <w:sz w:val="20"/>
                <w:szCs w:val="20"/>
              </w:rPr>
              <w:t>81 kg</w:t>
            </w:r>
          </w:p>
        </w:tc>
        <w:tc>
          <w:tcPr>
            <w:tcW w:w="3402" w:type="dxa"/>
          </w:tcPr>
          <w:p w14:paraId="2939CC81" w14:textId="77777777" w:rsidR="00AB0DDF" w:rsidRPr="007D1918" w:rsidRDefault="00AB0DDF" w:rsidP="00AB0DDF">
            <w:pPr>
              <w:spacing w:before="40" w:after="40" w:line="240" w:lineRule="auto"/>
              <w:ind w:left="0"/>
              <w:rPr>
                <w:rFonts w:ascii="Arial Narrow" w:hAnsi="Arial Narrow"/>
                <w:sz w:val="20"/>
                <w:szCs w:val="20"/>
              </w:rPr>
            </w:pPr>
            <w:r w:rsidRPr="007D1918">
              <w:rPr>
                <w:rFonts w:ascii="Arial Narrow" w:hAnsi="Arial Narrow"/>
                <w:sz w:val="20"/>
                <w:szCs w:val="20"/>
              </w:rPr>
              <w:t>Bloodstar/STARS data 2017-18, 2018-19</w:t>
            </w:r>
          </w:p>
        </w:tc>
        <w:tc>
          <w:tcPr>
            <w:tcW w:w="941" w:type="dxa"/>
          </w:tcPr>
          <w:p w14:paraId="29674742" w14:textId="77777777" w:rsidR="00AB0DDF" w:rsidRPr="007D1918" w:rsidRDefault="00AB0DDF" w:rsidP="00AB0DDF">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1, 2, 3</w:t>
            </w:r>
          </w:p>
        </w:tc>
      </w:tr>
      <w:tr w:rsidR="00AB0DDF" w:rsidRPr="007D1918" w14:paraId="42FD8492" w14:textId="77777777" w:rsidTr="00AB0DDF">
        <w:tc>
          <w:tcPr>
            <w:tcW w:w="2972" w:type="dxa"/>
          </w:tcPr>
          <w:p w14:paraId="57469F14" w14:textId="77777777" w:rsidR="00AB0DDF" w:rsidRPr="007D1918" w:rsidRDefault="00AB0DDF" w:rsidP="00AB0DDF">
            <w:pPr>
              <w:spacing w:before="40" w:after="40" w:line="240" w:lineRule="auto"/>
              <w:ind w:left="0"/>
              <w:rPr>
                <w:rFonts w:ascii="Arial Narrow" w:hAnsi="Arial Narrow"/>
                <w:sz w:val="20"/>
                <w:szCs w:val="20"/>
              </w:rPr>
            </w:pPr>
            <w:r w:rsidRPr="007D1918">
              <w:rPr>
                <w:rFonts w:ascii="Arial Narrow" w:hAnsi="Arial Narrow"/>
                <w:sz w:val="20"/>
                <w:szCs w:val="20"/>
              </w:rPr>
              <w:t>Average patient BSA</w:t>
            </w:r>
          </w:p>
        </w:tc>
        <w:tc>
          <w:tcPr>
            <w:tcW w:w="1701" w:type="dxa"/>
          </w:tcPr>
          <w:p w14:paraId="4B5197D5" w14:textId="77777777" w:rsidR="00AB0DDF" w:rsidRPr="007D1918" w:rsidRDefault="00AB0DDF" w:rsidP="00AB0DDF">
            <w:pPr>
              <w:spacing w:before="40" w:after="40" w:line="240" w:lineRule="auto"/>
              <w:ind w:left="0"/>
              <w:jc w:val="center"/>
              <w:rPr>
                <w:rFonts w:ascii="Arial Narrow" w:hAnsi="Arial Narrow"/>
                <w:sz w:val="20"/>
                <w:szCs w:val="20"/>
              </w:rPr>
            </w:pPr>
            <w:r w:rsidRPr="007D1918">
              <w:rPr>
                <w:rFonts w:ascii="Arial Narrow" w:hAnsi="Arial Narrow"/>
                <w:sz w:val="20"/>
                <w:szCs w:val="20"/>
              </w:rPr>
              <w:t>1.9 m</w:t>
            </w:r>
            <w:r w:rsidRPr="007D1918">
              <w:rPr>
                <w:rFonts w:ascii="Arial Narrow" w:hAnsi="Arial Narrow"/>
                <w:sz w:val="20"/>
                <w:szCs w:val="20"/>
                <w:vertAlign w:val="superscript"/>
              </w:rPr>
              <w:t>2</w:t>
            </w:r>
          </w:p>
        </w:tc>
        <w:tc>
          <w:tcPr>
            <w:tcW w:w="3402" w:type="dxa"/>
          </w:tcPr>
          <w:p w14:paraId="143AB0DB" w14:textId="77777777" w:rsidR="00AB0DDF" w:rsidRPr="007D1918" w:rsidRDefault="00AB0DDF" w:rsidP="00AB0DDF">
            <w:pPr>
              <w:spacing w:before="40" w:after="40" w:line="240" w:lineRule="auto"/>
              <w:ind w:left="0"/>
              <w:rPr>
                <w:rFonts w:ascii="Arial Narrow" w:hAnsi="Arial Narrow"/>
                <w:sz w:val="20"/>
                <w:szCs w:val="20"/>
              </w:rPr>
            </w:pPr>
            <w:r w:rsidRPr="007D1918">
              <w:rPr>
                <w:rFonts w:ascii="Arial Narrow" w:hAnsi="Arial Narrow"/>
                <w:sz w:val="20"/>
                <w:szCs w:val="20"/>
              </w:rPr>
              <w:t>Approximation based on patient weight data and estimated average height.</w:t>
            </w:r>
          </w:p>
        </w:tc>
        <w:tc>
          <w:tcPr>
            <w:tcW w:w="941" w:type="dxa"/>
          </w:tcPr>
          <w:p w14:paraId="2A9F794F" w14:textId="77777777" w:rsidR="00AB0DDF" w:rsidRPr="007D1918" w:rsidRDefault="00AB0DDF" w:rsidP="00AB0DDF">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3</w:t>
            </w:r>
          </w:p>
        </w:tc>
      </w:tr>
      <w:tr w:rsidR="00AB0DDF" w:rsidRPr="007D1918" w14:paraId="45C88EEE" w14:textId="77777777" w:rsidTr="00AB0DDF">
        <w:tc>
          <w:tcPr>
            <w:tcW w:w="2972" w:type="dxa"/>
          </w:tcPr>
          <w:p w14:paraId="7EDB0577" w14:textId="77777777" w:rsidR="00607F9A" w:rsidRDefault="0011156A" w:rsidP="00607F9A">
            <w:pPr>
              <w:spacing w:before="40" w:after="40" w:line="240" w:lineRule="auto"/>
              <w:ind w:left="0" w:firstLine="169"/>
              <w:rPr>
                <w:rFonts w:ascii="Arial Narrow" w:hAnsi="Arial Narrow"/>
                <w:sz w:val="20"/>
                <w:szCs w:val="20"/>
              </w:rPr>
            </w:pPr>
            <w:r w:rsidRPr="0011156A">
              <w:rPr>
                <w:rFonts w:ascii="Arial Narrow" w:hAnsi="Arial Narrow"/>
                <w:sz w:val="20"/>
                <w:szCs w:val="20"/>
              </w:rPr>
              <w:t>Hematocrit (normal range): men</w:t>
            </w:r>
          </w:p>
          <w:p w14:paraId="7CEDFA3F" w14:textId="1639EAD9" w:rsidR="00607F9A" w:rsidRDefault="00607F9A" w:rsidP="00AF72D8">
            <w:pPr>
              <w:spacing w:before="40" w:after="40" w:line="240" w:lineRule="auto"/>
              <w:ind w:left="0" w:right="-1526" w:firstLine="2153"/>
              <w:rPr>
                <w:rFonts w:ascii="Arial Narrow" w:hAnsi="Arial Narrow"/>
                <w:sz w:val="20"/>
                <w:szCs w:val="20"/>
              </w:rPr>
            </w:pPr>
            <w:r>
              <w:rPr>
                <w:rFonts w:ascii="Arial Narrow" w:hAnsi="Arial Narrow"/>
                <w:sz w:val="20"/>
                <w:szCs w:val="20"/>
              </w:rPr>
              <w:t>w</w:t>
            </w:r>
            <w:r w:rsidR="0011156A" w:rsidRPr="0011156A">
              <w:rPr>
                <w:rFonts w:ascii="Arial Narrow" w:hAnsi="Arial Narrow"/>
                <w:sz w:val="20"/>
                <w:szCs w:val="20"/>
              </w:rPr>
              <w:t>omen</w:t>
            </w:r>
          </w:p>
          <w:p w14:paraId="12D3A9B6" w14:textId="258FC340" w:rsidR="00AB0DDF" w:rsidRPr="007D1918" w:rsidRDefault="00AF72D8" w:rsidP="00AF72D8">
            <w:pPr>
              <w:spacing w:before="40" w:after="40" w:line="240" w:lineRule="auto"/>
              <w:ind w:left="0"/>
              <w:rPr>
                <w:rFonts w:ascii="Arial Narrow" w:hAnsi="Arial Narrow"/>
                <w:sz w:val="20"/>
                <w:szCs w:val="20"/>
              </w:rPr>
            </w:pPr>
            <w:r>
              <w:rPr>
                <w:rFonts w:ascii="Arial Narrow" w:hAnsi="Arial Narrow"/>
                <w:sz w:val="20"/>
                <w:szCs w:val="20"/>
              </w:rPr>
              <w:tab/>
            </w:r>
            <w:r w:rsidR="0011156A" w:rsidRPr="0011156A">
              <w:rPr>
                <w:rFonts w:ascii="Arial Narrow" w:hAnsi="Arial Narrow"/>
                <w:sz w:val="20"/>
                <w:szCs w:val="20"/>
              </w:rPr>
              <w:t>average for PE costing:</w:t>
            </w:r>
          </w:p>
        </w:tc>
        <w:tc>
          <w:tcPr>
            <w:tcW w:w="1701" w:type="dxa"/>
          </w:tcPr>
          <w:p w14:paraId="5D226855" w14:textId="77777777" w:rsidR="00AB0DDF" w:rsidRPr="007D1918" w:rsidRDefault="00AB0DDF" w:rsidP="00AB0DDF">
            <w:pPr>
              <w:spacing w:before="40" w:after="40" w:line="240" w:lineRule="auto"/>
              <w:ind w:left="0"/>
              <w:jc w:val="center"/>
              <w:rPr>
                <w:rFonts w:ascii="Arial Narrow" w:hAnsi="Arial Narrow"/>
                <w:sz w:val="20"/>
                <w:szCs w:val="20"/>
              </w:rPr>
            </w:pPr>
            <w:r w:rsidRPr="007D1918">
              <w:rPr>
                <w:rFonts w:ascii="Arial Narrow" w:hAnsi="Arial Narrow"/>
                <w:sz w:val="20"/>
                <w:szCs w:val="20"/>
              </w:rPr>
              <w:t>45% to 52%</w:t>
            </w:r>
            <w:r w:rsidRPr="007D1918">
              <w:rPr>
                <w:rFonts w:ascii="Arial Narrow" w:hAnsi="Arial Narrow"/>
                <w:sz w:val="20"/>
                <w:szCs w:val="20"/>
              </w:rPr>
              <w:br/>
              <w:t>37% to 48%</w:t>
            </w:r>
            <w:r w:rsidRPr="007D1918">
              <w:rPr>
                <w:rFonts w:ascii="Arial Narrow" w:hAnsi="Arial Narrow"/>
                <w:sz w:val="20"/>
                <w:szCs w:val="20"/>
              </w:rPr>
              <w:br/>
              <w:t>47%</w:t>
            </w:r>
          </w:p>
        </w:tc>
        <w:tc>
          <w:tcPr>
            <w:tcW w:w="3402" w:type="dxa"/>
          </w:tcPr>
          <w:p w14:paraId="0C096E15" w14:textId="6B43EBC5" w:rsidR="00AB0DDF" w:rsidRPr="007D1918" w:rsidRDefault="002814BF" w:rsidP="00AB0DDF">
            <w:pPr>
              <w:spacing w:before="40" w:after="40" w:line="240" w:lineRule="auto"/>
              <w:ind w:left="0"/>
              <w:rPr>
                <w:rFonts w:ascii="Arial Narrow" w:hAnsi="Arial Narrow"/>
                <w:sz w:val="20"/>
                <w:szCs w:val="20"/>
              </w:rPr>
            </w:pPr>
            <w:hyperlink r:id="rId58" w:tooltip="Website link" w:history="1">
              <w:r w:rsidR="00AB0DDF" w:rsidRPr="007D1918">
                <w:rPr>
                  <w:rStyle w:val="Hyperlink"/>
                  <w:rFonts w:ascii="Arial Narrow" w:hAnsi="Arial Narrow"/>
                  <w:sz w:val="20"/>
                  <w:szCs w:val="20"/>
                </w:rPr>
                <w:t>https://www.medicinenet.com/hematocrit/article.htm</w:t>
              </w:r>
            </w:hyperlink>
            <w:r w:rsidR="00AB0DDF" w:rsidRPr="007D1918">
              <w:rPr>
                <w:rFonts w:ascii="Arial Narrow" w:hAnsi="Arial Narrow"/>
                <w:sz w:val="20"/>
                <w:szCs w:val="20"/>
              </w:rPr>
              <w:br/>
              <w:t>- estimated</w:t>
            </w:r>
          </w:p>
        </w:tc>
        <w:tc>
          <w:tcPr>
            <w:tcW w:w="941" w:type="dxa"/>
          </w:tcPr>
          <w:p w14:paraId="60D0D001" w14:textId="77777777" w:rsidR="00AB0DDF" w:rsidRPr="007D1918" w:rsidRDefault="00AB0DDF" w:rsidP="00AB0DDF">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1</w:t>
            </w:r>
          </w:p>
        </w:tc>
      </w:tr>
    </w:tbl>
    <w:p w14:paraId="3A200EC3" w14:textId="77777777" w:rsidR="00AB0DDF" w:rsidRPr="007D1918" w:rsidRDefault="00AB0DDF" w:rsidP="00AB0DDF">
      <w:pPr>
        <w:widowControl w:val="0"/>
        <w:spacing w:after="12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BSA = Body Surface Area; PE = plasma exchange</w:t>
      </w:r>
    </w:p>
    <w:p w14:paraId="7AE3218F" w14:textId="77777777" w:rsidR="00AB0DDF" w:rsidRPr="007D1918" w:rsidRDefault="00AB0DDF" w:rsidP="00AB0DDF">
      <w:pPr>
        <w:pStyle w:val="Heading3"/>
        <w:rPr>
          <w:snapToGrid w:val="0"/>
          <w:lang w:eastAsia="en-US"/>
        </w:rPr>
      </w:pPr>
      <w:bookmarkStart w:id="394" w:name="_Toc23766998"/>
      <w:r w:rsidRPr="007D1918">
        <w:rPr>
          <w:snapToGrid w:val="0"/>
          <w:lang w:eastAsia="en-US"/>
        </w:rPr>
        <w:t>Clinical management inputs</w:t>
      </w:r>
      <w:bookmarkEnd w:id="394"/>
    </w:p>
    <w:p w14:paraId="0BADB95D" w14:textId="77777777" w:rsidR="008747C1" w:rsidRPr="007D1918" w:rsidRDefault="008747C1" w:rsidP="008747C1">
      <w:pPr>
        <w:jc w:val="both"/>
        <w:rPr>
          <w:snapToGrid w:val="0"/>
          <w:lang w:eastAsia="en-US"/>
        </w:rPr>
      </w:pPr>
      <w:r w:rsidRPr="007D1918">
        <w:rPr>
          <w:snapToGrid w:val="0"/>
          <w:lang w:eastAsia="en-US"/>
        </w:rPr>
        <w:t>Inputs (including assumptions) relating to the clinical management of MG, including the doses and administration patterns of therapies used in each of the indications are shown below.</w:t>
      </w:r>
    </w:p>
    <w:p w14:paraId="22ACCB3A" w14:textId="77777777" w:rsidR="008747C1" w:rsidRPr="007D1918" w:rsidRDefault="008747C1" w:rsidP="008747C1">
      <w:pPr>
        <w:jc w:val="both"/>
        <w:rPr>
          <w:snapToGrid w:val="0"/>
          <w:lang w:eastAsia="en-US"/>
        </w:rPr>
      </w:pPr>
      <w:r w:rsidRPr="007D1918">
        <w:rPr>
          <w:snapToGrid w:val="0"/>
          <w:lang w:eastAsia="en-US"/>
        </w:rPr>
        <w:t>For each of the indications the stepped analysis adjusts the dosage of Ig used from the trial-based (or Guideline based) dose, to an estimate of that used currently in the Australian setting. The estimates of Australian usage are based on information provided by NBA, where 514,257 g of Ig was provided to 1,174 MG patients, with the spread across the Indications 1, 2 and 3 being 201, 33 and 940 patients (17.1%:28%:80.1%), respectively. However usage in terms of grams was estimated to be distributed across Indications 1:2:3 in the proportions of 9%:1%:90%, respectively, as recommended by the NBA</w:t>
      </w:r>
      <w:r w:rsidRPr="007D1918">
        <w:rPr>
          <w:rStyle w:val="FootnoteReference"/>
        </w:rPr>
        <w:footnoteReference w:id="10"/>
      </w:r>
      <w:r w:rsidRPr="007D1918">
        <w:rPr>
          <w:snapToGrid w:val="0"/>
          <w:lang w:eastAsia="en-US"/>
        </w:rPr>
        <w:t>.</w:t>
      </w:r>
    </w:p>
    <w:p w14:paraId="59FD2A83" w14:textId="41FA7301" w:rsidR="008747C1" w:rsidRPr="007D1918" w:rsidRDefault="008747C1" w:rsidP="008747C1">
      <w:pPr>
        <w:rPr>
          <w:snapToGrid w:val="0"/>
          <w:lang w:eastAsia="en-US"/>
        </w:rPr>
      </w:pPr>
      <w:r w:rsidRPr="007D1918">
        <w:rPr>
          <w:snapToGrid w:val="0"/>
          <w:lang w:eastAsia="en-US"/>
        </w:rPr>
        <w:t xml:space="preserve">Based on the above data and estimates, the current annual indication-specific dosages per patient are estimated to be 230 g, 156 g and 492 g across Indications 1, 2 and 3, as shown in </w:t>
      </w:r>
      <w:r w:rsidRPr="007D1918">
        <w:rPr>
          <w:snapToGrid w:val="0"/>
          <w:lang w:eastAsia="en-US"/>
        </w:rPr>
        <w:fldChar w:fldCharType="begin"/>
      </w:r>
      <w:r w:rsidRPr="007D1918">
        <w:rPr>
          <w:snapToGrid w:val="0"/>
          <w:lang w:eastAsia="en-US"/>
        </w:rPr>
        <w:instrText xml:space="preserve"> REF _Ref14361584 \h </w:instrText>
      </w:r>
      <w:r w:rsidR="00E07567" w:rsidRPr="007D1918">
        <w:rPr>
          <w:snapToGrid w:val="0"/>
          <w:lang w:eastAsia="en-US"/>
        </w:rPr>
        <w:instrText xml:space="preserve"> \* MERGEFORMAT </w:instrText>
      </w:r>
      <w:r w:rsidRPr="007D1918">
        <w:rPr>
          <w:snapToGrid w:val="0"/>
          <w:lang w:eastAsia="en-US"/>
        </w:rPr>
      </w:r>
      <w:r w:rsidRPr="007D1918">
        <w:rPr>
          <w:snapToGrid w:val="0"/>
          <w:lang w:eastAsia="en-US"/>
        </w:rPr>
        <w:fldChar w:fldCharType="separate"/>
      </w:r>
      <w:r w:rsidR="00AA6011" w:rsidRPr="007D1918">
        <w:t xml:space="preserve">Table </w:t>
      </w:r>
      <w:r w:rsidR="00AA6011" w:rsidRPr="007D1918">
        <w:rPr>
          <w:noProof/>
        </w:rPr>
        <w:t>66</w:t>
      </w:r>
      <w:r w:rsidRPr="007D1918">
        <w:rPr>
          <w:snapToGrid w:val="0"/>
          <w:lang w:eastAsia="en-US"/>
        </w:rPr>
        <w:fldChar w:fldCharType="end"/>
      </w:r>
      <w:r w:rsidRPr="007D1918">
        <w:rPr>
          <w:snapToGrid w:val="0"/>
          <w:lang w:eastAsia="en-US"/>
        </w:rPr>
        <w:t>.</w:t>
      </w:r>
    </w:p>
    <w:p w14:paraId="6054D781" w14:textId="77777777" w:rsidR="008747C1" w:rsidRPr="007D1918" w:rsidRDefault="008747C1" w:rsidP="008747C1">
      <w:pPr>
        <w:pStyle w:val="Caption"/>
        <w:keepNext/>
      </w:pPr>
      <w:bookmarkStart w:id="395" w:name="_Ref14361584"/>
      <w:bookmarkStart w:id="396" w:name="_Toc15561971"/>
      <w:bookmarkStart w:id="397" w:name="_Toc23769553"/>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66</w:t>
      </w:r>
      <w:r w:rsidRPr="007D1918">
        <w:rPr>
          <w:noProof/>
        </w:rPr>
        <w:fldChar w:fldCharType="end"/>
      </w:r>
      <w:bookmarkEnd w:id="395"/>
      <w:r w:rsidRPr="007D1918">
        <w:tab/>
        <w:t>Estimated usage (dose) of Ig used for each indication based on Australian usage data and estimates</w:t>
      </w:r>
      <w:bookmarkEnd w:id="396"/>
      <w:bookmarkEnd w:id="397"/>
    </w:p>
    <w:tbl>
      <w:tblPr>
        <w:tblStyle w:val="TableGrid"/>
        <w:tblW w:w="0" w:type="auto"/>
        <w:tblLook w:val="04A0" w:firstRow="1" w:lastRow="0" w:firstColumn="1" w:lastColumn="0" w:noHBand="0" w:noVBand="1"/>
        <w:tblCaption w:val="Table 66 Estimated usage (dose) of Ig used for each indication based on Australian usage data and estimates"/>
      </w:tblPr>
      <w:tblGrid>
        <w:gridCol w:w="1940"/>
        <w:gridCol w:w="1174"/>
        <w:gridCol w:w="1843"/>
        <w:gridCol w:w="1323"/>
        <w:gridCol w:w="1323"/>
        <w:gridCol w:w="1323"/>
      </w:tblGrid>
      <w:tr w:rsidR="008747C1" w:rsidRPr="007D1918" w14:paraId="45A7BAAB" w14:textId="77777777" w:rsidTr="00BD29C0">
        <w:trPr>
          <w:tblHeader/>
        </w:trPr>
        <w:tc>
          <w:tcPr>
            <w:tcW w:w="1940" w:type="dxa"/>
          </w:tcPr>
          <w:p w14:paraId="31DC49A1" w14:textId="77777777" w:rsidR="008747C1" w:rsidRPr="007D1918" w:rsidRDefault="008747C1" w:rsidP="00153384">
            <w:pPr>
              <w:pStyle w:val="Tabletext1"/>
              <w:ind w:left="0"/>
              <w:rPr>
                <w:b/>
                <w:snapToGrid w:val="0"/>
                <w:lang w:eastAsia="en-US"/>
              </w:rPr>
            </w:pPr>
          </w:p>
        </w:tc>
        <w:tc>
          <w:tcPr>
            <w:tcW w:w="1174" w:type="dxa"/>
          </w:tcPr>
          <w:p w14:paraId="6B017031" w14:textId="77777777" w:rsidR="008747C1" w:rsidRPr="007D1918" w:rsidRDefault="008747C1" w:rsidP="00153384">
            <w:pPr>
              <w:pStyle w:val="Tabletext1"/>
              <w:ind w:left="0"/>
              <w:rPr>
                <w:b/>
                <w:snapToGrid w:val="0"/>
                <w:lang w:eastAsia="en-US"/>
              </w:rPr>
            </w:pPr>
            <w:r w:rsidRPr="007D1918">
              <w:rPr>
                <w:b/>
                <w:snapToGrid w:val="0"/>
                <w:lang w:eastAsia="en-US"/>
              </w:rPr>
              <w:t>Total</w:t>
            </w:r>
          </w:p>
        </w:tc>
        <w:tc>
          <w:tcPr>
            <w:tcW w:w="1843" w:type="dxa"/>
          </w:tcPr>
          <w:p w14:paraId="3139E550" w14:textId="77777777" w:rsidR="008747C1" w:rsidRPr="007D1918" w:rsidRDefault="008747C1" w:rsidP="00153384">
            <w:pPr>
              <w:pStyle w:val="Tabletext1"/>
              <w:ind w:left="0"/>
              <w:rPr>
                <w:b/>
                <w:snapToGrid w:val="0"/>
                <w:lang w:eastAsia="en-US"/>
              </w:rPr>
            </w:pPr>
          </w:p>
        </w:tc>
        <w:tc>
          <w:tcPr>
            <w:tcW w:w="1323" w:type="dxa"/>
          </w:tcPr>
          <w:p w14:paraId="151EFBEA" w14:textId="77777777" w:rsidR="008747C1" w:rsidRPr="007D1918" w:rsidRDefault="008747C1" w:rsidP="00153384">
            <w:pPr>
              <w:pStyle w:val="Tabletext1"/>
              <w:ind w:left="0"/>
              <w:rPr>
                <w:b/>
                <w:snapToGrid w:val="0"/>
                <w:lang w:eastAsia="en-US"/>
              </w:rPr>
            </w:pPr>
            <w:r w:rsidRPr="007D1918">
              <w:rPr>
                <w:b/>
                <w:snapToGrid w:val="0"/>
                <w:lang w:eastAsia="en-US"/>
              </w:rPr>
              <w:t>Indication 1</w:t>
            </w:r>
          </w:p>
        </w:tc>
        <w:tc>
          <w:tcPr>
            <w:tcW w:w="1323" w:type="dxa"/>
          </w:tcPr>
          <w:p w14:paraId="60B30F48" w14:textId="77777777" w:rsidR="008747C1" w:rsidRPr="007D1918" w:rsidRDefault="008747C1" w:rsidP="00153384">
            <w:pPr>
              <w:pStyle w:val="Tabletext1"/>
              <w:ind w:left="0"/>
              <w:rPr>
                <w:b/>
                <w:snapToGrid w:val="0"/>
                <w:lang w:eastAsia="en-US"/>
              </w:rPr>
            </w:pPr>
            <w:r w:rsidRPr="007D1918">
              <w:rPr>
                <w:b/>
                <w:snapToGrid w:val="0"/>
                <w:lang w:eastAsia="en-US"/>
              </w:rPr>
              <w:t>Indication 2</w:t>
            </w:r>
          </w:p>
        </w:tc>
        <w:tc>
          <w:tcPr>
            <w:tcW w:w="1323" w:type="dxa"/>
          </w:tcPr>
          <w:p w14:paraId="505E1DBD" w14:textId="77777777" w:rsidR="008747C1" w:rsidRPr="007D1918" w:rsidRDefault="008747C1" w:rsidP="00153384">
            <w:pPr>
              <w:pStyle w:val="Tabletext1"/>
              <w:ind w:left="0"/>
              <w:rPr>
                <w:b/>
                <w:snapToGrid w:val="0"/>
                <w:lang w:eastAsia="en-US"/>
              </w:rPr>
            </w:pPr>
            <w:r w:rsidRPr="007D1918">
              <w:rPr>
                <w:b/>
                <w:snapToGrid w:val="0"/>
                <w:lang w:eastAsia="en-US"/>
              </w:rPr>
              <w:t>Indication 3</w:t>
            </w:r>
          </w:p>
        </w:tc>
      </w:tr>
      <w:tr w:rsidR="008747C1" w:rsidRPr="007D1918" w14:paraId="503A7CCD" w14:textId="77777777" w:rsidTr="00153384">
        <w:tc>
          <w:tcPr>
            <w:tcW w:w="1940" w:type="dxa"/>
            <w:vMerge w:val="restart"/>
          </w:tcPr>
          <w:p w14:paraId="4EB1183F" w14:textId="77777777" w:rsidR="008747C1" w:rsidRPr="007D1918" w:rsidRDefault="008747C1" w:rsidP="00153384">
            <w:pPr>
              <w:pStyle w:val="Tabletext1"/>
              <w:ind w:left="0"/>
              <w:rPr>
                <w:snapToGrid w:val="0"/>
                <w:lang w:eastAsia="en-US"/>
              </w:rPr>
            </w:pPr>
            <w:r w:rsidRPr="007D1918">
              <w:rPr>
                <w:snapToGrid w:val="0"/>
                <w:lang w:eastAsia="en-US"/>
              </w:rPr>
              <w:t>Ig Usage (grams)</w:t>
            </w:r>
          </w:p>
        </w:tc>
        <w:tc>
          <w:tcPr>
            <w:tcW w:w="1174" w:type="dxa"/>
            <w:vMerge w:val="restart"/>
          </w:tcPr>
          <w:p w14:paraId="7AFC18D4" w14:textId="77777777" w:rsidR="008747C1" w:rsidRPr="007D1918" w:rsidRDefault="008747C1" w:rsidP="00153384">
            <w:pPr>
              <w:pStyle w:val="Tabletext1"/>
              <w:ind w:left="0"/>
              <w:jc w:val="center"/>
              <w:rPr>
                <w:snapToGrid w:val="0"/>
                <w:lang w:eastAsia="en-US"/>
              </w:rPr>
            </w:pPr>
            <w:r w:rsidRPr="007D1918">
              <w:rPr>
                <w:snapToGrid w:val="0"/>
                <w:lang w:eastAsia="en-US"/>
              </w:rPr>
              <w:t>514 257g</w:t>
            </w:r>
          </w:p>
        </w:tc>
        <w:tc>
          <w:tcPr>
            <w:tcW w:w="1843" w:type="dxa"/>
          </w:tcPr>
          <w:p w14:paraId="34516518" w14:textId="77777777" w:rsidR="008747C1" w:rsidRPr="007D1918" w:rsidRDefault="008747C1" w:rsidP="00153384">
            <w:pPr>
              <w:pStyle w:val="Tabletext1"/>
              <w:ind w:left="0"/>
              <w:rPr>
                <w:snapToGrid w:val="0"/>
                <w:lang w:eastAsia="en-US"/>
              </w:rPr>
            </w:pPr>
            <w:r w:rsidRPr="007D1918">
              <w:rPr>
                <w:snapToGrid w:val="0"/>
                <w:lang w:eastAsia="en-US"/>
              </w:rPr>
              <w:t xml:space="preserve">Estimated distribution </w:t>
            </w:r>
          </w:p>
        </w:tc>
        <w:tc>
          <w:tcPr>
            <w:tcW w:w="1323" w:type="dxa"/>
          </w:tcPr>
          <w:p w14:paraId="31A008BC" w14:textId="77777777" w:rsidR="008747C1" w:rsidRPr="007D1918" w:rsidRDefault="008747C1" w:rsidP="00153384">
            <w:pPr>
              <w:pStyle w:val="Tabletext1"/>
              <w:ind w:left="0"/>
              <w:jc w:val="right"/>
              <w:rPr>
                <w:snapToGrid w:val="0"/>
                <w:lang w:eastAsia="en-US"/>
              </w:rPr>
            </w:pPr>
            <w:r w:rsidRPr="007D1918">
              <w:rPr>
                <w:snapToGrid w:val="0"/>
                <w:lang w:eastAsia="en-US"/>
              </w:rPr>
              <w:t>9%</w:t>
            </w:r>
          </w:p>
        </w:tc>
        <w:tc>
          <w:tcPr>
            <w:tcW w:w="1323" w:type="dxa"/>
          </w:tcPr>
          <w:p w14:paraId="637BE4EB" w14:textId="77777777" w:rsidR="008747C1" w:rsidRPr="007D1918" w:rsidRDefault="008747C1" w:rsidP="00153384">
            <w:pPr>
              <w:pStyle w:val="Tabletext1"/>
              <w:ind w:left="0"/>
              <w:jc w:val="right"/>
              <w:rPr>
                <w:snapToGrid w:val="0"/>
                <w:lang w:eastAsia="en-US"/>
              </w:rPr>
            </w:pPr>
            <w:r w:rsidRPr="007D1918">
              <w:rPr>
                <w:snapToGrid w:val="0"/>
                <w:lang w:eastAsia="en-US"/>
              </w:rPr>
              <w:t>1%</w:t>
            </w:r>
          </w:p>
        </w:tc>
        <w:tc>
          <w:tcPr>
            <w:tcW w:w="1323" w:type="dxa"/>
          </w:tcPr>
          <w:p w14:paraId="2309F64C" w14:textId="77777777" w:rsidR="008747C1" w:rsidRPr="007D1918" w:rsidRDefault="008747C1" w:rsidP="00153384">
            <w:pPr>
              <w:pStyle w:val="Tabletext1"/>
              <w:ind w:left="0"/>
              <w:jc w:val="right"/>
              <w:rPr>
                <w:snapToGrid w:val="0"/>
                <w:lang w:eastAsia="en-US"/>
              </w:rPr>
            </w:pPr>
            <w:r w:rsidRPr="007D1918">
              <w:rPr>
                <w:snapToGrid w:val="0"/>
                <w:lang w:eastAsia="en-US"/>
              </w:rPr>
              <w:t>90%</w:t>
            </w:r>
          </w:p>
        </w:tc>
      </w:tr>
      <w:tr w:rsidR="008747C1" w:rsidRPr="007D1918" w14:paraId="19B8F913" w14:textId="77777777" w:rsidTr="00153384">
        <w:tc>
          <w:tcPr>
            <w:tcW w:w="1940" w:type="dxa"/>
            <w:vMerge/>
          </w:tcPr>
          <w:p w14:paraId="6ED2B157" w14:textId="77777777" w:rsidR="008747C1" w:rsidRPr="007D1918" w:rsidRDefault="008747C1" w:rsidP="00153384">
            <w:pPr>
              <w:pStyle w:val="Tabletext1"/>
              <w:ind w:left="0"/>
              <w:rPr>
                <w:snapToGrid w:val="0"/>
                <w:lang w:eastAsia="en-US"/>
              </w:rPr>
            </w:pPr>
          </w:p>
        </w:tc>
        <w:tc>
          <w:tcPr>
            <w:tcW w:w="1174" w:type="dxa"/>
            <w:vMerge/>
          </w:tcPr>
          <w:p w14:paraId="23EA53E3" w14:textId="77777777" w:rsidR="008747C1" w:rsidRPr="007D1918" w:rsidRDefault="008747C1" w:rsidP="00153384">
            <w:pPr>
              <w:pStyle w:val="Tabletext1"/>
              <w:ind w:left="0"/>
              <w:jc w:val="center"/>
              <w:rPr>
                <w:snapToGrid w:val="0"/>
                <w:lang w:eastAsia="en-US"/>
              </w:rPr>
            </w:pPr>
          </w:p>
        </w:tc>
        <w:tc>
          <w:tcPr>
            <w:tcW w:w="1843" w:type="dxa"/>
          </w:tcPr>
          <w:p w14:paraId="6FA0F9EA" w14:textId="77777777" w:rsidR="008747C1" w:rsidRPr="007D1918" w:rsidRDefault="008747C1" w:rsidP="00153384">
            <w:pPr>
              <w:pStyle w:val="Tabletext1"/>
              <w:ind w:left="0"/>
              <w:rPr>
                <w:snapToGrid w:val="0"/>
                <w:lang w:eastAsia="en-US"/>
              </w:rPr>
            </w:pPr>
            <w:r w:rsidRPr="007D1918">
              <w:rPr>
                <w:snapToGrid w:val="0"/>
                <w:lang w:eastAsia="en-US"/>
              </w:rPr>
              <w:t xml:space="preserve">Estimated grams use </w:t>
            </w:r>
          </w:p>
        </w:tc>
        <w:tc>
          <w:tcPr>
            <w:tcW w:w="1323" w:type="dxa"/>
          </w:tcPr>
          <w:p w14:paraId="0DA066AB" w14:textId="77777777" w:rsidR="008747C1" w:rsidRPr="007D1918" w:rsidRDefault="008747C1" w:rsidP="00153384">
            <w:pPr>
              <w:pStyle w:val="Tabletext1"/>
              <w:ind w:left="0"/>
              <w:jc w:val="right"/>
              <w:rPr>
                <w:snapToGrid w:val="0"/>
                <w:lang w:eastAsia="en-US"/>
              </w:rPr>
            </w:pPr>
            <w:r w:rsidRPr="007D1918">
              <w:rPr>
                <w:snapToGrid w:val="0"/>
                <w:lang w:eastAsia="en-US"/>
              </w:rPr>
              <w:t>46,283g</w:t>
            </w:r>
          </w:p>
        </w:tc>
        <w:tc>
          <w:tcPr>
            <w:tcW w:w="1323" w:type="dxa"/>
          </w:tcPr>
          <w:p w14:paraId="5D8F6DE2" w14:textId="77777777" w:rsidR="008747C1" w:rsidRPr="007D1918" w:rsidRDefault="008747C1" w:rsidP="00153384">
            <w:pPr>
              <w:pStyle w:val="Tabletext1"/>
              <w:ind w:left="0"/>
              <w:jc w:val="right"/>
              <w:rPr>
                <w:snapToGrid w:val="0"/>
                <w:lang w:eastAsia="en-US"/>
              </w:rPr>
            </w:pPr>
            <w:r w:rsidRPr="007D1918">
              <w:rPr>
                <w:snapToGrid w:val="0"/>
                <w:lang w:eastAsia="en-US"/>
              </w:rPr>
              <w:t>5,143g</w:t>
            </w:r>
          </w:p>
        </w:tc>
        <w:tc>
          <w:tcPr>
            <w:tcW w:w="1323" w:type="dxa"/>
          </w:tcPr>
          <w:p w14:paraId="6277670B" w14:textId="77777777" w:rsidR="008747C1" w:rsidRPr="007D1918" w:rsidRDefault="008747C1" w:rsidP="00153384">
            <w:pPr>
              <w:pStyle w:val="Tabletext1"/>
              <w:ind w:left="0"/>
              <w:jc w:val="right"/>
              <w:rPr>
                <w:snapToGrid w:val="0"/>
                <w:lang w:eastAsia="en-US"/>
              </w:rPr>
            </w:pPr>
            <w:r w:rsidRPr="007D1918">
              <w:rPr>
                <w:snapToGrid w:val="0"/>
                <w:lang w:eastAsia="en-US"/>
              </w:rPr>
              <w:t>462,831g</w:t>
            </w:r>
          </w:p>
        </w:tc>
      </w:tr>
      <w:tr w:rsidR="008747C1" w:rsidRPr="007D1918" w14:paraId="6D35D259" w14:textId="77777777" w:rsidTr="00153384">
        <w:tc>
          <w:tcPr>
            <w:tcW w:w="1940" w:type="dxa"/>
          </w:tcPr>
          <w:p w14:paraId="68380CD7" w14:textId="77777777" w:rsidR="008747C1" w:rsidRPr="007D1918" w:rsidRDefault="008747C1" w:rsidP="00153384">
            <w:pPr>
              <w:pStyle w:val="Tabletext1"/>
              <w:ind w:left="0"/>
              <w:rPr>
                <w:snapToGrid w:val="0"/>
                <w:lang w:eastAsia="en-US"/>
              </w:rPr>
            </w:pPr>
            <w:r w:rsidRPr="007D1918">
              <w:rPr>
                <w:snapToGrid w:val="0"/>
                <w:lang w:eastAsia="en-US"/>
              </w:rPr>
              <w:t>Number of Patients</w:t>
            </w:r>
          </w:p>
        </w:tc>
        <w:tc>
          <w:tcPr>
            <w:tcW w:w="1174" w:type="dxa"/>
          </w:tcPr>
          <w:p w14:paraId="4951841F" w14:textId="77777777" w:rsidR="008747C1" w:rsidRPr="007D1918" w:rsidRDefault="008747C1" w:rsidP="00153384">
            <w:pPr>
              <w:pStyle w:val="Tabletext1"/>
              <w:ind w:left="0"/>
              <w:jc w:val="center"/>
              <w:rPr>
                <w:snapToGrid w:val="0"/>
                <w:lang w:eastAsia="en-US"/>
              </w:rPr>
            </w:pPr>
            <w:r w:rsidRPr="007D1918">
              <w:rPr>
                <w:snapToGrid w:val="0"/>
                <w:lang w:eastAsia="en-US"/>
              </w:rPr>
              <w:t>1,174</w:t>
            </w:r>
          </w:p>
        </w:tc>
        <w:tc>
          <w:tcPr>
            <w:tcW w:w="1843" w:type="dxa"/>
          </w:tcPr>
          <w:p w14:paraId="5746884E" w14:textId="77777777" w:rsidR="008747C1" w:rsidRPr="007D1918" w:rsidRDefault="008747C1" w:rsidP="00153384">
            <w:pPr>
              <w:pStyle w:val="Tabletext1"/>
              <w:ind w:left="0"/>
              <w:rPr>
                <w:snapToGrid w:val="0"/>
                <w:lang w:eastAsia="en-US"/>
              </w:rPr>
            </w:pPr>
            <w:r w:rsidRPr="007D1918">
              <w:rPr>
                <w:snapToGrid w:val="0"/>
                <w:lang w:eastAsia="en-US"/>
              </w:rPr>
              <w:t>Distribution</w:t>
            </w:r>
          </w:p>
        </w:tc>
        <w:tc>
          <w:tcPr>
            <w:tcW w:w="1323" w:type="dxa"/>
          </w:tcPr>
          <w:p w14:paraId="47E7F985" w14:textId="77777777" w:rsidR="008747C1" w:rsidRPr="007D1918" w:rsidRDefault="008747C1" w:rsidP="00153384">
            <w:pPr>
              <w:pStyle w:val="Tabletext1"/>
              <w:ind w:left="0"/>
              <w:jc w:val="right"/>
              <w:rPr>
                <w:snapToGrid w:val="0"/>
                <w:lang w:eastAsia="en-US"/>
              </w:rPr>
            </w:pPr>
            <w:r w:rsidRPr="007D1918">
              <w:rPr>
                <w:snapToGrid w:val="0"/>
                <w:lang w:eastAsia="en-US"/>
              </w:rPr>
              <w:t>201</w:t>
            </w:r>
          </w:p>
        </w:tc>
        <w:tc>
          <w:tcPr>
            <w:tcW w:w="1323" w:type="dxa"/>
          </w:tcPr>
          <w:p w14:paraId="295C2D59" w14:textId="77777777" w:rsidR="008747C1" w:rsidRPr="007D1918" w:rsidRDefault="008747C1" w:rsidP="00153384">
            <w:pPr>
              <w:pStyle w:val="Tabletext1"/>
              <w:ind w:left="0"/>
              <w:jc w:val="right"/>
              <w:rPr>
                <w:snapToGrid w:val="0"/>
                <w:lang w:eastAsia="en-US"/>
              </w:rPr>
            </w:pPr>
            <w:r w:rsidRPr="007D1918">
              <w:rPr>
                <w:snapToGrid w:val="0"/>
                <w:lang w:eastAsia="en-US"/>
              </w:rPr>
              <w:t>33</w:t>
            </w:r>
          </w:p>
        </w:tc>
        <w:tc>
          <w:tcPr>
            <w:tcW w:w="1323" w:type="dxa"/>
          </w:tcPr>
          <w:p w14:paraId="5044747D" w14:textId="77777777" w:rsidR="008747C1" w:rsidRPr="007D1918" w:rsidRDefault="008747C1" w:rsidP="00153384">
            <w:pPr>
              <w:pStyle w:val="Tabletext1"/>
              <w:ind w:left="0"/>
              <w:jc w:val="right"/>
              <w:rPr>
                <w:snapToGrid w:val="0"/>
                <w:lang w:eastAsia="en-US"/>
              </w:rPr>
            </w:pPr>
            <w:r w:rsidRPr="007D1918">
              <w:rPr>
                <w:snapToGrid w:val="0"/>
                <w:lang w:eastAsia="en-US"/>
              </w:rPr>
              <w:t>940</w:t>
            </w:r>
          </w:p>
        </w:tc>
      </w:tr>
      <w:tr w:rsidR="008747C1" w:rsidRPr="007D1918" w14:paraId="33B315B2" w14:textId="77777777" w:rsidTr="00153384">
        <w:tc>
          <w:tcPr>
            <w:tcW w:w="1940" w:type="dxa"/>
          </w:tcPr>
          <w:p w14:paraId="44D39299" w14:textId="77777777" w:rsidR="008747C1" w:rsidRPr="007D1918" w:rsidRDefault="008747C1" w:rsidP="00153384">
            <w:pPr>
              <w:pStyle w:val="Tabletext1"/>
              <w:ind w:left="0"/>
              <w:rPr>
                <w:b/>
                <w:snapToGrid w:val="0"/>
                <w:lang w:eastAsia="en-US"/>
              </w:rPr>
            </w:pPr>
            <w:r w:rsidRPr="007D1918">
              <w:rPr>
                <w:b/>
                <w:snapToGrid w:val="0"/>
                <w:lang w:eastAsia="en-US"/>
              </w:rPr>
              <w:t>Average usage (dose)</w:t>
            </w:r>
          </w:p>
        </w:tc>
        <w:tc>
          <w:tcPr>
            <w:tcW w:w="1174" w:type="dxa"/>
          </w:tcPr>
          <w:p w14:paraId="03ABD193" w14:textId="77777777" w:rsidR="008747C1" w:rsidRPr="007D1918" w:rsidRDefault="008747C1" w:rsidP="00153384">
            <w:pPr>
              <w:pStyle w:val="Tabletext1"/>
              <w:ind w:left="0"/>
              <w:jc w:val="center"/>
              <w:rPr>
                <w:b/>
                <w:snapToGrid w:val="0"/>
                <w:lang w:eastAsia="en-US"/>
              </w:rPr>
            </w:pPr>
            <w:r w:rsidRPr="007D1918">
              <w:rPr>
                <w:b/>
                <w:snapToGrid w:val="0"/>
                <w:lang w:eastAsia="en-US"/>
              </w:rPr>
              <w:t>438g/patient</w:t>
            </w:r>
          </w:p>
        </w:tc>
        <w:tc>
          <w:tcPr>
            <w:tcW w:w="1843" w:type="dxa"/>
          </w:tcPr>
          <w:p w14:paraId="7193ADA5" w14:textId="77777777" w:rsidR="008747C1" w:rsidRPr="007D1918" w:rsidRDefault="008747C1" w:rsidP="00153384">
            <w:pPr>
              <w:pStyle w:val="Tabletext1"/>
              <w:ind w:left="0"/>
              <w:rPr>
                <w:b/>
                <w:snapToGrid w:val="0"/>
                <w:lang w:eastAsia="en-US"/>
              </w:rPr>
            </w:pPr>
          </w:p>
        </w:tc>
        <w:tc>
          <w:tcPr>
            <w:tcW w:w="1323" w:type="dxa"/>
          </w:tcPr>
          <w:p w14:paraId="49798A74" w14:textId="77777777" w:rsidR="008747C1" w:rsidRPr="007D1918" w:rsidRDefault="008747C1" w:rsidP="00153384">
            <w:pPr>
              <w:pStyle w:val="Tabletext1"/>
              <w:ind w:left="0"/>
              <w:jc w:val="right"/>
              <w:rPr>
                <w:b/>
                <w:snapToGrid w:val="0"/>
                <w:lang w:eastAsia="en-US"/>
              </w:rPr>
            </w:pPr>
            <w:r w:rsidRPr="007D1918">
              <w:rPr>
                <w:b/>
                <w:snapToGrid w:val="0"/>
                <w:lang w:eastAsia="en-US"/>
              </w:rPr>
              <w:t>230g /patient</w:t>
            </w:r>
          </w:p>
        </w:tc>
        <w:tc>
          <w:tcPr>
            <w:tcW w:w="1323" w:type="dxa"/>
          </w:tcPr>
          <w:p w14:paraId="56C15330" w14:textId="77777777" w:rsidR="008747C1" w:rsidRPr="007D1918" w:rsidRDefault="008747C1" w:rsidP="00153384">
            <w:pPr>
              <w:pStyle w:val="Tabletext1"/>
              <w:ind w:left="0"/>
              <w:jc w:val="right"/>
              <w:rPr>
                <w:b/>
                <w:snapToGrid w:val="0"/>
                <w:lang w:eastAsia="en-US"/>
              </w:rPr>
            </w:pPr>
            <w:r w:rsidRPr="007D1918">
              <w:rPr>
                <w:b/>
                <w:snapToGrid w:val="0"/>
                <w:lang w:eastAsia="en-US"/>
              </w:rPr>
              <w:t>156g /patient</w:t>
            </w:r>
          </w:p>
        </w:tc>
        <w:tc>
          <w:tcPr>
            <w:tcW w:w="1323" w:type="dxa"/>
          </w:tcPr>
          <w:p w14:paraId="51A14A7A" w14:textId="77777777" w:rsidR="008747C1" w:rsidRPr="007D1918" w:rsidRDefault="008747C1" w:rsidP="00153384">
            <w:pPr>
              <w:pStyle w:val="Tabletext1"/>
              <w:ind w:left="0"/>
              <w:jc w:val="right"/>
              <w:rPr>
                <w:b/>
                <w:snapToGrid w:val="0"/>
                <w:lang w:eastAsia="en-US"/>
              </w:rPr>
            </w:pPr>
            <w:r w:rsidRPr="007D1918">
              <w:rPr>
                <w:b/>
                <w:snapToGrid w:val="0"/>
                <w:lang w:eastAsia="en-US"/>
              </w:rPr>
              <w:t>492g /patient</w:t>
            </w:r>
          </w:p>
        </w:tc>
      </w:tr>
    </w:tbl>
    <w:p w14:paraId="78540C4D" w14:textId="41F32E66" w:rsidR="008747C1" w:rsidRPr="007D1918" w:rsidRDefault="008747C1" w:rsidP="008747C1">
      <w:pPr>
        <w:pStyle w:val="Tablenotes0"/>
      </w:pPr>
      <w:r w:rsidRPr="007D1918">
        <w:t xml:space="preserve">Source: NBA spreadsheets with total usage and patient numbers by </w:t>
      </w:r>
      <w:r w:rsidR="009978AE" w:rsidRPr="007D1918">
        <w:t>indication</w:t>
      </w:r>
      <w:r w:rsidRPr="007D1918">
        <w:t>, NBA estimates of usage volumes across Indications.</w:t>
      </w:r>
    </w:p>
    <w:p w14:paraId="4B68E07B" w14:textId="1B27739D" w:rsidR="008747C1" w:rsidRPr="007D1918" w:rsidRDefault="008747C1" w:rsidP="008747C1">
      <w:pPr>
        <w:jc w:val="both"/>
        <w:rPr>
          <w:snapToGrid w:val="0"/>
          <w:lang w:eastAsia="en-US"/>
        </w:rPr>
      </w:pPr>
      <w:r w:rsidRPr="007D1918">
        <w:rPr>
          <w:snapToGrid w:val="0"/>
          <w:lang w:eastAsia="en-US"/>
        </w:rPr>
        <w:lastRenderedPageBreak/>
        <w:t xml:space="preserve">Indication 1 therapy inputs are shown in </w:t>
      </w:r>
      <w:r w:rsidRPr="007D1918">
        <w:rPr>
          <w:snapToGrid w:val="0"/>
          <w:lang w:eastAsia="en-US"/>
        </w:rPr>
        <w:fldChar w:fldCharType="begin"/>
      </w:r>
      <w:r w:rsidRPr="007D1918">
        <w:rPr>
          <w:snapToGrid w:val="0"/>
          <w:lang w:eastAsia="en-US"/>
        </w:rPr>
        <w:instrText xml:space="preserve"> REF _Ref14361612 \h  \* MERGEFORMAT </w:instrText>
      </w:r>
      <w:r w:rsidRPr="007D1918">
        <w:rPr>
          <w:snapToGrid w:val="0"/>
          <w:lang w:eastAsia="en-US"/>
        </w:rPr>
      </w:r>
      <w:r w:rsidRPr="007D1918">
        <w:rPr>
          <w:snapToGrid w:val="0"/>
          <w:lang w:eastAsia="en-US"/>
        </w:rPr>
        <w:fldChar w:fldCharType="separate"/>
      </w:r>
      <w:r w:rsidR="00AA6011" w:rsidRPr="007D1918">
        <w:rPr>
          <w:snapToGrid w:val="0"/>
          <w:lang w:eastAsia="en-US"/>
        </w:rPr>
        <w:t>Table 67</w:t>
      </w:r>
      <w:r w:rsidRPr="007D1918">
        <w:rPr>
          <w:snapToGrid w:val="0"/>
          <w:lang w:eastAsia="en-US"/>
        </w:rPr>
        <w:fldChar w:fldCharType="end"/>
      </w:r>
      <w:r w:rsidRPr="007D1918">
        <w:rPr>
          <w:snapToGrid w:val="0"/>
          <w:lang w:eastAsia="en-US"/>
        </w:rPr>
        <w:t xml:space="preserve">. The dosing of IVIg in the trial; 0.4 g/kg for 3-5 days (totalling 1.2-2 g/kg), which is consistent with the 1566 Ig MSAC Referral Form dosing recommendation of 1-2 g/kg in 2-5 divided doses, but the current </w:t>
      </w:r>
      <w:r w:rsidR="009978AE" w:rsidRPr="007D1918">
        <w:rPr>
          <w:snapToGrid w:val="0"/>
          <w:lang w:eastAsia="en-US"/>
        </w:rPr>
        <w:t xml:space="preserve">criteria </w:t>
      </w:r>
      <w:r w:rsidRPr="007D1918">
        <w:rPr>
          <w:snapToGrid w:val="0"/>
          <w:lang w:eastAsia="en-US"/>
        </w:rPr>
        <w:t>also allow for an additional dose, if required, after two weeks. The Australian data and usage estimates suggest patients receive on average</w:t>
      </w:r>
      <w:r w:rsidR="009C293E" w:rsidRPr="007D1918">
        <w:rPr>
          <w:snapToGrid w:val="0"/>
          <w:lang w:eastAsia="en-US"/>
        </w:rPr>
        <w:t>,</w:t>
      </w:r>
      <w:r w:rsidRPr="007D1918">
        <w:rPr>
          <w:snapToGrid w:val="0"/>
          <w:lang w:eastAsia="en-US"/>
        </w:rPr>
        <w:t xml:space="preserve"> a total of 2.8 g/kg, which is slightly higher than the clinical trial dose, but consistent with the NBA recommended dose, assuming the follow-up dose at two weeks is commonly given.</w:t>
      </w:r>
    </w:p>
    <w:p w14:paraId="5CCEEF62" w14:textId="77777777" w:rsidR="008747C1" w:rsidRPr="007D1918" w:rsidRDefault="008747C1" w:rsidP="008747C1">
      <w:pPr>
        <w:pStyle w:val="Caption"/>
      </w:pPr>
      <w:bookmarkStart w:id="398" w:name="_Ref14361612"/>
      <w:bookmarkStart w:id="399" w:name="_Toc15561972"/>
      <w:bookmarkStart w:id="400" w:name="_Toc23769554"/>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67</w:t>
      </w:r>
      <w:r w:rsidRPr="007D1918">
        <w:rPr>
          <w:noProof/>
        </w:rPr>
        <w:fldChar w:fldCharType="end"/>
      </w:r>
      <w:bookmarkEnd w:id="398"/>
      <w:r w:rsidRPr="007D1918">
        <w:rPr>
          <w:noProof/>
        </w:rPr>
        <w:tab/>
      </w:r>
      <w:r w:rsidRPr="007D1918">
        <w:t>Therapy dose, duration and use-related inputs for Indication 1 management of MG crisis</w:t>
      </w:r>
      <w:bookmarkEnd w:id="399"/>
      <w:bookmarkEnd w:id="400"/>
    </w:p>
    <w:tbl>
      <w:tblPr>
        <w:tblStyle w:val="TableGrid"/>
        <w:tblW w:w="9067" w:type="dxa"/>
        <w:tblLayout w:type="fixed"/>
        <w:tblLook w:val="04A0" w:firstRow="1" w:lastRow="0" w:firstColumn="1" w:lastColumn="0" w:noHBand="0" w:noVBand="1"/>
        <w:tblCaption w:val="Table 67 Therapy dose, duration and use-related inputs for Indication 1 management of MG crisis"/>
      </w:tblPr>
      <w:tblGrid>
        <w:gridCol w:w="1129"/>
        <w:gridCol w:w="993"/>
        <w:gridCol w:w="3402"/>
        <w:gridCol w:w="3543"/>
      </w:tblGrid>
      <w:tr w:rsidR="008747C1" w:rsidRPr="007D1918" w14:paraId="66805C18" w14:textId="77777777" w:rsidTr="00BD29C0">
        <w:trPr>
          <w:tblHeader/>
        </w:trPr>
        <w:tc>
          <w:tcPr>
            <w:tcW w:w="1129" w:type="dxa"/>
          </w:tcPr>
          <w:p w14:paraId="09C27CF7"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Input</w:t>
            </w:r>
          </w:p>
        </w:tc>
        <w:tc>
          <w:tcPr>
            <w:tcW w:w="993" w:type="dxa"/>
          </w:tcPr>
          <w:p w14:paraId="0540B499" w14:textId="77777777" w:rsidR="008747C1" w:rsidRPr="007D1918" w:rsidRDefault="008747C1"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Step</w:t>
            </w:r>
          </w:p>
        </w:tc>
        <w:tc>
          <w:tcPr>
            <w:tcW w:w="3402" w:type="dxa"/>
          </w:tcPr>
          <w:p w14:paraId="1E5D1326" w14:textId="77777777" w:rsidR="008747C1" w:rsidRPr="007D1918" w:rsidRDefault="008747C1"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Value</w:t>
            </w:r>
          </w:p>
        </w:tc>
        <w:tc>
          <w:tcPr>
            <w:tcW w:w="3543" w:type="dxa"/>
          </w:tcPr>
          <w:p w14:paraId="73B449CE"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Source</w:t>
            </w:r>
          </w:p>
        </w:tc>
      </w:tr>
      <w:tr w:rsidR="008747C1" w:rsidRPr="007D1918" w14:paraId="20C50D8D" w14:textId="77777777" w:rsidTr="00153384">
        <w:tc>
          <w:tcPr>
            <w:tcW w:w="1129" w:type="dxa"/>
            <w:vMerge w:val="restart"/>
          </w:tcPr>
          <w:p w14:paraId="6559F316" w14:textId="77777777" w:rsidR="008747C1" w:rsidRPr="007D1918" w:rsidRDefault="008747C1" w:rsidP="00153384">
            <w:pPr>
              <w:spacing w:before="40" w:after="40" w:line="240" w:lineRule="auto"/>
              <w:ind w:left="0"/>
              <w:rPr>
                <w:rFonts w:ascii="Arial Narrow" w:hAnsi="Arial Narrow"/>
                <w:b/>
                <w:sz w:val="20"/>
                <w:szCs w:val="20"/>
              </w:rPr>
            </w:pPr>
            <w:r w:rsidRPr="007D1918">
              <w:rPr>
                <w:rFonts w:ascii="Arial Narrow" w:hAnsi="Arial Narrow"/>
                <w:b/>
                <w:sz w:val="20"/>
                <w:szCs w:val="20"/>
              </w:rPr>
              <w:t xml:space="preserve">Dose &amp; duration of IVIg </w:t>
            </w:r>
          </w:p>
        </w:tc>
        <w:tc>
          <w:tcPr>
            <w:tcW w:w="993" w:type="dxa"/>
          </w:tcPr>
          <w:p w14:paraId="46CF8230"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RCT</w:t>
            </w:r>
          </w:p>
        </w:tc>
        <w:tc>
          <w:tcPr>
            <w:tcW w:w="3402" w:type="dxa"/>
          </w:tcPr>
          <w:p w14:paraId="21C23432"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0.4</w:t>
            </w:r>
            <w:r w:rsidRPr="007D1918">
              <w:rPr>
                <w:rStyle w:val="TablecontentsChar"/>
              </w:rPr>
              <w:t> </w:t>
            </w:r>
            <w:r w:rsidRPr="007D1918">
              <w:rPr>
                <w:rFonts w:ascii="Arial Narrow" w:hAnsi="Arial Narrow"/>
                <w:sz w:val="20"/>
                <w:szCs w:val="20"/>
              </w:rPr>
              <w:t>g/kg for 3 or 5 days (total: 1.2</w:t>
            </w:r>
            <w:r w:rsidRPr="007D1918">
              <w:rPr>
                <w:rStyle w:val="TablecontentsChar"/>
              </w:rPr>
              <w:t> </w:t>
            </w:r>
            <w:r w:rsidRPr="007D1918">
              <w:rPr>
                <w:rFonts w:ascii="Arial Narrow" w:hAnsi="Arial Narrow"/>
                <w:sz w:val="20"/>
                <w:szCs w:val="20"/>
              </w:rPr>
              <w:t>g or 2</w:t>
            </w:r>
            <w:r w:rsidRPr="007D1918">
              <w:rPr>
                <w:rStyle w:val="TablecontentsChar"/>
              </w:rPr>
              <w:t> </w:t>
            </w:r>
            <w:r w:rsidRPr="007D1918">
              <w:rPr>
                <w:rFonts w:ascii="Arial Narrow" w:hAnsi="Arial Narrow"/>
                <w:sz w:val="20"/>
                <w:szCs w:val="20"/>
              </w:rPr>
              <w:t>g per kg)</w:t>
            </w:r>
          </w:p>
        </w:tc>
        <w:tc>
          <w:tcPr>
            <w:tcW w:w="3543" w:type="dxa"/>
          </w:tcPr>
          <w:p w14:paraId="325923F4" w14:textId="27877FAF"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8" w:tooltip="Gajdos, 1997 #45" w:history="1">
              <w:r w:rsidR="007D4948" w:rsidRPr="007D1918">
                <w:rPr>
                  <w:rFonts w:ascii="Arial Narrow" w:hAnsi="Arial Narrow"/>
                  <w:noProof/>
                  <w:sz w:val="20"/>
                  <w:szCs w:val="20"/>
                </w:rPr>
                <w:t>Gajdos et al. 1997</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3ACAC2D7" w14:textId="77777777" w:rsidTr="00153384">
        <w:tc>
          <w:tcPr>
            <w:tcW w:w="1129" w:type="dxa"/>
            <w:vMerge/>
          </w:tcPr>
          <w:p w14:paraId="42A59FC2" w14:textId="77777777" w:rsidR="008747C1" w:rsidRPr="007D1918" w:rsidRDefault="008747C1" w:rsidP="00153384">
            <w:pPr>
              <w:spacing w:before="40" w:after="40" w:line="240" w:lineRule="auto"/>
              <w:ind w:left="0"/>
              <w:rPr>
                <w:rFonts w:ascii="Arial Narrow" w:hAnsi="Arial Narrow"/>
                <w:sz w:val="20"/>
                <w:szCs w:val="20"/>
              </w:rPr>
            </w:pPr>
          </w:p>
        </w:tc>
        <w:tc>
          <w:tcPr>
            <w:tcW w:w="993" w:type="dxa"/>
          </w:tcPr>
          <w:p w14:paraId="66EE9E88"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Australian data</w:t>
            </w:r>
          </w:p>
        </w:tc>
        <w:tc>
          <w:tcPr>
            <w:tcW w:w="3402" w:type="dxa"/>
          </w:tcPr>
          <w:p w14:paraId="6B44A510"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230</w:t>
            </w:r>
            <w:r w:rsidRPr="007D1918">
              <w:rPr>
                <w:rStyle w:val="TablecontentsChar"/>
              </w:rPr>
              <w:t> </w:t>
            </w:r>
            <w:r w:rsidRPr="007D1918">
              <w:rPr>
                <w:rFonts w:ascii="Arial Narrow" w:hAnsi="Arial Narrow"/>
                <w:sz w:val="20"/>
                <w:szCs w:val="20"/>
              </w:rPr>
              <w:t>g/patient (= 2.8</w:t>
            </w:r>
            <w:r w:rsidRPr="007D1918">
              <w:rPr>
                <w:rStyle w:val="TablecontentsChar"/>
              </w:rPr>
              <w:t> </w:t>
            </w:r>
            <w:r w:rsidRPr="007D1918">
              <w:rPr>
                <w:rFonts w:ascii="Arial Narrow" w:hAnsi="Arial Narrow"/>
                <w:sz w:val="20"/>
                <w:szCs w:val="20"/>
              </w:rPr>
              <w:t>g per kg)</w:t>
            </w:r>
          </w:p>
        </w:tc>
        <w:tc>
          <w:tcPr>
            <w:tcW w:w="3543" w:type="dxa"/>
          </w:tcPr>
          <w:p w14:paraId="437D58F7" w14:textId="1D005E01" w:rsidR="008747C1" w:rsidRPr="007D1918" w:rsidRDefault="008747C1" w:rsidP="00077D4B">
            <w:pPr>
              <w:spacing w:before="40" w:after="40" w:line="240" w:lineRule="auto"/>
              <w:ind w:left="0"/>
              <w:rPr>
                <w:rFonts w:ascii="Arial Narrow" w:hAnsi="Arial Narrow"/>
                <w:sz w:val="20"/>
                <w:szCs w:val="20"/>
              </w:rPr>
            </w:pPr>
            <w:r w:rsidRPr="007D1918">
              <w:rPr>
                <w:rFonts w:ascii="Arial Narrow" w:hAnsi="Arial Narrow"/>
                <w:sz w:val="20"/>
                <w:szCs w:val="20"/>
              </w:rPr>
              <w:t xml:space="preserve">'HTA Data April2019.xlsx' workbook provided by the </w:t>
            </w:r>
            <w:r w:rsidR="00077D4B" w:rsidRPr="007D1918">
              <w:rPr>
                <w:rFonts w:ascii="Arial Narrow" w:hAnsi="Arial Narrow"/>
                <w:sz w:val="20"/>
                <w:szCs w:val="20"/>
              </w:rPr>
              <w:t>NBA</w:t>
            </w:r>
          </w:p>
        </w:tc>
      </w:tr>
      <w:tr w:rsidR="008747C1" w:rsidRPr="007D1918" w14:paraId="2ED7DBCA" w14:textId="77777777" w:rsidTr="00153384">
        <w:tc>
          <w:tcPr>
            <w:tcW w:w="1129" w:type="dxa"/>
            <w:vMerge w:val="restart"/>
          </w:tcPr>
          <w:p w14:paraId="0FA1740C" w14:textId="77777777" w:rsidR="008747C1" w:rsidRPr="007D1918" w:rsidRDefault="008747C1" w:rsidP="00153384">
            <w:pPr>
              <w:spacing w:before="40" w:after="40" w:line="240" w:lineRule="auto"/>
              <w:ind w:left="0"/>
              <w:rPr>
                <w:rFonts w:ascii="Arial Narrow" w:hAnsi="Arial Narrow"/>
                <w:b/>
                <w:sz w:val="20"/>
                <w:szCs w:val="20"/>
              </w:rPr>
            </w:pPr>
            <w:r w:rsidRPr="007D1918">
              <w:rPr>
                <w:rFonts w:ascii="Arial Narrow" w:hAnsi="Arial Narrow"/>
                <w:b/>
                <w:sz w:val="20"/>
                <w:szCs w:val="20"/>
              </w:rPr>
              <w:t>Dose and duration of PE</w:t>
            </w:r>
          </w:p>
        </w:tc>
        <w:tc>
          <w:tcPr>
            <w:tcW w:w="993" w:type="dxa"/>
          </w:tcPr>
          <w:p w14:paraId="3FED9DD7"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RCT</w:t>
            </w:r>
          </w:p>
        </w:tc>
        <w:tc>
          <w:tcPr>
            <w:tcW w:w="3402" w:type="dxa"/>
          </w:tcPr>
          <w:p w14:paraId="19CD24C3"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Exchange volume: 1.5 PV, where;</w:t>
            </w:r>
          </w:p>
          <w:p w14:paraId="58A7F0C6" w14:textId="77777777" w:rsidR="00D5054D"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PV = (1 - hematocrit) X 70 X weight</w:t>
            </w:r>
            <w:r w:rsidRPr="007D1918">
              <w:rPr>
                <w:rStyle w:val="TablecontentsChar"/>
              </w:rPr>
              <w:t> </w:t>
            </w:r>
            <w:r w:rsidRPr="007D1918">
              <w:rPr>
                <w:rFonts w:ascii="Arial Narrow" w:hAnsi="Arial Narrow"/>
                <w:sz w:val="20"/>
                <w:szCs w:val="20"/>
              </w:rPr>
              <w:t xml:space="preserve"> (kg)</w:t>
            </w:r>
          </w:p>
          <w:p w14:paraId="47598E8F" w14:textId="3917CB83" w:rsidR="008747C1" w:rsidRPr="007D1918" w:rsidRDefault="00D5054D" w:rsidP="00D5054D">
            <w:pPr>
              <w:spacing w:before="40" w:after="40" w:line="240" w:lineRule="auto"/>
              <w:ind w:left="0" w:firstLine="174"/>
              <w:rPr>
                <w:rFonts w:ascii="Arial Narrow" w:hAnsi="Arial Narrow"/>
                <w:sz w:val="20"/>
                <w:szCs w:val="20"/>
              </w:rPr>
            </w:pPr>
            <w:r>
              <w:rPr>
                <w:rFonts w:ascii="Arial Narrow" w:hAnsi="Arial Narrow"/>
                <w:sz w:val="20"/>
                <w:szCs w:val="20"/>
              </w:rPr>
              <w:t xml:space="preserve"> </w:t>
            </w:r>
            <w:r w:rsidR="008747C1" w:rsidRPr="007D1918">
              <w:rPr>
                <w:rFonts w:ascii="Arial Narrow" w:hAnsi="Arial Narrow"/>
                <w:sz w:val="20"/>
                <w:szCs w:val="20"/>
              </w:rPr>
              <w:t xml:space="preserve"> = 1.5 ([1-47%]*70*81) = 4.5</w:t>
            </w:r>
            <w:r w:rsidR="008747C1" w:rsidRPr="007D1918">
              <w:rPr>
                <w:rStyle w:val="TablecontentsChar"/>
              </w:rPr>
              <w:t> </w:t>
            </w:r>
            <w:r w:rsidR="008747C1" w:rsidRPr="007D1918">
              <w:rPr>
                <w:rFonts w:ascii="Arial Narrow" w:hAnsi="Arial Narrow"/>
                <w:sz w:val="20"/>
                <w:szCs w:val="20"/>
              </w:rPr>
              <w:t>L</w:t>
            </w:r>
          </w:p>
          <w:p w14:paraId="51BEDCE3"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Number of Exchanges: 3</w:t>
            </w:r>
          </w:p>
        </w:tc>
        <w:tc>
          <w:tcPr>
            <w:tcW w:w="3543" w:type="dxa"/>
          </w:tcPr>
          <w:p w14:paraId="222CE19C" w14:textId="71097119"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8" w:tooltip="Gajdos, 1997 #45" w:history="1">
              <w:r w:rsidR="007D4948" w:rsidRPr="007D1918">
                <w:rPr>
                  <w:rFonts w:ascii="Arial Narrow" w:hAnsi="Arial Narrow"/>
                  <w:noProof/>
                  <w:sz w:val="20"/>
                  <w:szCs w:val="20"/>
                </w:rPr>
                <w:t>Gajdos et al. 1997</w:t>
              </w:r>
            </w:hyperlink>
            <w:r w:rsidRPr="007D1918">
              <w:rPr>
                <w:rFonts w:ascii="Arial Narrow" w:hAnsi="Arial Narrow"/>
                <w:noProof/>
                <w:sz w:val="20"/>
                <w:szCs w:val="20"/>
              </w:rPr>
              <w:t>)</w:t>
            </w:r>
            <w:r w:rsidRPr="007D1918">
              <w:rPr>
                <w:rFonts w:ascii="Arial Narrow" w:hAnsi="Arial Narrow"/>
                <w:sz w:val="20"/>
                <w:szCs w:val="20"/>
              </w:rPr>
              <w:fldChar w:fldCharType="end"/>
            </w:r>
            <w:r w:rsidRPr="007D1918">
              <w:rPr>
                <w:rFonts w:ascii="Arial Narrow" w:hAnsi="Arial Narrow"/>
                <w:sz w:val="20"/>
                <w:szCs w:val="20"/>
              </w:rPr>
              <w:t>.</w:t>
            </w:r>
            <w:r w:rsidRPr="007D1918">
              <w:rPr>
                <w:rFonts w:ascii="Arial Narrow" w:hAnsi="Arial Narrow"/>
                <w:i/>
                <w:sz w:val="20"/>
                <w:szCs w:val="20"/>
              </w:rPr>
              <w:t xml:space="preserve"> Actual patient weights and haematocrit not published.</w:t>
            </w:r>
            <w:r w:rsidRPr="007D1918">
              <w:rPr>
                <w:rFonts w:ascii="Arial Narrow" w:hAnsi="Arial Narrow"/>
                <w:sz w:val="20"/>
                <w:szCs w:val="20"/>
              </w:rPr>
              <w:t xml:space="preserve"> Fluid used: 50% Albumin 4% and 50% artificial gelatin</w:t>
            </w:r>
          </w:p>
        </w:tc>
      </w:tr>
      <w:tr w:rsidR="008747C1" w:rsidRPr="007D1918" w14:paraId="4F15EAE4" w14:textId="77777777" w:rsidTr="00153384">
        <w:tc>
          <w:tcPr>
            <w:tcW w:w="1129" w:type="dxa"/>
            <w:vMerge/>
          </w:tcPr>
          <w:p w14:paraId="2A179E1D" w14:textId="77777777" w:rsidR="008747C1" w:rsidRPr="007D1918" w:rsidRDefault="008747C1" w:rsidP="00153384">
            <w:pPr>
              <w:spacing w:before="40" w:after="40" w:line="240" w:lineRule="auto"/>
              <w:rPr>
                <w:rFonts w:ascii="Arial Narrow" w:hAnsi="Arial Narrow"/>
                <w:sz w:val="20"/>
                <w:szCs w:val="20"/>
              </w:rPr>
            </w:pPr>
          </w:p>
        </w:tc>
        <w:tc>
          <w:tcPr>
            <w:tcW w:w="993" w:type="dxa"/>
          </w:tcPr>
          <w:p w14:paraId="67198E2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Australian data</w:t>
            </w:r>
          </w:p>
        </w:tc>
        <w:tc>
          <w:tcPr>
            <w:tcW w:w="3402" w:type="dxa"/>
          </w:tcPr>
          <w:p w14:paraId="5A707E22"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Exchange volume: estimated average, 4L</w:t>
            </w:r>
          </w:p>
          <w:p w14:paraId="28A3CF1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Number of exchanges: 4 (estimated average)</w:t>
            </w:r>
          </w:p>
        </w:tc>
        <w:tc>
          <w:tcPr>
            <w:tcW w:w="3543" w:type="dxa"/>
          </w:tcPr>
          <w:p w14:paraId="2F4D99E6" w14:textId="2B3FDCAA"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F4CDE" w:rsidRPr="007D1918">
              <w:rPr>
                <w:rFonts w:ascii="Arial Narrow" w:hAnsi="Arial Narrow"/>
                <w:sz w:val="20"/>
                <w:szCs w:val="20"/>
              </w:rPr>
              <w:instrText xml:space="preserve"> ADDIN EN.CITE </w:instrText>
            </w:r>
            <w:r w:rsidR="007F4CDE" w:rsidRPr="007D1918">
              <w:rPr>
                <w:rFonts w:ascii="Arial Narrow" w:hAnsi="Arial Narrow"/>
                <w:sz w:val="20"/>
                <w:szCs w:val="20"/>
              </w:rPr>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F4CDE" w:rsidRPr="007D1918">
              <w:rPr>
                <w:rFonts w:ascii="Arial Narrow" w:hAnsi="Arial Narrow"/>
                <w:sz w:val="20"/>
                <w:szCs w:val="20"/>
              </w:rPr>
              <w:instrText xml:space="preserve"> ADDIN EN.CITE.DATA </w:instrText>
            </w:r>
            <w:r w:rsidR="007F4CDE" w:rsidRPr="007D1918">
              <w:rPr>
                <w:rFonts w:ascii="Arial Narrow" w:hAnsi="Arial Narrow"/>
                <w:sz w:val="20"/>
                <w:szCs w:val="20"/>
              </w:rPr>
            </w:r>
            <w:r w:rsidR="007F4CDE"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78" w:tooltip="Paton, 2014 #74" w:history="1">
              <w:r w:rsidR="007D4948" w:rsidRPr="007D1918">
                <w:rPr>
                  <w:rFonts w:ascii="Arial Narrow" w:hAnsi="Arial Narrow"/>
                  <w:noProof/>
                  <w:sz w:val="20"/>
                  <w:szCs w:val="20"/>
                </w:rPr>
                <w:t>Paton &amp; Baldwin 2014</w:t>
              </w:r>
            </w:hyperlink>
            <w:r w:rsidRPr="007D1918">
              <w:rPr>
                <w:rFonts w:ascii="Arial Narrow" w:hAnsi="Arial Narrow"/>
                <w:noProof/>
                <w:sz w:val="20"/>
                <w:szCs w:val="20"/>
              </w:rPr>
              <w:t>)</w:t>
            </w:r>
            <w:r w:rsidRPr="007D1918">
              <w:rPr>
                <w:rFonts w:ascii="Arial Narrow" w:hAnsi="Arial Narrow"/>
                <w:sz w:val="20"/>
                <w:szCs w:val="20"/>
              </w:rPr>
              <w:fldChar w:fldCharType="end"/>
            </w:r>
            <w:r w:rsidRPr="007D1918">
              <w:rPr>
                <w:rFonts w:ascii="Arial Narrow" w:hAnsi="Arial Narrow"/>
                <w:sz w:val="20"/>
                <w:szCs w:val="20"/>
              </w:rPr>
              <w:t xml:space="preserve">(report use of 3-5L of 50% Albumin 4% and 50% FFP per exchange, given daily for a median duration 4 days. </w:t>
            </w:r>
          </w:p>
        </w:tc>
      </w:tr>
      <w:tr w:rsidR="008747C1" w:rsidRPr="007D1918" w14:paraId="455185A1" w14:textId="77777777" w:rsidTr="00153384">
        <w:tc>
          <w:tcPr>
            <w:tcW w:w="1129" w:type="dxa"/>
            <w:vMerge/>
          </w:tcPr>
          <w:p w14:paraId="16E0FA9B" w14:textId="77777777" w:rsidR="008747C1" w:rsidRPr="007D1918" w:rsidRDefault="008747C1" w:rsidP="00153384">
            <w:pPr>
              <w:spacing w:before="40" w:after="40" w:line="240" w:lineRule="auto"/>
              <w:ind w:left="0"/>
              <w:rPr>
                <w:rFonts w:ascii="Arial Narrow" w:hAnsi="Arial Narrow"/>
                <w:sz w:val="20"/>
                <w:szCs w:val="20"/>
              </w:rPr>
            </w:pPr>
          </w:p>
        </w:tc>
        <w:tc>
          <w:tcPr>
            <w:tcW w:w="993" w:type="dxa"/>
          </w:tcPr>
          <w:p w14:paraId="4FFAD49D"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Sensitivity Analyses</w:t>
            </w:r>
          </w:p>
        </w:tc>
        <w:tc>
          <w:tcPr>
            <w:tcW w:w="3402" w:type="dxa"/>
          </w:tcPr>
          <w:p w14:paraId="64BB6FBD"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Exchange volumes: range 3 - 5 L</w:t>
            </w:r>
          </w:p>
          <w:p w14:paraId="05BA844C"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Number of exchanges: range 3-8</w:t>
            </w:r>
          </w:p>
          <w:p w14:paraId="5F721AE5"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Plausible resource use extremes:</w:t>
            </w:r>
          </w:p>
          <w:p w14:paraId="377EA161" w14:textId="36C1C68D" w:rsidR="008747C1" w:rsidRPr="007D1918" w:rsidRDefault="008747C1" w:rsidP="00D5054D">
            <w:pPr>
              <w:spacing w:before="40" w:after="40" w:line="240" w:lineRule="auto"/>
              <w:ind w:left="0" w:firstLine="316"/>
              <w:rPr>
                <w:rFonts w:ascii="Arial Narrow" w:hAnsi="Arial Narrow"/>
                <w:sz w:val="20"/>
                <w:szCs w:val="20"/>
              </w:rPr>
            </w:pPr>
            <w:r w:rsidRPr="007D1918">
              <w:rPr>
                <w:rFonts w:ascii="Arial Narrow" w:hAnsi="Arial Narrow"/>
                <w:sz w:val="20"/>
                <w:szCs w:val="20"/>
              </w:rPr>
              <w:t>9L fluid over 3 exchanges</w:t>
            </w:r>
          </w:p>
          <w:p w14:paraId="1001C615" w14:textId="4C792F93" w:rsidR="008747C1" w:rsidRPr="007D1918" w:rsidRDefault="008747C1" w:rsidP="00D5054D">
            <w:pPr>
              <w:spacing w:before="40" w:after="40" w:line="240" w:lineRule="auto"/>
              <w:ind w:left="0" w:firstLine="316"/>
              <w:rPr>
                <w:rFonts w:ascii="Arial Narrow" w:hAnsi="Arial Narrow"/>
                <w:sz w:val="20"/>
                <w:szCs w:val="20"/>
              </w:rPr>
            </w:pPr>
            <w:r w:rsidRPr="007D1918">
              <w:rPr>
                <w:rFonts w:ascii="Arial Narrow" w:hAnsi="Arial Narrow"/>
                <w:sz w:val="20"/>
                <w:szCs w:val="20"/>
              </w:rPr>
              <w:t>40L fluid over 8 exchanges</w:t>
            </w:r>
          </w:p>
        </w:tc>
        <w:tc>
          <w:tcPr>
            <w:tcW w:w="3543" w:type="dxa"/>
          </w:tcPr>
          <w:p w14:paraId="2F18BDD1" w14:textId="4D527D4A"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&lt;EndNote&gt;&lt;Cite&gt;&lt;Author&gt;Heatwole&lt;/Author&gt;&lt;Year&gt;2011&lt;/Year&gt;&lt;RecNum&gt;70&lt;/RecNum&gt;&lt;DisplayText&gt;(Heatwole et al. 2011)&lt;/DisplayText&gt;&lt;record&gt;&lt;rec-number&gt;70&lt;/rec-number&gt;&lt;foreign-keys&gt;&lt;key app="EN" db-id="2aevrx2slsts5ve9sdavatf125dsx0av2v9d" timestamp="1563282279"&gt;70&lt;/key&gt;&lt;/foreign-keys&gt;&lt;ref-type name="Journal Article"&gt;17&lt;/ref-type&gt;&lt;contributors&gt;&lt;authors&gt;&lt;author&gt;Heatwole, C.&lt;/author&gt;&lt;author&gt;Johnson, N.&lt;/author&gt;&lt;author&gt;Holloway, R.&lt;/author&gt;&lt;author&gt;Noyes, K.&lt;/author&gt;&lt;/authors&gt;&lt;/contributors&gt;&lt;auth-address&gt;Department of Neurology, University of Rochester, Rochester, NY 14642, USA. Chad_Heatwole@urmc.rochester.edu&lt;/auth-address&gt;&lt;titles&gt;&lt;title&gt;Plasma exchange versus intravenous immunoglobulin for myasthenia gravis crisis: an acute hospital cost comparison study&lt;/title&gt;&lt;secondary-title&gt;J Clin Neuromuscul Dis&lt;/secondary-title&gt;&lt;/titles&gt;&lt;periodical&gt;&lt;full-title&gt;J Clin Neuromuscul Dis&lt;/full-title&gt;&lt;/periodical&gt;&lt;pages&gt;85-94&lt;/pages&gt;&lt;volume&gt;13&lt;/volume&gt;&lt;number&gt;2&lt;/number&gt;&lt;edition&gt;2012/03/01&lt;/edition&gt;&lt;keywords&gt;&lt;keyword&gt;Acute Disease&lt;/keyword&gt;&lt;keyword&gt;Hospital Costs/ trends&lt;/keyword&gt;&lt;keyword&gt;Hospitalization/economics&lt;/keyword&gt;&lt;keyword&gt;Humans&lt;/keyword&gt;&lt;keyword&gt;Immunoglobulins, Intravenous/ economics/therapeutic use&lt;/keyword&gt;&lt;keyword&gt;Myasthenia Gravis/ economics/epidemiology/ therapy&lt;/keyword&gt;&lt;keyword&gt;Plasma Exchange/ economics&lt;/keyword&gt;&lt;/keywords&gt;&lt;dates&gt;&lt;year&gt;2011&lt;/year&gt;&lt;pub-dates&gt;&lt;date&gt;Dec&lt;/date&gt;&lt;/pub-dates&gt;&lt;/dates&gt;&lt;isbn&gt;1537-1611 (Electronic)&amp;#xD;1522-0443 (Linking)&lt;/isbn&gt;&lt;accession-num&gt;22361692&lt;/accession-num&gt;&lt;urls&gt;&lt;related-urls&gt;&lt;url&gt;https://www.ncbi.nlm.nih.gov/pmc/articles/PMC3291869/pdf/nihms316728.pdf&lt;/url&gt;&lt;/related-urls&gt;&lt;/urls&gt;&lt;custom2&gt;PMC3291869&lt;/custom2&gt;&lt;custom6&gt;Nihms316728&lt;/custom6&gt;&lt;electronic-resource-num&gt;10.1097/CND.0b013e31822c34dd&lt;/electronic-resource-num&gt;&lt;remote-database-provider&gt;NLM&lt;/remote-database-provider&gt;&lt;language&gt;eng&lt;/language&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5" w:tooltip="Heatwole, 2011 #70" w:history="1">
              <w:r w:rsidR="007D4948" w:rsidRPr="007D1918">
                <w:rPr>
                  <w:rFonts w:ascii="Arial Narrow" w:hAnsi="Arial Narrow"/>
                  <w:noProof/>
                  <w:sz w:val="20"/>
                  <w:szCs w:val="20"/>
                </w:rPr>
                <w:t>Heatwole et al. 2011</w:t>
              </w:r>
            </w:hyperlink>
            <w:r w:rsidRPr="007D1918">
              <w:rPr>
                <w:rFonts w:ascii="Arial Narrow" w:hAnsi="Arial Narrow"/>
                <w:noProof/>
                <w:sz w:val="20"/>
                <w:szCs w:val="20"/>
              </w:rPr>
              <w:t>)</w:t>
            </w:r>
            <w:r w:rsidRPr="007D1918">
              <w:rPr>
                <w:rFonts w:ascii="Arial Narrow" w:hAnsi="Arial Narrow"/>
                <w:sz w:val="20"/>
                <w:szCs w:val="20"/>
              </w:rPr>
              <w:fldChar w:fldCharType="end"/>
            </w:r>
          </w:p>
          <w:p w14:paraId="6336B884"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Recommended fluid: Albumin 4%</w:t>
            </w:r>
          </w:p>
        </w:tc>
      </w:tr>
    </w:tbl>
    <w:p w14:paraId="63805DFC" w14:textId="77777777" w:rsidR="008747C1" w:rsidRPr="007D1918" w:rsidRDefault="008747C1" w:rsidP="00AA6011">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PV = plasma volume; IVIg = Immunoglobulin; MG = myasthenia gravis; NBA = National Blood Authority; PE = plasma exchange; FFP = fresh frozen plasma</w:t>
      </w:r>
    </w:p>
    <w:p w14:paraId="4BFBA86F" w14:textId="77777777" w:rsidR="00AA6011" w:rsidRPr="007D1918" w:rsidRDefault="00AA6011" w:rsidP="008747C1">
      <w:pPr>
        <w:widowControl w:val="0"/>
        <w:spacing w:after="360" w:line="240" w:lineRule="auto"/>
        <w:jc w:val="both"/>
        <w:rPr>
          <w:rFonts w:ascii="Arial Narrow" w:hAnsi="Arial Narrow" w:cs="Arial"/>
          <w:snapToGrid w:val="0"/>
          <w:sz w:val="18"/>
          <w:szCs w:val="20"/>
          <w:lang w:eastAsia="en-US"/>
        </w:rPr>
      </w:pPr>
    </w:p>
    <w:p w14:paraId="4755B49A" w14:textId="5798D3EF" w:rsidR="008747C1" w:rsidRPr="007D1918" w:rsidRDefault="008747C1" w:rsidP="008747C1">
      <w:pPr>
        <w:jc w:val="both"/>
        <w:rPr>
          <w:snapToGrid w:val="0"/>
          <w:lang w:eastAsia="en-US"/>
        </w:rPr>
      </w:pPr>
      <w:r w:rsidRPr="007D1918">
        <w:rPr>
          <w:snapToGrid w:val="0"/>
          <w:lang w:eastAsia="en-US"/>
        </w:rPr>
        <w:t xml:space="preserve">The Indication 2 clinical management inputs used in the cost analysis are shown in </w:t>
      </w:r>
      <w:r w:rsidRPr="007D1918">
        <w:rPr>
          <w:snapToGrid w:val="0"/>
          <w:lang w:eastAsia="en-US"/>
        </w:rPr>
        <w:fldChar w:fldCharType="begin"/>
      </w:r>
      <w:r w:rsidRPr="007D1918">
        <w:rPr>
          <w:snapToGrid w:val="0"/>
          <w:lang w:eastAsia="en-US"/>
        </w:rPr>
        <w:instrText xml:space="preserve"> REF _Ref14441180 \h  \* MERGEFORMAT </w:instrText>
      </w:r>
      <w:r w:rsidRPr="007D1918">
        <w:rPr>
          <w:snapToGrid w:val="0"/>
          <w:lang w:eastAsia="en-US"/>
        </w:rPr>
      </w:r>
      <w:r w:rsidRPr="007D1918">
        <w:rPr>
          <w:snapToGrid w:val="0"/>
          <w:lang w:eastAsia="en-US"/>
        </w:rPr>
        <w:fldChar w:fldCharType="separate"/>
      </w:r>
      <w:r w:rsidR="00AA6011" w:rsidRPr="007D1918">
        <w:rPr>
          <w:snapToGrid w:val="0"/>
          <w:lang w:eastAsia="en-US"/>
        </w:rPr>
        <w:t>Table 68</w:t>
      </w:r>
      <w:r w:rsidRPr="007D1918">
        <w:rPr>
          <w:snapToGrid w:val="0"/>
          <w:lang w:eastAsia="en-US"/>
        </w:rPr>
        <w:fldChar w:fldCharType="end"/>
      </w:r>
      <w:r w:rsidRPr="007D1918">
        <w:rPr>
          <w:snapToGrid w:val="0"/>
          <w:lang w:eastAsia="en-US"/>
        </w:rPr>
        <w:t>. The IVIg dosing in the trial (1 g/kg/day x 2 days) is consistent with the dose described in the</w:t>
      </w:r>
      <w:r w:rsidR="009C293E" w:rsidRPr="007D1918">
        <w:rPr>
          <w:snapToGrid w:val="0"/>
          <w:lang w:eastAsia="en-US"/>
        </w:rPr>
        <w:t xml:space="preserve"> </w:t>
      </w:r>
      <w:r w:rsidRPr="007D1918">
        <w:rPr>
          <w:snapToGrid w:val="0"/>
          <w:lang w:eastAsia="en-US"/>
        </w:rPr>
        <w:t>1566 Ig MSAC Referral Form (1-2 g/kg in 2-5 divided doses), and reasonably consistent with the estimated average Australian usage per patient, which is just slightly lower. The reduced use in Australian data may possibly be explained by a small number of patients discontinuing treatment after day one. For both IVIg and PE it is assumed that treatments occur 10</w:t>
      </w:r>
      <w:r w:rsidRPr="007D1918">
        <w:rPr>
          <w:rFonts w:cs="Calibri"/>
          <w:snapToGrid w:val="0"/>
          <w:lang w:eastAsia="en-US"/>
        </w:rPr>
        <w:t>−</w:t>
      </w:r>
      <w:r w:rsidRPr="007D1918">
        <w:rPr>
          <w:snapToGrid w:val="0"/>
          <w:lang w:eastAsia="en-US"/>
        </w:rPr>
        <w:t>30 days before surgery (Alipour-Faz 2017), therefore administrations of each incur outpatient or day stay therapy costs for each day of pre-surgery treatment administration.</w:t>
      </w:r>
    </w:p>
    <w:p w14:paraId="1A918E0C" w14:textId="034D7E68" w:rsidR="00D22A62" w:rsidRPr="007D1918" w:rsidRDefault="00D22A62">
      <w:pPr>
        <w:spacing w:after="0" w:line="240" w:lineRule="auto"/>
        <w:rPr>
          <w:rFonts w:ascii="Arial Narrow" w:hAnsi="Arial Narrow"/>
          <w:b/>
          <w:bCs/>
          <w:sz w:val="20"/>
        </w:rPr>
      </w:pPr>
      <w:r w:rsidRPr="007D1918">
        <w:rPr>
          <w:rFonts w:ascii="Arial Narrow" w:hAnsi="Arial Narrow"/>
          <w:b/>
          <w:bCs/>
          <w:sz w:val="20"/>
        </w:rPr>
        <w:br w:type="page"/>
      </w:r>
    </w:p>
    <w:p w14:paraId="78AAB600" w14:textId="77777777" w:rsidR="008747C1" w:rsidRPr="007D1918" w:rsidRDefault="008747C1" w:rsidP="008747C1">
      <w:pPr>
        <w:pStyle w:val="Caption"/>
      </w:pPr>
      <w:bookmarkStart w:id="401" w:name="_Ref14441180"/>
      <w:bookmarkStart w:id="402" w:name="_Toc15561973"/>
      <w:bookmarkStart w:id="403" w:name="_Toc23769555"/>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68</w:t>
      </w:r>
      <w:r w:rsidRPr="007D1918">
        <w:rPr>
          <w:noProof/>
        </w:rPr>
        <w:fldChar w:fldCharType="end"/>
      </w:r>
      <w:bookmarkEnd w:id="401"/>
      <w:r w:rsidRPr="007D1918">
        <w:tab/>
        <w:t>Therapy dose, duration and use-related inputs for Indication 2, management of MG prior to surgery</w:t>
      </w:r>
      <w:bookmarkEnd w:id="402"/>
      <w:bookmarkEnd w:id="403"/>
    </w:p>
    <w:tbl>
      <w:tblPr>
        <w:tblStyle w:val="TableGrid"/>
        <w:tblW w:w="9067" w:type="dxa"/>
        <w:tblLayout w:type="fixed"/>
        <w:tblLook w:val="04A0" w:firstRow="1" w:lastRow="0" w:firstColumn="1" w:lastColumn="0" w:noHBand="0" w:noVBand="1"/>
        <w:tblCaption w:val="Table 68 Therapy dose, duration and use-related inputs for Indication 2, management of MG prior to surgery"/>
      </w:tblPr>
      <w:tblGrid>
        <w:gridCol w:w="1271"/>
        <w:gridCol w:w="1134"/>
        <w:gridCol w:w="3544"/>
        <w:gridCol w:w="3118"/>
      </w:tblGrid>
      <w:tr w:rsidR="008747C1" w:rsidRPr="007D1918" w14:paraId="430215B4" w14:textId="77777777" w:rsidTr="00BD29C0">
        <w:trPr>
          <w:tblHeader/>
        </w:trPr>
        <w:tc>
          <w:tcPr>
            <w:tcW w:w="1271" w:type="dxa"/>
          </w:tcPr>
          <w:p w14:paraId="48150720"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Description</w:t>
            </w:r>
          </w:p>
        </w:tc>
        <w:tc>
          <w:tcPr>
            <w:tcW w:w="1134" w:type="dxa"/>
          </w:tcPr>
          <w:p w14:paraId="69BF2A78" w14:textId="77777777" w:rsidR="008747C1" w:rsidRPr="007D1918" w:rsidRDefault="008747C1" w:rsidP="00153384">
            <w:pPr>
              <w:keepNext/>
              <w:spacing w:before="40" w:after="40" w:line="240" w:lineRule="auto"/>
              <w:ind w:left="0"/>
              <w:jc w:val="center"/>
              <w:rPr>
                <w:rFonts w:ascii="Arial Narrow" w:hAnsi="Arial Narrow"/>
                <w:b/>
                <w:sz w:val="20"/>
                <w:szCs w:val="20"/>
              </w:rPr>
            </w:pPr>
          </w:p>
        </w:tc>
        <w:tc>
          <w:tcPr>
            <w:tcW w:w="3544" w:type="dxa"/>
          </w:tcPr>
          <w:p w14:paraId="65CD213F" w14:textId="77777777" w:rsidR="008747C1" w:rsidRPr="007D1918" w:rsidRDefault="008747C1"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Input value</w:t>
            </w:r>
          </w:p>
        </w:tc>
        <w:tc>
          <w:tcPr>
            <w:tcW w:w="3118" w:type="dxa"/>
          </w:tcPr>
          <w:p w14:paraId="09815E0F"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Source</w:t>
            </w:r>
          </w:p>
        </w:tc>
      </w:tr>
      <w:tr w:rsidR="008747C1" w:rsidRPr="007D1918" w14:paraId="6583D770" w14:textId="77777777" w:rsidTr="00153384">
        <w:tc>
          <w:tcPr>
            <w:tcW w:w="1271" w:type="dxa"/>
            <w:vMerge w:val="restart"/>
          </w:tcPr>
          <w:p w14:paraId="42077355" w14:textId="77777777" w:rsidR="008747C1" w:rsidRPr="007D1918" w:rsidRDefault="008747C1" w:rsidP="00153384">
            <w:pPr>
              <w:spacing w:before="40" w:after="40" w:line="240" w:lineRule="auto"/>
              <w:ind w:left="0"/>
              <w:rPr>
                <w:rFonts w:ascii="Arial Narrow" w:hAnsi="Arial Narrow"/>
                <w:b/>
                <w:sz w:val="20"/>
                <w:szCs w:val="20"/>
              </w:rPr>
            </w:pPr>
            <w:r w:rsidRPr="007D1918">
              <w:rPr>
                <w:rFonts w:ascii="Arial Narrow" w:hAnsi="Arial Narrow"/>
                <w:b/>
                <w:sz w:val="20"/>
                <w:szCs w:val="20"/>
              </w:rPr>
              <w:t xml:space="preserve">Dose &amp; duration of IVIg </w:t>
            </w:r>
          </w:p>
        </w:tc>
        <w:tc>
          <w:tcPr>
            <w:tcW w:w="1134" w:type="dxa"/>
          </w:tcPr>
          <w:p w14:paraId="32E04EA9"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RCT</w:t>
            </w:r>
          </w:p>
        </w:tc>
        <w:tc>
          <w:tcPr>
            <w:tcW w:w="3544" w:type="dxa"/>
          </w:tcPr>
          <w:p w14:paraId="62366782"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1 g/kg/day x 2 days (=total of 162 g/patient)</w:t>
            </w:r>
          </w:p>
        </w:tc>
        <w:tc>
          <w:tcPr>
            <w:tcW w:w="3118" w:type="dxa"/>
          </w:tcPr>
          <w:p w14:paraId="5C2DD651" w14:textId="0192101C"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Pr="007D1918">
              <w:rPr>
                <w:rFonts w:ascii="Cambria Math" w:hAnsi="Cambria Math" w:cs="Cambria Math"/>
                <w:sz w:val="20"/>
                <w:szCs w:val="20"/>
              </w:rPr>
              <w:instrText>‐</w:instrText>
            </w:r>
            <w:r w:rsidRPr="007D1918">
              <w:rPr>
                <w:rFonts w:ascii="Arial Narrow" w:hAnsi="Arial Narrow"/>
                <w:sz w:val="20"/>
                <w:szCs w:val="20"/>
              </w:rPr>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 w:tooltip="Alipour-Faz, 2017 #64" w:history="1">
              <w:r w:rsidR="007D4948" w:rsidRPr="007D1918">
                <w:rPr>
                  <w:rFonts w:ascii="Arial Narrow" w:hAnsi="Arial Narrow"/>
                  <w:noProof/>
                  <w:sz w:val="20"/>
                  <w:szCs w:val="20"/>
                </w:rPr>
                <w:t>Alipour-Faz et al. 2017</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784087C7" w14:textId="77777777" w:rsidTr="00153384">
        <w:tc>
          <w:tcPr>
            <w:tcW w:w="1271" w:type="dxa"/>
            <w:vMerge/>
          </w:tcPr>
          <w:p w14:paraId="0DECC0C0" w14:textId="77777777" w:rsidR="008747C1" w:rsidRPr="007D1918" w:rsidRDefault="008747C1" w:rsidP="00153384">
            <w:pPr>
              <w:spacing w:before="40" w:after="40" w:line="240" w:lineRule="auto"/>
              <w:ind w:left="0"/>
              <w:rPr>
                <w:rFonts w:ascii="Arial Narrow" w:hAnsi="Arial Narrow"/>
                <w:sz w:val="20"/>
                <w:szCs w:val="20"/>
              </w:rPr>
            </w:pPr>
          </w:p>
        </w:tc>
        <w:tc>
          <w:tcPr>
            <w:tcW w:w="1134" w:type="dxa"/>
          </w:tcPr>
          <w:p w14:paraId="4EAB5027"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Australian data</w:t>
            </w:r>
          </w:p>
        </w:tc>
        <w:tc>
          <w:tcPr>
            <w:tcW w:w="3544" w:type="dxa"/>
          </w:tcPr>
          <w:p w14:paraId="1D2ED02C"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156 g/patient (equivalent to 0.96 g/kg x 2 days)</w:t>
            </w:r>
          </w:p>
        </w:tc>
        <w:tc>
          <w:tcPr>
            <w:tcW w:w="3118" w:type="dxa"/>
          </w:tcPr>
          <w:p w14:paraId="27F4DFF5" w14:textId="0D6A200A" w:rsidR="008747C1" w:rsidRPr="007D1918" w:rsidRDefault="008747C1" w:rsidP="00077D4B">
            <w:pPr>
              <w:spacing w:before="40" w:after="40" w:line="240" w:lineRule="auto"/>
              <w:ind w:left="0"/>
              <w:rPr>
                <w:rFonts w:ascii="Arial Narrow" w:hAnsi="Arial Narrow"/>
                <w:sz w:val="20"/>
                <w:szCs w:val="20"/>
              </w:rPr>
            </w:pPr>
            <w:r w:rsidRPr="007D1918">
              <w:rPr>
                <w:rFonts w:ascii="Arial Narrow" w:hAnsi="Arial Narrow"/>
                <w:sz w:val="20"/>
                <w:szCs w:val="20"/>
              </w:rPr>
              <w:t>'HTA Data April2019.xlsx' workbook provided by the</w:t>
            </w:r>
            <w:r w:rsidR="00077D4B" w:rsidRPr="007D1918">
              <w:rPr>
                <w:rFonts w:ascii="Arial Narrow" w:hAnsi="Arial Narrow"/>
                <w:sz w:val="20"/>
                <w:szCs w:val="20"/>
              </w:rPr>
              <w:t xml:space="preserve"> NBA</w:t>
            </w:r>
          </w:p>
        </w:tc>
      </w:tr>
      <w:tr w:rsidR="008747C1" w:rsidRPr="007D1918" w14:paraId="700CF6D7" w14:textId="77777777" w:rsidTr="00153384">
        <w:tc>
          <w:tcPr>
            <w:tcW w:w="1271" w:type="dxa"/>
            <w:vMerge w:val="restart"/>
          </w:tcPr>
          <w:p w14:paraId="5EA5CBF6" w14:textId="77777777" w:rsidR="008747C1" w:rsidRPr="007D1918" w:rsidRDefault="008747C1" w:rsidP="00153384">
            <w:pPr>
              <w:spacing w:before="40" w:after="40" w:line="240" w:lineRule="auto"/>
              <w:ind w:left="0"/>
              <w:rPr>
                <w:rFonts w:ascii="Arial Narrow" w:hAnsi="Arial Narrow"/>
                <w:b/>
                <w:sz w:val="20"/>
                <w:szCs w:val="20"/>
              </w:rPr>
            </w:pPr>
            <w:r w:rsidRPr="007D1918">
              <w:rPr>
                <w:rFonts w:ascii="Arial Narrow" w:hAnsi="Arial Narrow"/>
                <w:b/>
                <w:sz w:val="20"/>
                <w:szCs w:val="20"/>
              </w:rPr>
              <w:t>Dose and duration of PE</w:t>
            </w:r>
          </w:p>
        </w:tc>
        <w:tc>
          <w:tcPr>
            <w:tcW w:w="1134" w:type="dxa"/>
          </w:tcPr>
          <w:p w14:paraId="198E8126"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RCT</w:t>
            </w:r>
          </w:p>
        </w:tc>
        <w:tc>
          <w:tcPr>
            <w:tcW w:w="3544" w:type="dxa"/>
          </w:tcPr>
          <w:p w14:paraId="0AFD4E0C"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Exchange Volume: 1 L </w:t>
            </w:r>
          </w:p>
          <w:p w14:paraId="32A7E186"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Number of exchanges: 5, on alternate days</w:t>
            </w:r>
          </w:p>
        </w:tc>
        <w:tc>
          <w:tcPr>
            <w:tcW w:w="3118" w:type="dxa"/>
          </w:tcPr>
          <w:p w14:paraId="6D83B03D" w14:textId="11AF6D88"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Pr="007D1918">
              <w:rPr>
                <w:rFonts w:ascii="Cambria Math" w:hAnsi="Cambria Math" w:cs="Cambria Math"/>
                <w:sz w:val="20"/>
                <w:szCs w:val="20"/>
              </w:rPr>
              <w:instrText>‐</w:instrText>
            </w:r>
            <w:r w:rsidRPr="007D1918">
              <w:rPr>
                <w:rFonts w:ascii="Arial Narrow" w:hAnsi="Arial Narrow"/>
                <w:sz w:val="20"/>
                <w:szCs w:val="20"/>
              </w:rPr>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 w:tooltip="Alipour-Faz, 2017 #64" w:history="1">
              <w:r w:rsidR="007D4948" w:rsidRPr="007D1918">
                <w:rPr>
                  <w:rFonts w:ascii="Arial Narrow" w:hAnsi="Arial Narrow"/>
                  <w:noProof/>
                  <w:sz w:val="20"/>
                  <w:szCs w:val="20"/>
                </w:rPr>
                <w:t>Alipour-Faz et al. 2017</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452C4989" w14:textId="77777777" w:rsidTr="00153384">
        <w:tc>
          <w:tcPr>
            <w:tcW w:w="1271" w:type="dxa"/>
            <w:vMerge/>
          </w:tcPr>
          <w:p w14:paraId="3C66787D" w14:textId="77777777" w:rsidR="008747C1" w:rsidRPr="007D1918" w:rsidRDefault="008747C1" w:rsidP="00153384">
            <w:pPr>
              <w:spacing w:before="40" w:after="40" w:line="240" w:lineRule="auto"/>
              <w:rPr>
                <w:rFonts w:ascii="Arial Narrow" w:hAnsi="Arial Narrow"/>
                <w:sz w:val="20"/>
                <w:szCs w:val="20"/>
              </w:rPr>
            </w:pPr>
          </w:p>
        </w:tc>
        <w:tc>
          <w:tcPr>
            <w:tcW w:w="1134" w:type="dxa"/>
          </w:tcPr>
          <w:p w14:paraId="422919EB"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Australian data</w:t>
            </w:r>
          </w:p>
        </w:tc>
        <w:tc>
          <w:tcPr>
            <w:tcW w:w="3544" w:type="dxa"/>
          </w:tcPr>
          <w:p w14:paraId="3DD4234A"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Assumed to be equivalent to RCT</w:t>
            </w:r>
          </w:p>
        </w:tc>
        <w:tc>
          <w:tcPr>
            <w:tcW w:w="3118" w:type="dxa"/>
          </w:tcPr>
          <w:p w14:paraId="0E5A9C56"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No Australian data sources identified</w:t>
            </w:r>
          </w:p>
        </w:tc>
      </w:tr>
      <w:tr w:rsidR="008747C1" w:rsidRPr="007D1918" w14:paraId="6D535A44" w14:textId="77777777" w:rsidTr="00153384">
        <w:tc>
          <w:tcPr>
            <w:tcW w:w="1271" w:type="dxa"/>
            <w:vMerge/>
          </w:tcPr>
          <w:p w14:paraId="4F0DF2BF" w14:textId="77777777" w:rsidR="008747C1" w:rsidRPr="007D1918" w:rsidRDefault="008747C1" w:rsidP="00153384">
            <w:pPr>
              <w:spacing w:before="40" w:after="40" w:line="240" w:lineRule="auto"/>
              <w:ind w:left="0"/>
              <w:rPr>
                <w:rFonts w:ascii="Arial Narrow" w:hAnsi="Arial Narrow"/>
                <w:sz w:val="20"/>
                <w:szCs w:val="20"/>
              </w:rPr>
            </w:pPr>
          </w:p>
        </w:tc>
        <w:tc>
          <w:tcPr>
            <w:tcW w:w="1134" w:type="dxa"/>
          </w:tcPr>
          <w:p w14:paraId="65266B64"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Sensitivity analysis</w:t>
            </w:r>
          </w:p>
        </w:tc>
        <w:tc>
          <w:tcPr>
            <w:tcW w:w="3544" w:type="dxa"/>
          </w:tcPr>
          <w:p w14:paraId="0DF2CBA6"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Exchange Volume: 1 L </w:t>
            </w:r>
          </w:p>
          <w:p w14:paraId="367B5D7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Number of exchanges: 2</w:t>
            </w:r>
          </w:p>
        </w:tc>
        <w:tc>
          <w:tcPr>
            <w:tcW w:w="3118" w:type="dxa"/>
          </w:tcPr>
          <w:p w14:paraId="35BEA1D6" w14:textId="594D36C9"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&lt;EndNote&gt;&lt;Cite&gt;&lt;Author&gt;Yeh&lt;/Author&gt;&lt;Year&gt;2005&lt;/Year&gt;&lt;RecNum&gt;81&lt;/RecNum&gt;&lt;DisplayText&gt;(Yeh et al. 2005)&lt;/DisplayText&gt;&lt;record&gt;&lt;rec-number&gt;81&lt;/rec-number&gt;&lt;foreign-keys&gt;&lt;key app="EN" db-id="2aevrx2slsts5ve9sdavatf125dsx0av2v9d" timestamp="1563451031"&gt;81&lt;/key&gt;&lt;/foreign-keys&gt;&lt;ref-type name="Journal Article"&gt;17&lt;/ref-type&gt;&lt;contributors&gt;&lt;authors&gt;&lt;author&gt;Yeh, Jiann-Horng&lt;/author&gt;&lt;author&gt;Chen, Wei-Hung&lt;/author&gt;&lt;author&gt;Huang, Ker-Ming&lt;/author&gt;&lt;author&gt;Chiu, Hou-Chang&lt;/author&gt;&lt;/authors&gt;&lt;/contributors&gt;&lt;titles&gt;&lt;title&gt;Prethymectomy plasmapheresis in myasthenia gravis&lt;/title&gt;&lt;secondary-title&gt;Journal of Clinical Apheresis&lt;/secondary-title&gt;&lt;/titles&gt;&lt;periodical&gt;&lt;full-title&gt;Journal of Clinical Apheresis&lt;/full-title&gt;&lt;/periodical&gt;&lt;pages&gt;217-221&lt;/pages&gt;&lt;volume&gt;20&lt;/volume&gt;&lt;number&gt;4&lt;/number&gt;&lt;dates&gt;&lt;year&gt;2005&lt;/year&gt;&lt;/dates&gt;&lt;isbn&gt;0733-2459&lt;/isbn&gt;&lt;urls&gt;&lt;related-urls&gt;&lt;url&gt;https://onlinelibrary.wiley.com/doi/abs/10.1002/jca.20061&lt;/url&gt;&lt;/related-urls&gt;&lt;/urls&gt;&lt;electronic-resource-num&gt;10.1002/jca.20061&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108" w:tooltip="Yeh, 2005 #81" w:history="1">
              <w:r w:rsidR="007D4948" w:rsidRPr="007D1918">
                <w:rPr>
                  <w:rFonts w:ascii="Arial Narrow" w:hAnsi="Arial Narrow"/>
                  <w:noProof/>
                  <w:sz w:val="20"/>
                  <w:szCs w:val="20"/>
                </w:rPr>
                <w:t>Yeh et al. 2005</w:t>
              </w:r>
            </w:hyperlink>
            <w:r w:rsidRPr="007D1918">
              <w:rPr>
                <w:rFonts w:ascii="Arial Narrow" w:hAnsi="Arial Narrow"/>
                <w:noProof/>
                <w:sz w:val="20"/>
                <w:szCs w:val="20"/>
              </w:rPr>
              <w:t>)</w:t>
            </w:r>
            <w:r w:rsidRPr="007D1918">
              <w:rPr>
                <w:rFonts w:ascii="Arial Narrow" w:hAnsi="Arial Narrow"/>
                <w:sz w:val="20"/>
                <w:szCs w:val="20"/>
              </w:rPr>
              <w:fldChar w:fldCharType="end"/>
            </w:r>
          </w:p>
        </w:tc>
      </w:tr>
    </w:tbl>
    <w:p w14:paraId="31BAE681" w14:textId="7C56A026" w:rsidR="008747C1" w:rsidRPr="007D1918" w:rsidRDefault="008747C1" w:rsidP="00AA6011">
      <w:pPr>
        <w:widowControl w:val="0"/>
        <w:spacing w:after="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PV = plasma volume; IVIg = Immunoglobulin; MG = myasthenia gravis; NBA = National Blood Authority; PE</w:t>
      </w:r>
      <w:r w:rsidR="00AA6011" w:rsidRPr="007D1918">
        <w:rPr>
          <w:rFonts w:ascii="Arial Narrow" w:hAnsi="Arial Narrow" w:cs="Arial"/>
          <w:snapToGrid w:val="0"/>
          <w:sz w:val="18"/>
          <w:szCs w:val="20"/>
          <w:lang w:eastAsia="en-US"/>
        </w:rPr>
        <w:t xml:space="preserve"> = plasma exchange</w:t>
      </w:r>
    </w:p>
    <w:p w14:paraId="3254DAB2" w14:textId="77777777" w:rsidR="00AA6011" w:rsidRPr="007D1918" w:rsidRDefault="00AA6011" w:rsidP="008747C1">
      <w:pPr>
        <w:widowControl w:val="0"/>
        <w:spacing w:after="360" w:line="240" w:lineRule="auto"/>
        <w:jc w:val="both"/>
        <w:rPr>
          <w:rFonts w:ascii="Arial Narrow" w:hAnsi="Arial Narrow" w:cs="Arial"/>
          <w:snapToGrid w:val="0"/>
          <w:sz w:val="18"/>
          <w:szCs w:val="20"/>
          <w:lang w:eastAsia="en-US"/>
        </w:rPr>
      </w:pPr>
    </w:p>
    <w:p w14:paraId="5B64B7A7" w14:textId="77777777" w:rsidR="008747C1" w:rsidRPr="007D1918" w:rsidRDefault="008747C1" w:rsidP="008747C1">
      <w:pPr>
        <w:rPr>
          <w:snapToGrid w:val="0"/>
          <w:lang w:eastAsia="en-US"/>
        </w:rPr>
      </w:pPr>
      <w:r w:rsidRPr="007D1918">
        <w:rPr>
          <w:snapToGrid w:val="0"/>
          <w:lang w:eastAsia="en-US"/>
        </w:rPr>
        <w:t xml:space="preserve">The clinical inputs specifically related to the analyses for Indication 3 are shown in </w:t>
      </w:r>
      <w:r w:rsidRPr="007D1918">
        <w:rPr>
          <w:snapToGrid w:val="0"/>
          <w:lang w:eastAsia="en-US"/>
        </w:rPr>
        <w:fldChar w:fldCharType="begin"/>
      </w:r>
      <w:r w:rsidRPr="007D1918">
        <w:rPr>
          <w:snapToGrid w:val="0"/>
          <w:lang w:eastAsia="en-US"/>
        </w:rPr>
        <w:instrText xml:space="preserve"> REF _Ref14361659 \h  \* MERGEFORMAT </w:instrText>
      </w:r>
      <w:r w:rsidRPr="007D1918">
        <w:rPr>
          <w:snapToGrid w:val="0"/>
          <w:lang w:eastAsia="en-US"/>
        </w:rPr>
      </w:r>
      <w:r w:rsidRPr="007D1918">
        <w:rPr>
          <w:snapToGrid w:val="0"/>
          <w:lang w:eastAsia="en-US"/>
        </w:rPr>
        <w:fldChar w:fldCharType="separate"/>
      </w:r>
      <w:r w:rsidR="00AA6011" w:rsidRPr="007D1918">
        <w:rPr>
          <w:snapToGrid w:val="0"/>
          <w:lang w:eastAsia="en-US"/>
        </w:rPr>
        <w:t>Table 69</w:t>
      </w:r>
      <w:r w:rsidRPr="007D1918">
        <w:rPr>
          <w:snapToGrid w:val="0"/>
          <w:lang w:eastAsia="en-US"/>
        </w:rPr>
        <w:fldChar w:fldCharType="end"/>
      </w:r>
      <w:r w:rsidRPr="007D1918">
        <w:rPr>
          <w:snapToGrid w:val="0"/>
          <w:lang w:eastAsia="en-US"/>
        </w:rPr>
        <w:t>.</w:t>
      </w:r>
    </w:p>
    <w:p w14:paraId="41E65DC1" w14:textId="77777777" w:rsidR="008747C1" w:rsidRPr="007D1918" w:rsidRDefault="008747C1" w:rsidP="008747C1">
      <w:pPr>
        <w:pStyle w:val="Caption"/>
      </w:pPr>
      <w:bookmarkStart w:id="404" w:name="_Ref14361659"/>
      <w:bookmarkStart w:id="405" w:name="_Toc15561974"/>
      <w:bookmarkStart w:id="406" w:name="_Toc23769556"/>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69</w:t>
      </w:r>
      <w:r w:rsidRPr="007D1918">
        <w:rPr>
          <w:noProof/>
        </w:rPr>
        <w:fldChar w:fldCharType="end"/>
      </w:r>
      <w:bookmarkEnd w:id="404"/>
      <w:r w:rsidRPr="007D1918">
        <w:t>: Therapy dose, duration and use-related inputs for Indication 3, ongoing management of refractory MG</w:t>
      </w:r>
      <w:bookmarkEnd w:id="405"/>
      <w:bookmarkEnd w:id="406"/>
      <w:r w:rsidRPr="007D1918">
        <w:t xml:space="preserve"> </w:t>
      </w:r>
    </w:p>
    <w:tbl>
      <w:tblPr>
        <w:tblStyle w:val="TableGrid"/>
        <w:tblW w:w="9067" w:type="dxa"/>
        <w:tblLayout w:type="fixed"/>
        <w:tblLook w:val="04A0" w:firstRow="1" w:lastRow="0" w:firstColumn="1" w:lastColumn="0" w:noHBand="0" w:noVBand="1"/>
        <w:tblCaption w:val="Table 69: Therapy dose, duration and use-related inputs for Indication 3, ongoing management of refractory MG "/>
      </w:tblPr>
      <w:tblGrid>
        <w:gridCol w:w="3114"/>
        <w:gridCol w:w="1984"/>
        <w:gridCol w:w="3969"/>
      </w:tblGrid>
      <w:tr w:rsidR="008747C1" w:rsidRPr="007D1918" w14:paraId="444F8EE7" w14:textId="77777777" w:rsidTr="00BD29C0">
        <w:trPr>
          <w:tblHeader/>
        </w:trPr>
        <w:tc>
          <w:tcPr>
            <w:tcW w:w="3114" w:type="dxa"/>
          </w:tcPr>
          <w:p w14:paraId="3DA79805"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Description</w:t>
            </w:r>
          </w:p>
        </w:tc>
        <w:tc>
          <w:tcPr>
            <w:tcW w:w="1984" w:type="dxa"/>
          </w:tcPr>
          <w:p w14:paraId="617FC8AA" w14:textId="77777777" w:rsidR="008747C1" w:rsidRPr="007D1918" w:rsidRDefault="008747C1"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Input value</w:t>
            </w:r>
          </w:p>
        </w:tc>
        <w:tc>
          <w:tcPr>
            <w:tcW w:w="3969" w:type="dxa"/>
          </w:tcPr>
          <w:p w14:paraId="7E41FB38" w14:textId="77777777" w:rsidR="008747C1" w:rsidRPr="007D1918" w:rsidRDefault="008747C1"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Source</w:t>
            </w:r>
          </w:p>
        </w:tc>
      </w:tr>
      <w:tr w:rsidR="008747C1" w:rsidRPr="007D1918" w14:paraId="29813F52" w14:textId="77777777" w:rsidTr="00153384">
        <w:tc>
          <w:tcPr>
            <w:tcW w:w="3114" w:type="dxa"/>
          </w:tcPr>
          <w:p w14:paraId="3B29FBA0"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Induction dose of IVIg for MG Indication 3, trial based</w:t>
            </w:r>
          </w:p>
        </w:tc>
        <w:tc>
          <w:tcPr>
            <w:tcW w:w="1984" w:type="dxa"/>
          </w:tcPr>
          <w:p w14:paraId="54A6FC72"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 g/kg for 2 days</w:t>
            </w:r>
          </w:p>
        </w:tc>
        <w:tc>
          <w:tcPr>
            <w:tcW w:w="3969" w:type="dxa"/>
          </w:tcPr>
          <w:p w14:paraId="252F7AA8" w14:textId="54F4A3DC"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Pr="007D1918">
              <w:rPr>
                <w:rFonts w:ascii="Cambria Math" w:hAnsi="Cambria Math" w:cs="Cambria Math"/>
                <w:sz w:val="20"/>
                <w:szCs w:val="20"/>
              </w:rPr>
              <w:instrText>‐</w:instrText>
            </w:r>
            <w:r w:rsidRPr="007D1918">
              <w:rPr>
                <w:rFonts w:ascii="Arial Narrow" w:hAnsi="Arial Narrow"/>
                <w:sz w:val="20"/>
                <w:szCs w:val="20"/>
              </w:rPr>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Pr="007D1918">
              <w:rPr>
                <w:rFonts w:ascii="Cambria Math" w:hAnsi="Cambria Math" w:cs="Cambria Math"/>
                <w:sz w:val="20"/>
                <w:szCs w:val="20"/>
              </w:rPr>
              <w:instrText>‐</w:instrText>
            </w:r>
            <w:r w:rsidRPr="007D1918">
              <w:rPr>
                <w:rFonts w:ascii="Arial Narrow" w:hAnsi="Arial Narrow"/>
                <w:sz w:val="20"/>
                <w:szCs w:val="20"/>
              </w:rPr>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Pr="007D1918">
              <w:rPr>
                <w:rFonts w:ascii="Cambria Math" w:hAnsi="Cambria Math" w:cs="Cambria Math"/>
                <w:sz w:val="20"/>
                <w:szCs w:val="20"/>
              </w:rPr>
              <w:instrText>‐</w:instrText>
            </w:r>
            <w:r w:rsidRPr="007D1918">
              <w:rPr>
                <w:rFonts w:ascii="Arial Narrow" w:hAnsi="Arial Narrow"/>
                <w:sz w:val="20"/>
                <w:szCs w:val="20"/>
              </w:rPr>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8" w:tooltip="Barth, 2011 #48" w:history="1">
              <w:r w:rsidR="007D4948" w:rsidRPr="007D1918">
                <w:rPr>
                  <w:rFonts w:ascii="Arial Narrow" w:hAnsi="Arial Narrow"/>
                  <w:noProof/>
                  <w:sz w:val="20"/>
                  <w:szCs w:val="20"/>
                </w:rPr>
                <w:t>Barth et al. 2011</w:t>
              </w:r>
            </w:hyperlink>
            <w:r w:rsidRPr="007D1918">
              <w:rPr>
                <w:rFonts w:ascii="Arial Narrow" w:hAnsi="Arial Narrow"/>
                <w:noProof/>
                <w:sz w:val="20"/>
                <w:szCs w:val="20"/>
              </w:rPr>
              <w:t>)</w:t>
            </w:r>
            <w:r w:rsidRPr="007D1918">
              <w:rPr>
                <w:rFonts w:ascii="Arial Narrow" w:hAnsi="Arial Narrow"/>
                <w:sz w:val="20"/>
                <w:szCs w:val="20"/>
              </w:rPr>
              <w:fldChar w:fldCharType="end"/>
            </w:r>
            <w:r w:rsidRPr="007D1918">
              <w:rPr>
                <w:rFonts w:ascii="Arial Narrow" w:hAnsi="Arial Narrow"/>
                <w:sz w:val="20"/>
                <w:szCs w:val="20"/>
              </w:rPr>
              <w:t xml:space="preserve"> and consistent with 1566 Ig MSAC Referral Form</w:t>
            </w:r>
          </w:p>
        </w:tc>
      </w:tr>
      <w:tr w:rsidR="008747C1" w:rsidRPr="007D1918" w14:paraId="2CD0B4EE" w14:textId="77777777" w:rsidTr="00153384">
        <w:tc>
          <w:tcPr>
            <w:tcW w:w="3114" w:type="dxa"/>
          </w:tcPr>
          <w:p w14:paraId="5E6700C8"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Maintenance dose range of IVIg for MG Indication 3, per protocol </w:t>
            </w:r>
          </w:p>
        </w:tc>
        <w:tc>
          <w:tcPr>
            <w:tcW w:w="1984" w:type="dxa"/>
          </w:tcPr>
          <w:p w14:paraId="3095EA40"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0.4-1</w:t>
            </w:r>
            <w:r w:rsidRPr="007D1918">
              <w:rPr>
                <w:rStyle w:val="TablecontentsChar"/>
              </w:rPr>
              <w:t> </w:t>
            </w:r>
            <w:r w:rsidRPr="007D1918">
              <w:rPr>
                <w:rFonts w:ascii="Arial Narrow" w:hAnsi="Arial Narrow"/>
                <w:sz w:val="20"/>
                <w:szCs w:val="20"/>
              </w:rPr>
              <w:t>g/kg</w:t>
            </w:r>
            <w:r w:rsidRPr="007D1918">
              <w:rPr>
                <w:rFonts w:ascii="Arial Narrow" w:hAnsi="Arial Narrow"/>
                <w:sz w:val="20"/>
                <w:szCs w:val="20"/>
              </w:rPr>
              <w:br/>
              <w:t>(= 32g-81g)</w:t>
            </w:r>
          </w:p>
        </w:tc>
        <w:tc>
          <w:tcPr>
            <w:tcW w:w="3969" w:type="dxa"/>
          </w:tcPr>
          <w:p w14:paraId="02485AD1"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1566 Ig MSAC Referral Form recommended</w:t>
            </w:r>
          </w:p>
        </w:tc>
      </w:tr>
      <w:tr w:rsidR="008747C1" w:rsidRPr="007D1918" w14:paraId="5C99B40B" w14:textId="77777777" w:rsidTr="00153384">
        <w:tc>
          <w:tcPr>
            <w:tcW w:w="3114" w:type="dxa"/>
          </w:tcPr>
          <w:p w14:paraId="5DB9E05C" w14:textId="0BDF100A"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Maintenance </w:t>
            </w:r>
            <w:r w:rsidR="00DB69D2" w:rsidRPr="007D1918">
              <w:rPr>
                <w:rFonts w:ascii="Arial Narrow" w:hAnsi="Arial Narrow"/>
                <w:sz w:val="20"/>
                <w:szCs w:val="20"/>
              </w:rPr>
              <w:t xml:space="preserve">IVIg </w:t>
            </w:r>
            <w:r w:rsidRPr="007D1918">
              <w:rPr>
                <w:rFonts w:ascii="Arial Narrow" w:hAnsi="Arial Narrow"/>
                <w:sz w:val="20"/>
                <w:szCs w:val="20"/>
              </w:rPr>
              <w:t>dosing interval (administrations per year) per protocol</w:t>
            </w:r>
          </w:p>
        </w:tc>
        <w:tc>
          <w:tcPr>
            <w:tcW w:w="1984" w:type="dxa"/>
          </w:tcPr>
          <w:p w14:paraId="3EE1085B"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4-6 weekly</w:t>
            </w:r>
            <w:r w:rsidRPr="007D1918">
              <w:rPr>
                <w:rFonts w:ascii="Arial Narrow" w:hAnsi="Arial Narrow"/>
                <w:sz w:val="20"/>
                <w:szCs w:val="20"/>
              </w:rPr>
              <w:br/>
              <w:t>(9-13 admin. p.a.)</w:t>
            </w:r>
          </w:p>
        </w:tc>
        <w:tc>
          <w:tcPr>
            <w:tcW w:w="3969" w:type="dxa"/>
          </w:tcPr>
          <w:p w14:paraId="5A0A6A37"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1566 Ig MSAC Referral Form recommended</w:t>
            </w:r>
          </w:p>
        </w:tc>
      </w:tr>
      <w:tr w:rsidR="008747C1" w:rsidRPr="007D1918" w14:paraId="3F110DAC" w14:textId="77777777" w:rsidTr="00153384">
        <w:tc>
          <w:tcPr>
            <w:tcW w:w="3114" w:type="dxa"/>
          </w:tcPr>
          <w:p w14:paraId="0F9CF1B3"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Dose of IVIg for MG Indication 3 (Usage derived estimate) </w:t>
            </w:r>
          </w:p>
        </w:tc>
        <w:tc>
          <w:tcPr>
            <w:tcW w:w="1984" w:type="dxa"/>
          </w:tcPr>
          <w:p w14:paraId="12F1227E"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 xml:space="preserve">492g annually </w:t>
            </w:r>
          </w:p>
          <w:p w14:paraId="47C4F3AB"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(=6.07 g/kg annually)</w:t>
            </w:r>
          </w:p>
        </w:tc>
        <w:tc>
          <w:tcPr>
            <w:tcW w:w="3969" w:type="dxa"/>
          </w:tcPr>
          <w:p w14:paraId="69C4D44A" w14:textId="2760F571" w:rsidR="008747C1" w:rsidRPr="007D1918" w:rsidRDefault="008747C1" w:rsidP="00077D4B">
            <w:pPr>
              <w:spacing w:before="40" w:after="40" w:line="240" w:lineRule="auto"/>
              <w:ind w:left="0"/>
              <w:rPr>
                <w:rFonts w:ascii="Arial Narrow" w:hAnsi="Arial Narrow"/>
                <w:sz w:val="20"/>
                <w:szCs w:val="20"/>
              </w:rPr>
            </w:pPr>
            <w:r w:rsidRPr="007D1918">
              <w:rPr>
                <w:rFonts w:ascii="Arial Narrow" w:hAnsi="Arial Narrow"/>
                <w:sz w:val="20"/>
                <w:szCs w:val="20"/>
              </w:rPr>
              <w:t xml:space="preserve">'HTA Data April2019.xlsx' workbook provided by the </w:t>
            </w:r>
            <w:r w:rsidR="00077D4B" w:rsidRPr="007D1918">
              <w:rPr>
                <w:rFonts w:ascii="Arial Narrow" w:hAnsi="Arial Narrow"/>
                <w:sz w:val="20"/>
                <w:szCs w:val="20"/>
              </w:rPr>
              <w:t>NBA</w:t>
            </w:r>
          </w:p>
        </w:tc>
      </w:tr>
      <w:tr w:rsidR="008747C1" w:rsidRPr="007D1918" w14:paraId="5A7AAE9B" w14:textId="77777777" w:rsidTr="00153384">
        <w:tc>
          <w:tcPr>
            <w:tcW w:w="3114" w:type="dxa"/>
          </w:tcPr>
          <w:p w14:paraId="0C4663D1" w14:textId="2118B779" w:rsidR="008747C1" w:rsidRPr="007D1918" w:rsidRDefault="008747C1" w:rsidP="009978AE">
            <w:pPr>
              <w:spacing w:before="40" w:after="40" w:line="240" w:lineRule="auto"/>
              <w:ind w:left="0"/>
              <w:rPr>
                <w:rFonts w:ascii="Arial Narrow" w:hAnsi="Arial Narrow"/>
                <w:sz w:val="20"/>
                <w:szCs w:val="20"/>
              </w:rPr>
            </w:pPr>
            <w:r w:rsidRPr="007D1918">
              <w:rPr>
                <w:rFonts w:ascii="Arial Narrow" w:hAnsi="Arial Narrow"/>
                <w:sz w:val="20"/>
                <w:szCs w:val="20"/>
              </w:rPr>
              <w:t xml:space="preserve">Initial/induction PE for refractory </w:t>
            </w:r>
            <w:r w:rsidR="009978AE" w:rsidRPr="007D1918">
              <w:rPr>
                <w:rFonts w:ascii="Arial Narrow" w:hAnsi="Arial Narrow"/>
                <w:sz w:val="20"/>
                <w:szCs w:val="20"/>
              </w:rPr>
              <w:t>Indication</w:t>
            </w:r>
            <w:r w:rsidRPr="007D1918">
              <w:rPr>
                <w:rFonts w:ascii="Arial Narrow" w:hAnsi="Arial Narrow"/>
                <w:sz w:val="20"/>
                <w:szCs w:val="20"/>
              </w:rPr>
              <w:t xml:space="preserve"> 3 MG</w:t>
            </w:r>
          </w:p>
        </w:tc>
        <w:tc>
          <w:tcPr>
            <w:tcW w:w="1984" w:type="dxa"/>
          </w:tcPr>
          <w:p w14:paraId="037004B9"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5 exchanges</w:t>
            </w:r>
            <w:r w:rsidRPr="007D1918">
              <w:rPr>
                <w:rFonts w:ascii="Arial Narrow" w:hAnsi="Arial Narrow"/>
                <w:sz w:val="20"/>
                <w:szCs w:val="20"/>
              </w:rPr>
              <w:br/>
              <w:t xml:space="preserve">over 2 weeks </w:t>
            </w:r>
          </w:p>
        </w:tc>
        <w:tc>
          <w:tcPr>
            <w:tcW w:w="3969" w:type="dxa"/>
          </w:tcPr>
          <w:p w14:paraId="7B71DEBB" w14:textId="609B96C3" w:rsidR="008747C1" w:rsidRPr="007D1918" w:rsidRDefault="008747C1" w:rsidP="007D4948">
            <w:pPr>
              <w:pStyle w:val="Tablecontents"/>
              <w:ind w:left="0"/>
              <w:rPr>
                <w:rStyle w:val="Hyperlink"/>
              </w:rPr>
            </w:pPr>
            <w:r w:rsidRPr="007D1918">
              <w:fldChar w:fldCharType="begin"/>
            </w:r>
            <w:r w:rsidRPr="007D1918">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Pr="007D1918">
              <w:rPr>
                <w:rFonts w:ascii="Cambria Math" w:hAnsi="Cambria Math" w:cs="Cambria Math"/>
              </w:rPr>
              <w:instrText>‐</w:instrText>
            </w:r>
            <w:r w:rsidRPr="007D1918">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Pr="007D1918">
              <w:rPr>
                <w:rFonts w:ascii="Cambria Math" w:hAnsi="Cambria Math" w:cs="Cambria Math"/>
              </w:rPr>
              <w:instrText>‐</w:instrText>
            </w:r>
            <w:r w:rsidRPr="007D1918">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Pr="007D1918">
              <w:rPr>
                <w:rFonts w:ascii="Cambria Math" w:hAnsi="Cambria Math" w:cs="Cambria Math"/>
              </w:rPr>
              <w:instrText>‐</w:instrText>
            </w:r>
            <w:r w:rsidRPr="007D1918">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fldChar w:fldCharType="separate"/>
            </w:r>
            <w:r w:rsidRPr="007D1918">
              <w:rPr>
                <w:noProof/>
              </w:rPr>
              <w:t>(</w:t>
            </w:r>
            <w:hyperlink w:anchor="_ENREF_8" w:tooltip="Barth, 2011 #48" w:history="1">
              <w:r w:rsidR="007D4948" w:rsidRPr="007D1918">
                <w:rPr>
                  <w:noProof/>
                </w:rPr>
                <w:t>Barth et al. 2011</w:t>
              </w:r>
            </w:hyperlink>
            <w:r w:rsidRPr="007D1918">
              <w:rPr>
                <w:noProof/>
              </w:rPr>
              <w:t>)</w:t>
            </w:r>
            <w:r w:rsidRPr="007D1918">
              <w:fldChar w:fldCharType="end"/>
            </w:r>
          </w:p>
        </w:tc>
      </w:tr>
      <w:tr w:rsidR="008747C1" w:rsidRPr="007D1918" w14:paraId="1258AF74" w14:textId="77777777" w:rsidTr="00153384">
        <w:tc>
          <w:tcPr>
            <w:tcW w:w="3114" w:type="dxa"/>
          </w:tcPr>
          <w:p w14:paraId="2F89681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PE (Albumin 4%) volume per exchange </w:t>
            </w:r>
          </w:p>
        </w:tc>
        <w:tc>
          <w:tcPr>
            <w:tcW w:w="1984" w:type="dxa"/>
          </w:tcPr>
          <w:p w14:paraId="456C31BF"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 L</w:t>
            </w:r>
          </w:p>
        </w:tc>
        <w:tc>
          <w:tcPr>
            <w:tcW w:w="3969" w:type="dxa"/>
          </w:tcPr>
          <w:p w14:paraId="62BD46F9" w14:textId="5D38066A" w:rsidR="008747C1" w:rsidRPr="007D1918" w:rsidRDefault="002814BF" w:rsidP="00153384">
            <w:pPr>
              <w:spacing w:before="40" w:after="40" w:line="240" w:lineRule="auto"/>
              <w:ind w:left="0"/>
              <w:rPr>
                <w:rFonts w:ascii="Arial Narrow" w:hAnsi="Arial Narrow"/>
                <w:sz w:val="20"/>
                <w:szCs w:val="20"/>
              </w:rPr>
            </w:pPr>
            <w:hyperlink r:id="rId59" w:tooltip="Website link" w:history="1">
              <w:r w:rsidR="008747C1" w:rsidRPr="007D1918">
                <w:rPr>
                  <w:rStyle w:val="Hyperlink"/>
                  <w:rFonts w:ascii="Arial Narrow" w:hAnsi="Arial Narrow"/>
                  <w:sz w:val="20"/>
                  <w:szCs w:val="20"/>
                </w:rPr>
                <w:t>https://www.mydr.com.au/seniors-health/myasthenia-gravis</w:t>
              </w:r>
            </w:hyperlink>
            <w:r w:rsidR="008747C1" w:rsidRPr="007D1918">
              <w:rPr>
                <w:rFonts w:ascii="Arial Narrow" w:hAnsi="Arial Narrow"/>
                <w:sz w:val="20"/>
                <w:szCs w:val="20"/>
              </w:rPr>
              <w:t xml:space="preserve"> </w:t>
            </w:r>
          </w:p>
        </w:tc>
      </w:tr>
      <w:tr w:rsidR="008747C1" w:rsidRPr="007D1918" w14:paraId="0F98ED82" w14:textId="77777777" w:rsidTr="00153384">
        <w:tc>
          <w:tcPr>
            <w:tcW w:w="3114" w:type="dxa"/>
          </w:tcPr>
          <w:p w14:paraId="6F4FA551" w14:textId="020B5632" w:rsidR="005671FB" w:rsidRPr="007D1918" w:rsidRDefault="008747C1" w:rsidP="00057768">
            <w:pPr>
              <w:spacing w:before="40" w:after="40" w:line="240" w:lineRule="auto"/>
              <w:ind w:left="736" w:hanging="736"/>
              <w:rPr>
                <w:rFonts w:ascii="Arial Narrow" w:hAnsi="Arial Narrow"/>
                <w:sz w:val="20"/>
                <w:szCs w:val="20"/>
              </w:rPr>
            </w:pPr>
            <w:r w:rsidRPr="007D1918">
              <w:rPr>
                <w:rFonts w:ascii="Arial Narrow" w:hAnsi="Arial Narrow"/>
                <w:sz w:val="20"/>
                <w:szCs w:val="20"/>
              </w:rPr>
              <w:t>Maintenance PE exchange frequency</w:t>
            </w:r>
            <w:r w:rsidR="005671FB" w:rsidRPr="007D1918">
              <w:rPr>
                <w:rFonts w:ascii="Arial Narrow" w:hAnsi="Arial Narrow"/>
                <w:sz w:val="20"/>
                <w:szCs w:val="20"/>
              </w:rPr>
              <w:t>:</w:t>
            </w:r>
            <w:r w:rsidR="00057768">
              <w:rPr>
                <w:rFonts w:ascii="Arial Narrow" w:hAnsi="Arial Narrow"/>
                <w:sz w:val="20"/>
                <w:szCs w:val="20"/>
              </w:rPr>
              <w:br/>
            </w:r>
            <w:r w:rsidR="005671FB" w:rsidRPr="007D1918">
              <w:rPr>
                <w:rFonts w:ascii="Arial Narrow" w:hAnsi="Arial Narrow"/>
                <w:sz w:val="20"/>
                <w:szCs w:val="20"/>
              </w:rPr>
              <w:t>high intensity regimen</w:t>
            </w:r>
            <w:r w:rsidR="00057768">
              <w:rPr>
                <w:rFonts w:ascii="Arial Narrow" w:hAnsi="Arial Narrow"/>
                <w:sz w:val="20"/>
                <w:szCs w:val="20"/>
              </w:rPr>
              <w:br/>
            </w:r>
            <w:r w:rsidR="005671FB" w:rsidRPr="007D1918">
              <w:rPr>
                <w:rFonts w:ascii="Arial Narrow" w:hAnsi="Arial Narrow"/>
                <w:sz w:val="20"/>
                <w:szCs w:val="20"/>
              </w:rPr>
              <w:t>low intensity regimen</w:t>
            </w:r>
          </w:p>
        </w:tc>
        <w:tc>
          <w:tcPr>
            <w:tcW w:w="1984" w:type="dxa"/>
          </w:tcPr>
          <w:p w14:paraId="5D860CC2" w14:textId="5D95EA70" w:rsidR="008747C1" w:rsidRPr="007D1918" w:rsidRDefault="005671FB" w:rsidP="005671FB">
            <w:pPr>
              <w:spacing w:before="40" w:after="40" w:line="240" w:lineRule="auto"/>
              <w:ind w:left="0"/>
              <w:jc w:val="center"/>
              <w:rPr>
                <w:rFonts w:ascii="Arial Narrow" w:hAnsi="Arial Narrow"/>
                <w:sz w:val="20"/>
                <w:szCs w:val="20"/>
              </w:rPr>
            </w:pPr>
            <w:r w:rsidRPr="007D1918">
              <w:rPr>
                <w:rFonts w:ascii="Arial Narrow" w:hAnsi="Arial Narrow"/>
                <w:sz w:val="20"/>
                <w:szCs w:val="20"/>
              </w:rPr>
              <w:br/>
              <w:t>1 exchange weekly</w:t>
            </w:r>
            <w:r w:rsidRPr="007D1918">
              <w:rPr>
                <w:rFonts w:ascii="Arial Narrow" w:hAnsi="Arial Narrow"/>
                <w:sz w:val="20"/>
                <w:szCs w:val="20"/>
              </w:rPr>
              <w:br/>
              <w:t xml:space="preserve">1 exchange 4 </w:t>
            </w:r>
            <w:r w:rsidR="008747C1" w:rsidRPr="007D1918">
              <w:rPr>
                <w:rFonts w:ascii="Arial Narrow" w:hAnsi="Arial Narrow"/>
                <w:sz w:val="20"/>
                <w:szCs w:val="20"/>
              </w:rPr>
              <w:t>week</w:t>
            </w:r>
            <w:r w:rsidRPr="007D1918">
              <w:rPr>
                <w:rFonts w:ascii="Arial Narrow" w:hAnsi="Arial Narrow"/>
                <w:sz w:val="20"/>
                <w:szCs w:val="20"/>
              </w:rPr>
              <w:t>ly</w:t>
            </w:r>
          </w:p>
        </w:tc>
        <w:tc>
          <w:tcPr>
            <w:tcW w:w="3969" w:type="dxa"/>
          </w:tcPr>
          <w:p w14:paraId="7AA463E3" w14:textId="01A94404" w:rsidR="008747C1" w:rsidRPr="007D1918" w:rsidRDefault="005671FB" w:rsidP="007D4948">
            <w:pPr>
              <w:spacing w:before="40" w:after="40" w:line="240" w:lineRule="auto"/>
              <w:ind w:left="0"/>
              <w:rPr>
                <w:rFonts w:ascii="Arial Narrow" w:hAnsi="Arial Narrow"/>
                <w:sz w:val="20"/>
                <w:szCs w:val="20"/>
              </w:rPr>
            </w:pPr>
            <w:r w:rsidRPr="007D1918">
              <w:rPr>
                <w:rFonts w:ascii="Arial Narrow" w:hAnsi="Arial Narrow"/>
                <w:sz w:val="20"/>
                <w:szCs w:val="20"/>
              </w:rPr>
              <w:t>Clinical advice</w:t>
            </w:r>
            <w:r w:rsidR="0014448E" w:rsidRPr="007D1918">
              <w:rPr>
                <w:rFonts w:ascii="Arial Narrow" w:hAnsi="Arial Narrow"/>
                <w:sz w:val="20"/>
                <w:szCs w:val="20"/>
                <w:vertAlign w:val="superscript"/>
              </w:rPr>
              <w:t>1</w:t>
            </w:r>
            <w:r w:rsidR="00942701" w:rsidRPr="007D1918">
              <w:rPr>
                <w:rFonts w:ascii="Arial Narrow" w:hAnsi="Arial Narrow"/>
                <w:sz w:val="20"/>
                <w:szCs w:val="20"/>
              </w:rPr>
              <w:t>, consistent with range reported across multiple literature sources</w:t>
            </w:r>
            <w:r w:rsidRPr="007D1918">
              <w:rPr>
                <w:rFonts w:ascii="Arial Narrow" w:hAnsi="Arial Narrow"/>
                <w:sz w:val="20"/>
                <w:szCs w:val="20"/>
              </w:rPr>
              <w:t xml:space="preserve"> </w:t>
            </w:r>
            <w:r w:rsidR="007D4948" w:rsidRPr="007D1918">
              <w:rPr>
                <w:rFonts w:ascii="Arial Narrow" w:hAnsi="Arial Narrow"/>
                <w:sz w:val="20"/>
                <w:szCs w:val="20"/>
              </w:rPr>
              <w:fldChar w:fldCharType="begin">
                <w:fldData xml:space="preserve">PEVuZE5vdGU+PENpdGU+PEF1dGhvcj5XYWxpIEE8L0F1dGhvcj48WWVhcj4yMDE3PC9ZZWFyPjxS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</w:fldData>
              </w:fldChar>
            </w:r>
            <w:r w:rsidR="007D4948" w:rsidRPr="007D1918">
              <w:rPr>
                <w:rFonts w:ascii="Arial Narrow" w:hAnsi="Arial Narrow"/>
                <w:sz w:val="20"/>
                <w:szCs w:val="20"/>
              </w:rPr>
              <w:instrText xml:space="preserve"> ADDIN EN.CITE </w:instrText>
            </w:r>
            <w:r w:rsidR="007D4948" w:rsidRPr="007D1918">
              <w:rPr>
                <w:rFonts w:ascii="Arial Narrow" w:hAnsi="Arial Narrow"/>
                <w:sz w:val="20"/>
                <w:szCs w:val="20"/>
              </w:rPr>
              <w:fldChar w:fldCharType="begin">
                <w:fldData xml:space="preserve">PEVuZE5vdGU+PENpdGU+PEF1dGhvcj5XYWxpIEE8L0F1dGhvcj48WWVhcj4yMDE3PC9ZZWFyPjxS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</w:fldData>
              </w:fldChar>
            </w:r>
            <w:r w:rsidR="007D4948" w:rsidRPr="007D1918">
              <w:rPr>
                <w:rFonts w:ascii="Arial Narrow" w:hAnsi="Arial Narrow"/>
                <w:sz w:val="20"/>
                <w:szCs w:val="20"/>
              </w:rPr>
              <w:instrText xml:space="preserve"> ADDIN EN.CITE.DATA </w:instrText>
            </w:r>
            <w:r w:rsidR="007D4948" w:rsidRPr="007D1918">
              <w:rPr>
                <w:rFonts w:ascii="Arial Narrow" w:hAnsi="Arial Narrow"/>
                <w:sz w:val="20"/>
                <w:szCs w:val="20"/>
              </w:rPr>
            </w:r>
            <w:r w:rsidR="007D4948" w:rsidRPr="007D1918">
              <w:rPr>
                <w:rFonts w:ascii="Arial Narrow" w:hAnsi="Arial Narrow"/>
                <w:sz w:val="20"/>
                <w:szCs w:val="20"/>
              </w:rPr>
              <w:fldChar w:fldCharType="end"/>
            </w:r>
            <w:r w:rsidR="007D4948" w:rsidRPr="007D1918">
              <w:rPr>
                <w:rFonts w:ascii="Arial Narrow" w:hAnsi="Arial Narrow"/>
                <w:sz w:val="20"/>
                <w:szCs w:val="20"/>
              </w:rPr>
            </w:r>
            <w:r w:rsidR="007D4948" w:rsidRPr="007D1918">
              <w:rPr>
                <w:rFonts w:ascii="Arial Narrow" w:hAnsi="Arial Narrow"/>
                <w:sz w:val="20"/>
                <w:szCs w:val="20"/>
              </w:rPr>
              <w:fldChar w:fldCharType="separate"/>
            </w:r>
            <w:r w:rsidR="007D4948" w:rsidRPr="007D1918">
              <w:rPr>
                <w:rFonts w:ascii="Arial Narrow" w:hAnsi="Arial Narrow"/>
                <w:noProof/>
                <w:sz w:val="20"/>
                <w:szCs w:val="20"/>
              </w:rPr>
              <w:t>(</w:t>
            </w:r>
            <w:hyperlink w:anchor="_ENREF_103" w:tooltip="Wali A, 2017 #76" w:history="1">
              <w:r w:rsidR="007D4948" w:rsidRPr="007D1918">
                <w:rPr>
                  <w:rFonts w:ascii="Arial Narrow" w:hAnsi="Arial Narrow"/>
                  <w:noProof/>
                  <w:sz w:val="20"/>
                  <w:szCs w:val="20"/>
                </w:rPr>
                <w:t>Wali A 2017</w:t>
              </w:r>
            </w:hyperlink>
            <w:r w:rsidR="007D4948" w:rsidRPr="007D1918">
              <w:rPr>
                <w:rFonts w:ascii="Arial Narrow" w:hAnsi="Arial Narrow"/>
                <w:noProof/>
                <w:sz w:val="20"/>
                <w:szCs w:val="20"/>
              </w:rPr>
              <w:t xml:space="preserve">; </w:t>
            </w:r>
            <w:hyperlink w:anchor="_ENREF_107" w:tooltip="Yamada, 2015 #82" w:history="1">
              <w:r w:rsidR="007D4948" w:rsidRPr="007D1918">
                <w:rPr>
                  <w:rFonts w:ascii="Arial Narrow" w:hAnsi="Arial Narrow"/>
                  <w:noProof/>
                  <w:sz w:val="20"/>
                  <w:szCs w:val="20"/>
                </w:rPr>
                <w:t>Yamada et al. 2015</w:t>
              </w:r>
            </w:hyperlink>
            <w:r w:rsidR="007D4948" w:rsidRPr="007D1918">
              <w:rPr>
                <w:rFonts w:ascii="Arial Narrow" w:hAnsi="Arial Narrow"/>
                <w:noProof/>
                <w:sz w:val="20"/>
                <w:szCs w:val="20"/>
              </w:rPr>
              <w:t>)</w:t>
            </w:r>
            <w:r w:rsidR="007D4948" w:rsidRPr="007D1918">
              <w:rPr>
                <w:rFonts w:ascii="Arial Narrow" w:hAnsi="Arial Narrow"/>
                <w:sz w:val="20"/>
                <w:szCs w:val="20"/>
              </w:rPr>
              <w:fldChar w:fldCharType="end"/>
            </w:r>
          </w:p>
        </w:tc>
      </w:tr>
      <w:tr w:rsidR="008747C1" w:rsidRPr="007D1918" w14:paraId="5E3AF1B5" w14:textId="77777777" w:rsidTr="00153384">
        <w:tc>
          <w:tcPr>
            <w:tcW w:w="3114" w:type="dxa"/>
          </w:tcPr>
          <w:p w14:paraId="78DC5962"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Pyridostigmine oral</w:t>
            </w:r>
          </w:p>
        </w:tc>
        <w:tc>
          <w:tcPr>
            <w:tcW w:w="1984" w:type="dxa"/>
          </w:tcPr>
          <w:p w14:paraId="385DF78B"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360 mg daily</w:t>
            </w:r>
          </w:p>
        </w:tc>
        <w:tc>
          <w:tcPr>
            <w:tcW w:w="3969" w:type="dxa"/>
          </w:tcPr>
          <w:p w14:paraId="07EE5B8D"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Mestinon® Product Information</w:t>
            </w:r>
          </w:p>
        </w:tc>
      </w:tr>
      <w:tr w:rsidR="008747C1" w:rsidRPr="007D1918" w14:paraId="2F628AD7" w14:textId="77777777" w:rsidTr="00153384">
        <w:tc>
          <w:tcPr>
            <w:tcW w:w="3114" w:type="dxa"/>
          </w:tcPr>
          <w:p w14:paraId="1657A385"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Prednisolone oral </w:t>
            </w:r>
          </w:p>
        </w:tc>
        <w:tc>
          <w:tcPr>
            <w:tcW w:w="1984" w:type="dxa"/>
          </w:tcPr>
          <w:p w14:paraId="3B28D4F9"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50 mg daily</w:t>
            </w:r>
          </w:p>
        </w:tc>
        <w:tc>
          <w:tcPr>
            <w:tcW w:w="3969" w:type="dxa"/>
          </w:tcPr>
          <w:p w14:paraId="287F1C04" w14:textId="395DE52C"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007F4CDE" w:rsidRPr="007D1918">
              <w:rPr>
                <w:rFonts w:ascii="Arial Narrow" w:hAnsi="Arial Narrow"/>
                <w:sz w:val="20"/>
                <w:szCs w:val="20"/>
              </w:rPr>
              <w:instrText xml:space="preserve"> ADDIN EN.CITE &lt;EndNote&gt;&lt;Cite&gt;&lt;Author&gt;Drugs &amp;amp; Therapy Perspectives&lt;/Author&gt;&lt;Year&gt;2001&lt;/Year&gt;&lt;RecNum&gt;69&lt;/RecNum&gt;&lt;DisplayText&gt;(Drugs &amp;amp; Therapy Perspectives 2001)&lt;/DisplayText&gt;&lt;record&gt;&lt;rec-number&gt;69&lt;/rec-number&gt;&lt;foreign-keys&gt;&lt;key app="EN" db-id="2aevrx2slsts5ve9sdavatf125dsx0av2v9d" timestamp="1563282047"&gt;69&lt;/key&gt;&lt;/foreign-keys&gt;&lt;ref-type name="Journal Article"&gt;17&lt;/ref-type&gt;&lt;contributors&gt;&lt;authors&gt;&lt;author&gt;Drugs &amp;amp; Therapy Perspectives, &lt;/author&gt;&lt;/authors&gt;&lt;/contributors&gt;&lt;titles&gt;&lt;title&gt;Treatment alternatives in the successful management of myasthenia gravis&lt;/title&gt;&lt;secondary-title&gt;Drugs &amp;amp; Therapy Perspectives&lt;/secondary-title&gt;&lt;/titles&gt;&lt;periodical&gt;&lt;full-title&gt;Drugs &amp;amp; Therapy Perspectives&lt;/full-title&gt;&lt;/periodical&gt;&lt;pages&gt;12-15&lt;/pages&gt;&lt;volume&gt;17&lt;/volume&gt;&lt;number&gt;21&lt;/number&gt;&lt;keywords&gt;&lt;keyword&gt;Pharmacy&lt;/keyword&gt;&lt;keyword&gt;Pharmacotherapy&lt;/keyword&gt;&lt;keyword&gt;Pharmacy, Therapeutics, &amp;amp; Pharmacology&lt;/keyword&gt;&lt;/keywords&gt;&lt;dates&gt;&lt;year&gt;2001&lt;/year&gt;&lt;/dates&gt;&lt;pub-location&gt;Adis International, USA&lt;/pub-location&gt;&lt;isbn&gt;1172-0360&lt;/isbn&gt;&lt;urls&gt;&lt;related-urls&gt;&lt;url&gt;&lt;style face="underline" font="default" size="100%"&gt;https://www.medscape.com/viewarticle/434482_5&lt;/style&gt;&lt;/url&gt;&lt;url&gt;&lt;style face="underline" font="default" size="100%"&gt;https://link.springer.com/content/pdf/10.2165%2F00042310-200117210-00004.pdf&lt;/style&gt;&lt;/url&gt;&lt;/related-urls&gt;&lt;/urls&gt;&lt;electronic-resource-num&gt;10.2165/00042310-200117210-00004&lt;/electronic-resource-num&gt;&lt;remote-database-name&gt;Medscape&lt;/remote-database-name&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2" w:tooltip="Drugs &amp; Therapy Perspectives, 2001 #69" w:history="1">
              <w:r w:rsidR="007D4948" w:rsidRPr="007D1918">
                <w:rPr>
                  <w:rFonts w:ascii="Arial Narrow" w:hAnsi="Arial Narrow"/>
                  <w:noProof/>
                  <w:sz w:val="20"/>
                  <w:szCs w:val="20"/>
                </w:rPr>
                <w:t>Drugs &amp; Therapy Perspectives 2001</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0349DC32" w14:textId="77777777" w:rsidTr="00153384">
        <w:tc>
          <w:tcPr>
            <w:tcW w:w="3114" w:type="dxa"/>
          </w:tcPr>
          <w:p w14:paraId="72751539"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Azathioprine oral</w:t>
            </w:r>
          </w:p>
        </w:tc>
        <w:tc>
          <w:tcPr>
            <w:tcW w:w="1984" w:type="dxa"/>
          </w:tcPr>
          <w:p w14:paraId="10BC119D"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 mg/kg/day</w:t>
            </w:r>
          </w:p>
        </w:tc>
        <w:tc>
          <w:tcPr>
            <w:tcW w:w="3969" w:type="dxa"/>
          </w:tcPr>
          <w:p w14:paraId="19FC68B6" w14:textId="304BB4C2"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007F4CDE" w:rsidRPr="007D1918">
              <w:rPr>
                <w:rFonts w:ascii="Arial Narrow" w:hAnsi="Arial Narrow"/>
                <w:sz w:val="20"/>
                <w:szCs w:val="20"/>
              </w:rPr>
              <w:instrText xml:space="preserve"> ADDIN EN.CITE &lt;EndNote&gt;&lt;Cite&gt;&lt;Author&gt;Drugs &amp;amp; Therapy Perspectives&lt;/Author&gt;&lt;Year&gt;2001&lt;/Year&gt;&lt;RecNum&gt;69&lt;/RecNum&gt;&lt;DisplayText&gt;(Drugs &amp;amp; Therapy Perspectives 2001)&lt;/DisplayText&gt;&lt;record&gt;&lt;rec-number&gt;69&lt;/rec-number&gt;&lt;foreign-keys&gt;&lt;key app="EN" db-id="2aevrx2slsts5ve9sdavatf125dsx0av2v9d" timestamp="1563282047"&gt;69&lt;/key&gt;&lt;/foreign-keys&gt;&lt;ref-type name="Journal Article"&gt;17&lt;/ref-type&gt;&lt;contributors&gt;&lt;authors&gt;&lt;author&gt;Drugs &amp;amp; Therapy Perspectives, &lt;/author&gt;&lt;/authors&gt;&lt;/contributors&gt;&lt;titles&gt;&lt;title&gt;Treatment alternatives in the successful management of myasthenia gravis&lt;/title&gt;&lt;secondary-title&gt;Drugs &amp;amp; Therapy Perspectives&lt;/secondary-title&gt;&lt;/titles&gt;&lt;periodical&gt;&lt;full-title&gt;Drugs &amp;amp; Therapy Perspectives&lt;/full-title&gt;&lt;/periodical&gt;&lt;pages&gt;12-15&lt;/pages&gt;&lt;volume&gt;17&lt;/volume&gt;&lt;number&gt;21&lt;/number&gt;&lt;keywords&gt;&lt;keyword&gt;Pharmacy&lt;/keyword&gt;&lt;keyword&gt;Pharmacotherapy&lt;/keyword&gt;&lt;keyword&gt;Pharmacy, Therapeutics, &amp;amp; Pharmacology&lt;/keyword&gt;&lt;/keywords&gt;&lt;dates&gt;&lt;year&gt;2001&lt;/year&gt;&lt;/dates&gt;&lt;pub-location&gt;Adis International, USA&lt;/pub-location&gt;&lt;isbn&gt;1172-0360&lt;/isbn&gt;&lt;urls&gt;&lt;related-urls&gt;&lt;url&gt;&lt;style face="underline" font="default" size="100%"&gt;https://www.medscape.com/viewarticle/434482_5&lt;/style&gt;&lt;/url&gt;&lt;url&gt;&lt;style face="underline" font="default" size="100%"&gt;https://link.springer.com/content/pdf/10.2165%2F00042310-200117210-00004.pdf&lt;/style&gt;&lt;/url&gt;&lt;/related-urls&gt;&lt;/urls&gt;&lt;electronic-resource-num&gt;10.2165/00042310-200117210-00004&lt;/electronic-resource-num&gt;&lt;remote-database-name&gt;Medscape&lt;/remote-database-name&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2" w:tooltip="Drugs &amp; Therapy Perspectives, 2001 #69" w:history="1">
              <w:r w:rsidR="007D4948" w:rsidRPr="007D1918">
                <w:rPr>
                  <w:rFonts w:ascii="Arial Narrow" w:hAnsi="Arial Narrow"/>
                  <w:noProof/>
                  <w:sz w:val="20"/>
                  <w:szCs w:val="20"/>
                </w:rPr>
                <w:t>Drugs &amp; Therapy Perspectives 2001</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6FECA414" w14:textId="77777777" w:rsidTr="00153384">
        <w:tc>
          <w:tcPr>
            <w:tcW w:w="3114" w:type="dxa"/>
          </w:tcPr>
          <w:p w14:paraId="439127FB"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Methotrexate </w:t>
            </w:r>
            <w:r w:rsidRPr="007D1918">
              <w:rPr>
                <w:rFonts w:ascii="Arial Narrow" w:hAnsi="Arial Narrow"/>
                <w:sz w:val="20"/>
                <w:szCs w:val="20"/>
              </w:rPr>
              <w:br/>
              <w:t>(+folate)</w:t>
            </w:r>
          </w:p>
        </w:tc>
        <w:tc>
          <w:tcPr>
            <w:tcW w:w="1984" w:type="dxa"/>
          </w:tcPr>
          <w:p w14:paraId="32B79C68"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 xml:space="preserve">17.5 mg weekly </w:t>
            </w:r>
            <w:r w:rsidRPr="007D1918">
              <w:rPr>
                <w:rFonts w:ascii="Arial Narrow" w:hAnsi="Arial Narrow"/>
                <w:sz w:val="20"/>
                <w:szCs w:val="20"/>
              </w:rPr>
              <w:br/>
              <w:t>(+ 5 mg 5/7 days)</w:t>
            </w:r>
          </w:p>
        </w:tc>
        <w:tc>
          <w:tcPr>
            <w:tcW w:w="3969" w:type="dxa"/>
          </w:tcPr>
          <w:p w14:paraId="48F8128E" w14:textId="69CDC8DF"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007F4CDE" w:rsidRPr="007D1918">
              <w:rPr>
                <w:rFonts w:ascii="Arial Narrow" w:hAnsi="Arial Narrow"/>
                <w:sz w:val="20"/>
                <w:szCs w:val="20"/>
              </w:rPr>
              <w:instrText xml:space="preserve"> ADDIN EN.CITE &lt;EndNote&gt;&lt;Cite&gt;&lt;Author&gt;Heckmann&lt;/Author&gt;&lt;Year&gt;2011&lt;/Year&gt;&lt;RecNum&gt;83&lt;/RecNum&gt;&lt;DisplayText&gt;(Heckmann et al. 2011)&lt;/DisplayText&gt;&lt;record&gt;&lt;rec-number&gt;83&lt;/rec-number&gt;&lt;foreign-keys&gt;&lt;key app="EN" db-id="2aevrx2slsts5ve9sdavatf125dsx0av2v9d" timestamp="1563501889"&gt;83&lt;/key&gt;&lt;/foreign-keys&gt;&lt;ref-type name="Journal Article"&gt;17&lt;/ref-type&gt;&lt;contributors&gt;&lt;authors&gt;&lt;author&gt;Heckmann, Jeannine M.&lt;/author&gt;&lt;author&gt;Rawoot, Amanullah&lt;/author&gt;&lt;author&gt;Bateman, Kathleen&lt;/author&gt;&lt;author&gt;Renison, Rudi&lt;/author&gt;&lt;author&gt;Badri, Motasim&lt;/author&gt;&lt;/authors&gt;&lt;/contributors&gt;&lt;titles&gt;&lt;title&gt;A single-blinded trial of methotrexate versus azathioprine as steroid-sparing agents in generalized myasthenia gravis&lt;/title&gt;&lt;secondary-title&gt;BMC Neurology&lt;/secondary-title&gt;&lt;/titles&gt;&lt;periodical&gt;&lt;full-title&gt;BMC Neurology&lt;/full-title&gt;&lt;/periodical&gt;&lt;pages&gt;97&lt;/pages&gt;&lt;volume&gt;11&lt;/volume&gt;&lt;number&gt;1&lt;/number&gt;&lt;dates&gt;&lt;year&gt;2011&lt;/year&gt;&lt;pub-dates&gt;&lt;date&gt;2011/08/05&lt;/date&gt;&lt;/pub-dates&gt;&lt;/dates&gt;&lt;isbn&gt;1471-2377&lt;/isbn&gt;&lt;urls&gt;&lt;related-urls&gt;&lt;url&gt;https://doi.org/10.1186/1471-2377-11-97&lt;/url&gt;&lt;url&gt;https://bmcneurol.biomedcentral.com/track/pdf/10.1186/1471-2377-11-97&lt;/url&gt;&lt;/related-urls&gt;&lt;/urls&gt;&lt;electronic-resource-num&gt;10.1186/1471-2377-11-97&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6" w:tooltip="Heckmann, 2011 #83" w:history="1">
              <w:r w:rsidR="007D4948" w:rsidRPr="007D1918">
                <w:rPr>
                  <w:rFonts w:ascii="Arial Narrow" w:hAnsi="Arial Narrow"/>
                  <w:noProof/>
                  <w:sz w:val="20"/>
                  <w:szCs w:val="20"/>
                </w:rPr>
                <w:t>Heckmann et al. 2011</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0C12AB87" w14:textId="77777777" w:rsidTr="00153384">
        <w:tc>
          <w:tcPr>
            <w:tcW w:w="3114" w:type="dxa"/>
          </w:tcPr>
          <w:p w14:paraId="645F92F1"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Cyclophosphamide – IV induction</w:t>
            </w:r>
          </w:p>
        </w:tc>
        <w:tc>
          <w:tcPr>
            <w:tcW w:w="1984" w:type="dxa"/>
          </w:tcPr>
          <w:p w14:paraId="4195152C"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1000 mg/m</w:t>
            </w:r>
            <w:r w:rsidRPr="007D1918">
              <w:rPr>
                <w:rFonts w:ascii="Arial Narrow" w:hAnsi="Arial Narrow"/>
                <w:sz w:val="20"/>
                <w:szCs w:val="20"/>
                <w:vertAlign w:val="superscript"/>
              </w:rPr>
              <w:t>2</w:t>
            </w:r>
            <w:r w:rsidRPr="007D1918">
              <w:rPr>
                <w:rFonts w:ascii="Arial Narrow" w:hAnsi="Arial Narrow"/>
                <w:sz w:val="20"/>
                <w:szCs w:val="20"/>
              </w:rPr>
              <w:t>, 6 weekly</w:t>
            </w:r>
          </w:p>
        </w:tc>
        <w:tc>
          <w:tcPr>
            <w:tcW w:w="3969" w:type="dxa"/>
          </w:tcPr>
          <w:p w14:paraId="0F5A08DC" w14:textId="038B3750"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fldData xml:space="preserve">PEVuZE5vdGU+PENpdGU+PEF1dGhvcj5CdXp6YXJkPC9BdXRob3I+PFllYXI+MjAxNTwvWWVhcj48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PEVuZE5vdGU+PENpdGU+PEF1dGhvcj5CdXp6YXJkPC9BdXRob3I+PFllYXI+MjAxNTwvWWVhcj48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16" w:tooltip="Buzzard, 2015 #75" w:history="1">
              <w:r w:rsidR="007D4948" w:rsidRPr="007D1918">
                <w:rPr>
                  <w:rFonts w:ascii="Arial Narrow" w:hAnsi="Arial Narrow"/>
                  <w:noProof/>
                  <w:sz w:val="20"/>
                  <w:szCs w:val="20"/>
                </w:rPr>
                <w:t>Buzzard et al. 2015</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7ADB93C9" w14:textId="77777777" w:rsidTr="00153384">
        <w:tc>
          <w:tcPr>
            <w:tcW w:w="3114" w:type="dxa"/>
          </w:tcPr>
          <w:p w14:paraId="434B1815"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Ciclosporin oral</w:t>
            </w:r>
          </w:p>
        </w:tc>
        <w:tc>
          <w:tcPr>
            <w:tcW w:w="1984" w:type="dxa"/>
          </w:tcPr>
          <w:p w14:paraId="32E7C6C1"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5 mg/kg/day</w:t>
            </w:r>
          </w:p>
        </w:tc>
        <w:tc>
          <w:tcPr>
            <w:tcW w:w="3969" w:type="dxa"/>
          </w:tcPr>
          <w:p w14:paraId="00C0ADE3" w14:textId="55C7E6E0"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&lt;EndNote&gt;&lt;Cite&gt;&lt;Author&gt;TINDALL&lt;/Author&gt;&lt;Year&gt;1993&lt;/Year&gt;&lt;RecNum&gt;84&lt;/RecNum&gt;&lt;DisplayText&gt;(TINDALL et al. 1993)&lt;/DisplayText&gt;&lt;record&gt;&lt;rec-number&gt;84&lt;/rec-number&gt;&lt;foreign-keys&gt;&lt;key app="EN" db-id="2aevrx2slsts5ve9sdavatf125dsx0av2v9d" timestamp="1563502050"&gt;84&lt;/key&gt;&lt;/foreign-keys&gt;&lt;ref-type name="Journal Article"&gt;17&lt;/ref-type&gt;&lt;contributors&gt;&lt;authors&gt;&lt;author&gt;TINDALL, RICHARD S. A.&lt;/author&gt;&lt;author&gt;PHILLIPS, J. THEODORE&lt;/author&gt;&lt;author&gt;ROLLINS, JULIA A.&lt;/author&gt;&lt;author&gt;WELLS, LIESELOTTE&lt;/author&gt;&lt;author&gt;HALL, KAREN&lt;/author&gt;&lt;/authors&gt;&lt;/contributors&gt;&lt;titles&gt;&lt;title&gt;A Clinical Therapeutic Trial of Cyclosporine in Myasthenia Gravisa&lt;/title&gt;&lt;secondary-title&gt;Annals of the New York Academy of Sciences&lt;/secondary-title&gt;&lt;/titles&gt;&lt;periodical&gt;&lt;full-title&gt;Annals of the new york academy of sciences&lt;/full-title&gt;&lt;/periodical&gt;&lt;pages&gt;539-551&lt;/pages&gt;&lt;volume&gt;681&lt;/volume&gt;&lt;number&gt;1&lt;/number&gt;&lt;dates&gt;&lt;year&gt;1993&lt;/year&gt;&lt;/dates&gt;&lt;isbn&gt;0077-8923&lt;/isbn&gt;&lt;urls&gt;&lt;related-urls&gt;&lt;url&gt;https://nyaspubs.onlinelibrary.wiley.com/doi/abs/10.1111/j.1749-6632.1993.tb22937.x&lt;/url&gt;&lt;/related-urls&gt;&lt;/urls&gt;&lt;electronic-resource-num&gt;10.1111/j.1749-6632.1993.tb22937.x&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100" w:tooltip="TINDALL, 1993 #84" w:history="1">
              <w:r w:rsidR="007D4948" w:rsidRPr="007D1918">
                <w:rPr>
                  <w:rFonts w:ascii="Arial Narrow" w:hAnsi="Arial Narrow"/>
                  <w:noProof/>
                  <w:sz w:val="20"/>
                  <w:szCs w:val="20"/>
                </w:rPr>
                <w:t>TINDALL et al. 1993</w:t>
              </w:r>
            </w:hyperlink>
            <w:r w:rsidRPr="007D1918">
              <w:rPr>
                <w:rFonts w:ascii="Arial Narrow" w:hAnsi="Arial Narrow"/>
                <w:noProof/>
                <w:sz w:val="20"/>
                <w:szCs w:val="20"/>
              </w:rPr>
              <w:t>)</w:t>
            </w:r>
            <w:r w:rsidRPr="007D1918">
              <w:rPr>
                <w:rFonts w:ascii="Arial Narrow" w:hAnsi="Arial Narrow"/>
                <w:sz w:val="20"/>
                <w:szCs w:val="20"/>
              </w:rPr>
              <w:fldChar w:fldCharType="end"/>
            </w:r>
            <w:r w:rsidRPr="007D1918">
              <w:rPr>
                <w:rFonts w:ascii="Arial Narrow" w:hAnsi="Arial Narrow"/>
                <w:sz w:val="20"/>
                <w:szCs w:val="20"/>
              </w:rPr>
              <w:t xml:space="preserve"> and </w:t>
            </w:r>
            <w:r w:rsidRPr="007D1918">
              <w:rPr>
                <w:rFonts w:ascii="Arial Narrow" w:hAnsi="Arial Narrow"/>
                <w:sz w:val="20"/>
                <w:szCs w:val="20"/>
              </w:rPr>
              <w:fldChar w:fldCharType="begin"/>
            </w:r>
            <w:r w:rsidR="007F4CDE" w:rsidRPr="007D1918">
              <w:rPr>
                <w:rFonts w:ascii="Arial Narrow" w:hAnsi="Arial Narrow"/>
                <w:sz w:val="20"/>
                <w:szCs w:val="20"/>
              </w:rPr>
              <w:instrText xml:space="preserve"> ADDIN EN.CITE &lt;EndNote&gt;&lt;Cite&gt;&lt;Author&gt;Drugs &amp;amp; Therapy Perspectives&lt;/Author&gt;&lt;Year&gt;2001&lt;/Year&gt;&lt;RecNum&gt;69&lt;/RecNum&gt;&lt;DisplayText&gt;(Drugs &amp;amp; Therapy Perspectives 2001)&lt;/DisplayText&gt;&lt;record&gt;&lt;rec-number&gt;69&lt;/rec-number&gt;&lt;foreign-keys&gt;&lt;key app="EN" db-id="2aevrx2slsts5ve9sdavatf125dsx0av2v9d" timestamp="1563282047"&gt;69&lt;/key&gt;&lt;/foreign-keys&gt;&lt;ref-type name="Journal Article"&gt;17&lt;/ref-type&gt;&lt;contributors&gt;&lt;authors&gt;&lt;author&gt;Drugs &amp;amp; Therapy Perspectives, &lt;/author&gt;&lt;/authors&gt;&lt;/contributors&gt;&lt;titles&gt;&lt;title&gt;Treatment alternatives in the successful management of myasthenia gravis&lt;/title&gt;&lt;secondary-title&gt;Drugs &amp;amp; Therapy Perspectives&lt;/secondary-title&gt;&lt;/titles&gt;&lt;periodical&gt;&lt;full-title&gt;Drugs &amp;amp; Therapy Perspectives&lt;/full-title&gt;&lt;/periodical&gt;&lt;pages&gt;12-15&lt;/pages&gt;&lt;volume&gt;17&lt;/volume&gt;&lt;number&gt;21&lt;/number&gt;&lt;keywords&gt;&lt;keyword&gt;Pharmacy&lt;/keyword&gt;&lt;keyword&gt;Pharmacotherapy&lt;/keyword&gt;&lt;keyword&gt;Pharmacy, Therapeutics, &amp;amp; Pharmacology&lt;/keyword&gt;&lt;/keywords&gt;&lt;dates&gt;&lt;year&gt;2001&lt;/year&gt;&lt;/dates&gt;&lt;pub-location&gt;Adis International, USA&lt;/pub-location&gt;&lt;isbn&gt;1172-0360&lt;/isbn&gt;&lt;urls&gt;&lt;related-urls&gt;&lt;url&gt;&lt;style face="underline" font="default" size="100%"&gt;https://www.medscape.com/viewarticle/434482_5&lt;/style&gt;&lt;/url&gt;&lt;url&gt;&lt;style face="underline" font="default" size="100%"&gt;https://link.springer.com/content/pdf/10.2165%2F00042310-200117210-00004.pdf&lt;/style&gt;&lt;/url&gt;&lt;/related-urls&gt;&lt;/urls&gt;&lt;electronic-resource-num&gt;10.2165/00042310-200117210-00004&lt;/electronic-resource-num&gt;&lt;remote-database-name&gt;Medscape&lt;/remote-database-name&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2" w:tooltip="Drugs &amp; Therapy Perspectives, 2001 #69" w:history="1">
              <w:r w:rsidR="007D4948" w:rsidRPr="007D1918">
                <w:rPr>
                  <w:rFonts w:ascii="Arial Narrow" w:hAnsi="Arial Narrow"/>
                  <w:noProof/>
                  <w:sz w:val="20"/>
                  <w:szCs w:val="20"/>
                </w:rPr>
                <w:t>Drugs &amp; Therapy Perspectives 2001</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45C245A3" w14:textId="77777777" w:rsidTr="00153384">
        <w:tc>
          <w:tcPr>
            <w:tcW w:w="3114" w:type="dxa"/>
          </w:tcPr>
          <w:p w14:paraId="54C17A4F"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Mycophenolate mofetil oral</w:t>
            </w:r>
          </w:p>
        </w:tc>
        <w:tc>
          <w:tcPr>
            <w:tcW w:w="1984" w:type="dxa"/>
          </w:tcPr>
          <w:p w14:paraId="1D7E0A7C"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2.5 g daily</w:t>
            </w:r>
          </w:p>
        </w:tc>
        <w:tc>
          <w:tcPr>
            <w:tcW w:w="3969" w:type="dxa"/>
          </w:tcPr>
          <w:p w14:paraId="0764EC1A" w14:textId="1461261C"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r>
            <w:r w:rsidR="007F4CDE" w:rsidRPr="007D1918">
              <w:rPr>
                <w:rFonts w:ascii="Arial Narrow" w:hAnsi="Arial Narrow"/>
                <w:sz w:val="20"/>
                <w:szCs w:val="20"/>
              </w:rPr>
              <w:instrText xml:space="preserve"> ADDIN EN.CITE &lt;EndNote&gt;&lt;Cite&gt;&lt;Author&gt;Hehir&lt;/Author&gt;&lt;Year&gt;2010&lt;/Year&gt;&lt;RecNum&gt;85&lt;/RecNum&gt;&lt;DisplayText&gt;(Hehir et al. 2010)&lt;/DisplayText&gt;&lt;record&gt;&lt;rec-number&gt;85&lt;/rec-number&gt;&lt;foreign-keys&gt;&lt;key app="EN" db-id="2aevrx2slsts5ve9sdavatf125dsx0av2v9d" timestamp="1563502174"&gt;85&lt;/key&gt;&lt;/foreign-keys&gt;&lt;ref-type name="Journal Article"&gt;17&lt;/ref-type&gt;&lt;contributors&gt;&lt;authors&gt;&lt;author&gt;Hehir, Michael K.&lt;/author&gt;&lt;author&gt;Burns, Ted M.&lt;/author&gt;&lt;author&gt;Alpers, Joshua&lt;/author&gt;&lt;author&gt;Conaway, Mark R.&lt;/author&gt;&lt;author&gt;Sawa, Michael&lt;/author&gt;&lt;author&gt;Sanders, Donald B.&lt;/author&gt;&lt;/authors&gt;&lt;/contributors&gt;&lt;titles&gt;&lt;title&gt;Mycophenolate mofetil in AChR-antibody-positive myasthenia gravis: Outcomes in 102 patients&lt;/title&gt;&lt;secondary-title&gt;Muscle &amp;amp; Nerve&lt;/secondary-title&gt;&lt;/titles&gt;&lt;periodical&gt;&lt;full-title&gt;Muscle &amp;amp; Nerve&lt;/full-title&gt;&lt;/periodical&gt;&lt;pages&gt;593-598&lt;/pages&gt;&lt;volume&gt;41&lt;/volume&gt;&lt;number&gt;5&lt;/number&gt;&lt;dates&gt;&lt;year&gt;2010&lt;/year&gt;&lt;/dates&gt;&lt;isbn&gt;0148-639X&lt;/isbn&gt;&lt;urls&gt;&lt;related-urls&gt;&lt;url&gt;https://onlinelibrary.wiley.com/doi/abs/10.1002/mus.21640&lt;/url&gt;&lt;url&gt;https://onlinelibrary.wiley.com/doi/full/10.1002/mus.21640&lt;/url&gt;&lt;/related-urls&gt;&lt;/urls&gt;&lt;electronic-resource-num&gt;10.1002/mus.21640&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7" w:tooltip="Hehir, 2010 #85" w:history="1">
              <w:r w:rsidR="007D4948" w:rsidRPr="007D1918">
                <w:rPr>
                  <w:rFonts w:ascii="Arial Narrow" w:hAnsi="Arial Narrow"/>
                  <w:noProof/>
                  <w:sz w:val="20"/>
                  <w:szCs w:val="20"/>
                </w:rPr>
                <w:t>Hehir et al. 2010</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2F7AF819" w14:textId="77777777" w:rsidTr="00153384">
        <w:tc>
          <w:tcPr>
            <w:tcW w:w="3114" w:type="dxa"/>
          </w:tcPr>
          <w:p w14:paraId="48F64DCA"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Rituximab injection</w:t>
            </w:r>
          </w:p>
        </w:tc>
        <w:tc>
          <w:tcPr>
            <w:tcW w:w="1984" w:type="dxa"/>
          </w:tcPr>
          <w:p w14:paraId="2C13147A"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 g, 6 monthly</w:t>
            </w:r>
          </w:p>
        </w:tc>
        <w:tc>
          <w:tcPr>
            <w:tcW w:w="3969" w:type="dxa"/>
          </w:tcPr>
          <w:p w14:paraId="73055AD8" w14:textId="2B656DE9" w:rsidR="008747C1" w:rsidRPr="007D1918" w:rsidRDefault="008747C1" w:rsidP="007D4948">
            <w:pPr>
              <w:spacing w:before="40" w:after="40" w:line="240" w:lineRule="auto"/>
              <w:ind w:left="0"/>
              <w:rPr>
                <w:rFonts w:ascii="Arial Narrow" w:hAnsi="Arial Narrow"/>
                <w:sz w:val="20"/>
                <w:szCs w:val="20"/>
              </w:rPr>
            </w:pPr>
            <w:r w:rsidRPr="007D1918">
              <w:rPr>
                <w:rFonts w:ascii="Arial Narrow" w:hAnsi="Arial Narrow"/>
                <w:sz w:val="20"/>
                <w:szCs w:val="20"/>
              </w:rPr>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17" w:tooltip="Chan, 2018 #21" w:history="1">
              <w:r w:rsidR="007D4948" w:rsidRPr="007D1918">
                <w:rPr>
                  <w:rFonts w:ascii="Arial Narrow" w:hAnsi="Arial Narrow"/>
                  <w:noProof/>
                  <w:sz w:val="20"/>
                  <w:szCs w:val="20"/>
                </w:rPr>
                <w:t>Chan et al. 2018</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8747C1" w:rsidRPr="007D1918" w14:paraId="783A7E5D" w14:textId="77777777" w:rsidTr="00153384">
        <w:tc>
          <w:tcPr>
            <w:tcW w:w="3114" w:type="dxa"/>
          </w:tcPr>
          <w:p w14:paraId="1B8C92A7"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Thymectomy (surgery)</w:t>
            </w:r>
          </w:p>
        </w:tc>
        <w:tc>
          <w:tcPr>
            <w:tcW w:w="1984" w:type="dxa"/>
          </w:tcPr>
          <w:p w14:paraId="7AE2D3A7" w14:textId="77777777" w:rsidR="008747C1" w:rsidRPr="007D1918" w:rsidRDefault="008747C1"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Once per lifetime</w:t>
            </w:r>
          </w:p>
        </w:tc>
        <w:tc>
          <w:tcPr>
            <w:tcW w:w="3969" w:type="dxa"/>
          </w:tcPr>
          <w:p w14:paraId="6ADE9657" w14:textId="77777777" w:rsidR="008747C1" w:rsidRPr="007D1918" w:rsidRDefault="008747C1" w:rsidP="00153384">
            <w:pPr>
              <w:spacing w:before="40" w:after="40" w:line="240" w:lineRule="auto"/>
              <w:ind w:left="0"/>
              <w:rPr>
                <w:rFonts w:ascii="Arial Narrow" w:hAnsi="Arial Narrow"/>
                <w:sz w:val="20"/>
                <w:szCs w:val="20"/>
              </w:rPr>
            </w:pPr>
            <w:r w:rsidRPr="007D1918">
              <w:rPr>
                <w:rFonts w:ascii="Arial Narrow" w:hAnsi="Arial Narrow"/>
                <w:sz w:val="20"/>
                <w:szCs w:val="20"/>
              </w:rPr>
              <w:t>Assumed</w:t>
            </w:r>
          </w:p>
        </w:tc>
      </w:tr>
    </w:tbl>
    <w:p w14:paraId="770EB23D" w14:textId="5F9E1CBC" w:rsidR="008747C1" w:rsidRPr="007D1918" w:rsidRDefault="008747C1" w:rsidP="008747C1">
      <w:pPr>
        <w:widowControl w:val="0"/>
        <w:spacing w:after="120" w:line="240" w:lineRule="auto"/>
        <w:jc w:val="both"/>
        <w:rPr>
          <w:rFonts w:ascii="Arial Narrow" w:hAnsi="Arial Narrow" w:cs="Arial"/>
          <w:snapToGrid w:val="0"/>
          <w:sz w:val="18"/>
          <w:szCs w:val="20"/>
          <w:lang w:eastAsia="en-US"/>
        </w:rPr>
      </w:pPr>
      <w:r w:rsidRPr="007D1918">
        <w:rPr>
          <w:rFonts w:ascii="Arial Narrow" w:hAnsi="Arial Narrow" w:cs="Arial"/>
          <w:snapToGrid w:val="0"/>
          <w:sz w:val="18"/>
          <w:szCs w:val="20"/>
          <w:lang w:eastAsia="en-US"/>
        </w:rPr>
        <w:t>IVIg = Immunoglobulin; MG = myasthenia gravis; NBA = National Blood Authority; PE</w:t>
      </w:r>
      <w:r w:rsidR="00AA6011" w:rsidRPr="007D1918">
        <w:rPr>
          <w:rFonts w:ascii="Arial Narrow" w:hAnsi="Arial Narrow" w:cs="Arial"/>
          <w:snapToGrid w:val="0"/>
          <w:sz w:val="18"/>
          <w:szCs w:val="20"/>
          <w:lang w:eastAsia="en-US"/>
        </w:rPr>
        <w:t xml:space="preserve"> = plasma exchange</w:t>
      </w:r>
      <w:r w:rsidR="0014448E" w:rsidRPr="007D1918">
        <w:rPr>
          <w:rFonts w:ascii="Arial Narrow" w:hAnsi="Arial Narrow" w:cs="Arial"/>
          <w:snapToGrid w:val="0"/>
          <w:sz w:val="18"/>
          <w:szCs w:val="20"/>
          <w:lang w:eastAsia="en-US"/>
        </w:rPr>
        <w:br/>
        <w:t>1 Clinical advice from IVIg Review Working Group, received during assessment.</w:t>
      </w:r>
    </w:p>
    <w:p w14:paraId="0ED54361" w14:textId="77777777" w:rsidR="00AA6011" w:rsidRPr="007D1918" w:rsidRDefault="00AA6011" w:rsidP="008747C1">
      <w:pPr>
        <w:widowControl w:val="0"/>
        <w:spacing w:after="120" w:line="240" w:lineRule="auto"/>
        <w:jc w:val="both"/>
        <w:rPr>
          <w:rFonts w:ascii="Arial Narrow" w:hAnsi="Arial Narrow" w:cs="Arial"/>
          <w:snapToGrid w:val="0"/>
          <w:sz w:val="18"/>
          <w:szCs w:val="20"/>
          <w:lang w:eastAsia="en-US"/>
        </w:rPr>
      </w:pPr>
    </w:p>
    <w:p w14:paraId="543A0000" w14:textId="77777777" w:rsidR="006C641A" w:rsidRPr="007D1918" w:rsidRDefault="006C641A" w:rsidP="006C641A">
      <w:pPr>
        <w:pStyle w:val="Heading3"/>
        <w:rPr>
          <w:snapToGrid w:val="0"/>
          <w:lang w:eastAsia="en-US"/>
        </w:rPr>
      </w:pPr>
      <w:bookmarkStart w:id="407" w:name="_Toc15561875"/>
      <w:bookmarkStart w:id="408" w:name="_Toc23766999"/>
      <w:r w:rsidRPr="007D1918">
        <w:rPr>
          <w:snapToGrid w:val="0"/>
          <w:lang w:eastAsia="en-US"/>
        </w:rPr>
        <w:lastRenderedPageBreak/>
        <w:t>Adverse event and clinical outcome inputs</w:t>
      </w:r>
      <w:bookmarkEnd w:id="407"/>
      <w:bookmarkEnd w:id="408"/>
    </w:p>
    <w:p w14:paraId="501EE6BA" w14:textId="401ACE19" w:rsidR="006C641A" w:rsidRPr="007D1918" w:rsidRDefault="006C641A" w:rsidP="006C641A">
      <w:pPr>
        <w:jc w:val="both"/>
        <w:rPr>
          <w:snapToGrid w:val="0"/>
          <w:lang w:eastAsia="en-US"/>
        </w:rPr>
      </w:pPr>
      <w:r w:rsidRPr="007D1918">
        <w:rPr>
          <w:snapToGrid w:val="0"/>
          <w:lang w:eastAsia="en-US"/>
        </w:rPr>
        <w:t xml:space="preserve">For Indication 1, differences in safety consequences associated with IVIg and PE were identified and are reported in </w:t>
      </w:r>
      <w:r w:rsidR="00F33C21" w:rsidRPr="007D1918">
        <w:rPr>
          <w:snapToGrid w:val="0"/>
          <w:lang w:eastAsia="en-US"/>
        </w:rPr>
        <w:fldChar w:fldCharType="begin"/>
      </w:r>
      <w:r w:rsidR="00F33C21" w:rsidRPr="007D1918">
        <w:rPr>
          <w:snapToGrid w:val="0"/>
          <w:lang w:eastAsia="en-US"/>
        </w:rPr>
        <w:instrText xml:space="preserve"> REF _Ref7517280 \h </w:instrText>
      </w:r>
      <w:r w:rsidR="00E07567" w:rsidRPr="007D1918">
        <w:rPr>
          <w:snapToGrid w:val="0"/>
          <w:lang w:eastAsia="en-US"/>
        </w:rPr>
        <w:instrText xml:space="preserve"> \* MERGEFORMAT </w:instrText>
      </w:r>
      <w:r w:rsidR="00F33C21" w:rsidRPr="007D1918">
        <w:rPr>
          <w:snapToGrid w:val="0"/>
          <w:lang w:eastAsia="en-US"/>
        </w:rPr>
      </w:r>
      <w:r w:rsidR="00F33C21" w:rsidRPr="007D1918">
        <w:rPr>
          <w:snapToGrid w:val="0"/>
          <w:lang w:eastAsia="en-US"/>
        </w:rPr>
        <w:fldChar w:fldCharType="separate"/>
      </w:r>
      <w:r w:rsidR="00F33C21" w:rsidRPr="007D1918">
        <w:t xml:space="preserve">Table </w:t>
      </w:r>
      <w:r w:rsidR="00F33C21" w:rsidRPr="007D1918">
        <w:rPr>
          <w:noProof/>
        </w:rPr>
        <w:t>17</w:t>
      </w:r>
      <w:r w:rsidR="00F33C21" w:rsidRPr="007D1918">
        <w:rPr>
          <w:snapToGrid w:val="0"/>
          <w:lang w:eastAsia="en-US"/>
        </w:rPr>
        <w:fldChar w:fldCharType="end"/>
      </w:r>
      <w:r w:rsidRPr="007D1918">
        <w:rPr>
          <w:snapToGrid w:val="0"/>
          <w:lang w:eastAsia="en-US"/>
        </w:rPr>
        <w:t xml:space="preserve">, Section B.6. </w:t>
      </w:r>
    </w:p>
    <w:p w14:paraId="4C864888" w14:textId="77777777" w:rsidR="006C641A" w:rsidRPr="007D1918" w:rsidRDefault="006C641A" w:rsidP="006C641A">
      <w:pPr>
        <w:jc w:val="both"/>
        <w:rPr>
          <w:snapToGrid w:val="0"/>
          <w:lang w:eastAsia="en-US"/>
        </w:rPr>
      </w:pPr>
      <w:r w:rsidRPr="007D1918">
        <w:rPr>
          <w:snapToGrid w:val="0"/>
          <w:lang w:eastAsia="en-US"/>
        </w:rPr>
        <w:t>The small patient numbers and lack of detail in the RCT evidence, along with potential bias in the non-randomised studies is such that the incorporation of adverse event data into the economic analysis should be interpreted with caution.</w:t>
      </w:r>
    </w:p>
    <w:p w14:paraId="569976E0" w14:textId="2080CBB6" w:rsidR="006C641A" w:rsidRPr="007D1918" w:rsidRDefault="006C641A" w:rsidP="006C641A">
      <w:pPr>
        <w:jc w:val="both"/>
        <w:rPr>
          <w:snapToGrid w:val="0"/>
          <w:lang w:eastAsia="en-US"/>
        </w:rPr>
      </w:pPr>
      <w:r w:rsidRPr="007D1918">
        <w:rPr>
          <w:snapToGrid w:val="0"/>
          <w:lang w:eastAsia="en-US"/>
        </w:rPr>
        <w:t xml:space="preserve">Nevertheless, in an attempt to quantify the implications of the difference between the adverse event profiles, </w:t>
      </w:r>
      <w:r w:rsidR="003029CE" w:rsidRPr="007D1918">
        <w:rPr>
          <w:snapToGrid w:val="0"/>
          <w:lang w:eastAsia="en-US"/>
        </w:rPr>
        <w:t xml:space="preserve">QALY decrements due to adverse events associated with PE are calculated in Section C.4.2. </w:t>
      </w:r>
    </w:p>
    <w:p w14:paraId="587257AD" w14:textId="114CA533" w:rsidR="006C641A" w:rsidRPr="007D1918" w:rsidRDefault="006C641A" w:rsidP="006C641A">
      <w:pPr>
        <w:jc w:val="both"/>
        <w:rPr>
          <w:snapToGrid w:val="0"/>
          <w:lang w:eastAsia="en-US"/>
        </w:rPr>
      </w:pPr>
      <w:r w:rsidRPr="007D1918">
        <w:rPr>
          <w:snapToGrid w:val="0"/>
          <w:lang w:eastAsia="en-US"/>
        </w:rPr>
        <w:t>The estimated effect of adverse events on resource use is also estimated. The adverse events described in Gajdos include; haemolysis, bleeding disorder, thrombosis, fever, chills, headache, nausea and vomiting, increased blood pressure and tachycardia. Gajdos reports that only two events had clinical relevance in that they required discontinuation of PE therapy. As MG crisis is life-threatening it is assumed that these patients would require alternative treatment for their crisis episode, which would then be expected to be second-line IVIg in any Australian setting using PE first-line. In addition</w:t>
      </w:r>
      <w:r w:rsidR="00510194" w:rsidRPr="007D1918">
        <w:rPr>
          <w:snapToGrid w:val="0"/>
          <w:lang w:eastAsia="en-US"/>
        </w:rPr>
        <w:t>,</w:t>
      </w:r>
      <w:r w:rsidRPr="007D1918">
        <w:rPr>
          <w:snapToGrid w:val="0"/>
          <w:lang w:eastAsia="en-US"/>
        </w:rPr>
        <w:t xml:space="preserve"> the serious adverse events – e</w:t>
      </w:r>
      <w:r w:rsidR="00510194" w:rsidRPr="007D1918">
        <w:rPr>
          <w:snapToGrid w:val="0"/>
          <w:lang w:eastAsia="en-US"/>
        </w:rPr>
        <w:t>.</w:t>
      </w:r>
      <w:r w:rsidRPr="007D1918">
        <w:rPr>
          <w:snapToGrid w:val="0"/>
          <w:lang w:eastAsia="en-US"/>
        </w:rPr>
        <w:t>g</w:t>
      </w:r>
      <w:r w:rsidR="00510194" w:rsidRPr="007D1918">
        <w:rPr>
          <w:snapToGrid w:val="0"/>
          <w:lang w:eastAsia="en-US"/>
        </w:rPr>
        <w:t>.</w:t>
      </w:r>
      <w:r w:rsidRPr="007D1918">
        <w:rPr>
          <w:snapToGrid w:val="0"/>
          <w:lang w:eastAsia="en-US"/>
        </w:rPr>
        <w:t xml:space="preserve"> major bleeds, thrombosis or infection complicate and extend medical requirements and would be expected to extend hospital stay. A summary of the clinical management requirements and resource implications associated with major adverse events is provided in </w:t>
      </w:r>
      <w:r w:rsidRPr="007D1918">
        <w:rPr>
          <w:snapToGrid w:val="0"/>
          <w:lang w:eastAsia="en-US"/>
        </w:rPr>
        <w:fldChar w:fldCharType="begin"/>
      </w:r>
      <w:r w:rsidRPr="007D1918">
        <w:rPr>
          <w:snapToGrid w:val="0"/>
          <w:lang w:eastAsia="en-US"/>
        </w:rPr>
        <w:instrText xml:space="preserve"> REF _Ref18359160 \h </w:instrText>
      </w:r>
      <w:r w:rsidR="00E07567" w:rsidRPr="007D1918">
        <w:rPr>
          <w:snapToGrid w:val="0"/>
          <w:lang w:eastAsia="en-US"/>
        </w:rPr>
        <w:instrText xml:space="preserve"> \* MERGEFORMAT </w:instrText>
      </w:r>
      <w:r w:rsidRPr="007D1918">
        <w:rPr>
          <w:snapToGrid w:val="0"/>
          <w:lang w:eastAsia="en-US"/>
        </w:rPr>
      </w:r>
      <w:r w:rsidRPr="007D1918">
        <w:rPr>
          <w:snapToGrid w:val="0"/>
          <w:lang w:eastAsia="en-US"/>
        </w:rPr>
        <w:fldChar w:fldCharType="separate"/>
      </w:r>
      <w:r w:rsidR="00AA6011" w:rsidRPr="007D1918">
        <w:t xml:space="preserve">Table </w:t>
      </w:r>
      <w:r w:rsidR="00AA6011" w:rsidRPr="007D1918">
        <w:rPr>
          <w:noProof/>
        </w:rPr>
        <w:t>70</w:t>
      </w:r>
      <w:r w:rsidRPr="007D1918">
        <w:rPr>
          <w:snapToGrid w:val="0"/>
          <w:lang w:eastAsia="en-US"/>
        </w:rPr>
        <w:fldChar w:fldCharType="end"/>
      </w:r>
      <w:r w:rsidRPr="007D1918">
        <w:rPr>
          <w:snapToGrid w:val="0"/>
          <w:lang w:eastAsia="en-US"/>
        </w:rPr>
        <w:t xml:space="preserve">. </w:t>
      </w:r>
      <w:r w:rsidR="003029CE" w:rsidRPr="007D1918">
        <w:rPr>
          <w:snapToGrid w:val="0"/>
          <w:lang w:eastAsia="en-US"/>
        </w:rPr>
        <w:t>Although some longterm morbidity is anticipated following serious adverse events, the nature of this is not well described and therefore it has not been costed. This introduces likely bias in favour of PE in the CUA results.</w:t>
      </w:r>
    </w:p>
    <w:p w14:paraId="359A5BB2" w14:textId="7CE3C04E" w:rsidR="006C641A" w:rsidRPr="007D1918" w:rsidRDefault="006C641A" w:rsidP="006C641A">
      <w:pPr>
        <w:jc w:val="both"/>
        <w:rPr>
          <w:snapToGrid w:val="0"/>
          <w:lang w:eastAsia="en-US"/>
        </w:rPr>
      </w:pPr>
      <w:r w:rsidRPr="007D1918">
        <w:rPr>
          <w:snapToGrid w:val="0"/>
          <w:lang w:eastAsia="en-US"/>
        </w:rPr>
        <w:t xml:space="preserve">With respect to the remainder of minor adverse events seen in Indication 1, given that patients are already hospitalised, likely in ICU, neither the quality of life effects, nor cost implications with respect to additional medical and nursing management are expected to be significant. </w:t>
      </w:r>
    </w:p>
    <w:p w14:paraId="7DBC78F4" w14:textId="1A3B1F27" w:rsidR="006C641A" w:rsidRPr="007D1918" w:rsidRDefault="006C641A" w:rsidP="006C641A">
      <w:pPr>
        <w:spacing w:after="360"/>
        <w:jc w:val="both"/>
        <w:rPr>
          <w:snapToGrid w:val="0"/>
          <w:lang w:eastAsia="en-US"/>
        </w:rPr>
      </w:pPr>
      <w:r w:rsidRPr="007D1918">
        <w:rPr>
          <w:snapToGrid w:val="0"/>
          <w:lang w:eastAsia="en-US"/>
        </w:rPr>
        <w:t xml:space="preserve">For Indication 2, Section B.6 reported a significant difference in post-operative intubation duration in Alipour-Faz 2017 </w:t>
      </w:r>
      <w:r w:rsidRPr="007D1918">
        <w:rPr>
          <w:snapToGrid w:val="0"/>
          <w:lang w:eastAsia="en-US"/>
        </w:rPr>
        <w:fldChar w:fldCharType="begin"/>
      </w:r>
      <w:r w:rsidRPr="007D1918">
        <w:rPr>
          <w:snapToGrid w:val="0"/>
          <w:lang w:eastAsia="en-US"/>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snapToGrid w:val="0"/>
          <w:lang w:eastAsia="en-US"/>
        </w:rPr>
        <w:fldChar w:fldCharType="separate"/>
      </w:r>
      <w:r w:rsidRPr="007D1918">
        <w:rPr>
          <w:noProof/>
          <w:snapToGrid w:val="0"/>
          <w:lang w:eastAsia="en-US"/>
        </w:rPr>
        <w:t>(</w:t>
      </w:r>
      <w:hyperlink w:anchor="_ENREF_4" w:tooltip="Alipour-Faz, 2017 #64" w:history="1">
        <w:r w:rsidR="007D4948" w:rsidRPr="007D1918">
          <w:rPr>
            <w:noProof/>
            <w:snapToGrid w:val="0"/>
            <w:lang w:eastAsia="en-US"/>
          </w:rPr>
          <w:t>Alipour-Faz et al. 2017</w:t>
        </w:r>
      </w:hyperlink>
      <w:r w:rsidRPr="007D1918">
        <w:rPr>
          <w:noProof/>
          <w:snapToGrid w:val="0"/>
          <w:lang w:eastAsia="en-US"/>
        </w:rPr>
        <w:t>)</w:t>
      </w:r>
      <w:r w:rsidRPr="007D1918">
        <w:rPr>
          <w:snapToGrid w:val="0"/>
          <w:lang w:eastAsia="en-US"/>
        </w:rPr>
        <w:fldChar w:fldCharType="end"/>
      </w:r>
      <w:r w:rsidRPr="007D1918">
        <w:rPr>
          <w:snapToGrid w:val="0"/>
          <w:lang w:eastAsia="en-US"/>
        </w:rPr>
        <w:t>. This is discussed in Section C.2, and it was concluded that intubation duration would not materially affect resource use as patients were already in an ICU setting. However, Alipour-Faz also identifies a significant difference in surgery duration</w:t>
      </w:r>
      <w:r w:rsidR="00FA4655" w:rsidRPr="007D1918">
        <w:rPr>
          <w:snapToGrid w:val="0"/>
          <w:lang w:eastAsia="en-US"/>
        </w:rPr>
        <w:t xml:space="preserve">: </w:t>
      </w:r>
      <w:r w:rsidRPr="007D1918">
        <w:rPr>
          <w:snapToGrid w:val="0"/>
          <w:lang w:eastAsia="en-US"/>
        </w:rPr>
        <w:t xml:space="preserve">in Section C.2 a translation to adjust the hospital resource costs to account for increased theatre time is planned. </w:t>
      </w:r>
    </w:p>
    <w:p w14:paraId="427918CF" w14:textId="77777777" w:rsidR="006C641A" w:rsidRPr="007D1918" w:rsidRDefault="006C641A" w:rsidP="006C641A">
      <w:pPr>
        <w:spacing w:after="0" w:line="240" w:lineRule="auto"/>
        <w:rPr>
          <w:snapToGrid w:val="0"/>
          <w:lang w:eastAsia="en-US"/>
        </w:rPr>
      </w:pPr>
      <w:r w:rsidRPr="007D1918">
        <w:rPr>
          <w:snapToGrid w:val="0"/>
          <w:lang w:eastAsia="en-US"/>
        </w:rPr>
        <w:br w:type="page"/>
      </w:r>
    </w:p>
    <w:p w14:paraId="3AB993E4" w14:textId="0F8186C0" w:rsidR="006C641A" w:rsidRPr="007D1918" w:rsidRDefault="006C641A" w:rsidP="006C641A">
      <w:pPr>
        <w:pStyle w:val="Caption"/>
      </w:pPr>
      <w:bookmarkStart w:id="409" w:name="_Ref18359160"/>
      <w:bookmarkStart w:id="410" w:name="_Toc15561975"/>
      <w:bookmarkStart w:id="411" w:name="_Toc23769557"/>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70</w:t>
      </w:r>
      <w:r w:rsidRPr="007D1918">
        <w:rPr>
          <w:noProof/>
        </w:rPr>
        <w:fldChar w:fldCharType="end"/>
      </w:r>
      <w:bookmarkEnd w:id="409"/>
      <w:r w:rsidRPr="007D1918">
        <w:t xml:space="preserve">: Clinical differences identified in the RCTs </w:t>
      </w:r>
      <w:r w:rsidR="005671FB" w:rsidRPr="007D1918">
        <w:t xml:space="preserve">or additional literature </w:t>
      </w:r>
      <w:r w:rsidRPr="007D1918">
        <w:t xml:space="preserve">with </w:t>
      </w:r>
      <w:r w:rsidRPr="007D1918">
        <w:rPr>
          <w:u w:val="single"/>
        </w:rPr>
        <w:t>resource use implications</w:t>
      </w:r>
      <w:bookmarkEnd w:id="410"/>
      <w:bookmarkEnd w:id="411"/>
      <w:r w:rsidRPr="007D1918">
        <w:t xml:space="preserve"> </w:t>
      </w:r>
    </w:p>
    <w:tbl>
      <w:tblPr>
        <w:tblStyle w:val="TableGrid"/>
        <w:tblW w:w="9917" w:type="dxa"/>
        <w:tblLayout w:type="fixed"/>
        <w:tblLook w:val="04A0" w:firstRow="1" w:lastRow="0" w:firstColumn="1" w:lastColumn="0" w:noHBand="0" w:noVBand="1"/>
        <w:tblCaption w:val="Table 70: Clinical differences identified in the RCTs or additional literature with resource use implications "/>
      </w:tblPr>
      <w:tblGrid>
        <w:gridCol w:w="2263"/>
        <w:gridCol w:w="851"/>
        <w:gridCol w:w="850"/>
        <w:gridCol w:w="4253"/>
        <w:gridCol w:w="1700"/>
      </w:tblGrid>
      <w:tr w:rsidR="006C641A" w:rsidRPr="007D1918" w14:paraId="74C1B202" w14:textId="77777777" w:rsidTr="00BD29C0">
        <w:trPr>
          <w:tblHeader/>
        </w:trPr>
        <w:tc>
          <w:tcPr>
            <w:tcW w:w="2263" w:type="dxa"/>
          </w:tcPr>
          <w:p w14:paraId="7C6B71BC"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Input Description</w:t>
            </w:r>
          </w:p>
        </w:tc>
        <w:tc>
          <w:tcPr>
            <w:tcW w:w="851" w:type="dxa"/>
          </w:tcPr>
          <w:p w14:paraId="40F72651" w14:textId="77777777" w:rsidR="006C641A" w:rsidRPr="007D1918" w:rsidRDefault="006C641A" w:rsidP="00153384">
            <w:pPr>
              <w:keepNext/>
              <w:spacing w:before="40" w:after="40" w:line="240" w:lineRule="auto"/>
              <w:ind w:left="0"/>
              <w:jc w:val="center"/>
              <w:rPr>
                <w:rFonts w:ascii="Arial Narrow" w:hAnsi="Arial Narrow"/>
                <w:b/>
                <w:sz w:val="20"/>
                <w:szCs w:val="20"/>
              </w:rPr>
            </w:pPr>
            <w:r w:rsidRPr="007D1918">
              <w:rPr>
                <w:rFonts w:ascii="Arial Narrow" w:hAnsi="Arial Narrow"/>
                <w:b/>
                <w:sz w:val="20"/>
                <w:szCs w:val="20"/>
              </w:rPr>
              <w:t xml:space="preserve">IVIg </w:t>
            </w:r>
          </w:p>
        </w:tc>
        <w:tc>
          <w:tcPr>
            <w:tcW w:w="850" w:type="dxa"/>
          </w:tcPr>
          <w:p w14:paraId="6485D65A"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 xml:space="preserve">PE </w:t>
            </w:r>
          </w:p>
        </w:tc>
        <w:tc>
          <w:tcPr>
            <w:tcW w:w="4253" w:type="dxa"/>
          </w:tcPr>
          <w:p w14:paraId="7D7D2E3B"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Implications</w:t>
            </w:r>
          </w:p>
        </w:tc>
        <w:tc>
          <w:tcPr>
            <w:tcW w:w="1700" w:type="dxa"/>
          </w:tcPr>
          <w:p w14:paraId="46639115" w14:textId="77777777" w:rsidR="006C641A" w:rsidRPr="007D1918" w:rsidRDefault="006C641A" w:rsidP="00153384">
            <w:pPr>
              <w:keepNext/>
              <w:spacing w:before="40" w:after="40" w:line="240" w:lineRule="auto"/>
              <w:ind w:left="0"/>
              <w:jc w:val="center"/>
              <w:rPr>
                <w:rFonts w:ascii="Arial Narrow" w:hAnsi="Arial Narrow"/>
                <w:b/>
                <w:sz w:val="18"/>
                <w:szCs w:val="20"/>
              </w:rPr>
            </w:pPr>
            <w:r w:rsidRPr="007D1918">
              <w:rPr>
                <w:rFonts w:ascii="Arial Narrow" w:hAnsi="Arial Narrow"/>
                <w:b/>
                <w:sz w:val="20"/>
                <w:szCs w:val="20"/>
              </w:rPr>
              <w:t>Sources</w:t>
            </w:r>
          </w:p>
        </w:tc>
      </w:tr>
      <w:tr w:rsidR="006C641A" w:rsidRPr="007D1918" w14:paraId="641C2B00" w14:textId="77777777" w:rsidTr="00153384">
        <w:tc>
          <w:tcPr>
            <w:tcW w:w="9917" w:type="dxa"/>
            <w:gridSpan w:val="5"/>
          </w:tcPr>
          <w:p w14:paraId="45D6FFB2" w14:textId="77777777" w:rsidR="006C641A" w:rsidRPr="007D1918" w:rsidRDefault="006C641A" w:rsidP="00153384">
            <w:pPr>
              <w:keepNext/>
              <w:spacing w:before="40" w:after="40" w:line="240" w:lineRule="auto"/>
              <w:ind w:left="0"/>
              <w:rPr>
                <w:rFonts w:ascii="Arial Narrow" w:hAnsi="Arial Narrow"/>
                <w:b/>
                <w:i/>
                <w:sz w:val="20"/>
                <w:szCs w:val="20"/>
              </w:rPr>
            </w:pPr>
            <w:r w:rsidRPr="007D1918">
              <w:rPr>
                <w:rFonts w:ascii="Arial Narrow" w:hAnsi="Arial Narrow"/>
                <w:b/>
                <w:i/>
                <w:sz w:val="20"/>
                <w:szCs w:val="20"/>
              </w:rPr>
              <w:t>Indication 1</w:t>
            </w:r>
          </w:p>
        </w:tc>
      </w:tr>
      <w:tr w:rsidR="006C641A" w:rsidRPr="007D1918" w14:paraId="753E70E2" w14:textId="77777777" w:rsidTr="00153384">
        <w:tc>
          <w:tcPr>
            <w:tcW w:w="2263" w:type="dxa"/>
          </w:tcPr>
          <w:p w14:paraId="27AA88F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Retroperitoneal haemorrhage (RH)</w:t>
            </w:r>
          </w:p>
        </w:tc>
        <w:tc>
          <w:tcPr>
            <w:tcW w:w="851" w:type="dxa"/>
          </w:tcPr>
          <w:p w14:paraId="5454A5F9"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0%</w:t>
            </w:r>
          </w:p>
        </w:tc>
        <w:tc>
          <w:tcPr>
            <w:tcW w:w="850" w:type="dxa"/>
          </w:tcPr>
          <w:p w14:paraId="4E70172D"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2.44%</w:t>
            </w:r>
          </w:p>
        </w:tc>
        <w:tc>
          <w:tcPr>
            <w:tcW w:w="4253" w:type="dxa"/>
          </w:tcPr>
          <w:p w14:paraId="3D35EB65"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Abdominal US, CT scan (included in hospital costs).</w:t>
            </w:r>
          </w:p>
          <w:p w14:paraId="5894578F"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The literature reports a wide range in complexity and management associated with RH. One study assumes 10% of patients would be admitted to a HDU for 5-7 days and all patients would be admitted to a general medical ward for </w:t>
            </w:r>
            <w:r w:rsidRPr="007D1918">
              <w:rPr>
                <w:rFonts w:ascii="Cambria Math" w:hAnsi="Cambria Math" w:cs="Cambria Math"/>
                <w:sz w:val="20"/>
                <w:szCs w:val="20"/>
              </w:rPr>
              <w:t>∼</w:t>
            </w:r>
            <w:r w:rsidRPr="007D1918">
              <w:rPr>
                <w:rFonts w:ascii="Arial Narrow" w:hAnsi="Arial Narrow"/>
                <w:sz w:val="20"/>
                <w:szCs w:val="20"/>
              </w:rPr>
              <w:t>10 days. Other case reports describe large bleeds with ICU stays 47-89 days.</w:t>
            </w:r>
          </w:p>
          <w:p w14:paraId="4DEFE8EF" w14:textId="77777777" w:rsidR="006C641A" w:rsidRPr="007D1918" w:rsidRDefault="006C641A" w:rsidP="00153384">
            <w:pPr>
              <w:spacing w:before="40" w:after="40" w:line="240" w:lineRule="auto"/>
              <w:ind w:left="0"/>
              <w:rPr>
                <w:rFonts w:ascii="Arial Narrow" w:hAnsi="Arial Narrow"/>
                <w:sz w:val="20"/>
                <w:szCs w:val="20"/>
                <w:u w:val="single"/>
              </w:rPr>
            </w:pPr>
            <w:r w:rsidRPr="007D1918">
              <w:rPr>
                <w:rFonts w:ascii="Arial Narrow" w:hAnsi="Arial Narrow"/>
                <w:sz w:val="20"/>
                <w:szCs w:val="20"/>
                <w:u w:val="single"/>
              </w:rPr>
              <w:t>Additional resources assumed for base case:</w:t>
            </w:r>
          </w:p>
          <w:p w14:paraId="07C7E674"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*Patients with a confirmed RH receive 6 units of RBC. </w:t>
            </w:r>
          </w:p>
          <w:p w14:paraId="1AE0AA8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*Hospital stay extended by 10 days in ICU and 5 days on ward.</w:t>
            </w:r>
          </w:p>
        </w:tc>
        <w:tc>
          <w:tcPr>
            <w:tcW w:w="1700" w:type="dxa"/>
          </w:tcPr>
          <w:p w14:paraId="37FA2A2C"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 xml:space="preserve">Event Rate: Gajdos </w:t>
            </w:r>
          </w:p>
          <w:p w14:paraId="1330B7DF" w14:textId="77777777" w:rsidR="006C641A" w:rsidRPr="007D1918" w:rsidRDefault="006C641A" w:rsidP="00153384">
            <w:pPr>
              <w:keepNext/>
              <w:spacing w:before="40" w:after="40" w:line="240" w:lineRule="auto"/>
              <w:ind w:left="0"/>
              <w:jc w:val="center"/>
              <w:rPr>
                <w:rFonts w:ascii="Arial Narrow" w:hAnsi="Arial Narrow"/>
                <w:sz w:val="20"/>
                <w:szCs w:val="20"/>
              </w:rPr>
            </w:pPr>
          </w:p>
          <w:p w14:paraId="4F0AB057"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Clinical implications described in:</w:t>
            </w:r>
          </w:p>
          <w:p w14:paraId="681BDAA3" w14:textId="6D9B7E51" w:rsidR="006C641A" w:rsidRPr="007D1918" w:rsidRDefault="007F4CDE"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fldChar w:fldCharType="begin">
                <w:fldData xml:space="preserve">PEVuZE5vdGU+PENpdGU+PEF1dGhvcj5HdWVzdDwvQXV0aG9yPjxZZWFyPjIwMTA8L1llYXI+PFJl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PEVuZE5vdGU+PENpdGU+PEF1dGhvcj5HdWVzdDwvQXV0aG9yPjxZZWFyPjIwMTA8L1llYXI+PFJl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1" w:tooltip="Guest, 2010 #98" w:history="1">
              <w:r w:rsidR="007D4948" w:rsidRPr="007D1918">
                <w:rPr>
                  <w:rFonts w:ascii="Arial Narrow" w:hAnsi="Arial Narrow"/>
                  <w:noProof/>
                  <w:sz w:val="20"/>
                  <w:szCs w:val="20"/>
                </w:rPr>
                <w:t>Guest, Watson &amp; Limaye 2010</w:t>
              </w:r>
            </w:hyperlink>
            <w:r w:rsidRPr="007D1918">
              <w:rPr>
                <w:rFonts w:ascii="Arial Narrow" w:hAnsi="Arial Narrow"/>
                <w:noProof/>
                <w:sz w:val="20"/>
                <w:szCs w:val="20"/>
              </w:rPr>
              <w:t>)</w:t>
            </w:r>
            <w:r w:rsidRPr="007D1918">
              <w:rPr>
                <w:rFonts w:ascii="Arial Narrow" w:hAnsi="Arial Narrow"/>
                <w:sz w:val="20"/>
                <w:szCs w:val="20"/>
              </w:rPr>
              <w:fldChar w:fldCharType="end"/>
            </w:r>
            <w:r w:rsidR="006C641A" w:rsidRPr="007D1918">
              <w:rPr>
                <w:rFonts w:ascii="Arial Narrow" w:hAnsi="Arial Narrow"/>
                <w:sz w:val="20"/>
                <w:szCs w:val="20"/>
              </w:rPr>
              <w:t>,</w:t>
            </w:r>
          </w:p>
          <w:p w14:paraId="0F9F81AD" w14:textId="78E20203" w:rsidR="006C641A" w:rsidRPr="007D1918" w:rsidRDefault="007F4CDE" w:rsidP="007D4948">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&lt;EndNote&gt;&lt;Cite&gt;&lt;Author&gt;Daliakopoulos&lt;/Author&gt;&lt;Year&gt;2008&lt;/Year&gt;&lt;RecNum&gt;100&lt;/RecNum&gt;&lt;DisplayText&gt;(Daliakopoulos, Stavros I. et al. 2008)&lt;/DisplayText&gt;&lt;record&gt;&lt;rec-number&gt;100&lt;/rec-number&gt;&lt;foreign-keys&gt;&lt;key app="EN" db-id="2aevrx2slsts5ve9sdavatf125dsx0av2v9d" timestamp="1567581019"&gt;100&lt;/key&gt;&lt;/foreign-keys&gt;&lt;ref-type name="Journal Article"&gt;17&lt;/ref-type&gt;&lt;contributors&gt;&lt;authors&gt;&lt;author&gt;Daliakopoulos, Stavros I.&lt;/author&gt;&lt;author&gt;Bairaktaris, Andreas&lt;/author&gt;&lt;author&gt;Papadimitriou, Dimitrios&lt;/author&gt;&lt;author&gt;Pappas, Perikles&lt;/author&gt;&lt;/authors&gt;&lt;/contributors&gt;&lt;titles&gt;&lt;title&gt;Gigantic retroperitoneal hematoma as a complication of anticoagulation therapy with heparin in therapeutic doses: a case report&lt;/title&gt;&lt;secondary-title&gt;Journal of Medical Case Reports&lt;/secondary-title&gt;&lt;/titles&gt;&lt;periodical&gt;&lt;full-title&gt;Journal of Medical Case Reports&lt;/full-title&gt;&lt;/periodical&gt;&lt;pages&gt;162&lt;/pages&gt;&lt;volume&gt;2&lt;/volume&gt;&lt;number&gt;1&lt;/number&gt;&lt;dates&gt;&lt;year&gt;2008&lt;/year&gt;&lt;pub-dates&gt;&lt;date&gt;2008/05/17&lt;/date&gt;&lt;/pub-dates&gt;&lt;/dates&gt;&lt;isbn&gt;1752-1947&lt;/isbn&gt;&lt;urls&gt;&lt;related-urls&gt;&lt;url&gt;https://doi.org/10.1186/1752-1947-2-162&lt;/url&gt;&lt;url&gt;https://jmedicalcasereports.biomedcentral.com/track/pdf/10.1186/1752-1947-2-162&lt;/url&gt;&lt;/related-urls&gt;&lt;/urls&gt;&lt;electronic-resource-num&gt;10.1186/1752-1947-2-162&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0" w:tooltip="Daliakopoulos, 2008 #100" w:history="1">
              <w:r w:rsidR="007D4948" w:rsidRPr="007D1918">
                <w:rPr>
                  <w:rFonts w:ascii="Arial Narrow" w:hAnsi="Arial Narrow"/>
                  <w:noProof/>
                  <w:sz w:val="20"/>
                  <w:szCs w:val="20"/>
                </w:rPr>
                <w:t>Daliakopoulos, Stavros I. et al. 2008</w:t>
              </w:r>
            </w:hyperlink>
            <w:r w:rsidRPr="007D1918">
              <w:rPr>
                <w:rFonts w:ascii="Arial Narrow" w:hAnsi="Arial Narrow"/>
                <w:noProof/>
                <w:sz w:val="20"/>
                <w:szCs w:val="20"/>
              </w:rPr>
              <w:t>)</w:t>
            </w:r>
            <w:r w:rsidRPr="007D1918">
              <w:rPr>
                <w:rFonts w:ascii="Arial Narrow" w:hAnsi="Arial Narrow"/>
                <w:sz w:val="20"/>
                <w:szCs w:val="20"/>
              </w:rPr>
              <w:fldChar w:fldCharType="end"/>
            </w:r>
            <w:r w:rsidR="006C641A" w:rsidRPr="007D1918">
              <w:rPr>
                <w:rFonts w:ascii="Arial Narrow" w:hAnsi="Arial Narrow"/>
                <w:sz w:val="20"/>
                <w:szCs w:val="20"/>
              </w:rPr>
              <w:t xml:space="preserve">, </w:t>
            </w:r>
            <w:r w:rsidRPr="007D1918">
              <w:rPr>
                <w:rFonts w:ascii="Arial Narrow" w:hAnsi="Arial Narrow"/>
                <w:sz w:val="20"/>
                <w:szCs w:val="20"/>
              </w:rPr>
              <w:fldChar w:fldCharType="begin">
                <w:fldData xml:space="preserve">PEVuZE5vdGU+PENpdGU+PEF1dGhvcj5EYWxpYWtvcG91bG9zPC9BdXRob3I+PFllYXI+MjAxMDwv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==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PEVuZE5vdGU+PENpdGU+PEF1dGhvcj5EYWxpYWtvcG91bG9zPC9BdXRob3I+PFllYXI+MjAxMDwv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==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1" w:tooltip="Daliakopoulos, 2010 #89" w:history="1">
              <w:r w:rsidR="007D4948" w:rsidRPr="007D1918">
                <w:rPr>
                  <w:rFonts w:ascii="Arial Narrow" w:hAnsi="Arial Narrow"/>
                  <w:noProof/>
                  <w:sz w:val="20"/>
                  <w:szCs w:val="20"/>
                </w:rPr>
                <w:t>Daliakopoulos, S. I. et al. 2010</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6C641A" w:rsidRPr="007D1918" w14:paraId="253CB6D1" w14:textId="77777777" w:rsidTr="00153384">
        <w:tc>
          <w:tcPr>
            <w:tcW w:w="2263" w:type="dxa"/>
          </w:tcPr>
          <w:p w14:paraId="777D804A"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Femoral thrombosis</w:t>
            </w:r>
          </w:p>
        </w:tc>
        <w:tc>
          <w:tcPr>
            <w:tcW w:w="851" w:type="dxa"/>
          </w:tcPr>
          <w:p w14:paraId="24AF903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0%</w:t>
            </w:r>
          </w:p>
        </w:tc>
        <w:tc>
          <w:tcPr>
            <w:tcW w:w="850" w:type="dxa"/>
          </w:tcPr>
          <w:p w14:paraId="7E3B84A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2.44%</w:t>
            </w:r>
          </w:p>
        </w:tc>
        <w:tc>
          <w:tcPr>
            <w:tcW w:w="4253" w:type="dxa"/>
          </w:tcPr>
          <w:p w14:paraId="4C5C3D14"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Extent of active management (from monitoring through to pharmaceutical or mechanical thrombectomy) will vary substantially depending on patient risk characteristics and available expertise, noting that patient is in MG crisis and may already be intubated in ICU.</w:t>
            </w:r>
          </w:p>
          <w:p w14:paraId="099FF66B" w14:textId="77777777" w:rsidR="006C641A" w:rsidRPr="007D1918" w:rsidRDefault="006C641A" w:rsidP="00153384">
            <w:pPr>
              <w:autoSpaceDE w:val="0"/>
              <w:autoSpaceDN w:val="0"/>
              <w:adjustRightInd w:val="0"/>
              <w:spacing w:after="0" w:line="240" w:lineRule="auto"/>
              <w:ind w:left="0"/>
              <w:rPr>
                <w:rFonts w:ascii="Arial Narrow" w:hAnsi="Arial Narrow"/>
                <w:sz w:val="20"/>
                <w:szCs w:val="20"/>
              </w:rPr>
            </w:pPr>
            <w:r w:rsidRPr="007D1918">
              <w:rPr>
                <w:rFonts w:ascii="Arial Narrow" w:hAnsi="Arial Narrow"/>
                <w:sz w:val="20"/>
                <w:szCs w:val="20"/>
              </w:rPr>
              <w:t>Anticoagulation may be safely stopped after 3 months in most patients with a first-episode of DVT related to a major reversible risk factor (ie, recent surgery or trauma)</w:t>
            </w:r>
          </w:p>
          <w:p w14:paraId="58BD2BA7" w14:textId="77777777" w:rsidR="006C641A" w:rsidRPr="007D1918" w:rsidRDefault="006C641A" w:rsidP="00153384">
            <w:pPr>
              <w:spacing w:before="40" w:after="40" w:line="240" w:lineRule="auto"/>
              <w:ind w:left="0"/>
              <w:rPr>
                <w:rFonts w:ascii="Arial Narrow" w:hAnsi="Arial Narrow"/>
                <w:sz w:val="20"/>
                <w:szCs w:val="20"/>
                <w:u w:val="single"/>
              </w:rPr>
            </w:pPr>
            <w:r w:rsidRPr="007D1918">
              <w:rPr>
                <w:rFonts w:ascii="Arial Narrow" w:hAnsi="Arial Narrow"/>
                <w:sz w:val="20"/>
                <w:szCs w:val="20"/>
                <w:u w:val="single"/>
              </w:rPr>
              <w:t>Additional resources use to be costed:</w:t>
            </w:r>
          </w:p>
          <w:p w14:paraId="6C409C21"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*Additional 1 day of ICU hospitalisation.</w:t>
            </w:r>
          </w:p>
          <w:p w14:paraId="05B27E80"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*90 days anticoagulant therapy (e.g. rivaroxaban; 3 weeks 15mg twice daily, then 20mg daily)</w:t>
            </w:r>
          </w:p>
        </w:tc>
        <w:tc>
          <w:tcPr>
            <w:tcW w:w="1700" w:type="dxa"/>
          </w:tcPr>
          <w:p w14:paraId="2BABA62E"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Gajdos (event rate)</w:t>
            </w:r>
          </w:p>
          <w:p w14:paraId="7312F698" w14:textId="77777777" w:rsidR="006C641A" w:rsidRPr="007D1918" w:rsidRDefault="006C641A" w:rsidP="00153384">
            <w:pPr>
              <w:keepNext/>
              <w:spacing w:before="40" w:after="40" w:line="240" w:lineRule="auto"/>
              <w:ind w:left="0"/>
              <w:jc w:val="center"/>
              <w:rPr>
                <w:rFonts w:ascii="Arial Narrow" w:hAnsi="Arial Narrow"/>
                <w:sz w:val="20"/>
                <w:szCs w:val="20"/>
              </w:rPr>
            </w:pPr>
          </w:p>
          <w:p w14:paraId="398B14CA" w14:textId="6B02FE04" w:rsidR="006C641A" w:rsidRPr="007D1918" w:rsidRDefault="006C641A" w:rsidP="00153384">
            <w:pPr>
              <w:pStyle w:val="Tablecontents"/>
              <w:ind w:left="0"/>
            </w:pPr>
            <w:r w:rsidRPr="007D1918">
              <w:t xml:space="preserve">Clinical implications described in: </w:t>
            </w:r>
            <w:r w:rsidR="007F4CDE" w:rsidRPr="007D1918">
              <w:fldChar w:fldCharType="begin">
                <w:fldData xml:space="preserve">PEVuZE5vdGU+PENpdGU+PEF1dGhvcj5KYWZmPC9BdXRob3I+PFllYXI+MjAxMTwvWWVhcj48UmVj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</w:fldData>
              </w:fldChar>
            </w:r>
            <w:r w:rsidR="007F4CDE" w:rsidRPr="007D1918">
              <w:instrText xml:space="preserve"> ADDIN EN.CITE </w:instrText>
            </w:r>
            <w:r w:rsidR="007F4CDE" w:rsidRPr="007D1918">
              <w:fldChar w:fldCharType="begin">
                <w:fldData xml:space="preserve">PEVuZE5vdGU+PENpdGU+PEF1dGhvcj5KYWZmPC9BdXRob3I+PFllYXI+MjAxMTwvWWVhcj48UmVj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</w:fldData>
              </w:fldChar>
            </w:r>
            <w:r w:rsidR="007F4CDE" w:rsidRPr="007D1918">
              <w:instrText xml:space="preserve"> ADDIN EN.CITE.DATA </w:instrText>
            </w:r>
            <w:r w:rsidR="007F4CDE" w:rsidRPr="007D1918">
              <w:fldChar w:fldCharType="end"/>
            </w:r>
            <w:r w:rsidR="007F4CDE" w:rsidRPr="007D1918">
              <w:fldChar w:fldCharType="separate"/>
            </w:r>
            <w:r w:rsidR="007F4CDE" w:rsidRPr="007D1918">
              <w:rPr>
                <w:noProof/>
              </w:rPr>
              <w:t>(</w:t>
            </w:r>
            <w:hyperlink w:anchor="_ENREF_54" w:tooltip="Jaff, 2011 #93" w:history="1">
              <w:r w:rsidR="007D4948" w:rsidRPr="007D1918">
                <w:rPr>
                  <w:noProof/>
                </w:rPr>
                <w:t>Jaff et al. 2011</w:t>
              </w:r>
            </w:hyperlink>
            <w:r w:rsidR="007F4CDE" w:rsidRPr="007D1918">
              <w:rPr>
                <w:noProof/>
              </w:rPr>
              <w:t>)</w:t>
            </w:r>
            <w:r w:rsidR="007F4CDE" w:rsidRPr="007D1918">
              <w:fldChar w:fldCharType="end"/>
            </w:r>
            <w:r w:rsidRPr="007D1918">
              <w:t xml:space="preserve">, </w:t>
            </w:r>
            <w:r w:rsidR="007F4CDE" w:rsidRPr="007D1918">
              <w:fldChar w:fldCharType="begin">
                <w:fldData xml:space="preserve">PEVuZE5vdGU+PENpdGU+PEF1dGhvcj5IZWlzZW48L0F1dGhvcj48WWVhcj4yMDE3PC9ZZWFyPjxS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</w:fldData>
              </w:fldChar>
            </w:r>
            <w:r w:rsidR="007F4CDE" w:rsidRPr="007D1918">
              <w:instrText xml:space="preserve"> ADDIN EN.CITE </w:instrText>
            </w:r>
            <w:r w:rsidR="007F4CDE" w:rsidRPr="007D1918">
              <w:fldChar w:fldCharType="begin">
                <w:fldData xml:space="preserve">PEVuZE5vdGU+PENpdGU+PEF1dGhvcj5IZWlzZW48L0F1dGhvcj48WWVhcj4yMDE3PC9ZZWFyPjxS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</w:fldData>
              </w:fldChar>
            </w:r>
            <w:r w:rsidR="007F4CDE" w:rsidRPr="007D1918">
              <w:instrText xml:space="preserve"> ADDIN EN.CITE.DATA </w:instrText>
            </w:r>
            <w:r w:rsidR="007F4CDE" w:rsidRPr="007D1918">
              <w:fldChar w:fldCharType="end"/>
            </w:r>
            <w:r w:rsidR="007F4CDE" w:rsidRPr="007D1918">
              <w:fldChar w:fldCharType="separate"/>
            </w:r>
            <w:r w:rsidR="007F4CDE" w:rsidRPr="007D1918">
              <w:rPr>
                <w:noProof/>
              </w:rPr>
              <w:t>(</w:t>
            </w:r>
            <w:hyperlink w:anchor="_ENREF_48" w:tooltip="Heisen, 2017 #104" w:history="1">
              <w:r w:rsidR="007D4948" w:rsidRPr="007D1918">
                <w:rPr>
                  <w:noProof/>
                </w:rPr>
                <w:t>Heisen et al. 2017</w:t>
              </w:r>
            </w:hyperlink>
            <w:r w:rsidR="007F4CDE" w:rsidRPr="007D1918">
              <w:rPr>
                <w:noProof/>
              </w:rPr>
              <w:t>)</w:t>
            </w:r>
            <w:r w:rsidR="007F4CDE" w:rsidRPr="007D1918">
              <w:fldChar w:fldCharType="end"/>
            </w:r>
          </w:p>
          <w:p w14:paraId="27A94EB1" w14:textId="77777777" w:rsidR="006C641A" w:rsidRPr="007D1918" w:rsidRDefault="006C641A" w:rsidP="00153384">
            <w:pPr>
              <w:pStyle w:val="Tablecontents"/>
              <w:ind w:left="0"/>
            </w:pPr>
            <w:r w:rsidRPr="007D1918">
              <w:t>Rivaroxiban PI</w:t>
            </w:r>
          </w:p>
        </w:tc>
      </w:tr>
      <w:tr w:rsidR="005671FB" w:rsidRPr="007D1918" w14:paraId="0E60E79B" w14:textId="77777777" w:rsidTr="00942701">
        <w:tc>
          <w:tcPr>
            <w:tcW w:w="2263" w:type="dxa"/>
          </w:tcPr>
          <w:p w14:paraId="70EBAA58" w14:textId="77777777" w:rsidR="005671FB" w:rsidRPr="007D1918" w:rsidRDefault="005671FB" w:rsidP="00942701">
            <w:pPr>
              <w:spacing w:before="40" w:after="40" w:line="240" w:lineRule="auto"/>
              <w:ind w:left="0"/>
              <w:rPr>
                <w:rFonts w:ascii="Arial Narrow" w:hAnsi="Arial Narrow"/>
                <w:sz w:val="20"/>
                <w:szCs w:val="20"/>
              </w:rPr>
            </w:pPr>
            <w:r w:rsidRPr="007D1918">
              <w:rPr>
                <w:rFonts w:ascii="Arial Narrow" w:hAnsi="Arial Narrow"/>
                <w:sz w:val="20"/>
                <w:szCs w:val="20"/>
              </w:rPr>
              <w:t>Discontinuation of initial therapy and switch to alternative</w:t>
            </w:r>
          </w:p>
        </w:tc>
        <w:tc>
          <w:tcPr>
            <w:tcW w:w="851" w:type="dxa"/>
          </w:tcPr>
          <w:p w14:paraId="1BF2F8FE" w14:textId="77777777" w:rsidR="005671FB" w:rsidRPr="007D1918" w:rsidRDefault="005671FB" w:rsidP="00942701">
            <w:pPr>
              <w:spacing w:before="40" w:after="40" w:line="240" w:lineRule="auto"/>
              <w:ind w:left="0"/>
              <w:jc w:val="center"/>
              <w:rPr>
                <w:rFonts w:ascii="Arial Narrow" w:hAnsi="Arial Narrow"/>
                <w:sz w:val="20"/>
                <w:szCs w:val="20"/>
              </w:rPr>
            </w:pPr>
            <w:r w:rsidRPr="007D1918">
              <w:rPr>
                <w:rFonts w:ascii="Arial Narrow" w:hAnsi="Arial Narrow"/>
                <w:sz w:val="20"/>
                <w:szCs w:val="20"/>
              </w:rPr>
              <w:t>0%</w:t>
            </w:r>
          </w:p>
        </w:tc>
        <w:tc>
          <w:tcPr>
            <w:tcW w:w="850" w:type="dxa"/>
          </w:tcPr>
          <w:p w14:paraId="5346E809" w14:textId="77777777" w:rsidR="005671FB" w:rsidRPr="007D1918" w:rsidRDefault="005671FB" w:rsidP="00942701">
            <w:pPr>
              <w:spacing w:before="40" w:after="40" w:line="240" w:lineRule="auto"/>
              <w:ind w:left="0"/>
              <w:jc w:val="center"/>
              <w:rPr>
                <w:rFonts w:ascii="Arial Narrow" w:hAnsi="Arial Narrow"/>
                <w:sz w:val="20"/>
                <w:szCs w:val="20"/>
              </w:rPr>
            </w:pPr>
            <w:r w:rsidRPr="007D1918">
              <w:rPr>
                <w:rFonts w:ascii="Arial Narrow" w:hAnsi="Arial Narrow"/>
                <w:sz w:val="20"/>
                <w:szCs w:val="20"/>
              </w:rPr>
              <w:t>4.88%</w:t>
            </w:r>
          </w:p>
        </w:tc>
        <w:tc>
          <w:tcPr>
            <w:tcW w:w="4253" w:type="dxa"/>
          </w:tcPr>
          <w:p w14:paraId="62409136" w14:textId="77777777" w:rsidR="005671FB" w:rsidRPr="007D1918" w:rsidRDefault="005671FB" w:rsidP="00942701">
            <w:pPr>
              <w:spacing w:before="40" w:after="40" w:line="240" w:lineRule="auto"/>
              <w:ind w:left="0"/>
              <w:rPr>
                <w:rFonts w:ascii="Arial Narrow" w:hAnsi="Arial Narrow"/>
                <w:sz w:val="20"/>
                <w:szCs w:val="20"/>
              </w:rPr>
            </w:pPr>
            <w:r w:rsidRPr="007D1918">
              <w:rPr>
                <w:rFonts w:ascii="Arial Narrow" w:hAnsi="Arial Narrow"/>
                <w:sz w:val="20"/>
                <w:szCs w:val="20"/>
              </w:rPr>
              <w:t xml:space="preserve">PE patients unable to tolerate PE will require IVIg </w:t>
            </w:r>
          </w:p>
        </w:tc>
        <w:tc>
          <w:tcPr>
            <w:tcW w:w="1700" w:type="dxa"/>
          </w:tcPr>
          <w:p w14:paraId="620FACB1" w14:textId="1D8CBEAF" w:rsidR="005671FB" w:rsidRPr="007D1918" w:rsidRDefault="005671FB" w:rsidP="007D4948">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rFonts w:ascii="Arial Narrow" w:hAnsi="Arial Narrow"/>
                <w:sz w:val="20"/>
                <w:szCs w:val="20"/>
              </w:rPr>
              <w:instrText xml:space="preserve"> ADDIN EN.CITE </w:instrText>
            </w:r>
            <w:r w:rsidRPr="007D1918">
              <w:rPr>
                <w:rFonts w:ascii="Arial Narrow" w:hAnsi="Arial Narrow"/>
                <w:sz w:val="20"/>
                <w:szCs w:val="20"/>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Pr="007D1918">
              <w:rPr>
                <w:rFonts w:ascii="Arial Narrow" w:hAnsi="Arial Narrow"/>
                <w:sz w:val="20"/>
                <w:szCs w:val="20"/>
              </w:rPr>
              <w:instrText xml:space="preserve"> ADDIN EN.CITE.DATA </w:instrText>
            </w:r>
            <w:r w:rsidRPr="007D1918">
              <w:rPr>
                <w:rFonts w:ascii="Arial Narrow" w:hAnsi="Arial Narrow"/>
                <w:sz w:val="20"/>
                <w:szCs w:val="20"/>
              </w:rPr>
            </w:r>
            <w:r w:rsidRPr="007D1918">
              <w:rPr>
                <w:rFonts w:ascii="Arial Narrow" w:hAnsi="Arial Narrow"/>
                <w:sz w:val="20"/>
                <w:szCs w:val="20"/>
              </w:rPr>
              <w:fldChar w:fldCharType="end"/>
            </w:r>
            <w:r w:rsidRPr="007D1918">
              <w:rPr>
                <w:rFonts w:ascii="Arial Narrow" w:hAnsi="Arial Narrow"/>
                <w:sz w:val="20"/>
                <w:szCs w:val="20"/>
              </w:rPr>
            </w:r>
            <w:r w:rsidRPr="007D1918">
              <w:rPr>
                <w:rFonts w:ascii="Arial Narrow" w:hAnsi="Arial Narrow"/>
                <w:sz w:val="20"/>
                <w:szCs w:val="20"/>
              </w:rPr>
              <w:fldChar w:fldCharType="separate"/>
            </w:r>
            <w:r w:rsidRPr="007D1918">
              <w:rPr>
                <w:rFonts w:ascii="Arial Narrow" w:hAnsi="Arial Narrow"/>
                <w:noProof/>
                <w:sz w:val="20"/>
                <w:szCs w:val="20"/>
              </w:rPr>
              <w:t>(</w:t>
            </w:r>
            <w:hyperlink w:anchor="_ENREF_28" w:tooltip="Gajdos, 1997 #45" w:history="1">
              <w:r w:rsidR="007D4948" w:rsidRPr="007D1918">
                <w:rPr>
                  <w:rFonts w:ascii="Arial Narrow" w:hAnsi="Arial Narrow"/>
                  <w:noProof/>
                  <w:sz w:val="20"/>
                  <w:szCs w:val="20"/>
                </w:rPr>
                <w:t>Gajdos et al. 1997</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6C641A" w:rsidRPr="007D1918" w14:paraId="1DAD4EAB" w14:textId="77777777" w:rsidTr="00153384">
        <w:tc>
          <w:tcPr>
            <w:tcW w:w="2263" w:type="dxa"/>
          </w:tcPr>
          <w:p w14:paraId="253E3397"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Systemic Infection following MG crisis treatment</w:t>
            </w:r>
          </w:p>
        </w:tc>
        <w:tc>
          <w:tcPr>
            <w:tcW w:w="851" w:type="dxa"/>
          </w:tcPr>
          <w:p w14:paraId="5E4DDC27"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0%</w:t>
            </w:r>
          </w:p>
        </w:tc>
        <w:tc>
          <w:tcPr>
            <w:tcW w:w="850" w:type="dxa"/>
          </w:tcPr>
          <w:p w14:paraId="6C03BC20"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4.88%</w:t>
            </w:r>
          </w:p>
        </w:tc>
        <w:tc>
          <w:tcPr>
            <w:tcW w:w="4253" w:type="dxa"/>
          </w:tcPr>
          <w:p w14:paraId="66551068" w14:textId="77777777" w:rsidR="006C641A" w:rsidRPr="007D1918" w:rsidRDefault="006C641A" w:rsidP="00153384">
            <w:pPr>
              <w:spacing w:before="40" w:after="40" w:line="240" w:lineRule="auto"/>
              <w:ind w:left="0"/>
              <w:rPr>
                <w:rFonts w:ascii="Arial Narrow" w:hAnsi="Arial Narrow"/>
                <w:sz w:val="20"/>
                <w:szCs w:val="20"/>
                <w:u w:val="single"/>
              </w:rPr>
            </w:pPr>
            <w:r w:rsidRPr="007D1918">
              <w:rPr>
                <w:rFonts w:ascii="Arial Narrow" w:hAnsi="Arial Narrow"/>
                <w:sz w:val="20"/>
                <w:szCs w:val="20"/>
              </w:rPr>
              <w:t>Patients with central line infections had on average an additional 2.41 days in ICU and 7.54 days on the ward.</w:t>
            </w:r>
            <w:r w:rsidRPr="007D1918">
              <w:rPr>
                <w:rFonts w:ascii="Arial Narrow" w:hAnsi="Arial Narrow"/>
                <w:sz w:val="20"/>
                <w:szCs w:val="20"/>
                <w:u w:val="single"/>
              </w:rPr>
              <w:t xml:space="preserve"> Additional resources use to be costed:</w:t>
            </w:r>
          </w:p>
          <w:p w14:paraId="68635E7D"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Additional 10 days in hospital (2.41 in ICU, 7.54 on ward).</w:t>
            </w:r>
          </w:p>
        </w:tc>
        <w:tc>
          <w:tcPr>
            <w:tcW w:w="1700" w:type="dxa"/>
          </w:tcPr>
          <w:p w14:paraId="472CD327" w14:textId="08577193" w:rsidR="006C641A" w:rsidRPr="007D1918" w:rsidRDefault="007F4CDE" w:rsidP="007D4948">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&lt;EndNote&gt;&lt;Cite&gt;&lt;Author&gt;Halton&lt;/Author&gt;&lt;Year&gt;2009&lt;/Year&gt;&lt;RecNum&gt;99&lt;/RecNum&gt;&lt;DisplayText&gt;(Halton et al. 2009)&lt;/DisplayText&gt;&lt;record&gt;&lt;rec-number&gt;99&lt;/rec-number&gt;&lt;foreign-keys&gt;&lt;key app="EN" db-id="2aevrx2slsts5ve9sdavatf125dsx0av2v9d" timestamp="1567580431"&gt;99&lt;/key&gt;&lt;/foreign-keys&gt;&lt;ref-type name="Journal Article"&gt;17&lt;/ref-type&gt;&lt;contributors&gt;&lt;authors&gt;&lt;author&gt;Halton, K. A.&lt;/author&gt;&lt;author&gt;Cook, D. A.&lt;/author&gt;&lt;author&gt;Whitby, M.&lt;/author&gt;&lt;author&gt;Paterson, D. L.&lt;/author&gt;&lt;author&gt;Graves, N.&lt;/author&gt;&lt;/authors&gt;&lt;/contributors&gt;&lt;auth-address&gt;The Centre for Healthcare Related Infection Surveillance &amp;amp; Prevention, GPO Box 48, Brisbane, Queensland, 4001 Australia. k.halton@qut.edu.au&lt;/auth-address&gt;&lt;titles&gt;&lt;title&gt;Cost effectiveness of antimicrobial catheters in the intensive care unit: addressing uncertainty in the decision&lt;/title&gt;&lt;secondary-title&gt;Crit Care&lt;/secondary-title&gt;&lt;/titles&gt;&lt;periodical&gt;&lt;full-title&gt;Crit Care&lt;/full-title&gt;&lt;/periodical&gt;&lt;pages&gt;R35&lt;/pages&gt;&lt;volume&gt;13&lt;/volume&gt;&lt;number&gt;2&lt;/number&gt;&lt;edition&gt;2009/03/17&lt;/edition&gt;&lt;keywords&gt;&lt;keyword&gt;Adult&lt;/keyword&gt;&lt;keyword&gt;Anti-Infective Agents/administration &amp;amp; dosage/ economics&lt;/keyword&gt;&lt;keyword&gt;Australia&lt;/keyword&gt;&lt;keyword&gt;Blood-Borne Pathogens&lt;/keyword&gt;&lt;keyword&gt;Catheterization, Central Venous/ economics/instrumentation&lt;/keyword&gt;&lt;keyword&gt;Cost-Benefit Analysis/ methods&lt;/keyword&gt;&lt;keyword&gt;Humans&lt;/keyword&gt;&lt;keyword&gt;Intensive Care Units&lt;/keyword&gt;&lt;keyword&gt;Markov Chains&lt;/keyword&gt;&lt;keyword&gt;Practice Patterns, Physicians&amp;apos;&lt;/keyword&gt;&lt;keyword&gt;Sepsis/prevention &amp;amp; control&lt;/keyword&gt;&lt;keyword&gt;Uncertainty&lt;/keyword&gt;&lt;/keywords&gt;&lt;dates&gt;&lt;year&gt;2009&lt;/year&gt;&lt;/dates&gt;&lt;isbn&gt;1466-609X (Electronic)&amp;#xD;1364-8535 (Linking)&lt;/isbn&gt;&lt;accession-num&gt;19284570&lt;/accession-num&gt;&lt;urls&gt;&lt;related-urls&gt;&lt;url&gt;https://www.ncbi.nlm.nih.gov/pmc/articles/PMC2689469/pdf/cc7744.pdf&lt;/url&gt;&lt;/related-urls&gt;&lt;/urls&gt;&lt;custom2&gt;PMC2689469&lt;/custom2&gt;&lt;electronic-resource-num&gt;10.1186/cc7744&lt;/electronic-resource-num&gt;&lt;remote-database-provider&gt;NLM&lt;/remote-database-provider&gt;&lt;language&gt;eng&lt;/language&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4" w:tooltip="Halton, 2009 #99" w:history="1">
              <w:r w:rsidR="007D4948" w:rsidRPr="007D1918">
                <w:rPr>
                  <w:rFonts w:ascii="Arial Narrow" w:hAnsi="Arial Narrow"/>
                  <w:noProof/>
                  <w:sz w:val="20"/>
                  <w:szCs w:val="20"/>
                </w:rPr>
                <w:t>Halton et al. 2009</w:t>
              </w:r>
            </w:hyperlink>
            <w:r w:rsidRPr="007D1918">
              <w:rPr>
                <w:rFonts w:ascii="Arial Narrow" w:hAnsi="Arial Narrow"/>
                <w:noProof/>
                <w:sz w:val="20"/>
                <w:szCs w:val="20"/>
              </w:rPr>
              <w:t>)</w:t>
            </w:r>
            <w:r w:rsidRPr="007D1918">
              <w:rPr>
                <w:rFonts w:ascii="Arial Narrow" w:hAnsi="Arial Narrow"/>
                <w:sz w:val="20"/>
                <w:szCs w:val="20"/>
              </w:rPr>
              <w:fldChar w:fldCharType="end"/>
            </w:r>
          </w:p>
        </w:tc>
      </w:tr>
      <w:tr w:rsidR="006C641A" w:rsidRPr="007D1918" w14:paraId="68C78E94" w14:textId="77777777" w:rsidTr="00153384">
        <w:tc>
          <w:tcPr>
            <w:tcW w:w="9917" w:type="dxa"/>
            <w:gridSpan w:val="5"/>
          </w:tcPr>
          <w:p w14:paraId="242CE12F" w14:textId="77777777" w:rsidR="006C641A" w:rsidRPr="007D1918" w:rsidRDefault="006C641A" w:rsidP="00153384">
            <w:pPr>
              <w:keepNext/>
              <w:spacing w:before="40" w:after="40" w:line="240" w:lineRule="auto"/>
              <w:ind w:left="0"/>
              <w:rPr>
                <w:rFonts w:ascii="Arial Narrow" w:hAnsi="Arial Narrow"/>
                <w:b/>
                <w:i/>
                <w:sz w:val="20"/>
                <w:szCs w:val="20"/>
              </w:rPr>
            </w:pPr>
            <w:r w:rsidRPr="007D1918">
              <w:rPr>
                <w:rFonts w:ascii="Arial Narrow" w:hAnsi="Arial Narrow"/>
                <w:b/>
                <w:i/>
                <w:sz w:val="20"/>
                <w:szCs w:val="20"/>
              </w:rPr>
              <w:t>Indication 2: Hospital resource use</w:t>
            </w:r>
          </w:p>
        </w:tc>
      </w:tr>
      <w:tr w:rsidR="006C641A" w:rsidRPr="007D1918" w14:paraId="268B3032" w14:textId="77777777" w:rsidTr="00153384">
        <w:tc>
          <w:tcPr>
            <w:tcW w:w="2263" w:type="dxa"/>
          </w:tcPr>
          <w:p w14:paraId="4AB5C10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Mean duration of surgery (hours)</w:t>
            </w:r>
          </w:p>
        </w:tc>
        <w:tc>
          <w:tcPr>
            <w:tcW w:w="851" w:type="dxa"/>
          </w:tcPr>
          <w:p w14:paraId="39BBB7CF"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3.46</w:t>
            </w:r>
          </w:p>
        </w:tc>
        <w:tc>
          <w:tcPr>
            <w:tcW w:w="850" w:type="dxa"/>
          </w:tcPr>
          <w:p w14:paraId="718760DB"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4.17</w:t>
            </w:r>
          </w:p>
        </w:tc>
        <w:tc>
          <w:tcPr>
            <w:tcW w:w="4253" w:type="dxa"/>
          </w:tcPr>
          <w:p w14:paraId="719B9789"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Reduction in surgery hours (resource use) of 17%</w:t>
            </w:r>
          </w:p>
        </w:tc>
        <w:tc>
          <w:tcPr>
            <w:tcW w:w="1700" w:type="dxa"/>
          </w:tcPr>
          <w:p w14:paraId="791144D9" w14:textId="7FBF8DE5" w:rsidR="006C641A" w:rsidRPr="007D1918" w:rsidRDefault="006C641A" w:rsidP="007D4948">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Pr="007D1918">
              <w:rPr>
                <w:rFonts w:ascii="Cambria Math" w:hAnsi="Cambria Math" w:cs="Cambria Math"/>
                <w:sz w:val="20"/>
                <w:szCs w:val="20"/>
              </w:rPr>
              <w:instrText>‐</w:instrText>
            </w:r>
            <w:r w:rsidRPr="007D1918">
              <w:rPr>
                <w:rFonts w:ascii="Arial Narrow" w:hAnsi="Arial Narrow"/>
                <w:sz w:val="20"/>
                <w:szCs w:val="20"/>
              </w:rPr>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4" w:tooltip="Alipour-Faz, 2017 #64" w:history="1">
              <w:r w:rsidR="007D4948" w:rsidRPr="007D1918">
                <w:rPr>
                  <w:rFonts w:ascii="Arial Narrow" w:hAnsi="Arial Narrow"/>
                  <w:noProof/>
                  <w:sz w:val="20"/>
                  <w:szCs w:val="20"/>
                </w:rPr>
                <w:t>Alipour-Faz et al. 2017</w:t>
              </w:r>
            </w:hyperlink>
            <w:r w:rsidRPr="007D1918">
              <w:rPr>
                <w:rFonts w:ascii="Arial Narrow" w:hAnsi="Arial Narrow"/>
                <w:noProof/>
                <w:sz w:val="20"/>
                <w:szCs w:val="20"/>
              </w:rPr>
              <w:t>)</w:t>
            </w:r>
            <w:r w:rsidRPr="007D1918">
              <w:rPr>
                <w:rFonts w:ascii="Arial Narrow" w:hAnsi="Arial Narrow"/>
                <w:sz w:val="20"/>
                <w:szCs w:val="20"/>
              </w:rPr>
              <w:fldChar w:fldCharType="end"/>
            </w:r>
            <w:r w:rsidRPr="007D1918">
              <w:rPr>
                <w:rFonts w:ascii="Arial Narrow" w:hAnsi="Arial Narrow"/>
                <w:sz w:val="20"/>
                <w:szCs w:val="20"/>
              </w:rPr>
              <w:t xml:space="preserve"> </w:t>
            </w:r>
          </w:p>
        </w:tc>
      </w:tr>
      <w:tr w:rsidR="006C641A" w:rsidRPr="007D1918" w14:paraId="48850AB6" w14:textId="77777777" w:rsidTr="00153384">
        <w:tc>
          <w:tcPr>
            <w:tcW w:w="9917" w:type="dxa"/>
            <w:gridSpan w:val="5"/>
            <w:vAlign w:val="center"/>
          </w:tcPr>
          <w:p w14:paraId="44C4AF47" w14:textId="77777777" w:rsidR="006C641A" w:rsidRPr="007D1918" w:rsidRDefault="006C641A" w:rsidP="00153384">
            <w:pPr>
              <w:keepNext/>
              <w:spacing w:before="40" w:after="40" w:line="240" w:lineRule="auto"/>
              <w:ind w:left="0"/>
              <w:rPr>
                <w:rFonts w:ascii="Arial Narrow" w:hAnsi="Arial Narrow"/>
                <w:b/>
                <w:i/>
                <w:sz w:val="20"/>
                <w:szCs w:val="20"/>
              </w:rPr>
            </w:pPr>
            <w:r w:rsidRPr="007D1918">
              <w:rPr>
                <w:rFonts w:ascii="Arial Narrow" w:hAnsi="Arial Narrow"/>
                <w:b/>
                <w:i/>
                <w:sz w:val="20"/>
                <w:szCs w:val="20"/>
              </w:rPr>
              <w:t>Indication 3: Exploratory analysis including PE-associated infection</w:t>
            </w:r>
          </w:p>
        </w:tc>
      </w:tr>
      <w:tr w:rsidR="006C641A" w:rsidRPr="007D1918" w14:paraId="1F17FBDE" w14:textId="77777777" w:rsidTr="00153384">
        <w:tc>
          <w:tcPr>
            <w:tcW w:w="2263" w:type="dxa"/>
            <w:tcBorders>
              <w:bottom w:val="single" w:sz="4" w:space="0" w:color="auto"/>
            </w:tcBorders>
          </w:tcPr>
          <w:p w14:paraId="32F8D2BE"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Septicaemia</w:t>
            </w:r>
          </w:p>
        </w:tc>
        <w:tc>
          <w:tcPr>
            <w:tcW w:w="851" w:type="dxa"/>
            <w:tcBorders>
              <w:bottom w:val="single" w:sz="4" w:space="0" w:color="auto"/>
            </w:tcBorders>
          </w:tcPr>
          <w:p w14:paraId="0EB988B6"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0%</w:t>
            </w:r>
          </w:p>
        </w:tc>
        <w:tc>
          <w:tcPr>
            <w:tcW w:w="850" w:type="dxa"/>
            <w:tcBorders>
              <w:bottom w:val="single" w:sz="4" w:space="0" w:color="auto"/>
            </w:tcBorders>
          </w:tcPr>
          <w:p w14:paraId="7EBE5EBE"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0.2%</w:t>
            </w:r>
          </w:p>
        </w:tc>
        <w:tc>
          <w:tcPr>
            <w:tcW w:w="4253" w:type="dxa"/>
            <w:tcBorders>
              <w:bottom w:val="single" w:sz="4" w:space="0" w:color="auto"/>
            </w:tcBorders>
          </w:tcPr>
          <w:p w14:paraId="68459ACE"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Admission for sepsis. </w:t>
            </w:r>
          </w:p>
        </w:tc>
        <w:tc>
          <w:tcPr>
            <w:tcW w:w="1700" w:type="dxa"/>
            <w:tcBorders>
              <w:bottom w:val="single" w:sz="4" w:space="0" w:color="auto"/>
            </w:tcBorders>
          </w:tcPr>
          <w:p w14:paraId="5150AD5F" w14:textId="5A786FA8" w:rsidR="006C641A" w:rsidRPr="007D1918" w:rsidRDefault="007F4CDE" w:rsidP="007D4948">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fldChar w:fldCharType="begin"/>
            </w:r>
            <w:r w:rsidRPr="007D1918">
              <w:rPr>
                <w:rFonts w:ascii="Arial Narrow" w:hAnsi="Arial Narrow"/>
                <w:sz w:val="20"/>
                <w:szCs w:val="20"/>
              </w:rPr>
              <w:instrText xml:space="preserve"> ADDIN EN.CITE &lt;EndNote&gt;&lt;Cite&gt;&lt;Author&gt;Vucic&lt;/Author&gt;&lt;Year&gt;1998&lt;/Year&gt;&lt;RecNum&gt;36&lt;/RecNum&gt;&lt;DisplayText&gt;(Vucic &amp;amp; Davies 1998)&lt;/DisplayText&gt;&lt;record&gt;&lt;rec-number&gt;36&lt;/rec-number&gt;&lt;foreign-keys&gt;&lt;key app="EN" db-id="2aevrx2slsts5ve9sdavatf125dsx0av2v9d" timestamp="1561528498"&gt;36&lt;/key&gt;&lt;/foreign-keys&gt;&lt;ref-type name="Journal Article"&gt;17&lt;/ref-type&gt;&lt;contributors&gt;&lt;authors&gt;&lt;author&gt;Vucic, S.&lt;/author&gt;&lt;author&gt;Davies, L.&lt;/author&gt;&lt;/authors&gt;&lt;/contributors&gt;&lt;auth-address&gt;Department of Neurology, Royal Prince Alfred Hospital, Sydney, NSW.&lt;/auth-address&gt;&lt;titles&gt;&lt;title&gt;Safety of plasmapheresis in the treatment of neurological disease&lt;/title&gt;&lt;secondary-title&gt;Aust N Z J Med&lt;/secondary-title&gt;&lt;/titles&gt;&lt;periodical&gt;&lt;full-title&gt;Aust N Z J Med&lt;/full-title&gt;&lt;/periodical&gt;&lt;pages&gt;301-5&lt;/pages&gt;&lt;volume&gt;28&lt;/volume&gt;&lt;number&gt;3&lt;/number&gt;&lt;edition&gt;1998/07/23&lt;/edition&gt;&lt;keywords&gt;&lt;keyword&gt;Adult&lt;/keyword&gt;&lt;keyword&gt;Aged&lt;/keyword&gt;&lt;keyword&gt;Aged, 80 and over&lt;/keyword&gt;&lt;keyword&gt;Blood-Borne Pathogens&lt;/keyword&gt;&lt;keyword&gt;Catheterization, Peripheral/instrumentation&lt;/keyword&gt;&lt;keyword&gt;Equipment Failure Analysis&lt;/keyword&gt;&lt;keyword&gt;Female&lt;/keyword&gt;&lt;keyword&gt;Humans&lt;/keyword&gt;&lt;keyword&gt;Male&lt;/keyword&gt;&lt;keyword&gt;Middle Aged&lt;/keyword&gt;&lt;keyword&gt;Nervous System Diseases/ therapy&lt;/keyword&gt;&lt;keyword&gt;New South Wales&lt;/keyword&gt;&lt;keyword&gt;Plasmapheresis/ adverse effects/instrumentation&lt;/keyword&gt;&lt;keyword&gt;Retrospective Studies&lt;/keyword&gt;&lt;keyword&gt;Risk Factors&lt;/keyword&gt;&lt;keyword&gt;Sepsis/etiology&lt;/keyword&gt;&lt;/keywords&gt;&lt;dates&gt;&lt;year&gt;1998&lt;/year&gt;&lt;pub-dates&gt;&lt;date&gt;Jun&lt;/date&gt;&lt;/pub-dates&gt;&lt;/dates&gt;&lt;isbn&gt;0004-8291 (Print)&amp;#xD;0004-8291 (Linking)&lt;/isbn&gt;&lt;accession-num&gt;9673740&lt;/accession-num&gt;&lt;urls&gt;&lt;related-urls&gt;&lt;url&gt;https://onlinelibrary.wiley.com/doi/pdf/10.1111/j.1445-5994.1998.tb01952.x&lt;/url&gt;&lt;/related-urls&gt;&lt;/urls&gt;&lt;remote-database-provider&gt;NLM&lt;/remote-database-provider&gt;&lt;language&gt;eng&lt;/language&gt;&lt;/record&gt;&lt;/Cite&gt;&lt;/EndNote&gt;</w:instrText>
            </w:r>
            <w:r w:rsidRPr="007D1918">
              <w:rPr>
                <w:rFonts w:ascii="Arial Narrow" w:hAnsi="Arial Narrow"/>
                <w:sz w:val="20"/>
                <w:szCs w:val="20"/>
              </w:rPr>
              <w:fldChar w:fldCharType="separate"/>
            </w:r>
            <w:r w:rsidRPr="007D1918">
              <w:rPr>
                <w:rFonts w:ascii="Arial Narrow" w:hAnsi="Arial Narrow"/>
                <w:noProof/>
                <w:sz w:val="20"/>
                <w:szCs w:val="20"/>
              </w:rPr>
              <w:t>(</w:t>
            </w:r>
            <w:hyperlink w:anchor="_ENREF_102" w:tooltip="Vucic, 1998 #36" w:history="1">
              <w:r w:rsidR="007D4948" w:rsidRPr="007D1918">
                <w:rPr>
                  <w:rFonts w:ascii="Arial Narrow" w:hAnsi="Arial Narrow"/>
                  <w:noProof/>
                  <w:sz w:val="20"/>
                  <w:szCs w:val="20"/>
                </w:rPr>
                <w:t>Vucic &amp; Davies 1998</w:t>
              </w:r>
            </w:hyperlink>
            <w:r w:rsidRPr="007D1918">
              <w:rPr>
                <w:rFonts w:ascii="Arial Narrow" w:hAnsi="Arial Narrow"/>
                <w:noProof/>
                <w:sz w:val="20"/>
                <w:szCs w:val="20"/>
              </w:rPr>
              <w:t>)</w:t>
            </w:r>
            <w:r w:rsidRPr="007D1918">
              <w:rPr>
                <w:rFonts w:ascii="Arial Narrow" w:hAnsi="Arial Narrow"/>
                <w:sz w:val="20"/>
                <w:szCs w:val="20"/>
              </w:rPr>
              <w:fldChar w:fldCharType="end"/>
            </w:r>
          </w:p>
        </w:tc>
      </w:tr>
    </w:tbl>
    <w:p w14:paraId="76262BC4" w14:textId="77777777" w:rsidR="006C641A" w:rsidRPr="007D1918" w:rsidRDefault="006C641A" w:rsidP="006C641A">
      <w:pPr>
        <w:pStyle w:val="Tablenotes1"/>
      </w:pPr>
      <w:r w:rsidRPr="007D1918">
        <w:t>RCT = randomised clinical trial; IVIg = intravenous immunoglobulin; PE = plasma exchange</w:t>
      </w:r>
    </w:p>
    <w:p w14:paraId="617BE3DA" w14:textId="77777777" w:rsidR="005671FB" w:rsidRPr="007D1918" w:rsidRDefault="005671FB" w:rsidP="006C641A">
      <w:pPr>
        <w:pStyle w:val="Tablenotes1"/>
      </w:pPr>
    </w:p>
    <w:p w14:paraId="4A998A38" w14:textId="77777777" w:rsidR="006C641A" w:rsidRPr="007D1918" w:rsidRDefault="006C641A" w:rsidP="006C641A">
      <w:pPr>
        <w:pStyle w:val="Heading3"/>
      </w:pPr>
      <w:bookmarkStart w:id="412" w:name="_Toc15561876"/>
      <w:bookmarkStart w:id="413" w:name="_Toc23767000"/>
      <w:r w:rsidRPr="007D1918">
        <w:t>Resource costs</w:t>
      </w:r>
      <w:bookmarkEnd w:id="412"/>
      <w:bookmarkEnd w:id="413"/>
    </w:p>
    <w:p w14:paraId="7F586BCB" w14:textId="77777777" w:rsidR="006C641A" w:rsidRPr="007D1918" w:rsidRDefault="006C641A" w:rsidP="006C641A">
      <w:pPr>
        <w:jc w:val="both"/>
      </w:pPr>
      <w:r w:rsidRPr="007D1918">
        <w:t xml:space="preserve">Inputs for all resource costs, in 2019 Australian prices, used in the various analyses are presented in the tables below. </w:t>
      </w:r>
    </w:p>
    <w:p w14:paraId="7E2C48B2" w14:textId="350666A5" w:rsidR="006C641A" w:rsidRPr="007D1918" w:rsidRDefault="006C641A" w:rsidP="006C641A">
      <w:pPr>
        <w:jc w:val="both"/>
      </w:pPr>
      <w:r w:rsidRPr="007D1918">
        <w:t xml:space="preserve">The cost per gram of Ig used in the base case analysis is $60.41. This cost was provided by the Applicant to inform the economic and financial analyses and had been estimated retrospectively based on the </w:t>
      </w:r>
      <w:r w:rsidRPr="007D1918">
        <w:lastRenderedPageBreak/>
        <w:t xml:space="preserve">reported total domestic product cost in 2017/18 ($195 million) minus domestic SCIg product costs ($4 million) in that same year, divided by the number of IVIg domestic grams issued (3,161,673) as published in the National Report on the Issues and Use of Ig in 2017/18 (NBA 2019b) (see also </w:t>
      </w:r>
      <w:r w:rsidRPr="007D1918">
        <w:fldChar w:fldCharType="begin"/>
      </w:r>
      <w:r w:rsidRPr="007D1918">
        <w:instrText xml:space="preserve"> REF _Ref13214532 \h  \* MERGEFORMAT </w:instrText>
      </w:r>
      <w:r w:rsidRPr="007D1918">
        <w:fldChar w:fldCharType="separate"/>
      </w:r>
      <w:r w:rsidR="00AA6011" w:rsidRPr="007D1918">
        <w:t>Table 106</w:t>
      </w:r>
      <w:r w:rsidRPr="007D1918">
        <w:fldChar w:fldCharType="end"/>
      </w:r>
      <w:r w:rsidRPr="007D1918">
        <w:t xml:space="preserve">, </w:t>
      </w:r>
      <w:r w:rsidRPr="007D1918">
        <w:fldChar w:fldCharType="begin"/>
      </w:r>
      <w:r w:rsidRPr="007D1918">
        <w:instrText xml:space="preserve"> REF _Ref14429306 \h </w:instrText>
      </w:r>
      <w:r w:rsidR="00E07567" w:rsidRPr="007D1918">
        <w:instrText xml:space="preserve"> \* MERGEFORMAT </w:instrText>
      </w:r>
      <w:r w:rsidRPr="007D1918">
        <w:fldChar w:fldCharType="separate"/>
      </w:r>
      <w:r w:rsidR="00AA6011" w:rsidRPr="007D1918">
        <w:rPr>
          <w:rFonts w:eastAsiaTheme="minorHAnsi"/>
          <w:lang w:eastAsia="en-US"/>
        </w:rPr>
        <w:t>Appendix G</w:t>
      </w:r>
      <w:r w:rsidR="00AA6011" w:rsidRPr="007D1918">
        <w:rPr>
          <w:rFonts w:eastAsiaTheme="minorHAnsi"/>
          <w:lang w:eastAsia="en-US"/>
        </w:rPr>
        <w:tab/>
      </w:r>
      <w:r w:rsidR="00AA6011" w:rsidRPr="007D1918">
        <w:t>Economic analysis appendices</w:t>
      </w:r>
      <w:r w:rsidRPr="007D1918">
        <w:fldChar w:fldCharType="end"/>
      </w:r>
      <w:r w:rsidRPr="007D1918">
        <w:t>). Analyses will be presented assuming:</w:t>
      </w:r>
    </w:p>
    <w:p w14:paraId="03EDE1E8" w14:textId="77777777" w:rsidR="006C641A" w:rsidRPr="007D1918" w:rsidRDefault="006C641A" w:rsidP="006C641A">
      <w:pPr>
        <w:jc w:val="both"/>
      </w:pPr>
      <w:r w:rsidRPr="007D1918">
        <w:t>-</w:t>
      </w:r>
      <w:r w:rsidRPr="007D1918">
        <w:tab/>
        <w:t>The highest cost of Ig (i.e. domestic IVIg, including the cost of plasma fractionation), $140.18</w:t>
      </w:r>
    </w:p>
    <w:p w14:paraId="580043E4" w14:textId="77777777" w:rsidR="006C641A" w:rsidRPr="007D1918" w:rsidRDefault="006C641A" w:rsidP="006C641A">
      <w:pPr>
        <w:jc w:val="both"/>
      </w:pPr>
      <w:r w:rsidRPr="007D1918">
        <w:t>-</w:t>
      </w:r>
      <w:r w:rsidRPr="007D1918">
        <w:tab/>
        <w:t>The lowest cost of Ig (i.e. imported IVIg), $44.94</w:t>
      </w:r>
    </w:p>
    <w:p w14:paraId="1D396E07" w14:textId="77777777" w:rsidR="006C641A" w:rsidRPr="007D1918" w:rsidRDefault="006C641A" w:rsidP="006C641A">
      <w:pPr>
        <w:jc w:val="both"/>
      </w:pPr>
      <w:r w:rsidRPr="007D1918">
        <w:t>-</w:t>
      </w:r>
      <w:r w:rsidRPr="007D1918">
        <w:tab/>
        <w:t>The weighted average cost of Ig across all indications, $94.51</w:t>
      </w:r>
    </w:p>
    <w:p w14:paraId="3F3EC11C" w14:textId="77777777" w:rsidR="006C641A" w:rsidRPr="007D1918" w:rsidRDefault="006C641A" w:rsidP="006C641A">
      <w:pPr>
        <w:jc w:val="both"/>
      </w:pPr>
      <w:r w:rsidRPr="007D1918">
        <w:t>These costs were also provided by the Applicant and were derived from the 2017/18 National Report on the issue and use of Ig in Australia (NBA 2019b). While there are slight variations between the prices per gram used in the model to that published on the NBA website (e.g. domestic IVIg has a current published price per gram of $58.23</w:t>
      </w:r>
      <w:r w:rsidRPr="007D1918">
        <w:rPr>
          <w:rStyle w:val="FootnoteReference"/>
        </w:rPr>
        <w:footnoteReference w:id="11"/>
      </w:r>
      <w:r w:rsidRPr="007D1918">
        <w:t xml:space="preserve">), as all costs (including that for plasma fractionation) could be sourced from the same year, for consistency the prices retrospectively estimated from the NBA report are used. A sensitivity analysis will be presented using the current published price of domestic IVIg. </w:t>
      </w:r>
      <w:r w:rsidRPr="007D1918">
        <w:fldChar w:fldCharType="begin"/>
      </w:r>
      <w:r w:rsidRPr="007D1918">
        <w:instrText xml:space="preserve"> REF _Ref14361737 \h  \* MERGEFORMAT </w:instrText>
      </w:r>
      <w:r w:rsidRPr="007D1918">
        <w:fldChar w:fldCharType="separate"/>
      </w:r>
      <w:r w:rsidR="00AA6011" w:rsidRPr="007D1918">
        <w:t>Table 71</w:t>
      </w:r>
      <w:r w:rsidRPr="007D1918">
        <w:fldChar w:fldCharType="end"/>
      </w:r>
      <w:r w:rsidRPr="007D1918">
        <w:t xml:space="preserve"> summarises these alternative costs of immunoglobulin. Resources and costs associated with IVIg administration such as infusion equipment, administrative and clinician time (e.g. resources associated with requesting, and authorising, access to Ig), nursing time (for initiation and monitoring) are implicitly captured in the hospitalisation or outpatient service episode costs, relevant to the setting under which IVIg is supplied.</w:t>
      </w:r>
    </w:p>
    <w:p w14:paraId="65831C59" w14:textId="77777777" w:rsidR="006C641A" w:rsidRPr="007D1918" w:rsidRDefault="006C641A" w:rsidP="006C641A">
      <w:pPr>
        <w:pStyle w:val="Caption"/>
      </w:pPr>
      <w:bookmarkStart w:id="414" w:name="_Ref14361737"/>
      <w:bookmarkStart w:id="415" w:name="_Toc23769558"/>
      <w:bookmarkStart w:id="416" w:name="_Toc15561976"/>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71</w:t>
      </w:r>
      <w:r w:rsidRPr="007D1918">
        <w:rPr>
          <w:noProof/>
        </w:rPr>
        <w:fldChar w:fldCharType="end"/>
      </w:r>
      <w:bookmarkEnd w:id="414"/>
      <w:r w:rsidRPr="007D1918">
        <w:t>: IVIg prices</w:t>
      </w:r>
      <w:bookmarkEnd w:id="415"/>
      <w:r w:rsidRPr="007D1918">
        <w:t xml:space="preserve"> </w:t>
      </w:r>
      <w:bookmarkEnd w:id="416"/>
    </w:p>
    <w:tbl>
      <w:tblPr>
        <w:tblStyle w:val="TableGrid"/>
        <w:tblW w:w="9067" w:type="dxa"/>
        <w:tblLayout w:type="fixed"/>
        <w:tblLook w:val="04A0" w:firstRow="1" w:lastRow="0" w:firstColumn="1" w:lastColumn="0" w:noHBand="0" w:noVBand="1"/>
        <w:tblCaption w:val="Table 71: IVIg prices "/>
      </w:tblPr>
      <w:tblGrid>
        <w:gridCol w:w="3964"/>
        <w:gridCol w:w="1276"/>
        <w:gridCol w:w="3827"/>
      </w:tblGrid>
      <w:tr w:rsidR="006C641A" w:rsidRPr="007D1918" w14:paraId="4F9AD1C9" w14:textId="77777777" w:rsidTr="00BD29C0">
        <w:trPr>
          <w:tblHeader/>
        </w:trPr>
        <w:tc>
          <w:tcPr>
            <w:tcW w:w="3964" w:type="dxa"/>
          </w:tcPr>
          <w:p w14:paraId="71E35F9D"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Resource</w:t>
            </w:r>
          </w:p>
        </w:tc>
        <w:tc>
          <w:tcPr>
            <w:tcW w:w="1276" w:type="dxa"/>
          </w:tcPr>
          <w:p w14:paraId="3AD80FB5"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Costs</w:t>
            </w:r>
          </w:p>
        </w:tc>
        <w:tc>
          <w:tcPr>
            <w:tcW w:w="3827" w:type="dxa"/>
          </w:tcPr>
          <w:p w14:paraId="0DDF6E65"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Source</w:t>
            </w:r>
          </w:p>
        </w:tc>
      </w:tr>
      <w:tr w:rsidR="006C641A" w:rsidRPr="007D1918" w14:paraId="79D96EFA" w14:textId="77777777" w:rsidTr="00153384">
        <w:tc>
          <w:tcPr>
            <w:tcW w:w="3964" w:type="dxa"/>
          </w:tcPr>
          <w:p w14:paraId="016EF599"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IVIg base case price</w:t>
            </w:r>
          </w:p>
        </w:tc>
        <w:tc>
          <w:tcPr>
            <w:tcW w:w="1276" w:type="dxa"/>
          </w:tcPr>
          <w:p w14:paraId="18D09F70" w14:textId="77777777" w:rsidR="006C641A" w:rsidRPr="007D1918" w:rsidRDefault="006C641A" w:rsidP="00153384">
            <w:pPr>
              <w:spacing w:before="40" w:after="40" w:line="240" w:lineRule="auto"/>
              <w:ind w:left="0"/>
              <w:jc w:val="center"/>
              <w:rPr>
                <w:rFonts w:ascii="Arial Narrow" w:hAnsi="Arial Narrow"/>
                <w:b/>
                <w:sz w:val="20"/>
                <w:szCs w:val="20"/>
              </w:rPr>
            </w:pPr>
            <w:r w:rsidRPr="007D1918">
              <w:rPr>
                <w:rFonts w:ascii="Arial Narrow" w:hAnsi="Arial Narrow"/>
                <w:b/>
                <w:sz w:val="20"/>
                <w:szCs w:val="20"/>
              </w:rPr>
              <w:t>$60.41 per g</w:t>
            </w:r>
          </w:p>
        </w:tc>
        <w:tc>
          <w:tcPr>
            <w:tcW w:w="3827" w:type="dxa"/>
          </w:tcPr>
          <w:p w14:paraId="16814FA7" w14:textId="70D5EA00" w:rsidR="006C641A" w:rsidRPr="007D1918" w:rsidRDefault="006C641A" w:rsidP="000B5479">
            <w:pPr>
              <w:spacing w:before="40" w:after="40" w:line="240" w:lineRule="auto"/>
              <w:ind w:left="0"/>
              <w:rPr>
                <w:rFonts w:ascii="Arial Narrow" w:hAnsi="Arial Narrow"/>
                <w:sz w:val="20"/>
                <w:szCs w:val="20"/>
              </w:rPr>
            </w:pPr>
            <w:r w:rsidRPr="007D1918">
              <w:rPr>
                <w:rFonts w:ascii="Arial Narrow" w:hAnsi="Arial Narrow"/>
                <w:sz w:val="20"/>
                <w:szCs w:val="20"/>
              </w:rPr>
              <w:t xml:space="preserve">NBA nominated, see </w:t>
            </w:r>
            <w:r w:rsidRPr="007D1918">
              <w:rPr>
                <w:rFonts w:ascii="Arial Narrow" w:hAnsi="Arial Narrow"/>
                <w:sz w:val="20"/>
                <w:szCs w:val="20"/>
              </w:rPr>
              <w:fldChar w:fldCharType="begin"/>
            </w:r>
            <w:r w:rsidRPr="007D1918">
              <w:rPr>
                <w:rFonts w:ascii="Arial Narrow" w:hAnsi="Arial Narrow"/>
                <w:sz w:val="20"/>
                <w:szCs w:val="20"/>
              </w:rPr>
              <w:instrText xml:space="preserve"> REF _Ref13214532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Table 106</w:t>
            </w:r>
            <w:r w:rsidRPr="007D1918">
              <w:rPr>
                <w:rFonts w:ascii="Arial Narrow" w:hAnsi="Arial Narrow"/>
                <w:sz w:val="20"/>
                <w:szCs w:val="20"/>
              </w:rPr>
              <w:fldChar w:fldCharType="end"/>
            </w:r>
            <w:r w:rsidRPr="007D1918">
              <w:rPr>
                <w:rFonts w:ascii="Arial Narrow" w:hAnsi="Arial Narrow"/>
                <w:sz w:val="20"/>
                <w:szCs w:val="20"/>
              </w:rPr>
              <w:t xml:space="preserve">, </w:t>
            </w:r>
            <w:r w:rsidRPr="007D1918">
              <w:rPr>
                <w:rFonts w:ascii="Arial Narrow" w:hAnsi="Arial Narrow"/>
                <w:sz w:val="20"/>
                <w:szCs w:val="20"/>
              </w:rPr>
              <w:fldChar w:fldCharType="begin"/>
            </w:r>
            <w:r w:rsidRPr="007D1918">
              <w:rPr>
                <w:rFonts w:ascii="Arial Narrow" w:hAnsi="Arial Narrow"/>
                <w:sz w:val="20"/>
                <w:szCs w:val="20"/>
              </w:rPr>
              <w:instrText xml:space="preserve"> REF _Ref14429306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Appendix G</w:t>
            </w:r>
            <w:r w:rsidRPr="007D1918">
              <w:rPr>
                <w:rFonts w:ascii="Arial Narrow" w:hAnsi="Arial Narrow"/>
                <w:sz w:val="20"/>
                <w:szCs w:val="20"/>
              </w:rPr>
              <w:fldChar w:fldCharType="end"/>
            </w:r>
          </w:p>
        </w:tc>
      </w:tr>
      <w:tr w:rsidR="006C641A" w:rsidRPr="007D1918" w14:paraId="0CAE8849" w14:textId="77777777" w:rsidTr="00153384">
        <w:tc>
          <w:tcPr>
            <w:tcW w:w="3964" w:type="dxa"/>
          </w:tcPr>
          <w:p w14:paraId="258362F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Highest IVIg price (for sensitivity analysis)</w:t>
            </w:r>
          </w:p>
        </w:tc>
        <w:tc>
          <w:tcPr>
            <w:tcW w:w="1276" w:type="dxa"/>
          </w:tcPr>
          <w:p w14:paraId="3C77B25C"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$140.18 per g</w:t>
            </w:r>
          </w:p>
        </w:tc>
        <w:tc>
          <w:tcPr>
            <w:tcW w:w="3827" w:type="dxa"/>
          </w:tcPr>
          <w:p w14:paraId="57024218" w14:textId="3BD20BCC" w:rsidR="006C641A" w:rsidRPr="007D1918" w:rsidRDefault="006C641A" w:rsidP="000B5479">
            <w:pPr>
              <w:spacing w:before="40" w:after="40" w:line="240" w:lineRule="auto"/>
              <w:ind w:left="0"/>
              <w:rPr>
                <w:rFonts w:ascii="Arial Narrow" w:hAnsi="Arial Narrow"/>
                <w:sz w:val="20"/>
                <w:szCs w:val="20"/>
              </w:rPr>
            </w:pPr>
            <w:r w:rsidRPr="007D1918">
              <w:rPr>
                <w:rFonts w:ascii="Arial Narrow" w:hAnsi="Arial Narrow"/>
                <w:sz w:val="20"/>
                <w:szCs w:val="20"/>
              </w:rPr>
              <w:t xml:space="preserve">NBA nominated, see </w:t>
            </w:r>
            <w:r w:rsidRPr="007D1918">
              <w:rPr>
                <w:rFonts w:ascii="Arial Narrow" w:hAnsi="Arial Narrow"/>
                <w:sz w:val="20"/>
                <w:szCs w:val="20"/>
              </w:rPr>
              <w:fldChar w:fldCharType="begin"/>
            </w:r>
            <w:r w:rsidRPr="007D1918">
              <w:rPr>
                <w:rFonts w:ascii="Arial Narrow" w:hAnsi="Arial Narrow"/>
                <w:sz w:val="20"/>
                <w:szCs w:val="20"/>
              </w:rPr>
              <w:instrText xml:space="preserve"> REF _Ref13214532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Table 106</w:t>
            </w:r>
            <w:r w:rsidRPr="007D1918">
              <w:rPr>
                <w:rFonts w:ascii="Arial Narrow" w:hAnsi="Arial Narrow"/>
                <w:sz w:val="20"/>
                <w:szCs w:val="20"/>
              </w:rPr>
              <w:fldChar w:fldCharType="end"/>
            </w:r>
            <w:r w:rsidRPr="007D1918">
              <w:rPr>
                <w:rFonts w:ascii="Arial Narrow" w:hAnsi="Arial Narrow"/>
                <w:sz w:val="20"/>
                <w:szCs w:val="20"/>
              </w:rPr>
              <w:t xml:space="preserve">, </w:t>
            </w:r>
            <w:r w:rsidRPr="007D1918">
              <w:rPr>
                <w:rFonts w:ascii="Arial Narrow" w:hAnsi="Arial Narrow"/>
                <w:sz w:val="20"/>
                <w:szCs w:val="20"/>
              </w:rPr>
              <w:fldChar w:fldCharType="begin"/>
            </w:r>
            <w:r w:rsidRPr="007D1918">
              <w:rPr>
                <w:rFonts w:ascii="Arial Narrow" w:hAnsi="Arial Narrow"/>
                <w:sz w:val="20"/>
                <w:szCs w:val="20"/>
              </w:rPr>
              <w:instrText xml:space="preserve"> REF _Ref14429306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Appendix G</w:t>
            </w:r>
            <w:r w:rsidRPr="007D1918">
              <w:rPr>
                <w:rFonts w:ascii="Arial Narrow" w:hAnsi="Arial Narrow"/>
                <w:sz w:val="20"/>
                <w:szCs w:val="20"/>
              </w:rPr>
              <w:fldChar w:fldCharType="end"/>
            </w:r>
          </w:p>
        </w:tc>
      </w:tr>
      <w:tr w:rsidR="006C641A" w:rsidRPr="007D1918" w14:paraId="7E3FBEF8" w14:textId="77777777" w:rsidTr="00153384">
        <w:tc>
          <w:tcPr>
            <w:tcW w:w="3964" w:type="dxa"/>
          </w:tcPr>
          <w:p w14:paraId="1EAF0BC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Alternative IVIg price (for sensitivity analysis)</w:t>
            </w:r>
          </w:p>
        </w:tc>
        <w:tc>
          <w:tcPr>
            <w:tcW w:w="1276" w:type="dxa"/>
          </w:tcPr>
          <w:p w14:paraId="3C6367B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$44.94 per g</w:t>
            </w:r>
          </w:p>
        </w:tc>
        <w:tc>
          <w:tcPr>
            <w:tcW w:w="3827" w:type="dxa"/>
          </w:tcPr>
          <w:p w14:paraId="4C8DFD6B" w14:textId="1C67659C" w:rsidR="006C641A" w:rsidRPr="007D1918" w:rsidRDefault="006C641A" w:rsidP="000B5479">
            <w:pPr>
              <w:spacing w:before="40" w:after="40" w:line="240" w:lineRule="auto"/>
              <w:ind w:left="0"/>
              <w:rPr>
                <w:rFonts w:ascii="Arial Narrow" w:hAnsi="Arial Narrow"/>
                <w:sz w:val="20"/>
                <w:szCs w:val="20"/>
              </w:rPr>
            </w:pPr>
            <w:r w:rsidRPr="007D1918">
              <w:rPr>
                <w:rFonts w:ascii="Arial Narrow" w:hAnsi="Arial Narrow"/>
                <w:sz w:val="20"/>
                <w:szCs w:val="20"/>
              </w:rPr>
              <w:t xml:space="preserve">NBA nominated, see </w:t>
            </w:r>
            <w:r w:rsidRPr="007D1918">
              <w:rPr>
                <w:rFonts w:ascii="Arial Narrow" w:hAnsi="Arial Narrow"/>
                <w:sz w:val="20"/>
                <w:szCs w:val="20"/>
              </w:rPr>
              <w:fldChar w:fldCharType="begin"/>
            </w:r>
            <w:r w:rsidRPr="007D1918">
              <w:rPr>
                <w:rFonts w:ascii="Arial Narrow" w:hAnsi="Arial Narrow"/>
                <w:sz w:val="20"/>
                <w:szCs w:val="20"/>
              </w:rPr>
              <w:instrText xml:space="preserve"> REF _Ref13214532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Table 106</w:t>
            </w:r>
            <w:r w:rsidRPr="007D1918">
              <w:rPr>
                <w:rFonts w:ascii="Arial Narrow" w:hAnsi="Arial Narrow"/>
                <w:sz w:val="20"/>
                <w:szCs w:val="20"/>
              </w:rPr>
              <w:fldChar w:fldCharType="end"/>
            </w:r>
            <w:r w:rsidRPr="007D1918">
              <w:rPr>
                <w:rFonts w:ascii="Arial Narrow" w:hAnsi="Arial Narrow"/>
                <w:sz w:val="20"/>
                <w:szCs w:val="20"/>
              </w:rPr>
              <w:t xml:space="preserve">, </w:t>
            </w:r>
            <w:r w:rsidRPr="007D1918">
              <w:rPr>
                <w:rFonts w:ascii="Arial Narrow" w:hAnsi="Arial Narrow"/>
                <w:sz w:val="20"/>
                <w:szCs w:val="20"/>
              </w:rPr>
              <w:fldChar w:fldCharType="begin"/>
            </w:r>
            <w:r w:rsidRPr="007D1918">
              <w:rPr>
                <w:rFonts w:ascii="Arial Narrow" w:hAnsi="Arial Narrow"/>
                <w:sz w:val="20"/>
                <w:szCs w:val="20"/>
              </w:rPr>
              <w:instrText xml:space="preserve"> REF _Ref14429306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Appendix G</w:t>
            </w:r>
            <w:r w:rsidRPr="007D1918">
              <w:rPr>
                <w:rFonts w:ascii="Arial Narrow" w:hAnsi="Arial Narrow"/>
                <w:sz w:val="20"/>
                <w:szCs w:val="20"/>
              </w:rPr>
              <w:fldChar w:fldCharType="end"/>
            </w:r>
          </w:p>
        </w:tc>
      </w:tr>
      <w:tr w:rsidR="006C641A" w:rsidRPr="007D1918" w14:paraId="5853B36D" w14:textId="77777777" w:rsidTr="00153384">
        <w:tc>
          <w:tcPr>
            <w:tcW w:w="3964" w:type="dxa"/>
          </w:tcPr>
          <w:p w14:paraId="6E8E2CC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Alternative price (weighted)</w:t>
            </w:r>
          </w:p>
        </w:tc>
        <w:tc>
          <w:tcPr>
            <w:tcW w:w="1276" w:type="dxa"/>
          </w:tcPr>
          <w:p w14:paraId="5F588B5C"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$94.51 per g</w:t>
            </w:r>
          </w:p>
        </w:tc>
        <w:tc>
          <w:tcPr>
            <w:tcW w:w="3827" w:type="dxa"/>
          </w:tcPr>
          <w:p w14:paraId="62E723C2" w14:textId="54B5ACDB" w:rsidR="006C641A" w:rsidRPr="007D1918" w:rsidRDefault="006C641A" w:rsidP="000B5479">
            <w:pPr>
              <w:spacing w:before="40" w:after="40" w:line="240" w:lineRule="auto"/>
              <w:ind w:left="0"/>
              <w:rPr>
                <w:rFonts w:ascii="Arial Narrow" w:hAnsi="Arial Narrow"/>
                <w:sz w:val="20"/>
                <w:szCs w:val="20"/>
              </w:rPr>
            </w:pPr>
            <w:r w:rsidRPr="007D1918">
              <w:rPr>
                <w:rFonts w:ascii="Arial Narrow" w:hAnsi="Arial Narrow"/>
                <w:sz w:val="20"/>
                <w:szCs w:val="20"/>
              </w:rPr>
              <w:t xml:space="preserve">NBA nominated, see </w:t>
            </w:r>
            <w:r w:rsidRPr="007D1918">
              <w:rPr>
                <w:rFonts w:ascii="Arial Narrow" w:hAnsi="Arial Narrow"/>
                <w:sz w:val="20"/>
                <w:szCs w:val="20"/>
              </w:rPr>
              <w:fldChar w:fldCharType="begin"/>
            </w:r>
            <w:r w:rsidRPr="007D1918">
              <w:rPr>
                <w:rFonts w:ascii="Arial Narrow" w:hAnsi="Arial Narrow"/>
                <w:sz w:val="20"/>
                <w:szCs w:val="20"/>
              </w:rPr>
              <w:instrText xml:space="preserve"> REF _Ref13214532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Table 106</w:t>
            </w:r>
            <w:r w:rsidRPr="007D1918">
              <w:rPr>
                <w:rFonts w:ascii="Arial Narrow" w:hAnsi="Arial Narrow"/>
                <w:sz w:val="20"/>
                <w:szCs w:val="20"/>
              </w:rPr>
              <w:fldChar w:fldCharType="end"/>
            </w:r>
            <w:r w:rsidRPr="007D1918">
              <w:rPr>
                <w:rFonts w:ascii="Arial Narrow" w:hAnsi="Arial Narrow"/>
                <w:sz w:val="20"/>
                <w:szCs w:val="20"/>
              </w:rPr>
              <w:t xml:space="preserve">, </w:t>
            </w:r>
            <w:r w:rsidRPr="007D1918">
              <w:rPr>
                <w:rFonts w:ascii="Arial Narrow" w:hAnsi="Arial Narrow"/>
                <w:sz w:val="20"/>
                <w:szCs w:val="20"/>
              </w:rPr>
              <w:fldChar w:fldCharType="begin"/>
            </w:r>
            <w:r w:rsidRPr="007D1918">
              <w:rPr>
                <w:rFonts w:ascii="Arial Narrow" w:hAnsi="Arial Narrow"/>
                <w:sz w:val="20"/>
                <w:szCs w:val="20"/>
              </w:rPr>
              <w:instrText xml:space="preserve"> REF _Ref14429306 \h  \* MERGEFORMAT </w:instrText>
            </w:r>
            <w:r w:rsidRPr="007D1918">
              <w:rPr>
                <w:rFonts w:ascii="Arial Narrow" w:hAnsi="Arial Narrow"/>
                <w:sz w:val="20"/>
                <w:szCs w:val="20"/>
              </w:rPr>
            </w:r>
            <w:r w:rsidRPr="007D1918">
              <w:rPr>
                <w:rFonts w:ascii="Arial Narrow" w:hAnsi="Arial Narrow"/>
                <w:sz w:val="20"/>
                <w:szCs w:val="20"/>
              </w:rPr>
              <w:fldChar w:fldCharType="separate"/>
            </w:r>
            <w:r w:rsidR="00AA6011" w:rsidRPr="007D1918">
              <w:rPr>
                <w:rFonts w:ascii="Arial Narrow" w:hAnsi="Arial Narrow"/>
                <w:sz w:val="20"/>
                <w:szCs w:val="20"/>
              </w:rPr>
              <w:t>Appendix G</w:t>
            </w:r>
            <w:r w:rsidRPr="007D1918">
              <w:rPr>
                <w:rFonts w:ascii="Arial Narrow" w:hAnsi="Arial Narrow"/>
                <w:sz w:val="20"/>
                <w:szCs w:val="20"/>
              </w:rPr>
              <w:fldChar w:fldCharType="end"/>
            </w:r>
          </w:p>
        </w:tc>
      </w:tr>
      <w:tr w:rsidR="006C641A" w:rsidRPr="007D1918" w14:paraId="1F071B3D" w14:textId="77777777" w:rsidTr="00153384">
        <w:tc>
          <w:tcPr>
            <w:tcW w:w="3964" w:type="dxa"/>
          </w:tcPr>
          <w:p w14:paraId="1E17304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Alternative price (current published price)</w:t>
            </w:r>
          </w:p>
        </w:tc>
        <w:tc>
          <w:tcPr>
            <w:tcW w:w="1276" w:type="dxa"/>
          </w:tcPr>
          <w:p w14:paraId="7AA482F6"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$58.23 per g</w:t>
            </w:r>
          </w:p>
        </w:tc>
        <w:tc>
          <w:tcPr>
            <w:tcW w:w="3827" w:type="dxa"/>
          </w:tcPr>
          <w:p w14:paraId="14410FC8"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NBA product list (https://www.blood.gov.au/national-product-list)</w:t>
            </w:r>
          </w:p>
        </w:tc>
      </w:tr>
    </w:tbl>
    <w:p w14:paraId="6EACB3BF" w14:textId="77777777" w:rsidR="006C641A" w:rsidRPr="007D1918" w:rsidRDefault="006C641A" w:rsidP="00132097">
      <w:pPr>
        <w:pStyle w:val="Tablenotes0"/>
        <w:spacing w:after="360"/>
      </w:pPr>
      <w:r w:rsidRPr="007D1918">
        <w:t>IVIg = intravenous immunoglobulin; NBA = National Blood Authority</w:t>
      </w:r>
    </w:p>
    <w:p w14:paraId="72789640" w14:textId="5AC68DE5" w:rsidR="006C641A" w:rsidRPr="007D1918" w:rsidRDefault="006C641A" w:rsidP="006C641A">
      <w:pPr>
        <w:jc w:val="both"/>
      </w:pPr>
      <w:r w:rsidRPr="007D1918">
        <w:t xml:space="preserve">The costs directly associated with plasma exchange therapy are listed in </w:t>
      </w:r>
      <w:r w:rsidRPr="007D1918">
        <w:fldChar w:fldCharType="begin"/>
      </w:r>
      <w:r w:rsidRPr="007D1918">
        <w:instrText xml:space="preserve"> REF _Ref14429570 \h  \* MERGEFORMAT </w:instrText>
      </w:r>
      <w:r w:rsidRPr="007D1918">
        <w:fldChar w:fldCharType="separate"/>
      </w:r>
      <w:r w:rsidR="00AA6011" w:rsidRPr="007D1918">
        <w:t xml:space="preserve">Table </w:t>
      </w:r>
      <w:r w:rsidR="00AA6011" w:rsidRPr="007D1918">
        <w:rPr>
          <w:noProof/>
        </w:rPr>
        <w:t>72</w:t>
      </w:r>
      <w:r w:rsidRPr="007D1918">
        <w:fldChar w:fldCharType="end"/>
      </w:r>
      <w:r w:rsidRPr="007D1918">
        <w:t>. When provided to MG crisis inpatients (Indication 1), the inpatient hospitalisation cost is based on the AR-DRG code B42 (Nervous System Disorders with Ventilator Support) and do</w:t>
      </w:r>
      <w:r w:rsidRPr="007D1918">
        <w:rPr>
          <w:i/>
        </w:rPr>
        <w:t>es not differentiate</w:t>
      </w:r>
      <w:r w:rsidRPr="007D1918">
        <w:t xml:space="preserve"> between IVIg and PE administration methods. Because PE administration equipment is an additional specialised resource, an estimate of the costs associated with specialised consumable tubing and capital equipment amortisation are added to the costing estimates in the Indication 1 analysis to capture genuine </w:t>
      </w:r>
      <w:r w:rsidRPr="007D1918">
        <w:lastRenderedPageBreak/>
        <w:t xml:space="preserve">resource use differences. This costing detail is not required for </w:t>
      </w:r>
      <w:r w:rsidR="00510194" w:rsidRPr="007D1918">
        <w:t xml:space="preserve">Indications </w:t>
      </w:r>
      <w:r w:rsidRPr="007D1918">
        <w:t xml:space="preserve">2 and 3, where the outpatient administration cost code B40Z (Plasmapheresis with Neurological Disease, same day) is </w:t>
      </w:r>
      <w:r w:rsidRPr="007D1918">
        <w:rPr>
          <w:i/>
        </w:rPr>
        <w:t>specifically associated with apheresis</w:t>
      </w:r>
      <w:r w:rsidRPr="007D1918">
        <w:t xml:space="preserve"> and therefore captures these specialised costs. </w:t>
      </w:r>
    </w:p>
    <w:p w14:paraId="17291CCC" w14:textId="008ADED2" w:rsidR="006C641A" w:rsidRPr="007D1918" w:rsidRDefault="006C641A" w:rsidP="006C641A">
      <w:pPr>
        <w:jc w:val="both"/>
      </w:pPr>
      <w:r w:rsidRPr="007D1918">
        <w:t>Gajdos 1997 and some other sources</w:t>
      </w:r>
      <w:r w:rsidRPr="007D1918">
        <w:rPr>
          <w:vertAlign w:val="superscript"/>
        </w:rPr>
        <w:footnoteReference w:id="12"/>
      </w:r>
      <w:r w:rsidRPr="007D1918">
        <w:t xml:space="preserve"> describe plasma exchange using </w:t>
      </w:r>
      <w:r w:rsidR="00510194" w:rsidRPr="007D1918">
        <w:t>a</w:t>
      </w:r>
      <w:r w:rsidRPr="007D1918">
        <w:t>lbumin diluted (25-50%) with other volume expanders (various types eg normal saline, Hartmann’s or Voluven®), which reduces the cost of plasma exchange</w:t>
      </w:r>
      <w:r w:rsidR="00510194" w:rsidRPr="007D1918">
        <w:t>;</w:t>
      </w:r>
      <w:r w:rsidRPr="007D1918">
        <w:t xml:space="preserve"> however this may be associated with increased risk of adverse events.</w:t>
      </w:r>
      <w:r w:rsidRPr="007D1918">
        <w:rPr>
          <w:rStyle w:val="FootnoteReference"/>
        </w:rPr>
        <w:footnoteReference w:id="13"/>
      </w:r>
      <w:r w:rsidRPr="007D1918">
        <w:t xml:space="preserve"> Paton et al </w:t>
      </w:r>
      <w:r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F4CDE" w:rsidRPr="007D1918">
        <w:instrText xml:space="preserve"> ADDIN EN.CITE </w:instrText>
      </w:r>
      <w:r w:rsidR="007F4CDE"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F4CDE" w:rsidRPr="007D1918">
        <w:instrText xml:space="preserve"> ADDIN EN.CITE.DATA </w:instrText>
      </w:r>
      <w:r w:rsidR="007F4CDE" w:rsidRPr="007D1918">
        <w:fldChar w:fldCharType="end"/>
      </w:r>
      <w:r w:rsidRPr="007D1918">
        <w:fldChar w:fldCharType="separate"/>
      </w:r>
      <w:r w:rsidRPr="007D1918">
        <w:rPr>
          <w:noProof/>
        </w:rPr>
        <w:t>(</w:t>
      </w:r>
      <w:hyperlink w:anchor="_ENREF_78" w:tooltip="Paton, 2014 #74" w:history="1">
        <w:r w:rsidR="007D4948" w:rsidRPr="007D1918">
          <w:rPr>
            <w:noProof/>
          </w:rPr>
          <w:t>Paton &amp; Baldwin 2014</w:t>
        </w:r>
      </w:hyperlink>
      <w:r w:rsidRPr="007D1918">
        <w:rPr>
          <w:noProof/>
        </w:rPr>
        <w:t>)</w:t>
      </w:r>
      <w:r w:rsidRPr="007D1918">
        <w:fldChar w:fldCharType="end"/>
      </w:r>
      <w:r w:rsidRPr="007D1918">
        <w:t xml:space="preserve"> describes one Australian ICU practice where </w:t>
      </w:r>
      <w:r w:rsidR="00510194" w:rsidRPr="007D1918">
        <w:t>a</w:t>
      </w:r>
      <w:r w:rsidRPr="007D1918">
        <w:t xml:space="preserve">lbumin is combined with fresh frozen plasma for PE in MG crisis, despite this not being recommended practice. The nature of routine </w:t>
      </w:r>
      <w:r w:rsidR="00510194" w:rsidRPr="007D1918">
        <w:t>a</w:t>
      </w:r>
      <w:r w:rsidRPr="007D1918">
        <w:t>lbumin supplementation practice for PE for MG across Australia in other indications is unknown; therefore it is assumed that dilution does not routinely occur in other indications, and that following protocol review, as recommended by Paton et al, dilution with FFP would not routinely occur when administering PE for MG crisis in Australia in the future.</w:t>
      </w:r>
    </w:p>
    <w:p w14:paraId="1F428837" w14:textId="77777777" w:rsidR="006C641A" w:rsidRPr="007D1918" w:rsidRDefault="006C641A" w:rsidP="006C641A">
      <w:pPr>
        <w:pStyle w:val="Caption"/>
      </w:pPr>
      <w:bookmarkStart w:id="417" w:name="_Ref14429570"/>
      <w:bookmarkStart w:id="418" w:name="_Toc15561977"/>
      <w:bookmarkStart w:id="419" w:name="_Toc23769559"/>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72</w:t>
      </w:r>
      <w:r w:rsidRPr="007D1918">
        <w:rPr>
          <w:noProof/>
        </w:rPr>
        <w:fldChar w:fldCharType="end"/>
      </w:r>
      <w:bookmarkEnd w:id="417"/>
      <w:r w:rsidRPr="007D1918">
        <w:t>: Resource prices associated with PE (used in Indication 1, 2 and 3 analyses)</w:t>
      </w:r>
      <w:bookmarkEnd w:id="418"/>
      <w:bookmarkEnd w:id="419"/>
    </w:p>
    <w:tbl>
      <w:tblPr>
        <w:tblStyle w:val="TableGrid"/>
        <w:tblW w:w="9067" w:type="dxa"/>
        <w:tblLayout w:type="fixed"/>
        <w:tblLook w:val="04A0" w:firstRow="1" w:lastRow="0" w:firstColumn="1" w:lastColumn="0" w:noHBand="0" w:noVBand="1"/>
        <w:tblCaption w:val="Table 72: Resource prices associated with PE (used in Indication 1, 2 and 3 analyses)"/>
      </w:tblPr>
      <w:tblGrid>
        <w:gridCol w:w="2830"/>
        <w:gridCol w:w="1418"/>
        <w:gridCol w:w="992"/>
        <w:gridCol w:w="3827"/>
      </w:tblGrid>
      <w:tr w:rsidR="006C641A" w:rsidRPr="007D1918" w14:paraId="4BE0329E" w14:textId="77777777" w:rsidTr="00BD29C0">
        <w:trPr>
          <w:tblHeader/>
        </w:trPr>
        <w:tc>
          <w:tcPr>
            <w:tcW w:w="2830" w:type="dxa"/>
          </w:tcPr>
          <w:p w14:paraId="5670721B"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Resource</w:t>
            </w:r>
          </w:p>
        </w:tc>
        <w:tc>
          <w:tcPr>
            <w:tcW w:w="1418" w:type="dxa"/>
          </w:tcPr>
          <w:p w14:paraId="32D664A1"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Cost</w:t>
            </w:r>
          </w:p>
        </w:tc>
        <w:tc>
          <w:tcPr>
            <w:tcW w:w="992" w:type="dxa"/>
          </w:tcPr>
          <w:p w14:paraId="65DF40C3"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Unit cost</w:t>
            </w:r>
          </w:p>
        </w:tc>
        <w:tc>
          <w:tcPr>
            <w:tcW w:w="3827" w:type="dxa"/>
          </w:tcPr>
          <w:p w14:paraId="40C47599" w14:textId="77777777" w:rsidR="006C641A" w:rsidRPr="007D1918" w:rsidRDefault="006C641A" w:rsidP="00153384">
            <w:pPr>
              <w:keepNext/>
              <w:spacing w:before="40" w:after="40" w:line="240" w:lineRule="auto"/>
              <w:jc w:val="center"/>
              <w:rPr>
                <w:rFonts w:ascii="Arial Narrow" w:hAnsi="Arial Narrow"/>
                <w:b/>
                <w:sz w:val="20"/>
                <w:szCs w:val="20"/>
              </w:rPr>
            </w:pPr>
            <w:r w:rsidRPr="007D1918">
              <w:rPr>
                <w:rFonts w:ascii="Arial Narrow" w:hAnsi="Arial Narrow"/>
                <w:b/>
                <w:sz w:val="20"/>
                <w:szCs w:val="20"/>
              </w:rPr>
              <w:t>Source</w:t>
            </w:r>
          </w:p>
        </w:tc>
      </w:tr>
      <w:tr w:rsidR="006C641A" w:rsidRPr="007D1918" w14:paraId="06E51700" w14:textId="77777777" w:rsidTr="00153384">
        <w:tc>
          <w:tcPr>
            <w:tcW w:w="2830" w:type="dxa"/>
          </w:tcPr>
          <w:p w14:paraId="7302AE8A"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Albumin (Albumex 4)</w:t>
            </w:r>
          </w:p>
        </w:tc>
        <w:tc>
          <w:tcPr>
            <w:tcW w:w="1418" w:type="dxa"/>
          </w:tcPr>
          <w:p w14:paraId="48EEC77D"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$68.50 / 500mL</w:t>
            </w:r>
          </w:p>
        </w:tc>
        <w:tc>
          <w:tcPr>
            <w:tcW w:w="992" w:type="dxa"/>
          </w:tcPr>
          <w:p w14:paraId="0B67DADC" w14:textId="77777777" w:rsidR="006C641A" w:rsidRPr="007D1918" w:rsidRDefault="006C641A" w:rsidP="00153384">
            <w:pPr>
              <w:pStyle w:val="Tablecontents"/>
              <w:ind w:left="0"/>
            </w:pPr>
            <w:r w:rsidRPr="007D1918">
              <w:t>$137 /L</w:t>
            </w:r>
          </w:p>
        </w:tc>
        <w:tc>
          <w:tcPr>
            <w:tcW w:w="3827" w:type="dxa"/>
          </w:tcPr>
          <w:p w14:paraId="2A43D23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NBA product list</w:t>
            </w:r>
            <w:r w:rsidRPr="007D1918">
              <w:rPr>
                <w:rFonts w:ascii="Arial Narrow" w:hAnsi="Arial Narrow"/>
                <w:sz w:val="20"/>
                <w:szCs w:val="20"/>
                <w:vertAlign w:val="superscript"/>
              </w:rPr>
              <w:t>1</w:t>
            </w:r>
          </w:p>
        </w:tc>
      </w:tr>
      <w:tr w:rsidR="006C641A" w:rsidRPr="007D1918" w14:paraId="1B40B032" w14:textId="77777777" w:rsidTr="00153384">
        <w:tc>
          <w:tcPr>
            <w:tcW w:w="2830" w:type="dxa"/>
          </w:tcPr>
          <w:p w14:paraId="1DB00E41"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Fluid volume expander </w:t>
            </w:r>
            <w:r w:rsidRPr="007D1918">
              <w:rPr>
                <w:rFonts w:ascii="Arial Narrow" w:hAnsi="Arial Narrow"/>
                <w:i/>
                <w:sz w:val="20"/>
                <w:szCs w:val="20"/>
              </w:rPr>
              <w:t>(artificial gelatin described in Gajos 1997)</w:t>
            </w:r>
          </w:p>
        </w:tc>
        <w:tc>
          <w:tcPr>
            <w:tcW w:w="1418" w:type="dxa"/>
          </w:tcPr>
          <w:p w14:paraId="061F906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$44.56 / 3x500mL</w:t>
            </w:r>
          </w:p>
        </w:tc>
        <w:tc>
          <w:tcPr>
            <w:tcW w:w="992" w:type="dxa"/>
          </w:tcPr>
          <w:p w14:paraId="03F2BEFF"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$29.71 /L</w:t>
            </w:r>
          </w:p>
        </w:tc>
        <w:tc>
          <w:tcPr>
            <w:tcW w:w="3827" w:type="dxa"/>
          </w:tcPr>
          <w:p w14:paraId="1295E361"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9487H Voluven 6%®</w:t>
            </w:r>
          </w:p>
        </w:tc>
      </w:tr>
      <w:tr w:rsidR="006C641A" w:rsidRPr="007D1918" w14:paraId="6ED870D1" w14:textId="77777777" w:rsidTr="00153384">
        <w:tc>
          <w:tcPr>
            <w:tcW w:w="2830" w:type="dxa"/>
          </w:tcPr>
          <w:p w14:paraId="1BB42B3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Fluid volume expander: FFP (Apheresis clinical FFP)</w:t>
            </w:r>
          </w:p>
        </w:tc>
        <w:tc>
          <w:tcPr>
            <w:tcW w:w="1418" w:type="dxa"/>
          </w:tcPr>
          <w:p w14:paraId="69EB51B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$263.52 / 295mL</w:t>
            </w:r>
          </w:p>
        </w:tc>
        <w:tc>
          <w:tcPr>
            <w:tcW w:w="992" w:type="dxa"/>
          </w:tcPr>
          <w:p w14:paraId="03A9FCA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$893.29 /L</w:t>
            </w:r>
          </w:p>
        </w:tc>
        <w:tc>
          <w:tcPr>
            <w:tcW w:w="3827" w:type="dxa"/>
          </w:tcPr>
          <w:p w14:paraId="2B4E1DC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NBA product list (https://www.blood.gov.au/national-product-list)</w:t>
            </w:r>
          </w:p>
        </w:tc>
      </w:tr>
      <w:tr w:rsidR="006C641A" w:rsidRPr="007D1918" w14:paraId="5051AB18" w14:textId="77777777" w:rsidTr="00153384">
        <w:tc>
          <w:tcPr>
            <w:tcW w:w="2830" w:type="dxa"/>
          </w:tcPr>
          <w:p w14:paraId="006CFDDD"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PE specialised consumables + equipment amortisation</w:t>
            </w:r>
            <w:r w:rsidRPr="007D1918">
              <w:rPr>
                <w:rFonts w:ascii="Arial Narrow" w:hAnsi="Arial Narrow"/>
                <w:sz w:val="20"/>
                <w:szCs w:val="20"/>
              </w:rPr>
              <w:br/>
              <w:t>(Applied in Indication 1 only)</w:t>
            </w:r>
          </w:p>
        </w:tc>
        <w:tc>
          <w:tcPr>
            <w:tcW w:w="2410" w:type="dxa"/>
            <w:gridSpan w:val="2"/>
          </w:tcPr>
          <w:p w14:paraId="7053A52E"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$232 per procedure</w:t>
            </w:r>
            <w:r w:rsidRPr="007D1918">
              <w:rPr>
                <w:rFonts w:ascii="Arial Narrow" w:hAnsi="Arial Narrow"/>
                <w:sz w:val="20"/>
                <w:szCs w:val="20"/>
              </w:rPr>
              <w:br/>
            </w:r>
            <w:r w:rsidRPr="007D1918">
              <w:rPr>
                <w:rFonts w:ascii="Arial Narrow" w:hAnsi="Arial Narrow"/>
                <w:sz w:val="20"/>
                <w:szCs w:val="20"/>
                <w:u w:val="single"/>
              </w:rPr>
              <w:t>+ $59 per procedure</w:t>
            </w:r>
          </w:p>
          <w:p w14:paraId="53F4C1C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$291 per procedure</w:t>
            </w:r>
          </w:p>
        </w:tc>
        <w:tc>
          <w:tcPr>
            <w:tcW w:w="3827" w:type="dxa"/>
          </w:tcPr>
          <w:p w14:paraId="6FBA1201"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Heatwhole 2011 (converted from 2011 US$210 for tubing and US$53 amortisation, per procedure)</w:t>
            </w:r>
          </w:p>
        </w:tc>
      </w:tr>
      <w:tr w:rsidR="006C641A" w:rsidRPr="007D1918" w14:paraId="266B028C" w14:textId="77777777" w:rsidTr="000B5479">
        <w:tc>
          <w:tcPr>
            <w:tcW w:w="2830" w:type="dxa"/>
          </w:tcPr>
          <w:p w14:paraId="681DA5F0" w14:textId="77777777" w:rsidR="006C641A" w:rsidRPr="007D1918" w:rsidRDefault="006C641A" w:rsidP="000B5479">
            <w:pPr>
              <w:spacing w:before="40" w:after="40" w:line="240" w:lineRule="auto"/>
              <w:ind w:left="0"/>
              <w:rPr>
                <w:rFonts w:ascii="Arial Narrow" w:hAnsi="Arial Narrow"/>
                <w:sz w:val="20"/>
                <w:szCs w:val="20"/>
              </w:rPr>
            </w:pPr>
            <w:r w:rsidRPr="007D1918">
              <w:rPr>
                <w:rFonts w:ascii="Arial Narrow" w:hAnsi="Arial Narrow"/>
                <w:sz w:val="20"/>
                <w:szCs w:val="20"/>
              </w:rPr>
              <w:t>Long-term IV access – initial procedure (Indication 3 only)</w:t>
            </w:r>
          </w:p>
        </w:tc>
        <w:tc>
          <w:tcPr>
            <w:tcW w:w="2410" w:type="dxa"/>
            <w:gridSpan w:val="2"/>
            <w:vAlign w:val="center"/>
          </w:tcPr>
          <w:p w14:paraId="5473C972" w14:textId="77777777" w:rsidR="006C641A" w:rsidRPr="007D1918" w:rsidRDefault="006C641A" w:rsidP="000B5479">
            <w:pPr>
              <w:ind w:left="0"/>
              <w:jc w:val="center"/>
              <w:rPr>
                <w:rFonts w:ascii="Arial Narrow" w:hAnsi="Arial Narrow"/>
                <w:sz w:val="20"/>
                <w:szCs w:val="20"/>
              </w:rPr>
            </w:pPr>
            <w:r w:rsidRPr="007D1918">
              <w:rPr>
                <w:rFonts w:ascii="Arial Narrow" w:hAnsi="Arial Narrow"/>
                <w:sz w:val="20"/>
                <w:szCs w:val="20"/>
              </w:rPr>
              <w:t>$1,791</w:t>
            </w:r>
          </w:p>
        </w:tc>
        <w:tc>
          <w:tcPr>
            <w:tcW w:w="3827" w:type="dxa"/>
          </w:tcPr>
          <w:p w14:paraId="7903EB69" w14:textId="77777777" w:rsidR="006C641A" w:rsidRPr="007D1918" w:rsidRDefault="006C641A" w:rsidP="000B5479">
            <w:pPr>
              <w:pStyle w:val="Tablecontents"/>
              <w:ind w:left="0"/>
            </w:pPr>
            <w:r w:rsidRPr="007D1918">
              <w:t>Based on clinical advice; 95% of patients have p</w:t>
            </w:r>
            <w:r w:rsidRPr="007D1918">
              <w:rPr>
                <w:rStyle w:val="TabletextChar1"/>
              </w:rPr>
              <w:t xml:space="preserve">lasmapheresis compatible port, 5% have AV fistulae (detailed in </w:t>
            </w:r>
            <w:r w:rsidRPr="007D1918">
              <w:rPr>
                <w:rStyle w:val="TabletextChar1"/>
              </w:rPr>
              <w:fldChar w:fldCharType="begin"/>
            </w:r>
            <w:r w:rsidRPr="007D1918">
              <w:rPr>
                <w:rStyle w:val="TabletextChar1"/>
              </w:rPr>
              <w:instrText xml:space="preserve"> REF _Ref18324269 \h  \* MERGEFORMAT </w:instrText>
            </w:r>
            <w:r w:rsidRPr="007D1918">
              <w:rPr>
                <w:rStyle w:val="TabletextChar1"/>
              </w:rPr>
            </w:r>
            <w:r w:rsidRPr="007D1918">
              <w:rPr>
                <w:rStyle w:val="TabletextChar1"/>
              </w:rPr>
              <w:fldChar w:fldCharType="separate"/>
            </w:r>
            <w:r w:rsidRPr="007D1918">
              <w:rPr>
                <w:rStyle w:val="TabletextChar1"/>
              </w:rPr>
              <w:t>Table 73</w:t>
            </w:r>
            <w:r w:rsidRPr="007D1918">
              <w:rPr>
                <w:rStyle w:val="TabletextChar1"/>
              </w:rPr>
              <w:fldChar w:fldCharType="end"/>
            </w:r>
            <w:r w:rsidRPr="007D1918">
              <w:rPr>
                <w:rStyle w:val="TabletextChar1"/>
              </w:rPr>
              <w:t xml:space="preserve"> below).</w:t>
            </w:r>
          </w:p>
        </w:tc>
      </w:tr>
    </w:tbl>
    <w:p w14:paraId="724D81CF" w14:textId="77777777" w:rsidR="006C641A" w:rsidRPr="007D1918" w:rsidRDefault="006C641A" w:rsidP="00132097">
      <w:pPr>
        <w:spacing w:after="360" w:line="240" w:lineRule="auto"/>
        <w:rPr>
          <w:rFonts w:ascii="Arial Narrow" w:hAnsi="Arial Narrow"/>
          <w:sz w:val="20"/>
          <w:szCs w:val="20"/>
        </w:rPr>
      </w:pPr>
      <w:r w:rsidRPr="007D1918">
        <w:rPr>
          <w:rFonts w:ascii="Arial Narrow" w:hAnsi="Arial Narrow"/>
          <w:sz w:val="20"/>
          <w:szCs w:val="20"/>
        </w:rPr>
        <w:t>FFP = fresh frozen plasma; NBA = National Blood Authority; PE = plasma exchange; US = United States</w:t>
      </w:r>
    </w:p>
    <w:p w14:paraId="2279D0F2" w14:textId="08A37580" w:rsidR="006C641A" w:rsidRPr="007D1918" w:rsidRDefault="006C641A" w:rsidP="006C641A">
      <w:pPr>
        <w:jc w:val="both"/>
      </w:pPr>
      <w:r w:rsidRPr="007D1918">
        <w:t xml:space="preserve">The hospitalisation and outpatient treatment administration costs associated with IVIg and PE for the various settings relevant to the different indications under which IVIg is supplied to MG patients according to the NBA BloodSTAR </w:t>
      </w:r>
      <w:r w:rsidRPr="007D1918">
        <w:rPr>
          <w:i/>
        </w:rPr>
        <w:t>Criteria V3</w:t>
      </w:r>
      <w:r w:rsidRPr="007D1918">
        <w:t>, are based on AR-DRG cost estimates</w:t>
      </w:r>
      <w:r w:rsidRPr="007D1918">
        <w:rPr>
          <w:rStyle w:val="FootnoteReference"/>
        </w:rPr>
        <w:footnoteReference w:id="14"/>
      </w:r>
      <w:r w:rsidRPr="007D1918">
        <w:t xml:space="preserve"> shown in </w:t>
      </w:r>
      <w:r w:rsidRPr="007D1918">
        <w:fldChar w:fldCharType="begin"/>
      </w:r>
      <w:r w:rsidRPr="007D1918">
        <w:instrText xml:space="preserve"> REF _Ref18324269 \h </w:instrText>
      </w:r>
      <w:r w:rsidR="00E07567" w:rsidRPr="007D1918">
        <w:instrText xml:space="preserve"> \* MERGEFORMAT </w:instrText>
      </w:r>
      <w:r w:rsidRPr="007D1918">
        <w:fldChar w:fldCharType="separate"/>
      </w:r>
      <w:r w:rsidR="00AA6011" w:rsidRPr="007D1918">
        <w:t xml:space="preserve">Table </w:t>
      </w:r>
      <w:r w:rsidR="00AA6011" w:rsidRPr="007D1918">
        <w:rPr>
          <w:noProof/>
        </w:rPr>
        <w:t>73</w:t>
      </w:r>
      <w:r w:rsidRPr="007D1918">
        <w:fldChar w:fldCharType="end"/>
      </w:r>
      <w:r w:rsidRPr="007D1918">
        <w:t xml:space="preserve">. </w:t>
      </w:r>
      <w:r w:rsidR="00F51AD3" w:rsidRPr="007D1918">
        <w:lastRenderedPageBreak/>
        <w:t>R</w:t>
      </w:r>
      <w:r w:rsidRPr="007D1918">
        <w:t>esources associated with adverse events (extended hospitalisation, treatments etc</w:t>
      </w:r>
      <w:r w:rsidR="00F51AD3" w:rsidRPr="007D1918">
        <w:t>.</w:t>
      </w:r>
      <w:r w:rsidRPr="007D1918">
        <w:t>) and long-term access are also presented in this table.</w:t>
      </w:r>
    </w:p>
    <w:p w14:paraId="7375B9F5" w14:textId="77777777" w:rsidR="006C641A" w:rsidRPr="007D1918" w:rsidRDefault="006C641A" w:rsidP="006C641A">
      <w:pPr>
        <w:pStyle w:val="Caption"/>
        <w:keepNext/>
      </w:pPr>
      <w:bookmarkStart w:id="420" w:name="_Ref18324269"/>
      <w:bookmarkStart w:id="421" w:name="_Toc23769560"/>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73</w:t>
      </w:r>
      <w:r w:rsidRPr="007D1918">
        <w:rPr>
          <w:noProof/>
        </w:rPr>
        <w:fldChar w:fldCharType="end"/>
      </w:r>
      <w:bookmarkEnd w:id="420"/>
      <w:r w:rsidRPr="007D1918">
        <w:tab/>
        <w:t>Hospital, administration and adverse event associated resources and cost sources</w:t>
      </w:r>
      <w:bookmarkEnd w:id="421"/>
    </w:p>
    <w:tbl>
      <w:tblPr>
        <w:tblStyle w:val="TableGrid"/>
        <w:tblW w:w="9067" w:type="dxa"/>
        <w:tblLayout w:type="fixed"/>
        <w:tblLook w:val="04A0" w:firstRow="1" w:lastRow="0" w:firstColumn="1" w:lastColumn="0" w:noHBand="0" w:noVBand="1"/>
        <w:tblCaption w:val="Table 73 Hospital, administration and adverse event associated resources and cost sources"/>
      </w:tblPr>
      <w:tblGrid>
        <w:gridCol w:w="3823"/>
        <w:gridCol w:w="1701"/>
        <w:gridCol w:w="3543"/>
      </w:tblGrid>
      <w:tr w:rsidR="006C641A" w:rsidRPr="007D1918" w14:paraId="3E60E005" w14:textId="77777777" w:rsidTr="00BD29C0">
        <w:trPr>
          <w:tblHeader/>
        </w:trPr>
        <w:tc>
          <w:tcPr>
            <w:tcW w:w="3823" w:type="dxa"/>
            <w:tcBorders>
              <w:bottom w:val="single" w:sz="4" w:space="0" w:color="auto"/>
            </w:tcBorders>
          </w:tcPr>
          <w:p w14:paraId="066BF427"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Resource</w:t>
            </w:r>
          </w:p>
        </w:tc>
        <w:tc>
          <w:tcPr>
            <w:tcW w:w="1701" w:type="dxa"/>
          </w:tcPr>
          <w:p w14:paraId="7682314A"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Costs</w:t>
            </w:r>
          </w:p>
        </w:tc>
        <w:tc>
          <w:tcPr>
            <w:tcW w:w="3543" w:type="dxa"/>
          </w:tcPr>
          <w:p w14:paraId="7BA9DBC4"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Source</w:t>
            </w:r>
          </w:p>
        </w:tc>
      </w:tr>
      <w:tr w:rsidR="006C641A" w:rsidRPr="007D1918" w14:paraId="6CC8E301" w14:textId="77777777" w:rsidTr="00153384">
        <w:tc>
          <w:tcPr>
            <w:tcW w:w="3823" w:type="dxa"/>
            <w:tcBorders>
              <w:top w:val="single" w:sz="4" w:space="0" w:color="auto"/>
              <w:left w:val="single" w:sz="4" w:space="0" w:color="auto"/>
              <w:bottom w:val="single" w:sz="4" w:space="0" w:color="auto"/>
              <w:right w:val="nil"/>
            </w:tcBorders>
            <w:shd w:val="clear" w:color="auto" w:fill="auto"/>
            <w:vAlign w:val="bottom"/>
          </w:tcPr>
          <w:p w14:paraId="257EF65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Admission for MG crisis: (Indication 1)</w:t>
            </w:r>
          </w:p>
          <w:p w14:paraId="12BDF96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Nervous System Disorders W Ventilator Support, Major Complexity</w:t>
            </w:r>
          </w:p>
        </w:tc>
        <w:tc>
          <w:tcPr>
            <w:tcW w:w="1701" w:type="dxa"/>
            <w:tcBorders>
              <w:bottom w:val="single" w:sz="4" w:space="0" w:color="auto"/>
            </w:tcBorders>
          </w:tcPr>
          <w:p w14:paraId="1D156698" w14:textId="77777777" w:rsidR="006C641A" w:rsidRPr="007D1918" w:rsidRDefault="006C641A" w:rsidP="00153384">
            <w:pPr>
              <w:spacing w:before="40" w:after="40" w:line="240" w:lineRule="auto"/>
              <w:ind w:left="0"/>
              <w:jc w:val="center"/>
              <w:rPr>
                <w:rFonts w:ascii="Arial Narrow" w:hAnsi="Arial Narrow"/>
                <w:sz w:val="20"/>
                <w:szCs w:val="20"/>
              </w:rPr>
            </w:pPr>
          </w:p>
          <w:p w14:paraId="590D92F5"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$45,001 per episode</w:t>
            </w:r>
          </w:p>
        </w:tc>
        <w:tc>
          <w:tcPr>
            <w:tcW w:w="3543" w:type="dxa"/>
          </w:tcPr>
          <w:p w14:paraId="78CBB49D" w14:textId="77777777" w:rsidR="006C641A" w:rsidRPr="007D1918" w:rsidRDefault="006C641A" w:rsidP="00153384">
            <w:pPr>
              <w:spacing w:before="40" w:after="40" w:line="240" w:lineRule="auto"/>
              <w:ind w:left="0"/>
              <w:rPr>
                <w:rFonts w:ascii="Arial Narrow" w:hAnsi="Arial Narrow"/>
                <w:sz w:val="20"/>
                <w:szCs w:val="20"/>
              </w:rPr>
            </w:pPr>
          </w:p>
          <w:p w14:paraId="39DCF5A7"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AR-DRG B42A, NHCDC Round 21 2016/17 </w:t>
            </w:r>
          </w:p>
        </w:tc>
      </w:tr>
      <w:tr w:rsidR="006C641A" w:rsidRPr="007D1918" w14:paraId="45703EF0" w14:textId="77777777" w:rsidTr="00153384">
        <w:tc>
          <w:tcPr>
            <w:tcW w:w="3823" w:type="dxa"/>
          </w:tcPr>
          <w:p w14:paraId="71B9874F"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IVIg administration in hospital outpatient setting (Indication 2 and 3)</w:t>
            </w:r>
          </w:p>
        </w:tc>
        <w:tc>
          <w:tcPr>
            <w:tcW w:w="1701" w:type="dxa"/>
          </w:tcPr>
          <w:p w14:paraId="7588DBE8"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$461 per day</w:t>
            </w:r>
          </w:p>
        </w:tc>
        <w:tc>
          <w:tcPr>
            <w:tcW w:w="3543" w:type="dxa"/>
          </w:tcPr>
          <w:p w14:paraId="1E69370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NWAU calculator 2019-20 (IHPA)</w:t>
            </w:r>
            <w:r w:rsidRPr="007D1918">
              <w:rPr>
                <w:rFonts w:ascii="Arial Narrow" w:hAnsi="Arial Narrow"/>
                <w:sz w:val="20"/>
                <w:szCs w:val="20"/>
                <w:vertAlign w:val="superscript"/>
              </w:rPr>
              <w:t>a</w:t>
            </w:r>
            <w:r w:rsidRPr="007D1918">
              <w:rPr>
                <w:rFonts w:ascii="Arial Narrow" w:hAnsi="Arial Narrow"/>
                <w:sz w:val="20"/>
                <w:szCs w:val="20"/>
              </w:rPr>
              <w:t xml:space="preserve">; non-admitted service 10.13 </w:t>
            </w:r>
          </w:p>
        </w:tc>
      </w:tr>
      <w:tr w:rsidR="006C641A" w:rsidRPr="007D1918" w14:paraId="274DB598" w14:textId="77777777" w:rsidTr="00153384">
        <w:tc>
          <w:tcPr>
            <w:tcW w:w="3823" w:type="dxa"/>
          </w:tcPr>
          <w:p w14:paraId="7E2B56A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Plasma exchange therapy provided as a same-day admission (Indication 2 and 3)</w:t>
            </w:r>
          </w:p>
        </w:tc>
        <w:tc>
          <w:tcPr>
            <w:tcW w:w="1701" w:type="dxa"/>
          </w:tcPr>
          <w:p w14:paraId="5FA819DC" w14:textId="77777777" w:rsidR="006C641A" w:rsidRPr="007D1918" w:rsidRDefault="006C641A" w:rsidP="00153384">
            <w:pPr>
              <w:spacing w:before="40" w:after="40" w:line="240" w:lineRule="auto"/>
              <w:ind w:left="0"/>
              <w:jc w:val="center"/>
              <w:rPr>
                <w:rFonts w:ascii="Arial Narrow" w:hAnsi="Arial Narrow"/>
                <w:b/>
                <w:sz w:val="20"/>
                <w:szCs w:val="20"/>
              </w:rPr>
            </w:pPr>
            <w:r w:rsidRPr="007D1918">
              <w:rPr>
                <w:rFonts w:ascii="Arial Narrow" w:hAnsi="Arial Narrow"/>
                <w:sz w:val="20"/>
                <w:szCs w:val="20"/>
              </w:rPr>
              <w:t>$1,446.13 per administration day</w:t>
            </w:r>
          </w:p>
        </w:tc>
        <w:tc>
          <w:tcPr>
            <w:tcW w:w="3543" w:type="dxa"/>
          </w:tcPr>
          <w:p w14:paraId="4EF4FAFE"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AR-DRG B40Z, NHCDC Round 21 2016/17</w:t>
            </w:r>
          </w:p>
        </w:tc>
      </w:tr>
      <w:tr w:rsidR="006C641A" w:rsidRPr="007D1918" w14:paraId="06F71C04" w14:textId="77777777" w:rsidTr="00153384">
        <w:tc>
          <w:tcPr>
            <w:tcW w:w="3823" w:type="dxa"/>
          </w:tcPr>
          <w:p w14:paraId="6B3C6175"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Additional hospitalisation days in ICU due to adverse events (Indication 1)</w:t>
            </w:r>
          </w:p>
        </w:tc>
        <w:tc>
          <w:tcPr>
            <w:tcW w:w="1701" w:type="dxa"/>
          </w:tcPr>
          <w:p w14:paraId="0673AC29"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$6,882.63 per day</w:t>
            </w:r>
          </w:p>
        </w:tc>
        <w:tc>
          <w:tcPr>
            <w:tcW w:w="3543" w:type="dxa"/>
          </w:tcPr>
          <w:p w14:paraId="1EA04EAE" w14:textId="49F6AD91" w:rsidR="006C641A" w:rsidRPr="007D1918" w:rsidRDefault="006C641A" w:rsidP="007D4948">
            <w:pPr>
              <w:spacing w:before="40" w:after="40" w:line="240" w:lineRule="auto"/>
              <w:ind w:left="0"/>
              <w:rPr>
                <w:rFonts w:ascii="Arial Narrow" w:hAnsi="Arial Narrow"/>
                <w:sz w:val="20"/>
                <w:szCs w:val="20"/>
              </w:rPr>
            </w:pPr>
            <w:r w:rsidRPr="007D1918">
              <w:rPr>
                <w:rFonts w:ascii="Arial Narrow" w:hAnsi="Arial Narrow"/>
                <w:sz w:val="20"/>
                <w:szCs w:val="20"/>
              </w:rPr>
              <w:t xml:space="preserve">Based on 2009 cost reported in </w:t>
            </w:r>
            <w:r w:rsidR="007F4CDE" w:rsidRPr="007D1918">
              <w:rPr>
                <w:rFonts w:ascii="Arial Narrow" w:hAnsi="Arial Narrow"/>
                <w:sz w:val="20"/>
                <w:szCs w:val="20"/>
              </w:rPr>
              <w:fldChar w:fldCharType="begin">
                <w:fldData xml:space="preserve">PEVuZE5vdGU+PENpdGU+PEF1dGhvcj5UaG9tcHNvbjwvQXV0aG9yPjxZZWFyPjIwMTg8L1llYXI+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</w:fldData>
              </w:fldChar>
            </w:r>
            <w:r w:rsidR="007F4CDE" w:rsidRPr="007D1918">
              <w:rPr>
                <w:rFonts w:ascii="Arial Narrow" w:hAnsi="Arial Narrow"/>
                <w:sz w:val="20"/>
                <w:szCs w:val="20"/>
              </w:rPr>
              <w:instrText xml:space="preserve"> ADDIN EN.CITE </w:instrText>
            </w:r>
            <w:r w:rsidR="007F4CDE" w:rsidRPr="007D1918">
              <w:rPr>
                <w:rFonts w:ascii="Arial Narrow" w:hAnsi="Arial Narrow"/>
                <w:sz w:val="20"/>
                <w:szCs w:val="20"/>
              </w:rPr>
              <w:fldChar w:fldCharType="begin">
                <w:fldData xml:space="preserve">PEVuZE5vdGU+PENpdGU+PEF1dGhvcj5UaG9tcHNvbjwvQXV0aG9yPjxZZWFyPjIwMTg8L1llYXI+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</w:fldData>
              </w:fldChar>
            </w:r>
            <w:r w:rsidR="007F4CDE" w:rsidRPr="007D1918">
              <w:rPr>
                <w:rFonts w:ascii="Arial Narrow" w:hAnsi="Arial Narrow"/>
                <w:sz w:val="20"/>
                <w:szCs w:val="20"/>
              </w:rPr>
              <w:instrText xml:space="preserve"> ADDIN EN.CITE.DATA </w:instrText>
            </w:r>
            <w:r w:rsidR="007F4CDE" w:rsidRPr="007D1918">
              <w:rPr>
                <w:rFonts w:ascii="Arial Narrow" w:hAnsi="Arial Narrow"/>
                <w:sz w:val="20"/>
                <w:szCs w:val="20"/>
              </w:rPr>
            </w:r>
            <w:r w:rsidR="007F4CDE" w:rsidRPr="007D1918">
              <w:rPr>
                <w:rFonts w:ascii="Arial Narrow" w:hAnsi="Arial Narrow"/>
                <w:sz w:val="20"/>
                <w:szCs w:val="20"/>
              </w:rPr>
              <w:fldChar w:fldCharType="end"/>
            </w:r>
            <w:r w:rsidR="007F4CDE" w:rsidRPr="007D1918">
              <w:rPr>
                <w:rFonts w:ascii="Arial Narrow" w:hAnsi="Arial Narrow"/>
                <w:sz w:val="20"/>
                <w:szCs w:val="20"/>
              </w:rPr>
            </w:r>
            <w:r w:rsidR="007F4CDE" w:rsidRPr="007D1918">
              <w:rPr>
                <w:rFonts w:ascii="Arial Narrow" w:hAnsi="Arial Narrow"/>
                <w:sz w:val="20"/>
                <w:szCs w:val="20"/>
              </w:rPr>
              <w:fldChar w:fldCharType="separate"/>
            </w:r>
            <w:r w:rsidR="007F4CDE" w:rsidRPr="007D1918">
              <w:rPr>
                <w:rFonts w:ascii="Arial Narrow" w:hAnsi="Arial Narrow"/>
                <w:noProof/>
                <w:sz w:val="20"/>
                <w:szCs w:val="20"/>
              </w:rPr>
              <w:t>(</w:t>
            </w:r>
            <w:hyperlink w:anchor="_ENREF_99" w:tooltip="Thompson, 2018 #88" w:history="1">
              <w:r w:rsidR="007D4948" w:rsidRPr="007D1918">
                <w:rPr>
                  <w:rFonts w:ascii="Arial Narrow" w:hAnsi="Arial Narrow"/>
                  <w:noProof/>
                  <w:sz w:val="20"/>
                  <w:szCs w:val="20"/>
                </w:rPr>
                <w:t>Thompson et al. 2018</w:t>
              </w:r>
            </w:hyperlink>
            <w:r w:rsidR="007F4CDE" w:rsidRPr="007D1918">
              <w:rPr>
                <w:rFonts w:ascii="Arial Narrow" w:hAnsi="Arial Narrow"/>
                <w:noProof/>
                <w:sz w:val="20"/>
                <w:szCs w:val="20"/>
              </w:rPr>
              <w:t>)</w:t>
            </w:r>
            <w:r w:rsidR="007F4CDE" w:rsidRPr="007D1918">
              <w:rPr>
                <w:rFonts w:ascii="Arial Narrow" w:hAnsi="Arial Narrow"/>
                <w:sz w:val="20"/>
                <w:szCs w:val="20"/>
              </w:rPr>
              <w:fldChar w:fldCharType="end"/>
            </w:r>
            <w:r w:rsidRPr="007D1918">
              <w:rPr>
                <w:rFonts w:ascii="Arial Narrow" w:hAnsi="Arial Narrow"/>
                <w:sz w:val="20"/>
                <w:szCs w:val="20"/>
              </w:rPr>
              <w:t xml:space="preserve"> (Australian), adjusted to 2018 using annual AIHW Health Price Index. </w:t>
            </w:r>
          </w:p>
        </w:tc>
      </w:tr>
      <w:tr w:rsidR="006C641A" w:rsidRPr="007D1918" w14:paraId="6EF5F810" w14:textId="77777777" w:rsidTr="00153384">
        <w:trPr>
          <w:trHeight w:val="413"/>
        </w:trPr>
        <w:tc>
          <w:tcPr>
            <w:tcW w:w="3823" w:type="dxa"/>
          </w:tcPr>
          <w:p w14:paraId="50FA7EC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Additional hospitalisation days in medical ward due to adverse events (Indication 1)</w:t>
            </w:r>
          </w:p>
        </w:tc>
        <w:tc>
          <w:tcPr>
            <w:tcW w:w="1701" w:type="dxa"/>
          </w:tcPr>
          <w:p w14:paraId="34DE4A0C"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$1,441.45 per day</w:t>
            </w:r>
          </w:p>
        </w:tc>
        <w:tc>
          <w:tcPr>
            <w:tcW w:w="3543" w:type="dxa"/>
          </w:tcPr>
          <w:p w14:paraId="4ECB793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2018-19 NEP *0.2876 (B42A per diem outlier cost weight) </w:t>
            </w:r>
          </w:p>
        </w:tc>
      </w:tr>
      <w:tr w:rsidR="006C641A" w:rsidRPr="007D1918" w14:paraId="2BDD84C5" w14:textId="77777777" w:rsidTr="00153384">
        <w:tc>
          <w:tcPr>
            <w:tcW w:w="3823" w:type="dxa"/>
          </w:tcPr>
          <w:p w14:paraId="6D3A69C8"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Placement of an AV Fistula (Indication 3)</w:t>
            </w:r>
          </w:p>
        </w:tc>
        <w:tc>
          <w:tcPr>
            <w:tcW w:w="1701" w:type="dxa"/>
          </w:tcPr>
          <w:p w14:paraId="74F9141D"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$7,549 per surgery</w:t>
            </w:r>
          </w:p>
        </w:tc>
        <w:tc>
          <w:tcPr>
            <w:tcW w:w="3543" w:type="dxa"/>
          </w:tcPr>
          <w:p w14:paraId="1285A37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AR-DRG F14C, NHCDC Round 21 2016/17</w:t>
            </w:r>
          </w:p>
        </w:tc>
      </w:tr>
      <w:tr w:rsidR="006C641A" w:rsidRPr="007D1918" w14:paraId="1FA83759" w14:textId="77777777" w:rsidTr="00153384">
        <w:tc>
          <w:tcPr>
            <w:tcW w:w="3823" w:type="dxa"/>
          </w:tcPr>
          <w:p w14:paraId="6C3B404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Long Term Vascular Access with apheresis compatible device (Indication 3)</w:t>
            </w:r>
          </w:p>
          <w:p w14:paraId="381E8F6F" w14:textId="77777777" w:rsidR="006C641A" w:rsidRPr="007D1918" w:rsidRDefault="006C641A" w:rsidP="00153384">
            <w:pPr>
              <w:spacing w:before="40" w:after="40" w:line="240" w:lineRule="auto"/>
              <w:ind w:left="0"/>
              <w:jc w:val="right"/>
              <w:rPr>
                <w:rFonts w:ascii="Arial Narrow" w:hAnsi="Arial Narrow"/>
                <w:sz w:val="20"/>
                <w:szCs w:val="20"/>
              </w:rPr>
            </w:pPr>
            <w:r w:rsidRPr="007D1918">
              <w:rPr>
                <w:rFonts w:ascii="Arial Narrow" w:hAnsi="Arial Narrow"/>
                <w:sz w:val="20"/>
                <w:szCs w:val="20"/>
              </w:rPr>
              <w:t>Total:</w:t>
            </w:r>
          </w:p>
        </w:tc>
        <w:tc>
          <w:tcPr>
            <w:tcW w:w="1701" w:type="dxa"/>
          </w:tcPr>
          <w:p w14:paraId="0771577D"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 xml:space="preserve">($297 + $231+ $489 + $471) = </w:t>
            </w:r>
          </w:p>
          <w:p w14:paraId="223618CC"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$1,488</w:t>
            </w:r>
          </w:p>
        </w:tc>
        <w:tc>
          <w:tcPr>
            <w:tcW w:w="3543" w:type="dxa"/>
          </w:tcPr>
          <w:p w14:paraId="10622167"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July 2019 Prostheses List A,</w:t>
            </w:r>
            <w:r w:rsidRPr="007D1918">
              <w:rPr>
                <w:rFonts w:ascii="Arial Narrow" w:hAnsi="Arial Narrow"/>
                <w:sz w:val="20"/>
                <w:szCs w:val="20"/>
                <w:vertAlign w:val="superscript"/>
              </w:rPr>
              <w:t>a</w:t>
            </w:r>
            <w:r w:rsidRPr="007D1918">
              <w:rPr>
                <w:rFonts w:ascii="Arial Narrow" w:hAnsi="Arial Narrow"/>
                <w:sz w:val="20"/>
                <w:szCs w:val="20"/>
              </w:rPr>
              <w:t xml:space="preserve"> 10.09, TX054 + MBS 13318 (CVC/PICC insertion) + same-day surgery facility accommodation (PR420/430) + theatre fees (PRT01)</w:t>
            </w:r>
            <w:r w:rsidRPr="007D1918">
              <w:rPr>
                <w:rFonts w:ascii="Arial Narrow" w:hAnsi="Arial Narrow"/>
                <w:sz w:val="20"/>
                <w:szCs w:val="20"/>
                <w:vertAlign w:val="superscript"/>
              </w:rPr>
              <w:t>b</w:t>
            </w:r>
            <w:r w:rsidRPr="007D1918">
              <w:rPr>
                <w:rFonts w:ascii="Arial Narrow" w:hAnsi="Arial Narrow"/>
                <w:sz w:val="20"/>
                <w:szCs w:val="20"/>
              </w:rPr>
              <w:t xml:space="preserve"> </w:t>
            </w:r>
          </w:p>
        </w:tc>
      </w:tr>
      <w:tr w:rsidR="006C641A" w:rsidRPr="007D1918" w14:paraId="1F32CE27" w14:textId="77777777" w:rsidTr="00153384">
        <w:trPr>
          <w:trHeight w:val="413"/>
        </w:trPr>
        <w:tc>
          <w:tcPr>
            <w:tcW w:w="3823" w:type="dxa"/>
          </w:tcPr>
          <w:p w14:paraId="13601D6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Red Blood Cells (for RH, Indication 1)</w:t>
            </w:r>
          </w:p>
        </w:tc>
        <w:tc>
          <w:tcPr>
            <w:tcW w:w="1701" w:type="dxa"/>
          </w:tcPr>
          <w:p w14:paraId="69542073"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$399.25 per unit (200-250mL)</w:t>
            </w:r>
          </w:p>
        </w:tc>
        <w:tc>
          <w:tcPr>
            <w:tcW w:w="3543" w:type="dxa"/>
          </w:tcPr>
          <w:p w14:paraId="5B6DD28A"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NBA product list (www.blood.gov.au/national-product-list)</w:t>
            </w:r>
          </w:p>
        </w:tc>
      </w:tr>
      <w:tr w:rsidR="006C641A" w:rsidRPr="007D1918" w14:paraId="06373218" w14:textId="77777777" w:rsidTr="00153384">
        <w:trPr>
          <w:trHeight w:val="413"/>
        </w:trPr>
        <w:tc>
          <w:tcPr>
            <w:tcW w:w="3823" w:type="dxa"/>
          </w:tcPr>
          <w:p w14:paraId="7B1B75B9"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Rivaroxiban 15mg and 20mg</w:t>
            </w:r>
            <w:r w:rsidRPr="007D1918">
              <w:rPr>
                <w:rFonts w:ascii="Arial Narrow" w:hAnsi="Arial Narrow"/>
                <w:sz w:val="20"/>
                <w:szCs w:val="20"/>
              </w:rPr>
              <w:br/>
              <w:t>(for FT, Indication 1)</w:t>
            </w:r>
          </w:p>
        </w:tc>
        <w:tc>
          <w:tcPr>
            <w:tcW w:w="1701" w:type="dxa"/>
          </w:tcPr>
          <w:p w14:paraId="678025F4"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$125.60 / 42 tabs</w:t>
            </w:r>
          </w:p>
          <w:p w14:paraId="3A3CE346"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$87.56 / 28 tabs</w:t>
            </w:r>
          </w:p>
        </w:tc>
        <w:tc>
          <w:tcPr>
            <w:tcW w:w="3543" w:type="dxa"/>
          </w:tcPr>
          <w:p w14:paraId="4CE7C1E8"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2160Q</w:t>
            </w:r>
          </w:p>
          <w:p w14:paraId="7206B41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2268J</w:t>
            </w:r>
          </w:p>
        </w:tc>
      </w:tr>
      <w:tr w:rsidR="006C641A" w:rsidRPr="007D1918" w14:paraId="5787637F" w14:textId="77777777" w:rsidTr="00153384">
        <w:trPr>
          <w:trHeight w:val="413"/>
        </w:trPr>
        <w:tc>
          <w:tcPr>
            <w:tcW w:w="3823" w:type="dxa"/>
          </w:tcPr>
          <w:p w14:paraId="0E89797F"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GP follow-up Level C consult (FT, Indication 1)</w:t>
            </w:r>
          </w:p>
        </w:tc>
        <w:tc>
          <w:tcPr>
            <w:tcW w:w="1701" w:type="dxa"/>
          </w:tcPr>
          <w:p w14:paraId="4B06A825" w14:textId="77777777" w:rsidR="006C641A" w:rsidRPr="007D1918" w:rsidRDefault="006C641A" w:rsidP="00153384">
            <w:pPr>
              <w:spacing w:before="40" w:after="40" w:line="240" w:lineRule="auto"/>
              <w:rPr>
                <w:rFonts w:ascii="Arial Narrow" w:hAnsi="Arial Narrow"/>
                <w:sz w:val="20"/>
                <w:szCs w:val="20"/>
              </w:rPr>
            </w:pPr>
            <w:r w:rsidRPr="007D1918">
              <w:rPr>
                <w:rFonts w:ascii="Arial Narrow" w:hAnsi="Arial Narrow"/>
                <w:sz w:val="20"/>
                <w:szCs w:val="20"/>
              </w:rPr>
              <w:t>$85.30</w:t>
            </w:r>
          </w:p>
        </w:tc>
        <w:tc>
          <w:tcPr>
            <w:tcW w:w="3543" w:type="dxa"/>
          </w:tcPr>
          <w:p w14:paraId="596D775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MBS 5040</w:t>
            </w:r>
          </w:p>
        </w:tc>
      </w:tr>
      <w:tr w:rsidR="006C641A" w:rsidRPr="007D1918" w14:paraId="786213E8" w14:textId="77777777" w:rsidTr="00153384">
        <w:trPr>
          <w:trHeight w:val="413"/>
        </w:trPr>
        <w:tc>
          <w:tcPr>
            <w:tcW w:w="3823" w:type="dxa"/>
          </w:tcPr>
          <w:p w14:paraId="0000EFC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Sepsis Admission (Indication 3)</w:t>
            </w:r>
          </w:p>
        </w:tc>
        <w:tc>
          <w:tcPr>
            <w:tcW w:w="1701" w:type="dxa"/>
          </w:tcPr>
          <w:p w14:paraId="3EFA992D" w14:textId="77777777" w:rsidR="006C641A" w:rsidRPr="007D1918" w:rsidRDefault="006C641A" w:rsidP="00153384">
            <w:pPr>
              <w:spacing w:before="40" w:after="40" w:line="240" w:lineRule="auto"/>
              <w:rPr>
                <w:rFonts w:ascii="Arial Narrow" w:hAnsi="Arial Narrow"/>
                <w:sz w:val="20"/>
                <w:szCs w:val="20"/>
              </w:rPr>
            </w:pPr>
            <w:r w:rsidRPr="007D1918">
              <w:rPr>
                <w:rFonts w:ascii="Arial Narrow" w:hAnsi="Arial Narrow"/>
                <w:sz w:val="20"/>
                <w:szCs w:val="20"/>
              </w:rPr>
              <w:t>$12,724</w:t>
            </w:r>
          </w:p>
        </w:tc>
        <w:tc>
          <w:tcPr>
            <w:tcW w:w="3543" w:type="dxa"/>
          </w:tcPr>
          <w:p w14:paraId="2ED339ED"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Weighted average of AR-DRG T60, A-C</w:t>
            </w:r>
          </w:p>
        </w:tc>
      </w:tr>
    </w:tbl>
    <w:p w14:paraId="65A2B12D" w14:textId="3BA60BC9" w:rsidR="006C641A" w:rsidRPr="007D1918" w:rsidRDefault="006C641A" w:rsidP="006C641A">
      <w:pPr>
        <w:spacing w:after="360" w:line="240" w:lineRule="auto"/>
        <w:rPr>
          <w:rStyle w:val="TablenotesChar0"/>
          <w:lang w:eastAsia="en-AU"/>
        </w:rPr>
      </w:pPr>
      <w:r w:rsidRPr="007D1918">
        <w:rPr>
          <w:rStyle w:val="TablenotesChar0"/>
        </w:rPr>
        <w:t>DRG descriptors: B42A = Nervous System Disorders W Ventilator Support, Major Complexity (ALOS 13.2 days); B42B = Nervous System Disorders W Ventilator Support; B40Z = Plasmapheresis with Neurological Disease (same day). F14C = Vascular Procedures, except major reconstruction, W/O CPB pump, minor complexity</w:t>
      </w:r>
      <w:r w:rsidRPr="007D1918">
        <w:rPr>
          <w:rStyle w:val="TablenotesChar0"/>
        </w:rPr>
        <w:br/>
        <w:t xml:space="preserve">ALOS = average length of stay; AR-DRG = Australian Refined Diagnosis Related Groups; FT = femoral thrombosis; IHPA = Independent Hospital Pricing Authority; GP = General Practitioner; IVIg = intravenous immunoglobulin; NBA = National Blood Authority; NEP = National Efficient Price; NHCDC = NWAU = RH = retroperitoneal haematoma; </w:t>
      </w:r>
      <w:r w:rsidRPr="007D1918">
        <w:rPr>
          <w:rStyle w:val="TablenotesChar0"/>
        </w:rPr>
        <w:br/>
        <w:t xml:space="preserve">NWAU service 10.13 = minor medical procedures (using </w:t>
      </w:r>
      <w:hyperlink r:id="rId60" w:tooltip="Website link" w:history="1">
        <w:r w:rsidRPr="007D1918">
          <w:rPr>
            <w:rStyle w:val="Hyperlink"/>
            <w:rFonts w:ascii="Arial Narrow" w:hAnsi="Arial Narrow" w:cs="Arial"/>
            <w:snapToGrid w:val="0"/>
            <w:sz w:val="18"/>
          </w:rPr>
          <w:t>https://www.ihpa.gov.au/what-we-do/pricing/national-weighted-activity-unit-nwau-calculators/nwau-calculators-2019-20</w:t>
        </w:r>
      </w:hyperlink>
      <w:r w:rsidRPr="007D1918">
        <w:rPr>
          <w:rStyle w:val="Hyperlink"/>
          <w:rFonts w:ascii="Arial Narrow" w:hAnsi="Arial Narrow" w:cs="Arial"/>
          <w:snapToGrid w:val="0"/>
          <w:sz w:val="18"/>
        </w:rPr>
        <w:br/>
      </w:r>
      <w:r w:rsidRPr="007D1918">
        <w:rPr>
          <w:rFonts w:ascii="Arial Narrow" w:hAnsi="Arial Narrow"/>
          <w:sz w:val="20"/>
          <w:szCs w:val="20"/>
          <w:vertAlign w:val="superscript"/>
        </w:rPr>
        <w:t xml:space="preserve">a </w:t>
      </w:r>
      <w:hyperlink r:id="rId61" w:tooltip="Website link" w:history="1">
        <w:r w:rsidRPr="007D1918">
          <w:rPr>
            <w:rStyle w:val="TablenotesChar1"/>
          </w:rPr>
          <w:t>https://www1.health.gov.au/internet/main/publishing.nsf/Content/health-privatehealth-prostheseslist.htm</w:t>
        </w:r>
      </w:hyperlink>
      <w:r w:rsidRPr="007D1918">
        <w:rPr>
          <w:rStyle w:val="TablenotesChar0"/>
          <w:lang w:eastAsia="en-AU"/>
        </w:rPr>
        <w:br/>
      </w:r>
      <w:r w:rsidRPr="007D1918">
        <w:rPr>
          <w:rFonts w:ascii="Arial Narrow" w:hAnsi="Arial Narrow"/>
          <w:sz w:val="20"/>
          <w:szCs w:val="20"/>
          <w:vertAlign w:val="superscript"/>
        </w:rPr>
        <w:t>b</w:t>
      </w:r>
      <w:r w:rsidRPr="007D1918">
        <w:rPr>
          <w:rFonts w:ascii="Arial Narrow" w:hAnsi="Arial Narrow"/>
          <w:sz w:val="20"/>
          <w:szCs w:val="20"/>
        </w:rPr>
        <w:t xml:space="preserve"> </w:t>
      </w:r>
      <w:r w:rsidRPr="007D1918">
        <w:rPr>
          <w:rStyle w:val="TablenotesChar0"/>
          <w:lang w:eastAsia="en-AU"/>
        </w:rPr>
        <w:t>Return to work SA – Private Hospital Fee Schedule, July 2019 (www.rtwsa.com)</w:t>
      </w:r>
    </w:p>
    <w:p w14:paraId="02C5303A" w14:textId="32C7B431" w:rsidR="000B5479" w:rsidRPr="007D1918" w:rsidRDefault="000B5479" w:rsidP="000B5479">
      <w:pPr>
        <w:jc w:val="both"/>
      </w:pPr>
      <w:r w:rsidRPr="007D1918">
        <w:t xml:space="preserve">The method of costing additional hospitalisation days attempts to capture real additional resource demands, rather than just the transfer payments between Commonwealth and State which are generally the population average value and therefore insufficient to capture differences in resource use due to adverse events at a patient level. The estimate of the cost per additional day in ICU is based on a published Australian ICU daily cost for 2009 reported in </w:t>
      </w:r>
      <w:r w:rsidRPr="007D1918">
        <w:fldChar w:fldCharType="begin">
          <w:fldData xml:space="preserve">PEVuZE5vdGU+PENpdGU+PEF1dGhvcj5UaG9tcHNvbjwvQXV0aG9yPjxZZWFyPjIwMTg8L1llYXI+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</w:fldData>
        </w:fldChar>
      </w:r>
      <w:r w:rsidRPr="007D1918">
        <w:instrText xml:space="preserve"> ADDIN EN.CITE </w:instrText>
      </w:r>
      <w:r w:rsidRPr="007D1918">
        <w:fldChar w:fldCharType="begin">
          <w:fldData xml:space="preserve">PEVuZE5vdGU+PENpdGU+PEF1dGhvcj5UaG9tcHNvbjwvQXV0aG9yPjxZZWFyPjIwMTg8L1llYXI+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</w:fldData>
        </w:fldChar>
      </w:r>
      <w:r w:rsidRPr="007D1918">
        <w:instrText xml:space="preserve"> ADDIN EN.CITE.DATA </w:instrText>
      </w:r>
      <w:r w:rsidRPr="007D1918">
        <w:fldChar w:fldCharType="end"/>
      </w:r>
      <w:r w:rsidRPr="007D1918">
        <w:fldChar w:fldCharType="separate"/>
      </w:r>
      <w:r w:rsidRPr="007D1918">
        <w:rPr>
          <w:noProof/>
        </w:rPr>
        <w:t>(</w:t>
      </w:r>
      <w:hyperlink w:anchor="_ENREF_99" w:tooltip="Thompson, 2018 #88" w:history="1">
        <w:r w:rsidR="007D4948" w:rsidRPr="007D1918">
          <w:rPr>
            <w:noProof/>
          </w:rPr>
          <w:t>Thompson et al. 2018</w:t>
        </w:r>
      </w:hyperlink>
      <w:r w:rsidRPr="007D1918">
        <w:rPr>
          <w:noProof/>
        </w:rPr>
        <w:t>)</w:t>
      </w:r>
      <w:r w:rsidRPr="007D1918">
        <w:fldChar w:fldCharType="end"/>
      </w:r>
      <w:r w:rsidRPr="007D1918">
        <w:t xml:space="preserve">, adjusted to 2018 prices using the annual AIHW Health Price Index. The cost of additional medical ward days is based on </w:t>
      </w:r>
      <w:r w:rsidRPr="007D1918">
        <w:lastRenderedPageBreak/>
        <w:t>the IHPA</w:t>
      </w:r>
      <w:r w:rsidRPr="007D1918">
        <w:rPr>
          <w:rStyle w:val="FootnoteReference"/>
        </w:rPr>
        <w:footnoteReference w:id="15"/>
      </w:r>
      <w:r w:rsidRPr="007D1918">
        <w:t xml:space="preserve"> National Efficient Price for an additional ‘per diem’ (daily) payment value that is provided to hospitals for patients admitted under the primary diagnosis code AR-DRG B42A; for each day beyond ‘inlier’ bounds. </w:t>
      </w:r>
    </w:p>
    <w:p w14:paraId="2D73FBF7" w14:textId="7EA44218" w:rsidR="006C641A" w:rsidRPr="007D1918" w:rsidRDefault="006C641A" w:rsidP="006C641A">
      <w:pPr>
        <w:jc w:val="both"/>
      </w:pPr>
      <w:r w:rsidRPr="007D1918">
        <w:t xml:space="preserve">The ‘per patient’ cost of adverse events associated with PE for use in the base case and the sensitivity analysis are calculated in </w:t>
      </w:r>
      <w:r w:rsidR="0046554A" w:rsidRPr="007D1918">
        <w:fldChar w:fldCharType="begin"/>
      </w:r>
      <w:r w:rsidR="0046554A" w:rsidRPr="007D1918">
        <w:instrText xml:space="preserve"> REF _Ref18023197 </w:instrText>
      </w:r>
      <w:r w:rsidR="00E07567" w:rsidRPr="007D1918">
        <w:instrText xml:space="preserve"> \* MERGEFORMAT </w:instrText>
      </w:r>
      <w:r w:rsidR="0046554A" w:rsidRPr="007D1918">
        <w:fldChar w:fldCharType="separate"/>
      </w:r>
      <w:r w:rsidR="00AA6011" w:rsidRPr="007D1918">
        <w:t xml:space="preserve">Table </w:t>
      </w:r>
      <w:r w:rsidR="00AA6011" w:rsidRPr="007D1918">
        <w:rPr>
          <w:noProof/>
        </w:rPr>
        <w:t>74</w:t>
      </w:r>
      <w:r w:rsidR="0046554A" w:rsidRPr="007D1918">
        <w:rPr>
          <w:noProof/>
        </w:rPr>
        <w:fldChar w:fldCharType="end"/>
      </w:r>
      <w:r w:rsidRPr="007D1918">
        <w:t>.</w:t>
      </w:r>
    </w:p>
    <w:p w14:paraId="55960CCB" w14:textId="77777777" w:rsidR="006C641A" w:rsidRPr="007D1918" w:rsidRDefault="006C641A" w:rsidP="006C641A">
      <w:pPr>
        <w:pStyle w:val="Caption"/>
        <w:keepNext/>
      </w:pPr>
      <w:bookmarkStart w:id="422" w:name="_Ref18023197"/>
      <w:bookmarkStart w:id="423" w:name="_Toc23769561"/>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74</w:t>
      </w:r>
      <w:r w:rsidRPr="007D1918">
        <w:rPr>
          <w:noProof/>
        </w:rPr>
        <w:fldChar w:fldCharType="end"/>
      </w:r>
      <w:bookmarkEnd w:id="422"/>
      <w:r w:rsidRPr="007D1918">
        <w:tab/>
        <w:t>Resource use per patient for management of adverse events associated with PE in Indication 1</w:t>
      </w:r>
      <w:bookmarkEnd w:id="423"/>
    </w:p>
    <w:tbl>
      <w:tblPr>
        <w:tblStyle w:val="TableGrid"/>
        <w:tblW w:w="9067" w:type="dxa"/>
        <w:tblLayout w:type="fixed"/>
        <w:tblLook w:val="04A0" w:firstRow="1" w:lastRow="0" w:firstColumn="1" w:lastColumn="0" w:noHBand="0" w:noVBand="1"/>
        <w:tblCaption w:val="Table 74 Resource use per patient for management of adverse events associated with PE in Indication 1"/>
      </w:tblPr>
      <w:tblGrid>
        <w:gridCol w:w="1413"/>
        <w:gridCol w:w="1984"/>
        <w:gridCol w:w="993"/>
        <w:gridCol w:w="992"/>
        <w:gridCol w:w="1134"/>
        <w:gridCol w:w="1134"/>
        <w:gridCol w:w="1417"/>
      </w:tblGrid>
      <w:tr w:rsidR="006C641A" w:rsidRPr="007D1918" w14:paraId="26BB97F0" w14:textId="77777777" w:rsidTr="00BD29C0">
        <w:trPr>
          <w:trHeight w:val="283"/>
          <w:tblHeader/>
        </w:trPr>
        <w:tc>
          <w:tcPr>
            <w:tcW w:w="1413" w:type="dxa"/>
            <w:vAlign w:val="center"/>
          </w:tcPr>
          <w:p w14:paraId="7875AE52" w14:textId="77777777" w:rsidR="006C641A" w:rsidRPr="007D1918" w:rsidRDefault="006C641A" w:rsidP="00153384">
            <w:pPr>
              <w:pStyle w:val="Caption"/>
              <w:ind w:left="0"/>
              <w:jc w:val="center"/>
            </w:pPr>
            <w:r w:rsidRPr="007D1918">
              <w:t>Adverse event</w:t>
            </w:r>
          </w:p>
        </w:tc>
        <w:tc>
          <w:tcPr>
            <w:tcW w:w="1984" w:type="dxa"/>
            <w:vAlign w:val="center"/>
          </w:tcPr>
          <w:p w14:paraId="55AD732D" w14:textId="77777777" w:rsidR="006C641A" w:rsidRPr="007D1918" w:rsidRDefault="006C641A" w:rsidP="00153384">
            <w:pPr>
              <w:pStyle w:val="Caption"/>
              <w:ind w:left="0"/>
              <w:jc w:val="center"/>
            </w:pPr>
            <w:r w:rsidRPr="007D1918">
              <w:t>Resource</w:t>
            </w:r>
          </w:p>
        </w:tc>
        <w:tc>
          <w:tcPr>
            <w:tcW w:w="993" w:type="dxa"/>
            <w:vAlign w:val="center"/>
          </w:tcPr>
          <w:p w14:paraId="7A287B0F" w14:textId="77777777" w:rsidR="006C641A" w:rsidRPr="007D1918" w:rsidRDefault="006C641A" w:rsidP="00153384">
            <w:pPr>
              <w:pStyle w:val="Caption"/>
              <w:ind w:left="0"/>
              <w:jc w:val="center"/>
            </w:pPr>
            <w:r w:rsidRPr="007D1918">
              <w:t># units</w:t>
            </w:r>
          </w:p>
        </w:tc>
        <w:tc>
          <w:tcPr>
            <w:tcW w:w="992" w:type="dxa"/>
            <w:vAlign w:val="center"/>
          </w:tcPr>
          <w:p w14:paraId="7E05D5FF" w14:textId="77777777" w:rsidR="006C641A" w:rsidRPr="007D1918" w:rsidRDefault="006C641A" w:rsidP="00153384">
            <w:pPr>
              <w:pStyle w:val="Caption"/>
              <w:ind w:left="0"/>
              <w:jc w:val="center"/>
            </w:pPr>
            <w:r w:rsidRPr="007D1918">
              <w:t>Unit cost</w:t>
            </w:r>
          </w:p>
        </w:tc>
        <w:tc>
          <w:tcPr>
            <w:tcW w:w="1134" w:type="dxa"/>
            <w:vAlign w:val="center"/>
          </w:tcPr>
          <w:p w14:paraId="40EF990A" w14:textId="4A6F447E" w:rsidR="006C641A" w:rsidRPr="007D1918" w:rsidRDefault="006C641A" w:rsidP="00132097">
            <w:pPr>
              <w:pStyle w:val="Caption"/>
              <w:ind w:left="0"/>
              <w:jc w:val="center"/>
            </w:pPr>
            <w:r w:rsidRPr="007D1918">
              <w:t>Cost</w:t>
            </w:r>
            <w:r w:rsidR="00132097" w:rsidRPr="007D1918">
              <w:t xml:space="preserve"> per </w:t>
            </w:r>
            <w:r w:rsidRPr="007D1918">
              <w:t>event</w:t>
            </w:r>
          </w:p>
        </w:tc>
        <w:tc>
          <w:tcPr>
            <w:tcW w:w="1134" w:type="dxa"/>
            <w:tcBorders>
              <w:bottom w:val="single" w:sz="4" w:space="0" w:color="auto"/>
            </w:tcBorders>
            <w:vAlign w:val="center"/>
          </w:tcPr>
          <w:p w14:paraId="42CEE2C8" w14:textId="0F4C52FA" w:rsidR="006C641A" w:rsidRPr="007D1918" w:rsidRDefault="001770E2" w:rsidP="00153384">
            <w:pPr>
              <w:pStyle w:val="Caption"/>
              <w:ind w:left="0"/>
              <w:jc w:val="center"/>
            </w:pPr>
            <w:r w:rsidRPr="007D1918">
              <w:t xml:space="preserve">Incidence </w:t>
            </w:r>
            <w:r w:rsidR="006C641A" w:rsidRPr="007D1918">
              <w:t>Rate</w:t>
            </w:r>
          </w:p>
        </w:tc>
        <w:tc>
          <w:tcPr>
            <w:tcW w:w="1417" w:type="dxa"/>
            <w:vAlign w:val="center"/>
          </w:tcPr>
          <w:p w14:paraId="15DEFDCE" w14:textId="3946B790" w:rsidR="006C641A" w:rsidRPr="007D1918" w:rsidRDefault="006C641A" w:rsidP="00132097">
            <w:pPr>
              <w:pStyle w:val="Caption"/>
              <w:ind w:left="0"/>
              <w:jc w:val="center"/>
            </w:pPr>
            <w:r w:rsidRPr="007D1918">
              <w:t>Cost</w:t>
            </w:r>
            <w:r w:rsidR="00132097" w:rsidRPr="007D1918">
              <w:t xml:space="preserve"> per</w:t>
            </w:r>
            <w:r w:rsidRPr="007D1918">
              <w:t xml:space="preserve"> patient</w:t>
            </w:r>
            <w:r w:rsidR="00132097" w:rsidRPr="007D1918">
              <w:t xml:space="preserve"> across population</w:t>
            </w:r>
          </w:p>
        </w:tc>
      </w:tr>
      <w:tr w:rsidR="001770E2" w:rsidRPr="007D1918" w14:paraId="636DB881" w14:textId="77777777" w:rsidTr="00132097">
        <w:trPr>
          <w:trHeight w:val="283"/>
        </w:trPr>
        <w:tc>
          <w:tcPr>
            <w:tcW w:w="1413" w:type="dxa"/>
            <w:vMerge w:val="restart"/>
          </w:tcPr>
          <w:p w14:paraId="05C08C56" w14:textId="77777777" w:rsidR="001770E2" w:rsidRPr="007D1918" w:rsidRDefault="001770E2" w:rsidP="00153384">
            <w:pPr>
              <w:pStyle w:val="Tablecontents"/>
              <w:spacing w:before="0" w:after="0"/>
              <w:ind w:left="0"/>
            </w:pPr>
            <w:r w:rsidRPr="007D1918">
              <w:t>Retroperitoneal Haematoma</w:t>
            </w:r>
          </w:p>
        </w:tc>
        <w:tc>
          <w:tcPr>
            <w:tcW w:w="1984" w:type="dxa"/>
          </w:tcPr>
          <w:p w14:paraId="46D470EB" w14:textId="77777777" w:rsidR="001770E2" w:rsidRPr="007D1918" w:rsidRDefault="001770E2" w:rsidP="00153384">
            <w:pPr>
              <w:pStyle w:val="Tablecontents"/>
              <w:spacing w:before="0" w:after="0"/>
              <w:ind w:left="0"/>
            </w:pPr>
            <w:r w:rsidRPr="007D1918">
              <w:t>Red Blood Cells</w:t>
            </w:r>
          </w:p>
        </w:tc>
        <w:tc>
          <w:tcPr>
            <w:tcW w:w="993" w:type="dxa"/>
            <w:vAlign w:val="center"/>
          </w:tcPr>
          <w:p w14:paraId="5EFCD19E" w14:textId="77777777" w:rsidR="001770E2" w:rsidRPr="007D1918" w:rsidRDefault="001770E2" w:rsidP="00153384">
            <w:pPr>
              <w:pStyle w:val="Tablecontents"/>
              <w:spacing w:before="0" w:after="0"/>
              <w:ind w:left="0"/>
              <w:jc w:val="center"/>
            </w:pPr>
            <w:r w:rsidRPr="007D1918">
              <w:t>6 units</w:t>
            </w:r>
          </w:p>
        </w:tc>
        <w:tc>
          <w:tcPr>
            <w:tcW w:w="992" w:type="dxa"/>
            <w:vAlign w:val="center"/>
          </w:tcPr>
          <w:p w14:paraId="240289F8" w14:textId="77777777" w:rsidR="001770E2" w:rsidRPr="007D1918" w:rsidRDefault="001770E2" w:rsidP="00153384">
            <w:pPr>
              <w:pStyle w:val="Tablecontents"/>
              <w:spacing w:before="0" w:after="0"/>
              <w:ind w:left="0"/>
              <w:jc w:val="center"/>
            </w:pPr>
            <w:r w:rsidRPr="007D1918">
              <w:t>$399.25</w:t>
            </w:r>
          </w:p>
        </w:tc>
        <w:tc>
          <w:tcPr>
            <w:tcW w:w="1134" w:type="dxa"/>
            <w:vAlign w:val="center"/>
          </w:tcPr>
          <w:p w14:paraId="1073B455" w14:textId="51E466BE" w:rsidR="001770E2" w:rsidRPr="007D1918" w:rsidRDefault="001770E2" w:rsidP="001770E2">
            <w:pPr>
              <w:pStyle w:val="Tablecontents"/>
              <w:spacing w:before="0" w:after="0"/>
              <w:ind w:left="0"/>
              <w:jc w:val="right"/>
            </w:pPr>
            <w:r w:rsidRPr="007D1918">
              <w:t>$2,396</w:t>
            </w:r>
          </w:p>
        </w:tc>
        <w:tc>
          <w:tcPr>
            <w:tcW w:w="1134" w:type="dxa"/>
            <w:vMerge w:val="restart"/>
            <w:vAlign w:val="center"/>
          </w:tcPr>
          <w:p w14:paraId="41D9CE10" w14:textId="77777777" w:rsidR="001770E2" w:rsidRPr="007D1918" w:rsidRDefault="001770E2" w:rsidP="00153384">
            <w:pPr>
              <w:pStyle w:val="Tablecontents"/>
              <w:spacing w:before="0" w:after="0"/>
              <w:ind w:left="0"/>
              <w:jc w:val="center"/>
            </w:pPr>
            <w:r w:rsidRPr="007D1918">
              <w:t>2.44%</w:t>
            </w:r>
          </w:p>
        </w:tc>
        <w:tc>
          <w:tcPr>
            <w:tcW w:w="1417" w:type="dxa"/>
            <w:vMerge w:val="restart"/>
            <w:vAlign w:val="center"/>
          </w:tcPr>
          <w:p w14:paraId="5BC30398" w14:textId="4DA8C6F1" w:rsidR="001770E2" w:rsidRPr="007D1918" w:rsidRDefault="001770E2" w:rsidP="00153384">
            <w:pPr>
              <w:pStyle w:val="Tablecontents"/>
              <w:spacing w:before="0" w:after="0"/>
              <w:ind w:left="0"/>
              <w:jc w:val="right"/>
            </w:pPr>
            <w:r w:rsidRPr="007D1918">
              <w:rPr>
                <w:b/>
              </w:rPr>
              <w:t>$1,914</w:t>
            </w:r>
          </w:p>
        </w:tc>
      </w:tr>
      <w:tr w:rsidR="001770E2" w:rsidRPr="007D1918" w14:paraId="15285731" w14:textId="77777777" w:rsidTr="00132097">
        <w:trPr>
          <w:trHeight w:val="283"/>
        </w:trPr>
        <w:tc>
          <w:tcPr>
            <w:tcW w:w="1413" w:type="dxa"/>
            <w:vMerge/>
          </w:tcPr>
          <w:p w14:paraId="034C2859" w14:textId="77777777" w:rsidR="001770E2" w:rsidRPr="007D1918" w:rsidRDefault="001770E2" w:rsidP="00153384">
            <w:pPr>
              <w:pStyle w:val="Tablecontents"/>
              <w:spacing w:before="0" w:after="0"/>
              <w:ind w:left="0"/>
            </w:pPr>
          </w:p>
        </w:tc>
        <w:tc>
          <w:tcPr>
            <w:tcW w:w="1984" w:type="dxa"/>
          </w:tcPr>
          <w:p w14:paraId="1BB49EFF" w14:textId="77777777" w:rsidR="001770E2" w:rsidRPr="007D1918" w:rsidRDefault="001770E2" w:rsidP="00153384">
            <w:pPr>
              <w:pStyle w:val="Tablecontents"/>
              <w:spacing w:before="0" w:after="0"/>
              <w:ind w:left="0"/>
            </w:pPr>
            <w:r w:rsidRPr="007D1918">
              <w:t>Additional Hospitalisation</w:t>
            </w:r>
          </w:p>
          <w:p w14:paraId="7B446D1C" w14:textId="4074045A" w:rsidR="001770E2" w:rsidRPr="007D1918" w:rsidRDefault="001770E2" w:rsidP="00B47FC5">
            <w:pPr>
              <w:pStyle w:val="Tablecontents"/>
              <w:spacing w:before="0" w:after="0"/>
              <w:ind w:left="0" w:firstLine="322"/>
            </w:pPr>
            <w:r w:rsidRPr="007D1918">
              <w:t>ICU</w:t>
            </w:r>
          </w:p>
          <w:p w14:paraId="0B1ABF2A" w14:textId="77777777" w:rsidR="001770E2" w:rsidRPr="007D1918" w:rsidRDefault="001770E2" w:rsidP="00153384">
            <w:pPr>
              <w:pStyle w:val="Tablecontents"/>
              <w:spacing w:before="0" w:after="0"/>
              <w:ind w:left="0"/>
            </w:pPr>
            <w:r w:rsidRPr="007D1918">
              <w:t>Ward</w:t>
            </w:r>
          </w:p>
        </w:tc>
        <w:tc>
          <w:tcPr>
            <w:tcW w:w="993" w:type="dxa"/>
            <w:vAlign w:val="center"/>
          </w:tcPr>
          <w:p w14:paraId="1C2468A1" w14:textId="77777777" w:rsidR="001770E2" w:rsidRPr="007D1918" w:rsidRDefault="001770E2" w:rsidP="00153384">
            <w:pPr>
              <w:pStyle w:val="Tablecontents"/>
              <w:spacing w:before="0" w:after="0"/>
              <w:ind w:left="0"/>
              <w:jc w:val="center"/>
            </w:pPr>
            <w:r w:rsidRPr="007D1918">
              <w:br/>
            </w:r>
          </w:p>
          <w:p w14:paraId="3BCEAF12" w14:textId="77777777" w:rsidR="001770E2" w:rsidRPr="007D1918" w:rsidRDefault="001770E2" w:rsidP="00153384">
            <w:pPr>
              <w:pStyle w:val="Tablecontents"/>
              <w:spacing w:before="0" w:after="0"/>
              <w:ind w:left="0"/>
              <w:jc w:val="center"/>
            </w:pPr>
            <w:r w:rsidRPr="007D1918">
              <w:t>10 days</w:t>
            </w:r>
          </w:p>
          <w:p w14:paraId="031F236E" w14:textId="77777777" w:rsidR="001770E2" w:rsidRPr="007D1918" w:rsidRDefault="001770E2" w:rsidP="00153384">
            <w:pPr>
              <w:pStyle w:val="Tablecontents"/>
              <w:spacing w:before="0" w:after="0"/>
              <w:ind w:left="0"/>
              <w:jc w:val="center"/>
            </w:pPr>
            <w:r w:rsidRPr="007D1918">
              <w:t>5 days</w:t>
            </w:r>
          </w:p>
        </w:tc>
        <w:tc>
          <w:tcPr>
            <w:tcW w:w="992" w:type="dxa"/>
            <w:vAlign w:val="center"/>
          </w:tcPr>
          <w:p w14:paraId="667AD95B" w14:textId="77777777" w:rsidR="001770E2" w:rsidRPr="007D1918" w:rsidRDefault="001770E2" w:rsidP="00153384">
            <w:pPr>
              <w:pStyle w:val="Tablecontents"/>
              <w:spacing w:before="0" w:after="0"/>
              <w:ind w:left="0"/>
              <w:jc w:val="center"/>
            </w:pPr>
          </w:p>
          <w:p w14:paraId="11F15F63" w14:textId="77777777" w:rsidR="001770E2" w:rsidRPr="007D1918" w:rsidRDefault="001770E2" w:rsidP="00153384">
            <w:pPr>
              <w:pStyle w:val="Tablecontents"/>
              <w:spacing w:before="0" w:after="0"/>
              <w:ind w:left="0"/>
              <w:jc w:val="center"/>
            </w:pPr>
          </w:p>
          <w:p w14:paraId="73E51EF2" w14:textId="472603C3" w:rsidR="001770E2" w:rsidRPr="007D1918" w:rsidRDefault="001770E2" w:rsidP="00153384">
            <w:pPr>
              <w:pStyle w:val="Tablecontents"/>
              <w:spacing w:before="0" w:after="0"/>
              <w:ind w:left="0"/>
              <w:jc w:val="center"/>
            </w:pPr>
            <w:r w:rsidRPr="007D1918">
              <w:t>$6,882</w:t>
            </w:r>
          </w:p>
          <w:p w14:paraId="5C9ED6ED" w14:textId="61A84CCD" w:rsidR="001770E2" w:rsidRPr="007D1918" w:rsidRDefault="001770E2" w:rsidP="001770E2">
            <w:pPr>
              <w:pStyle w:val="Tablecontents"/>
              <w:spacing w:before="0" w:after="0"/>
              <w:ind w:left="0"/>
              <w:jc w:val="center"/>
            </w:pPr>
            <w:r w:rsidRPr="007D1918">
              <w:t>$1,441</w:t>
            </w:r>
          </w:p>
        </w:tc>
        <w:tc>
          <w:tcPr>
            <w:tcW w:w="1134" w:type="dxa"/>
            <w:vAlign w:val="center"/>
          </w:tcPr>
          <w:p w14:paraId="54A82322" w14:textId="71AC9A24" w:rsidR="001770E2" w:rsidRPr="007D1918" w:rsidRDefault="001770E2" w:rsidP="001770E2">
            <w:pPr>
              <w:pStyle w:val="Tablecontents"/>
              <w:spacing w:before="0" w:after="0"/>
              <w:ind w:left="0"/>
              <w:jc w:val="right"/>
            </w:pPr>
            <w:r w:rsidRPr="007D1918">
              <w:t>$76,034</w:t>
            </w:r>
          </w:p>
        </w:tc>
        <w:tc>
          <w:tcPr>
            <w:tcW w:w="1134" w:type="dxa"/>
            <w:vMerge/>
            <w:vAlign w:val="center"/>
          </w:tcPr>
          <w:p w14:paraId="5158A272" w14:textId="77777777" w:rsidR="001770E2" w:rsidRPr="007D1918" w:rsidRDefault="001770E2" w:rsidP="00153384">
            <w:pPr>
              <w:pStyle w:val="Tablecontents"/>
              <w:spacing w:before="0" w:after="0"/>
              <w:ind w:left="0"/>
              <w:jc w:val="center"/>
            </w:pPr>
          </w:p>
        </w:tc>
        <w:tc>
          <w:tcPr>
            <w:tcW w:w="1417" w:type="dxa"/>
            <w:vMerge/>
            <w:vAlign w:val="center"/>
          </w:tcPr>
          <w:p w14:paraId="505CDA1C" w14:textId="1BDB7874" w:rsidR="001770E2" w:rsidRPr="007D1918" w:rsidRDefault="001770E2" w:rsidP="00153384">
            <w:pPr>
              <w:pStyle w:val="Tablecontents"/>
              <w:spacing w:before="0" w:after="0"/>
              <w:ind w:left="0"/>
              <w:jc w:val="right"/>
            </w:pPr>
          </w:p>
        </w:tc>
      </w:tr>
      <w:tr w:rsidR="001770E2" w:rsidRPr="007D1918" w14:paraId="16A7C841" w14:textId="77777777" w:rsidTr="00132097">
        <w:trPr>
          <w:trHeight w:val="283"/>
        </w:trPr>
        <w:tc>
          <w:tcPr>
            <w:tcW w:w="1413" w:type="dxa"/>
            <w:vMerge/>
          </w:tcPr>
          <w:p w14:paraId="47A59F4F" w14:textId="77777777" w:rsidR="001770E2" w:rsidRPr="007D1918" w:rsidRDefault="001770E2" w:rsidP="00153384">
            <w:pPr>
              <w:pStyle w:val="Tablecontents"/>
              <w:spacing w:before="0" w:after="0"/>
              <w:ind w:left="0"/>
            </w:pPr>
          </w:p>
        </w:tc>
        <w:tc>
          <w:tcPr>
            <w:tcW w:w="1984" w:type="dxa"/>
          </w:tcPr>
          <w:p w14:paraId="37DD6F7E" w14:textId="77777777" w:rsidR="001770E2" w:rsidRPr="007D1918" w:rsidRDefault="001770E2" w:rsidP="00153384">
            <w:pPr>
              <w:pStyle w:val="Tablecontents"/>
              <w:spacing w:before="0" w:after="0"/>
              <w:ind w:left="0"/>
              <w:rPr>
                <w:b/>
              </w:rPr>
            </w:pPr>
            <w:r w:rsidRPr="007D1918">
              <w:rPr>
                <w:b/>
              </w:rPr>
              <w:t>Total</w:t>
            </w:r>
          </w:p>
        </w:tc>
        <w:tc>
          <w:tcPr>
            <w:tcW w:w="993" w:type="dxa"/>
            <w:vAlign w:val="center"/>
          </w:tcPr>
          <w:p w14:paraId="450B0DCA" w14:textId="77777777" w:rsidR="001770E2" w:rsidRPr="007D1918" w:rsidRDefault="001770E2" w:rsidP="00153384">
            <w:pPr>
              <w:pStyle w:val="Tablecontents"/>
              <w:spacing w:before="0" w:after="0"/>
              <w:ind w:left="0"/>
              <w:jc w:val="center"/>
              <w:rPr>
                <w:b/>
              </w:rPr>
            </w:pPr>
          </w:p>
        </w:tc>
        <w:tc>
          <w:tcPr>
            <w:tcW w:w="992" w:type="dxa"/>
            <w:vAlign w:val="center"/>
          </w:tcPr>
          <w:p w14:paraId="541CD021" w14:textId="77777777" w:rsidR="001770E2" w:rsidRPr="007D1918" w:rsidRDefault="001770E2" w:rsidP="00153384">
            <w:pPr>
              <w:pStyle w:val="Tablecontents"/>
              <w:spacing w:before="0" w:after="0"/>
              <w:ind w:left="0"/>
              <w:jc w:val="center"/>
              <w:rPr>
                <w:b/>
              </w:rPr>
            </w:pPr>
          </w:p>
        </w:tc>
        <w:tc>
          <w:tcPr>
            <w:tcW w:w="1134" w:type="dxa"/>
            <w:vAlign w:val="center"/>
          </w:tcPr>
          <w:p w14:paraId="70696258" w14:textId="773DA18C" w:rsidR="001770E2" w:rsidRPr="007D1918" w:rsidRDefault="001770E2" w:rsidP="00153384">
            <w:pPr>
              <w:pStyle w:val="Tablecontents"/>
              <w:spacing w:before="0" w:after="0"/>
              <w:ind w:left="0"/>
              <w:jc w:val="right"/>
              <w:rPr>
                <w:b/>
              </w:rPr>
            </w:pPr>
            <w:r w:rsidRPr="007D1918">
              <w:rPr>
                <w:b/>
              </w:rPr>
              <w:t>$78,429</w:t>
            </w:r>
          </w:p>
        </w:tc>
        <w:tc>
          <w:tcPr>
            <w:tcW w:w="1134" w:type="dxa"/>
            <w:vMerge/>
            <w:vAlign w:val="center"/>
          </w:tcPr>
          <w:p w14:paraId="15EEBA70" w14:textId="77777777" w:rsidR="001770E2" w:rsidRPr="007D1918" w:rsidRDefault="001770E2" w:rsidP="00153384">
            <w:pPr>
              <w:pStyle w:val="Tablecontents"/>
              <w:spacing w:before="0" w:after="0"/>
              <w:ind w:left="0"/>
              <w:jc w:val="center"/>
              <w:rPr>
                <w:b/>
              </w:rPr>
            </w:pPr>
          </w:p>
        </w:tc>
        <w:tc>
          <w:tcPr>
            <w:tcW w:w="1417" w:type="dxa"/>
            <w:vMerge/>
            <w:vAlign w:val="center"/>
          </w:tcPr>
          <w:p w14:paraId="027326E5" w14:textId="50DDA12F" w:rsidR="001770E2" w:rsidRPr="007D1918" w:rsidRDefault="001770E2" w:rsidP="00153384">
            <w:pPr>
              <w:pStyle w:val="Tablecontents"/>
              <w:spacing w:before="0" w:after="0"/>
              <w:ind w:left="0"/>
              <w:jc w:val="right"/>
              <w:rPr>
                <w:b/>
              </w:rPr>
            </w:pPr>
          </w:p>
        </w:tc>
      </w:tr>
      <w:tr w:rsidR="001770E2" w:rsidRPr="007D1918" w14:paraId="75C80744" w14:textId="77777777" w:rsidTr="00A97725">
        <w:trPr>
          <w:trHeight w:val="283"/>
        </w:trPr>
        <w:tc>
          <w:tcPr>
            <w:tcW w:w="1413" w:type="dxa"/>
            <w:vMerge w:val="restart"/>
          </w:tcPr>
          <w:p w14:paraId="3DBA2DC6" w14:textId="77777777" w:rsidR="001770E2" w:rsidRPr="007D1918" w:rsidRDefault="001770E2" w:rsidP="00153384">
            <w:pPr>
              <w:pStyle w:val="Tablecontents"/>
              <w:spacing w:before="0" w:after="0"/>
              <w:ind w:left="0"/>
            </w:pPr>
            <w:r w:rsidRPr="007D1918">
              <w:t>Femoral Thrombosis</w:t>
            </w:r>
          </w:p>
        </w:tc>
        <w:tc>
          <w:tcPr>
            <w:tcW w:w="1984" w:type="dxa"/>
            <w:tcBorders>
              <w:top w:val="single" w:sz="4" w:space="0" w:color="auto"/>
              <w:bottom w:val="single" w:sz="4" w:space="0" w:color="auto"/>
            </w:tcBorders>
          </w:tcPr>
          <w:p w14:paraId="2A7ACC57" w14:textId="77777777" w:rsidR="001770E2" w:rsidRPr="007D1918" w:rsidRDefault="001770E2" w:rsidP="00153384">
            <w:pPr>
              <w:pStyle w:val="Tablecontents"/>
              <w:spacing w:before="0" w:after="0"/>
              <w:ind w:left="0"/>
            </w:pPr>
            <w:r w:rsidRPr="007D1918">
              <w:t>Additional hospital days</w:t>
            </w:r>
          </w:p>
        </w:tc>
        <w:tc>
          <w:tcPr>
            <w:tcW w:w="993" w:type="dxa"/>
            <w:tcBorders>
              <w:top w:val="single" w:sz="4" w:space="0" w:color="auto"/>
              <w:bottom w:val="single" w:sz="4" w:space="0" w:color="auto"/>
            </w:tcBorders>
            <w:vAlign w:val="center"/>
          </w:tcPr>
          <w:p w14:paraId="43FDDD0D" w14:textId="77777777" w:rsidR="001770E2" w:rsidRPr="007D1918" w:rsidRDefault="001770E2" w:rsidP="00153384">
            <w:pPr>
              <w:pStyle w:val="Tablecontents"/>
              <w:spacing w:before="0" w:after="0"/>
              <w:ind w:left="0"/>
              <w:jc w:val="center"/>
            </w:pPr>
            <w:r w:rsidRPr="007D1918">
              <w:t>Per day</w:t>
            </w:r>
          </w:p>
        </w:tc>
        <w:tc>
          <w:tcPr>
            <w:tcW w:w="992" w:type="dxa"/>
            <w:tcBorders>
              <w:top w:val="single" w:sz="4" w:space="0" w:color="auto"/>
              <w:bottom w:val="single" w:sz="4" w:space="0" w:color="auto"/>
            </w:tcBorders>
            <w:vAlign w:val="center"/>
          </w:tcPr>
          <w:p w14:paraId="7D162571" w14:textId="77777777" w:rsidR="001770E2" w:rsidRPr="007D1918" w:rsidRDefault="001770E2" w:rsidP="00153384">
            <w:pPr>
              <w:pStyle w:val="Tablecontents"/>
              <w:spacing w:before="0" w:after="0"/>
              <w:ind w:left="0"/>
              <w:jc w:val="center"/>
            </w:pPr>
            <w:r w:rsidRPr="007D1918">
              <w:t>$1,441.45</w:t>
            </w:r>
          </w:p>
        </w:tc>
        <w:tc>
          <w:tcPr>
            <w:tcW w:w="1134" w:type="dxa"/>
            <w:tcBorders>
              <w:top w:val="single" w:sz="4" w:space="0" w:color="auto"/>
              <w:bottom w:val="single" w:sz="4" w:space="0" w:color="auto"/>
            </w:tcBorders>
            <w:vAlign w:val="center"/>
          </w:tcPr>
          <w:p w14:paraId="55A76B91" w14:textId="468D22BF" w:rsidR="001770E2" w:rsidRPr="007D1918" w:rsidRDefault="001770E2" w:rsidP="001770E2">
            <w:pPr>
              <w:pStyle w:val="Tablecontents"/>
              <w:spacing w:before="0" w:after="0"/>
              <w:ind w:left="0"/>
              <w:jc w:val="right"/>
            </w:pPr>
            <w:r w:rsidRPr="007D1918">
              <w:t>$1,441</w:t>
            </w:r>
          </w:p>
        </w:tc>
        <w:tc>
          <w:tcPr>
            <w:tcW w:w="1134" w:type="dxa"/>
            <w:vMerge w:val="restart"/>
            <w:tcBorders>
              <w:top w:val="single" w:sz="4" w:space="0" w:color="auto"/>
              <w:right w:val="single" w:sz="4" w:space="0" w:color="auto"/>
            </w:tcBorders>
            <w:vAlign w:val="center"/>
          </w:tcPr>
          <w:p w14:paraId="12D67BE9" w14:textId="77777777" w:rsidR="001770E2" w:rsidRPr="007D1918" w:rsidRDefault="001770E2" w:rsidP="00153384">
            <w:pPr>
              <w:pStyle w:val="Tablecontents"/>
              <w:spacing w:before="0" w:after="0"/>
              <w:ind w:left="0"/>
              <w:jc w:val="center"/>
            </w:pPr>
            <w:r w:rsidRPr="007D1918">
              <w:t>2.44%</w:t>
            </w:r>
          </w:p>
        </w:tc>
        <w:tc>
          <w:tcPr>
            <w:tcW w:w="1417" w:type="dxa"/>
            <w:vMerge w:val="restart"/>
            <w:tcBorders>
              <w:top w:val="single" w:sz="4" w:space="0" w:color="auto"/>
              <w:left w:val="single" w:sz="4" w:space="0" w:color="auto"/>
              <w:right w:val="single" w:sz="4" w:space="0" w:color="auto"/>
            </w:tcBorders>
            <w:shd w:val="clear" w:color="auto" w:fill="auto"/>
            <w:vAlign w:val="center"/>
          </w:tcPr>
          <w:p w14:paraId="495C5224" w14:textId="22BDAE7A" w:rsidR="001770E2" w:rsidRPr="007D1918" w:rsidRDefault="001770E2" w:rsidP="00CE03BE">
            <w:pPr>
              <w:pStyle w:val="Tablecontents"/>
              <w:spacing w:before="0" w:after="0"/>
              <w:ind w:left="0"/>
              <w:jc w:val="right"/>
            </w:pPr>
            <w:r w:rsidRPr="007D1918">
              <w:rPr>
                <w:b/>
              </w:rPr>
              <w:t>$4</w:t>
            </w:r>
            <w:r w:rsidR="00CE03BE" w:rsidRPr="007D1918">
              <w:rPr>
                <w:b/>
              </w:rPr>
              <w:t>9</w:t>
            </w:r>
          </w:p>
        </w:tc>
      </w:tr>
      <w:tr w:rsidR="001770E2" w:rsidRPr="007D1918" w14:paraId="3EAAA0FF" w14:textId="77777777" w:rsidTr="00A97725">
        <w:trPr>
          <w:trHeight w:val="283"/>
        </w:trPr>
        <w:tc>
          <w:tcPr>
            <w:tcW w:w="1413" w:type="dxa"/>
            <w:vMerge/>
          </w:tcPr>
          <w:p w14:paraId="15CBB3E4" w14:textId="77777777" w:rsidR="001770E2" w:rsidRPr="007D1918" w:rsidRDefault="001770E2" w:rsidP="00153384">
            <w:pPr>
              <w:pStyle w:val="Tablecontents"/>
              <w:spacing w:before="0" w:after="0"/>
              <w:ind w:left="0"/>
            </w:pPr>
          </w:p>
        </w:tc>
        <w:tc>
          <w:tcPr>
            <w:tcW w:w="1984" w:type="dxa"/>
            <w:tcBorders>
              <w:top w:val="single" w:sz="4" w:space="0" w:color="auto"/>
              <w:bottom w:val="single" w:sz="4" w:space="0" w:color="auto"/>
            </w:tcBorders>
          </w:tcPr>
          <w:p w14:paraId="380CDCF0" w14:textId="77777777" w:rsidR="00B47FC5" w:rsidRDefault="001770E2" w:rsidP="00153384">
            <w:pPr>
              <w:pStyle w:val="Tablecontents"/>
              <w:spacing w:before="0" w:after="0"/>
              <w:ind w:left="0"/>
            </w:pPr>
            <w:r w:rsidRPr="007D1918">
              <w:t>Rivaroxiban 15 mg</w:t>
            </w:r>
          </w:p>
          <w:p w14:paraId="42C0F2CB" w14:textId="0F292213" w:rsidR="001770E2" w:rsidRPr="007D1918" w:rsidRDefault="001770E2" w:rsidP="00B47FC5">
            <w:pPr>
              <w:pStyle w:val="Tablecontents"/>
              <w:spacing w:before="0" w:after="0"/>
              <w:ind w:left="0" w:firstLine="606"/>
            </w:pPr>
            <w:r w:rsidRPr="007D1918">
              <w:t>then 20mg</w:t>
            </w:r>
          </w:p>
        </w:tc>
        <w:tc>
          <w:tcPr>
            <w:tcW w:w="993" w:type="dxa"/>
            <w:tcBorders>
              <w:top w:val="single" w:sz="4" w:space="0" w:color="auto"/>
              <w:bottom w:val="single" w:sz="4" w:space="0" w:color="auto"/>
            </w:tcBorders>
            <w:vAlign w:val="center"/>
          </w:tcPr>
          <w:p w14:paraId="7F2F1BBA" w14:textId="77777777" w:rsidR="001770E2" w:rsidRPr="007D1918" w:rsidRDefault="001770E2" w:rsidP="00153384">
            <w:pPr>
              <w:pStyle w:val="Tablecontents"/>
              <w:spacing w:before="0" w:after="0"/>
              <w:ind w:left="0"/>
              <w:jc w:val="center"/>
            </w:pPr>
            <w:r w:rsidRPr="007D1918">
              <w:t>x 1 pack</w:t>
            </w:r>
          </w:p>
          <w:p w14:paraId="4D47A16F" w14:textId="77777777" w:rsidR="001770E2" w:rsidRPr="007D1918" w:rsidRDefault="001770E2" w:rsidP="00153384">
            <w:pPr>
              <w:pStyle w:val="Tablecontents"/>
              <w:spacing w:before="0" w:after="0"/>
              <w:ind w:left="0"/>
              <w:jc w:val="center"/>
            </w:pPr>
            <w:r w:rsidRPr="007D1918">
              <w:t>x 3 packs</w:t>
            </w:r>
          </w:p>
        </w:tc>
        <w:tc>
          <w:tcPr>
            <w:tcW w:w="992" w:type="dxa"/>
            <w:tcBorders>
              <w:top w:val="single" w:sz="4" w:space="0" w:color="auto"/>
              <w:bottom w:val="single" w:sz="4" w:space="0" w:color="auto"/>
            </w:tcBorders>
            <w:vAlign w:val="center"/>
          </w:tcPr>
          <w:p w14:paraId="50090AB2" w14:textId="77777777" w:rsidR="001770E2" w:rsidRPr="007D1918" w:rsidRDefault="001770E2" w:rsidP="00153384">
            <w:pPr>
              <w:pStyle w:val="Tablecontents"/>
              <w:spacing w:after="0"/>
              <w:ind w:left="0"/>
              <w:jc w:val="center"/>
            </w:pPr>
            <w:r w:rsidRPr="007D1918">
              <w:t xml:space="preserve">$125.60 </w:t>
            </w:r>
          </w:p>
          <w:p w14:paraId="05EC33AC" w14:textId="77777777" w:rsidR="001770E2" w:rsidRPr="007D1918" w:rsidRDefault="001770E2" w:rsidP="00153384">
            <w:pPr>
              <w:pStyle w:val="Tablecontents"/>
              <w:spacing w:before="0" w:after="0"/>
              <w:ind w:left="0"/>
              <w:jc w:val="center"/>
            </w:pPr>
            <w:r w:rsidRPr="007D1918">
              <w:t>$87.56</w:t>
            </w:r>
          </w:p>
        </w:tc>
        <w:tc>
          <w:tcPr>
            <w:tcW w:w="1134" w:type="dxa"/>
            <w:tcBorders>
              <w:top w:val="single" w:sz="4" w:space="0" w:color="auto"/>
              <w:bottom w:val="single" w:sz="4" w:space="0" w:color="auto"/>
            </w:tcBorders>
            <w:vAlign w:val="center"/>
          </w:tcPr>
          <w:p w14:paraId="5186FB44" w14:textId="73846716" w:rsidR="001770E2" w:rsidRPr="007D1918" w:rsidRDefault="001770E2" w:rsidP="001770E2">
            <w:pPr>
              <w:pStyle w:val="Tablecontents"/>
              <w:spacing w:before="0" w:after="0"/>
              <w:ind w:left="0"/>
              <w:jc w:val="right"/>
            </w:pPr>
            <w:r w:rsidRPr="007D1918">
              <w:t>$388</w:t>
            </w:r>
          </w:p>
        </w:tc>
        <w:tc>
          <w:tcPr>
            <w:tcW w:w="1134" w:type="dxa"/>
            <w:vMerge/>
            <w:tcBorders>
              <w:right w:val="single" w:sz="4" w:space="0" w:color="auto"/>
            </w:tcBorders>
            <w:vAlign w:val="center"/>
          </w:tcPr>
          <w:p w14:paraId="426238DE" w14:textId="77777777" w:rsidR="001770E2" w:rsidRPr="007D1918" w:rsidRDefault="001770E2" w:rsidP="00153384">
            <w:pPr>
              <w:ind w:left="0"/>
              <w:jc w:val="center"/>
              <w:rPr>
                <w:rFonts w:ascii="Arial Narrow" w:hAnsi="Arial Narrow" w:cs="Times New Roman"/>
                <w:sz w:val="20"/>
                <w:szCs w:val="20"/>
              </w:rPr>
            </w:pPr>
          </w:p>
        </w:tc>
        <w:tc>
          <w:tcPr>
            <w:tcW w:w="1417" w:type="dxa"/>
            <w:vMerge/>
            <w:tcBorders>
              <w:left w:val="single" w:sz="4" w:space="0" w:color="auto"/>
              <w:right w:val="single" w:sz="4" w:space="0" w:color="auto"/>
            </w:tcBorders>
            <w:shd w:val="clear" w:color="auto" w:fill="auto"/>
            <w:vAlign w:val="center"/>
          </w:tcPr>
          <w:p w14:paraId="4D2C7C55" w14:textId="011C5A2B" w:rsidR="001770E2" w:rsidRPr="007D1918" w:rsidRDefault="001770E2" w:rsidP="00153384">
            <w:pPr>
              <w:pStyle w:val="Tablecontents"/>
              <w:spacing w:before="0" w:after="0"/>
              <w:ind w:left="0"/>
              <w:jc w:val="right"/>
            </w:pPr>
          </w:p>
        </w:tc>
      </w:tr>
      <w:tr w:rsidR="001770E2" w:rsidRPr="007D1918" w14:paraId="7A45C04B" w14:textId="77777777" w:rsidTr="00A97725">
        <w:trPr>
          <w:trHeight w:val="283"/>
        </w:trPr>
        <w:tc>
          <w:tcPr>
            <w:tcW w:w="1413" w:type="dxa"/>
            <w:vMerge/>
          </w:tcPr>
          <w:p w14:paraId="32EF217E" w14:textId="77777777" w:rsidR="001770E2" w:rsidRPr="007D1918" w:rsidRDefault="001770E2" w:rsidP="00153384">
            <w:pPr>
              <w:pStyle w:val="Tablecontents"/>
              <w:spacing w:before="0" w:after="0"/>
              <w:ind w:left="0"/>
            </w:pPr>
          </w:p>
        </w:tc>
        <w:tc>
          <w:tcPr>
            <w:tcW w:w="1984" w:type="dxa"/>
            <w:tcBorders>
              <w:top w:val="single" w:sz="4" w:space="0" w:color="auto"/>
              <w:bottom w:val="single" w:sz="4" w:space="0" w:color="auto"/>
            </w:tcBorders>
          </w:tcPr>
          <w:p w14:paraId="1AE4A3DC" w14:textId="77777777" w:rsidR="001770E2" w:rsidRPr="007D1918" w:rsidRDefault="001770E2" w:rsidP="00153384">
            <w:pPr>
              <w:pStyle w:val="Tablecontents"/>
              <w:spacing w:before="0" w:after="0"/>
              <w:ind w:left="0"/>
            </w:pPr>
            <w:r w:rsidRPr="007D1918">
              <w:t xml:space="preserve">Post-discharge GP consultation </w:t>
            </w:r>
          </w:p>
        </w:tc>
        <w:tc>
          <w:tcPr>
            <w:tcW w:w="993" w:type="dxa"/>
            <w:tcBorders>
              <w:top w:val="single" w:sz="4" w:space="0" w:color="auto"/>
              <w:bottom w:val="single" w:sz="4" w:space="0" w:color="auto"/>
            </w:tcBorders>
            <w:vAlign w:val="center"/>
          </w:tcPr>
          <w:p w14:paraId="506EF488" w14:textId="77777777" w:rsidR="001770E2" w:rsidRPr="007D1918" w:rsidRDefault="001770E2" w:rsidP="00153384">
            <w:pPr>
              <w:pStyle w:val="Tablecontents"/>
              <w:spacing w:before="0" w:after="0"/>
              <w:ind w:left="0"/>
              <w:jc w:val="center"/>
            </w:pPr>
            <w:r w:rsidRPr="007D1918">
              <w:t>2</w:t>
            </w:r>
          </w:p>
        </w:tc>
        <w:tc>
          <w:tcPr>
            <w:tcW w:w="992" w:type="dxa"/>
            <w:tcBorders>
              <w:top w:val="single" w:sz="4" w:space="0" w:color="auto"/>
              <w:bottom w:val="single" w:sz="4" w:space="0" w:color="auto"/>
            </w:tcBorders>
            <w:vAlign w:val="center"/>
          </w:tcPr>
          <w:p w14:paraId="4BA7D56E" w14:textId="77777777" w:rsidR="001770E2" w:rsidRPr="007D1918" w:rsidRDefault="001770E2" w:rsidP="00153384">
            <w:pPr>
              <w:pStyle w:val="Tablecontents"/>
              <w:spacing w:before="0" w:after="0"/>
              <w:ind w:left="0"/>
              <w:jc w:val="center"/>
            </w:pPr>
            <w:r w:rsidRPr="007D1918">
              <w:t>$85.30</w:t>
            </w:r>
          </w:p>
        </w:tc>
        <w:tc>
          <w:tcPr>
            <w:tcW w:w="1134" w:type="dxa"/>
            <w:tcBorders>
              <w:top w:val="single" w:sz="4" w:space="0" w:color="auto"/>
              <w:bottom w:val="single" w:sz="4" w:space="0" w:color="auto"/>
            </w:tcBorders>
            <w:vAlign w:val="center"/>
          </w:tcPr>
          <w:p w14:paraId="00B3B681" w14:textId="7984344A" w:rsidR="001770E2" w:rsidRPr="007D1918" w:rsidRDefault="001770E2" w:rsidP="001770E2">
            <w:pPr>
              <w:pStyle w:val="Tablecontents"/>
              <w:spacing w:before="0" w:after="0"/>
              <w:ind w:left="0"/>
              <w:jc w:val="right"/>
            </w:pPr>
            <w:r w:rsidRPr="007D1918">
              <w:t>$171</w:t>
            </w:r>
          </w:p>
        </w:tc>
        <w:tc>
          <w:tcPr>
            <w:tcW w:w="1134" w:type="dxa"/>
            <w:vMerge/>
            <w:tcBorders>
              <w:right w:val="single" w:sz="4" w:space="0" w:color="auto"/>
            </w:tcBorders>
            <w:vAlign w:val="center"/>
          </w:tcPr>
          <w:p w14:paraId="096D28AA" w14:textId="77777777" w:rsidR="001770E2" w:rsidRPr="007D1918" w:rsidRDefault="001770E2" w:rsidP="00153384">
            <w:pPr>
              <w:pStyle w:val="Tablecontents"/>
              <w:spacing w:before="0" w:after="0"/>
              <w:ind w:left="0"/>
              <w:jc w:val="center"/>
            </w:pPr>
          </w:p>
        </w:tc>
        <w:tc>
          <w:tcPr>
            <w:tcW w:w="1417" w:type="dxa"/>
            <w:vMerge/>
            <w:tcBorders>
              <w:left w:val="single" w:sz="4" w:space="0" w:color="auto"/>
              <w:right w:val="single" w:sz="4" w:space="0" w:color="auto"/>
            </w:tcBorders>
            <w:shd w:val="clear" w:color="auto" w:fill="auto"/>
            <w:vAlign w:val="center"/>
          </w:tcPr>
          <w:p w14:paraId="3BBDC545" w14:textId="77EF7BF4" w:rsidR="001770E2" w:rsidRPr="007D1918" w:rsidRDefault="001770E2" w:rsidP="00153384">
            <w:pPr>
              <w:pStyle w:val="Tablecontents"/>
              <w:spacing w:before="0" w:after="0"/>
              <w:ind w:left="0"/>
              <w:jc w:val="right"/>
            </w:pPr>
          </w:p>
        </w:tc>
      </w:tr>
      <w:tr w:rsidR="001770E2" w:rsidRPr="007D1918" w14:paraId="39744CE6" w14:textId="77777777" w:rsidTr="00A97725">
        <w:trPr>
          <w:trHeight w:val="283"/>
        </w:trPr>
        <w:tc>
          <w:tcPr>
            <w:tcW w:w="1413" w:type="dxa"/>
            <w:vMerge/>
          </w:tcPr>
          <w:p w14:paraId="60EEE5B2" w14:textId="77777777" w:rsidR="001770E2" w:rsidRPr="007D1918" w:rsidRDefault="001770E2" w:rsidP="00153384">
            <w:pPr>
              <w:pStyle w:val="Tablecontents"/>
              <w:spacing w:before="0" w:after="0"/>
              <w:ind w:left="0"/>
            </w:pPr>
          </w:p>
        </w:tc>
        <w:tc>
          <w:tcPr>
            <w:tcW w:w="1984" w:type="dxa"/>
            <w:tcBorders>
              <w:top w:val="single" w:sz="4" w:space="0" w:color="auto"/>
              <w:bottom w:val="single" w:sz="4" w:space="0" w:color="auto"/>
            </w:tcBorders>
          </w:tcPr>
          <w:p w14:paraId="47EEBF98" w14:textId="77777777" w:rsidR="001770E2" w:rsidRPr="007D1918" w:rsidRDefault="001770E2" w:rsidP="00153384">
            <w:pPr>
              <w:pStyle w:val="Tablecontents"/>
              <w:spacing w:before="0" w:after="0"/>
              <w:ind w:left="0"/>
            </w:pPr>
            <w:r w:rsidRPr="007D1918">
              <w:rPr>
                <w:b/>
              </w:rPr>
              <w:t>Total</w:t>
            </w:r>
          </w:p>
        </w:tc>
        <w:tc>
          <w:tcPr>
            <w:tcW w:w="993" w:type="dxa"/>
            <w:tcBorders>
              <w:top w:val="single" w:sz="4" w:space="0" w:color="auto"/>
              <w:bottom w:val="single" w:sz="4" w:space="0" w:color="auto"/>
            </w:tcBorders>
            <w:vAlign w:val="center"/>
          </w:tcPr>
          <w:p w14:paraId="2D391392" w14:textId="77777777" w:rsidR="001770E2" w:rsidRPr="007D1918" w:rsidRDefault="001770E2" w:rsidP="00153384">
            <w:pPr>
              <w:pStyle w:val="Tablecontents"/>
              <w:spacing w:before="0" w:after="0"/>
              <w:ind w:left="0"/>
              <w:jc w:val="center"/>
            </w:pPr>
          </w:p>
        </w:tc>
        <w:tc>
          <w:tcPr>
            <w:tcW w:w="992" w:type="dxa"/>
            <w:vAlign w:val="center"/>
          </w:tcPr>
          <w:p w14:paraId="01B08A5B" w14:textId="77777777" w:rsidR="001770E2" w:rsidRPr="007D1918" w:rsidRDefault="001770E2" w:rsidP="00153384">
            <w:pPr>
              <w:pStyle w:val="Tablecontents"/>
              <w:spacing w:before="0" w:after="0"/>
              <w:ind w:left="0"/>
              <w:jc w:val="center"/>
            </w:pPr>
          </w:p>
        </w:tc>
        <w:tc>
          <w:tcPr>
            <w:tcW w:w="1134" w:type="dxa"/>
            <w:tcBorders>
              <w:top w:val="single" w:sz="4" w:space="0" w:color="auto"/>
              <w:bottom w:val="single" w:sz="4" w:space="0" w:color="auto"/>
            </w:tcBorders>
            <w:vAlign w:val="center"/>
          </w:tcPr>
          <w:p w14:paraId="6CB86F04" w14:textId="31C5668D" w:rsidR="001770E2" w:rsidRPr="007D1918" w:rsidRDefault="001770E2" w:rsidP="001770E2">
            <w:pPr>
              <w:pStyle w:val="Tablecontents"/>
              <w:spacing w:before="0" w:after="0"/>
              <w:ind w:left="0"/>
              <w:jc w:val="right"/>
            </w:pPr>
            <w:r w:rsidRPr="007D1918">
              <w:rPr>
                <w:b/>
              </w:rPr>
              <w:t>$2,000</w:t>
            </w:r>
          </w:p>
        </w:tc>
        <w:tc>
          <w:tcPr>
            <w:tcW w:w="1134" w:type="dxa"/>
            <w:vMerge/>
            <w:tcBorders>
              <w:bottom w:val="single" w:sz="4" w:space="0" w:color="auto"/>
              <w:right w:val="single" w:sz="4" w:space="0" w:color="auto"/>
            </w:tcBorders>
            <w:vAlign w:val="center"/>
          </w:tcPr>
          <w:p w14:paraId="7A87E1DD" w14:textId="77777777" w:rsidR="001770E2" w:rsidRPr="007D1918" w:rsidRDefault="001770E2" w:rsidP="00153384">
            <w:pPr>
              <w:pStyle w:val="Tablecontents"/>
              <w:spacing w:before="0" w:after="0"/>
              <w:ind w:left="0"/>
              <w:jc w:val="center"/>
              <w:rPr>
                <w:b/>
              </w:rPr>
            </w:pPr>
          </w:p>
        </w:tc>
        <w:tc>
          <w:tcPr>
            <w:tcW w:w="1417" w:type="dxa"/>
            <w:vMerge/>
            <w:tcBorders>
              <w:left w:val="single" w:sz="4" w:space="0" w:color="auto"/>
              <w:bottom w:val="single" w:sz="4" w:space="0" w:color="auto"/>
              <w:right w:val="single" w:sz="4" w:space="0" w:color="auto"/>
            </w:tcBorders>
            <w:shd w:val="clear" w:color="auto" w:fill="auto"/>
            <w:vAlign w:val="center"/>
          </w:tcPr>
          <w:p w14:paraId="49F0E454" w14:textId="1E3224CC" w:rsidR="001770E2" w:rsidRPr="007D1918" w:rsidRDefault="001770E2" w:rsidP="00153384">
            <w:pPr>
              <w:pStyle w:val="Tablecontents"/>
              <w:spacing w:before="0" w:after="0"/>
              <w:ind w:left="0"/>
              <w:jc w:val="right"/>
            </w:pPr>
          </w:p>
        </w:tc>
      </w:tr>
      <w:tr w:rsidR="006C641A" w:rsidRPr="007D1918" w14:paraId="4BD7DE9B" w14:textId="77777777" w:rsidTr="00132097">
        <w:trPr>
          <w:trHeight w:val="283"/>
        </w:trPr>
        <w:tc>
          <w:tcPr>
            <w:tcW w:w="1413" w:type="dxa"/>
          </w:tcPr>
          <w:p w14:paraId="3DB6D9FD" w14:textId="77777777" w:rsidR="006C641A" w:rsidRPr="007D1918" w:rsidRDefault="006C641A" w:rsidP="00153384">
            <w:pPr>
              <w:pStyle w:val="Tablecontents"/>
              <w:spacing w:before="0" w:after="0"/>
              <w:ind w:left="0"/>
            </w:pPr>
            <w:r w:rsidRPr="007D1918">
              <w:t>Systemic Infection</w:t>
            </w:r>
          </w:p>
        </w:tc>
        <w:tc>
          <w:tcPr>
            <w:tcW w:w="1984" w:type="dxa"/>
            <w:tcBorders>
              <w:top w:val="single" w:sz="4" w:space="0" w:color="auto"/>
              <w:bottom w:val="single" w:sz="4" w:space="0" w:color="auto"/>
            </w:tcBorders>
          </w:tcPr>
          <w:p w14:paraId="07A4FC52" w14:textId="77777777" w:rsidR="006C641A" w:rsidRPr="007D1918" w:rsidRDefault="006C641A" w:rsidP="00153384">
            <w:pPr>
              <w:pStyle w:val="Tablecontents"/>
              <w:spacing w:before="0" w:after="0"/>
              <w:ind w:left="0"/>
            </w:pPr>
            <w:r w:rsidRPr="007D1918">
              <w:t>Additional Hospital Days</w:t>
            </w:r>
          </w:p>
          <w:p w14:paraId="5F707974" w14:textId="1F2949DA" w:rsidR="00CE03BE" w:rsidRPr="007D1918" w:rsidRDefault="00CE03BE" w:rsidP="00B47FC5">
            <w:pPr>
              <w:pStyle w:val="Tablecontents"/>
              <w:spacing w:before="0" w:after="0"/>
              <w:ind w:left="0" w:firstLine="464"/>
            </w:pPr>
            <w:r w:rsidRPr="007D1918">
              <w:t>ICU</w:t>
            </w:r>
          </w:p>
          <w:p w14:paraId="2AD58EDC" w14:textId="0D599E92" w:rsidR="00CE03BE" w:rsidRPr="007D1918" w:rsidRDefault="00CE03BE" w:rsidP="00B47FC5">
            <w:pPr>
              <w:pStyle w:val="Tablecontents"/>
              <w:spacing w:before="0" w:after="0"/>
              <w:ind w:left="0" w:firstLine="464"/>
            </w:pPr>
            <w:r w:rsidRPr="007D1918">
              <w:t>Ward</w:t>
            </w:r>
          </w:p>
        </w:tc>
        <w:tc>
          <w:tcPr>
            <w:tcW w:w="993" w:type="dxa"/>
            <w:tcBorders>
              <w:top w:val="single" w:sz="4" w:space="0" w:color="auto"/>
              <w:bottom w:val="single" w:sz="4" w:space="0" w:color="auto"/>
            </w:tcBorders>
            <w:vAlign w:val="center"/>
          </w:tcPr>
          <w:p w14:paraId="528A8D9B" w14:textId="77777777" w:rsidR="00CE03BE" w:rsidRPr="007D1918" w:rsidRDefault="00CE03BE" w:rsidP="00153384">
            <w:pPr>
              <w:pStyle w:val="Tablecontents"/>
              <w:spacing w:before="0" w:after="0"/>
              <w:ind w:left="0"/>
              <w:jc w:val="center"/>
            </w:pPr>
          </w:p>
          <w:p w14:paraId="0229EFB5" w14:textId="4B0EB738" w:rsidR="006C641A" w:rsidRPr="007D1918" w:rsidRDefault="00CE03BE" w:rsidP="00153384">
            <w:pPr>
              <w:pStyle w:val="Tablecontents"/>
              <w:spacing w:before="0" w:after="0"/>
              <w:ind w:left="0"/>
              <w:jc w:val="center"/>
            </w:pPr>
            <w:r w:rsidRPr="007D1918">
              <w:t>2.41</w:t>
            </w:r>
            <w:r w:rsidR="006C641A" w:rsidRPr="007D1918">
              <w:t xml:space="preserve"> days</w:t>
            </w:r>
          </w:p>
          <w:p w14:paraId="5DD6607E" w14:textId="35EE397E" w:rsidR="00CE03BE" w:rsidRPr="007D1918" w:rsidRDefault="00CE03BE" w:rsidP="00CE03BE">
            <w:pPr>
              <w:pStyle w:val="Tablecontents"/>
              <w:spacing w:before="0" w:after="0"/>
              <w:ind w:left="0"/>
              <w:jc w:val="center"/>
            </w:pPr>
            <w:r w:rsidRPr="007D1918">
              <w:t>7.54 days</w:t>
            </w:r>
          </w:p>
        </w:tc>
        <w:tc>
          <w:tcPr>
            <w:tcW w:w="992" w:type="dxa"/>
            <w:tcBorders>
              <w:top w:val="single" w:sz="4" w:space="0" w:color="auto"/>
              <w:bottom w:val="single" w:sz="4" w:space="0" w:color="auto"/>
            </w:tcBorders>
            <w:vAlign w:val="center"/>
          </w:tcPr>
          <w:p w14:paraId="28674475" w14:textId="77777777" w:rsidR="00CE03BE" w:rsidRPr="007D1918" w:rsidRDefault="00CE03BE" w:rsidP="00153384">
            <w:pPr>
              <w:pStyle w:val="Tablecontents"/>
              <w:spacing w:before="0" w:after="0"/>
              <w:ind w:left="0"/>
              <w:jc w:val="center"/>
            </w:pPr>
          </w:p>
          <w:p w14:paraId="0440A20F" w14:textId="708845C8" w:rsidR="006C641A" w:rsidRPr="007D1918" w:rsidRDefault="00CE03BE" w:rsidP="00153384">
            <w:pPr>
              <w:pStyle w:val="Tablecontents"/>
              <w:spacing w:before="0" w:after="0"/>
              <w:ind w:left="0"/>
              <w:jc w:val="center"/>
            </w:pPr>
            <w:r w:rsidRPr="007D1918">
              <w:t xml:space="preserve">$6,882.63 </w:t>
            </w:r>
            <w:r w:rsidR="006C641A" w:rsidRPr="007D1918">
              <w:t>$1,441.45</w:t>
            </w:r>
          </w:p>
        </w:tc>
        <w:tc>
          <w:tcPr>
            <w:tcW w:w="1134" w:type="dxa"/>
            <w:tcBorders>
              <w:top w:val="single" w:sz="4" w:space="0" w:color="auto"/>
              <w:bottom w:val="single" w:sz="4" w:space="0" w:color="auto"/>
            </w:tcBorders>
            <w:vAlign w:val="center"/>
          </w:tcPr>
          <w:p w14:paraId="3E95DC96" w14:textId="1F5E0ECC" w:rsidR="006C641A" w:rsidRPr="007D1918" w:rsidRDefault="00CE03BE" w:rsidP="00CE03BE">
            <w:pPr>
              <w:pStyle w:val="Tablecontents"/>
              <w:spacing w:before="0" w:after="0"/>
              <w:ind w:left="0"/>
              <w:jc w:val="right"/>
              <w:rPr>
                <w:b/>
              </w:rPr>
            </w:pPr>
            <w:r w:rsidRPr="007D1918">
              <w:rPr>
                <w:b/>
              </w:rPr>
              <w:t>$27,456</w:t>
            </w:r>
          </w:p>
        </w:tc>
        <w:tc>
          <w:tcPr>
            <w:tcW w:w="1134" w:type="dxa"/>
            <w:tcBorders>
              <w:top w:val="single" w:sz="4" w:space="0" w:color="auto"/>
              <w:bottom w:val="single" w:sz="4" w:space="0" w:color="auto"/>
              <w:right w:val="single" w:sz="4" w:space="0" w:color="auto"/>
            </w:tcBorders>
            <w:vAlign w:val="center"/>
          </w:tcPr>
          <w:p w14:paraId="3A87E143" w14:textId="77777777" w:rsidR="00CE03BE" w:rsidRPr="007D1918" w:rsidRDefault="00CE03BE" w:rsidP="00153384">
            <w:pPr>
              <w:pStyle w:val="Tablecontents"/>
              <w:spacing w:before="0" w:after="0"/>
              <w:ind w:left="0"/>
              <w:jc w:val="center"/>
            </w:pPr>
            <w:r w:rsidRPr="007D1918">
              <w:t>4.88%</w:t>
            </w:r>
          </w:p>
          <w:p w14:paraId="46B0F9DD" w14:textId="591BC97D" w:rsidR="00CE03BE" w:rsidRPr="007D1918" w:rsidRDefault="00CE03BE" w:rsidP="00CE03BE">
            <w:pPr>
              <w:pStyle w:val="Tablecontents"/>
              <w:spacing w:before="0" w:after="0"/>
              <w:ind w:left="0"/>
              <w:jc w:val="center"/>
            </w:pPr>
            <w:r w:rsidRPr="007D1918">
              <w:t>or</w:t>
            </w:r>
          </w:p>
          <w:p w14:paraId="163C36BE" w14:textId="0416A66F" w:rsidR="00132097" w:rsidRPr="007D1918" w:rsidRDefault="006C641A" w:rsidP="00CE03BE">
            <w:pPr>
              <w:pStyle w:val="Tablecontents"/>
              <w:spacing w:before="0" w:after="0"/>
              <w:ind w:left="0"/>
              <w:jc w:val="center"/>
            </w:pPr>
            <w:r w:rsidRPr="007D1918">
              <w:t>7.67%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8C479DF" w14:textId="12D0CA7D" w:rsidR="00CE03BE" w:rsidRPr="007D1918" w:rsidRDefault="00CE03BE" w:rsidP="00132097">
            <w:pPr>
              <w:pStyle w:val="Tablecontents"/>
              <w:spacing w:before="0" w:after="0"/>
              <w:ind w:left="0"/>
              <w:jc w:val="right"/>
              <w:rPr>
                <w:b/>
              </w:rPr>
            </w:pPr>
            <w:r w:rsidRPr="007D1918">
              <w:rPr>
                <w:b/>
              </w:rPr>
              <w:t>$1,340</w:t>
            </w:r>
            <w:r w:rsidR="00132097" w:rsidRPr="007D1918">
              <w:rPr>
                <w:b/>
              </w:rPr>
              <w:br/>
              <w:t>or</w:t>
            </w:r>
          </w:p>
          <w:p w14:paraId="1F0CDF1B" w14:textId="0BBA2CA0" w:rsidR="006C641A" w:rsidRPr="007D1918" w:rsidRDefault="00CE03BE" w:rsidP="00CE03BE">
            <w:pPr>
              <w:pStyle w:val="Tablecontents"/>
              <w:spacing w:before="0" w:after="0"/>
              <w:ind w:left="0"/>
              <w:jc w:val="right"/>
            </w:pPr>
            <w:r w:rsidRPr="007D1918">
              <w:rPr>
                <w:b/>
              </w:rPr>
              <w:t>$2,106</w:t>
            </w:r>
          </w:p>
        </w:tc>
      </w:tr>
    </w:tbl>
    <w:p w14:paraId="15427607" w14:textId="2F800C57" w:rsidR="006C641A" w:rsidRPr="007D1918" w:rsidRDefault="00CE03BE" w:rsidP="00CE03BE">
      <w:pPr>
        <w:spacing w:line="240" w:lineRule="auto"/>
        <w:contextualSpacing/>
        <w:jc w:val="both"/>
        <w:rPr>
          <w:rFonts w:ascii="Arial Narrow" w:hAnsi="Arial Narrow"/>
          <w:sz w:val="20"/>
          <w:szCs w:val="20"/>
        </w:rPr>
      </w:pPr>
      <w:r w:rsidRPr="007D1918">
        <w:rPr>
          <w:rFonts w:ascii="Arial Narrow" w:hAnsi="Arial Narrow"/>
          <w:sz w:val="20"/>
          <w:szCs w:val="20"/>
        </w:rPr>
        <w:t>GP = general practitioner; ICU = intensive care unit</w:t>
      </w:r>
    </w:p>
    <w:p w14:paraId="6859751F" w14:textId="60A10412" w:rsidR="00CE03BE" w:rsidRPr="007D1918" w:rsidRDefault="00CE03BE" w:rsidP="006C641A">
      <w:pPr>
        <w:jc w:val="both"/>
        <w:rPr>
          <w:rFonts w:ascii="Arial Narrow" w:hAnsi="Arial Narrow"/>
          <w:sz w:val="20"/>
          <w:szCs w:val="20"/>
        </w:rPr>
      </w:pPr>
      <w:r w:rsidRPr="007D1918">
        <w:rPr>
          <w:rFonts w:ascii="Arial Narrow" w:hAnsi="Arial Narrow"/>
          <w:sz w:val="20"/>
          <w:szCs w:val="20"/>
        </w:rPr>
        <w:t>Note: rounding has been applied</w:t>
      </w:r>
    </w:p>
    <w:p w14:paraId="31B6B21A" w14:textId="77777777" w:rsidR="006C641A" w:rsidRPr="007D1918" w:rsidRDefault="006C641A" w:rsidP="006C641A">
      <w:pPr>
        <w:jc w:val="both"/>
      </w:pPr>
      <w:r w:rsidRPr="007D1918">
        <w:fldChar w:fldCharType="begin"/>
      </w:r>
      <w:r w:rsidRPr="007D1918">
        <w:instrText xml:space="preserve"> REF _Ref14361878 \h  \* MERGEFORMAT </w:instrText>
      </w:r>
      <w:r w:rsidRPr="007D1918">
        <w:fldChar w:fldCharType="separate"/>
      </w:r>
      <w:r w:rsidR="00AA6011" w:rsidRPr="007D1918">
        <w:t>Table 75</w:t>
      </w:r>
      <w:r w:rsidRPr="007D1918">
        <w:fldChar w:fldCharType="end"/>
      </w:r>
      <w:r w:rsidRPr="007D1918">
        <w:t xml:space="preserve"> details costs associated with the observed differences in hospitalisation resource use associated with surgery following administration of either IVIg or PE in Indication 2.</w:t>
      </w:r>
    </w:p>
    <w:p w14:paraId="48DB54D4" w14:textId="77777777" w:rsidR="006C641A" w:rsidRPr="007D1918" w:rsidRDefault="006C641A" w:rsidP="006C641A">
      <w:pPr>
        <w:pStyle w:val="Caption"/>
      </w:pPr>
      <w:bookmarkStart w:id="424" w:name="_Ref14361878"/>
      <w:bookmarkStart w:id="425" w:name="_Toc15561978"/>
      <w:bookmarkStart w:id="426" w:name="_Toc23769562"/>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75</w:t>
      </w:r>
      <w:r w:rsidRPr="007D1918">
        <w:rPr>
          <w:noProof/>
        </w:rPr>
        <w:fldChar w:fldCharType="end"/>
      </w:r>
      <w:bookmarkEnd w:id="424"/>
      <w:r w:rsidRPr="007D1918">
        <w:t>: Resource use associated with surgery in Indication 2</w:t>
      </w:r>
      <w:bookmarkEnd w:id="425"/>
      <w:bookmarkEnd w:id="426"/>
    </w:p>
    <w:tbl>
      <w:tblPr>
        <w:tblStyle w:val="TableGrid"/>
        <w:tblW w:w="9067" w:type="dxa"/>
        <w:tblLayout w:type="fixed"/>
        <w:tblLook w:val="04A0" w:firstRow="1" w:lastRow="0" w:firstColumn="1" w:lastColumn="0" w:noHBand="0" w:noVBand="1"/>
        <w:tblCaption w:val="Table 75: Resource use associated with surgery in Indication 2"/>
      </w:tblPr>
      <w:tblGrid>
        <w:gridCol w:w="3539"/>
        <w:gridCol w:w="1418"/>
        <w:gridCol w:w="4110"/>
      </w:tblGrid>
      <w:tr w:rsidR="006C641A" w:rsidRPr="007D1918" w14:paraId="76EBF68E" w14:textId="77777777" w:rsidTr="00BD29C0">
        <w:trPr>
          <w:tblHeader/>
        </w:trPr>
        <w:tc>
          <w:tcPr>
            <w:tcW w:w="3539" w:type="dxa"/>
          </w:tcPr>
          <w:p w14:paraId="21522A80"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Resource</w:t>
            </w:r>
          </w:p>
        </w:tc>
        <w:tc>
          <w:tcPr>
            <w:tcW w:w="1418" w:type="dxa"/>
          </w:tcPr>
          <w:p w14:paraId="68353009"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Cost</w:t>
            </w:r>
          </w:p>
        </w:tc>
        <w:tc>
          <w:tcPr>
            <w:tcW w:w="4110" w:type="dxa"/>
          </w:tcPr>
          <w:p w14:paraId="5B80CAAB"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Source</w:t>
            </w:r>
          </w:p>
        </w:tc>
      </w:tr>
      <w:tr w:rsidR="006C641A" w:rsidRPr="007D1918" w14:paraId="4573EE6B" w14:textId="77777777" w:rsidTr="00153384">
        <w:tc>
          <w:tcPr>
            <w:tcW w:w="3539" w:type="dxa"/>
          </w:tcPr>
          <w:p w14:paraId="555EB021"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Thymectomy Surgery – Average operating room cost</w:t>
            </w:r>
          </w:p>
        </w:tc>
        <w:tc>
          <w:tcPr>
            <w:tcW w:w="1418" w:type="dxa"/>
          </w:tcPr>
          <w:p w14:paraId="2C97B649" w14:textId="77777777" w:rsidR="006C641A" w:rsidRPr="007D1918" w:rsidRDefault="006C641A" w:rsidP="00153384">
            <w:pPr>
              <w:spacing w:before="40" w:after="40" w:line="240" w:lineRule="auto"/>
              <w:ind w:left="0"/>
              <w:jc w:val="center"/>
              <w:rPr>
                <w:rFonts w:ascii="Arial Narrow" w:hAnsi="Arial Narrow"/>
                <w:b/>
                <w:sz w:val="20"/>
                <w:szCs w:val="20"/>
              </w:rPr>
            </w:pPr>
            <w:r w:rsidRPr="007D1918">
              <w:rPr>
                <w:rFonts w:ascii="Arial Narrow" w:hAnsi="Arial Narrow"/>
                <w:sz w:val="20"/>
                <w:szCs w:val="20"/>
              </w:rPr>
              <w:t>$11,317 /surgery</w:t>
            </w:r>
          </w:p>
        </w:tc>
        <w:tc>
          <w:tcPr>
            <w:tcW w:w="4110" w:type="dxa"/>
          </w:tcPr>
          <w:p w14:paraId="5338CF4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AR-DRG D02A, NHCDC Round 21 2016/17, Operating Room Direct Cost</w:t>
            </w:r>
          </w:p>
        </w:tc>
      </w:tr>
      <w:tr w:rsidR="006C641A" w:rsidRPr="007D1918" w14:paraId="40651485" w14:textId="77777777" w:rsidTr="00153384">
        <w:tc>
          <w:tcPr>
            <w:tcW w:w="3539" w:type="dxa"/>
          </w:tcPr>
          <w:p w14:paraId="0B8E57BD"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Thymectomy Surgery with 17% reduced operation time for IVIg patients</w:t>
            </w:r>
          </w:p>
        </w:tc>
        <w:tc>
          <w:tcPr>
            <w:tcW w:w="1418" w:type="dxa"/>
          </w:tcPr>
          <w:p w14:paraId="6EC8B178"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$9,393</w:t>
            </w:r>
            <w:r w:rsidRPr="007D1918">
              <w:rPr>
                <w:rFonts w:ascii="Arial Narrow" w:hAnsi="Arial Narrow"/>
                <w:sz w:val="20"/>
                <w:szCs w:val="20"/>
              </w:rPr>
              <w:br/>
              <w:t>/surgery</w:t>
            </w:r>
          </w:p>
        </w:tc>
        <w:tc>
          <w:tcPr>
            <w:tcW w:w="4110" w:type="dxa"/>
          </w:tcPr>
          <w:p w14:paraId="244D313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Above *0.83, based on Operating time difference identified in Alipour-Faz 2017 (Section C.2)</w:t>
            </w:r>
          </w:p>
        </w:tc>
      </w:tr>
      <w:tr w:rsidR="006C641A" w:rsidRPr="007D1918" w14:paraId="6B31E1DF" w14:textId="77777777" w:rsidTr="00153384">
        <w:tc>
          <w:tcPr>
            <w:tcW w:w="3539" w:type="dxa"/>
          </w:tcPr>
          <w:p w14:paraId="00D1057E"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Remainder of hospitalisation costs associated with thymectomy (including ICU).</w:t>
            </w:r>
          </w:p>
        </w:tc>
        <w:tc>
          <w:tcPr>
            <w:tcW w:w="1418" w:type="dxa"/>
          </w:tcPr>
          <w:p w14:paraId="6DCC57B6"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$27,518 /episode</w:t>
            </w:r>
          </w:p>
        </w:tc>
        <w:tc>
          <w:tcPr>
            <w:tcW w:w="4110" w:type="dxa"/>
          </w:tcPr>
          <w:p w14:paraId="534DD00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DRG D02A, Total Cost less</w:t>
            </w:r>
            <w:r w:rsidRPr="007D1918">
              <w:rPr>
                <w:rFonts w:ascii="Arial Narrow" w:hAnsi="Arial Narrow"/>
              </w:rPr>
              <w:t xml:space="preserve"> </w:t>
            </w:r>
            <w:r w:rsidRPr="007D1918">
              <w:rPr>
                <w:rFonts w:ascii="Arial Narrow" w:hAnsi="Arial Narrow"/>
                <w:sz w:val="20"/>
                <w:szCs w:val="20"/>
              </w:rPr>
              <w:t>Operating Room Direct Cost ($38,835 - $11,317)</w:t>
            </w:r>
          </w:p>
        </w:tc>
      </w:tr>
    </w:tbl>
    <w:p w14:paraId="73B31F98" w14:textId="77777777" w:rsidR="006C641A" w:rsidRPr="007D1918" w:rsidRDefault="006C641A" w:rsidP="006C641A">
      <w:pPr>
        <w:spacing w:after="360" w:line="240" w:lineRule="auto"/>
        <w:rPr>
          <w:rFonts w:ascii="Arial Narrow" w:hAnsi="Arial Narrow"/>
          <w:sz w:val="20"/>
          <w:szCs w:val="20"/>
        </w:rPr>
      </w:pPr>
      <w:r w:rsidRPr="007D1918">
        <w:rPr>
          <w:rFonts w:ascii="Arial Narrow" w:hAnsi="Arial Narrow"/>
          <w:sz w:val="20"/>
          <w:szCs w:val="20"/>
        </w:rPr>
        <w:t>AR-DRG descriptions: D02A = Head and Neck Procedures, Major Complexity.</w:t>
      </w:r>
    </w:p>
    <w:p w14:paraId="39D00687" w14:textId="1F62D318" w:rsidR="006C641A" w:rsidRPr="007D1918" w:rsidRDefault="006C641A" w:rsidP="006C641A">
      <w:pPr>
        <w:jc w:val="both"/>
        <w:rPr>
          <w:rFonts w:ascii="Arial Narrow" w:hAnsi="Arial Narrow" w:cs="Arial"/>
          <w:snapToGrid w:val="0"/>
          <w:sz w:val="18"/>
          <w:szCs w:val="20"/>
          <w:lang w:eastAsia="en-US"/>
        </w:rPr>
      </w:pPr>
      <w:r w:rsidRPr="007D1918">
        <w:lastRenderedPageBreak/>
        <w:fldChar w:fldCharType="begin"/>
      </w:r>
      <w:r w:rsidRPr="007D1918">
        <w:instrText xml:space="preserve"> REF _Ref14361757 \h  \* MERGEFORMAT </w:instrText>
      </w:r>
      <w:r w:rsidRPr="007D1918">
        <w:fldChar w:fldCharType="separate"/>
      </w:r>
      <w:r w:rsidR="00AA6011" w:rsidRPr="007D1918">
        <w:t>Table 76</w:t>
      </w:r>
      <w:r w:rsidRPr="007D1918">
        <w:fldChar w:fldCharType="end"/>
      </w:r>
      <w:r w:rsidRPr="007D1918">
        <w:t xml:space="preserve">, following, lists the nominated pharmaceutical and surgical therapies which are comparators to supply of immunoglobulin for MG under </w:t>
      </w:r>
      <w:r w:rsidRPr="007D1918">
        <w:rPr>
          <w:i/>
        </w:rPr>
        <w:t>Criteria V3</w:t>
      </w:r>
      <w:r w:rsidRPr="007D1918">
        <w:t>.</w:t>
      </w:r>
    </w:p>
    <w:p w14:paraId="7C9729B4" w14:textId="77777777" w:rsidR="006C641A" w:rsidRPr="007D1918" w:rsidRDefault="006C641A" w:rsidP="000B5479">
      <w:pPr>
        <w:pStyle w:val="Caption"/>
        <w:keepNext/>
        <w:keepLines/>
      </w:pPr>
      <w:bookmarkStart w:id="427" w:name="_Ref14361757"/>
      <w:bookmarkStart w:id="428" w:name="_Toc15561979"/>
      <w:bookmarkStart w:id="429" w:name="_Toc23769563"/>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76</w:t>
      </w:r>
      <w:r w:rsidRPr="007D1918">
        <w:rPr>
          <w:noProof/>
        </w:rPr>
        <w:fldChar w:fldCharType="end"/>
      </w:r>
      <w:bookmarkEnd w:id="427"/>
      <w:r w:rsidRPr="007D1918">
        <w:t>: Resource prices associated with other pharmaceutical and surgical therapy comparators to Ig for MG, supplied under Indication 3</w:t>
      </w:r>
      <w:bookmarkEnd w:id="428"/>
      <w:bookmarkEnd w:id="429"/>
    </w:p>
    <w:tbl>
      <w:tblPr>
        <w:tblStyle w:val="TableGrid"/>
        <w:tblW w:w="9067" w:type="dxa"/>
        <w:tblLayout w:type="fixed"/>
        <w:tblLook w:val="04A0" w:firstRow="1" w:lastRow="0" w:firstColumn="1" w:lastColumn="0" w:noHBand="0" w:noVBand="1"/>
        <w:tblCaption w:val="Table 76: Resource prices associated with other pharmaceutical and surgical therapy comparators to Ig for MG, supplied under Indication 3"/>
      </w:tblPr>
      <w:tblGrid>
        <w:gridCol w:w="2689"/>
        <w:gridCol w:w="1842"/>
        <w:gridCol w:w="2694"/>
        <w:gridCol w:w="1842"/>
      </w:tblGrid>
      <w:tr w:rsidR="006C641A" w:rsidRPr="007D1918" w14:paraId="227FA813" w14:textId="77777777" w:rsidTr="00BD29C0">
        <w:trPr>
          <w:tblHeader/>
        </w:trPr>
        <w:tc>
          <w:tcPr>
            <w:tcW w:w="2689" w:type="dxa"/>
          </w:tcPr>
          <w:p w14:paraId="4E27D53A" w14:textId="77777777" w:rsidR="006C641A" w:rsidRPr="007D1918" w:rsidRDefault="006C641A" w:rsidP="000B5479">
            <w:pPr>
              <w:keepNext/>
              <w:keepLines/>
              <w:spacing w:before="40" w:after="40" w:line="240" w:lineRule="auto"/>
              <w:ind w:left="0"/>
              <w:rPr>
                <w:rFonts w:ascii="Arial Narrow" w:hAnsi="Arial Narrow"/>
                <w:b/>
                <w:sz w:val="20"/>
                <w:szCs w:val="20"/>
              </w:rPr>
            </w:pPr>
            <w:r w:rsidRPr="007D1918">
              <w:rPr>
                <w:rFonts w:ascii="Arial Narrow" w:hAnsi="Arial Narrow"/>
                <w:b/>
                <w:sz w:val="20"/>
                <w:szCs w:val="20"/>
              </w:rPr>
              <w:t>Resource</w:t>
            </w:r>
          </w:p>
        </w:tc>
        <w:tc>
          <w:tcPr>
            <w:tcW w:w="1842" w:type="dxa"/>
          </w:tcPr>
          <w:p w14:paraId="692BEF34" w14:textId="77777777" w:rsidR="006C641A" w:rsidRPr="007D1918" w:rsidRDefault="006C641A" w:rsidP="000B5479">
            <w:pPr>
              <w:keepNext/>
              <w:keepLines/>
              <w:spacing w:before="40" w:after="40" w:line="240" w:lineRule="auto"/>
              <w:ind w:left="0"/>
              <w:rPr>
                <w:rFonts w:ascii="Arial Narrow" w:hAnsi="Arial Narrow"/>
                <w:b/>
                <w:sz w:val="20"/>
                <w:szCs w:val="20"/>
              </w:rPr>
            </w:pPr>
            <w:r w:rsidRPr="007D1918">
              <w:rPr>
                <w:rFonts w:ascii="Arial Narrow" w:hAnsi="Arial Narrow"/>
                <w:b/>
                <w:sz w:val="20"/>
                <w:szCs w:val="20"/>
              </w:rPr>
              <w:t>Published costs</w:t>
            </w:r>
          </w:p>
        </w:tc>
        <w:tc>
          <w:tcPr>
            <w:tcW w:w="2694" w:type="dxa"/>
          </w:tcPr>
          <w:p w14:paraId="558495A0" w14:textId="77777777" w:rsidR="006C641A" w:rsidRPr="007D1918" w:rsidRDefault="006C641A" w:rsidP="000B5479">
            <w:pPr>
              <w:keepNext/>
              <w:keepLines/>
              <w:spacing w:before="40" w:after="40" w:line="240" w:lineRule="auto"/>
              <w:ind w:left="0"/>
              <w:rPr>
                <w:rFonts w:ascii="Arial Narrow" w:hAnsi="Arial Narrow"/>
                <w:b/>
                <w:sz w:val="20"/>
                <w:szCs w:val="20"/>
              </w:rPr>
            </w:pPr>
            <w:r w:rsidRPr="007D1918">
              <w:rPr>
                <w:rFonts w:ascii="Arial Narrow" w:hAnsi="Arial Narrow"/>
                <w:b/>
                <w:sz w:val="20"/>
                <w:szCs w:val="20"/>
              </w:rPr>
              <w:t>Source</w:t>
            </w:r>
          </w:p>
        </w:tc>
        <w:tc>
          <w:tcPr>
            <w:tcW w:w="1842" w:type="dxa"/>
          </w:tcPr>
          <w:p w14:paraId="5A6CFF01" w14:textId="77777777" w:rsidR="006C641A" w:rsidRPr="007D1918" w:rsidRDefault="006C641A" w:rsidP="000B5479">
            <w:pPr>
              <w:keepNext/>
              <w:keepLines/>
              <w:spacing w:before="40" w:after="40" w:line="240" w:lineRule="auto"/>
              <w:ind w:left="0"/>
              <w:jc w:val="center"/>
              <w:rPr>
                <w:rFonts w:ascii="Arial Narrow" w:hAnsi="Arial Narrow"/>
                <w:b/>
                <w:sz w:val="20"/>
                <w:szCs w:val="20"/>
              </w:rPr>
            </w:pPr>
            <w:r w:rsidRPr="007D1918">
              <w:rPr>
                <w:rFonts w:ascii="Arial Narrow" w:hAnsi="Arial Narrow"/>
                <w:b/>
                <w:sz w:val="20"/>
                <w:szCs w:val="20"/>
              </w:rPr>
              <w:t>Unit Price</w:t>
            </w:r>
          </w:p>
        </w:tc>
      </w:tr>
      <w:tr w:rsidR="006C641A" w:rsidRPr="007D1918" w14:paraId="0CB218F0" w14:textId="77777777" w:rsidTr="00153384">
        <w:tc>
          <w:tcPr>
            <w:tcW w:w="2689" w:type="dxa"/>
          </w:tcPr>
          <w:p w14:paraId="165FAB29" w14:textId="77777777" w:rsidR="006C641A" w:rsidRPr="007D1918" w:rsidRDefault="006C641A" w:rsidP="000B5479">
            <w:pPr>
              <w:keepNext/>
              <w:keepLines/>
              <w:spacing w:before="40" w:after="40" w:line="240" w:lineRule="auto"/>
              <w:ind w:left="0"/>
              <w:rPr>
                <w:rFonts w:ascii="Arial Narrow" w:hAnsi="Arial Narrow"/>
                <w:sz w:val="20"/>
                <w:szCs w:val="20"/>
              </w:rPr>
            </w:pPr>
            <w:r w:rsidRPr="007D1918">
              <w:rPr>
                <w:rFonts w:ascii="Arial Narrow" w:hAnsi="Arial Narrow"/>
                <w:sz w:val="20"/>
                <w:szCs w:val="20"/>
              </w:rPr>
              <w:t>Pyridostigmine 180mg MR tablet</w:t>
            </w:r>
          </w:p>
        </w:tc>
        <w:tc>
          <w:tcPr>
            <w:tcW w:w="1842" w:type="dxa"/>
          </w:tcPr>
          <w:p w14:paraId="6F35F798" w14:textId="77777777" w:rsidR="006C641A" w:rsidRPr="007D1918" w:rsidRDefault="006C641A" w:rsidP="000B5479">
            <w:pPr>
              <w:keepNext/>
              <w:keepLines/>
              <w:spacing w:before="40" w:after="40" w:line="240" w:lineRule="auto"/>
              <w:ind w:left="0"/>
              <w:jc w:val="center"/>
              <w:rPr>
                <w:rFonts w:ascii="Arial Narrow" w:hAnsi="Arial Narrow"/>
                <w:sz w:val="20"/>
                <w:szCs w:val="20"/>
              </w:rPr>
            </w:pPr>
            <w:r w:rsidRPr="007D1918">
              <w:rPr>
                <w:rFonts w:ascii="Arial Narrow" w:hAnsi="Arial Narrow"/>
                <w:sz w:val="20"/>
                <w:szCs w:val="20"/>
              </w:rPr>
              <w:t>$116.93 / 100 units</w:t>
            </w:r>
          </w:p>
        </w:tc>
        <w:tc>
          <w:tcPr>
            <w:tcW w:w="2694" w:type="dxa"/>
          </w:tcPr>
          <w:p w14:paraId="046868CD" w14:textId="77777777" w:rsidR="006C641A" w:rsidRPr="007D1918" w:rsidRDefault="006C641A" w:rsidP="000B5479">
            <w:pPr>
              <w:keepNext/>
              <w:keepLines/>
              <w:spacing w:before="40" w:after="40" w:line="240" w:lineRule="auto"/>
              <w:ind w:left="0"/>
              <w:rPr>
                <w:rFonts w:ascii="Arial Narrow" w:hAnsi="Arial Narrow"/>
                <w:sz w:val="20"/>
                <w:szCs w:val="20"/>
              </w:rPr>
            </w:pPr>
            <w:r w:rsidRPr="007D1918">
              <w:rPr>
                <w:rFonts w:ascii="Arial Narrow" w:hAnsi="Arial Narrow"/>
                <w:sz w:val="20"/>
                <w:szCs w:val="20"/>
              </w:rPr>
              <w:t>PBS 2608G</w:t>
            </w:r>
          </w:p>
        </w:tc>
        <w:tc>
          <w:tcPr>
            <w:tcW w:w="1842" w:type="dxa"/>
          </w:tcPr>
          <w:p w14:paraId="34892736" w14:textId="77777777" w:rsidR="006C641A" w:rsidRPr="007D1918" w:rsidRDefault="006C641A" w:rsidP="000B5479">
            <w:pPr>
              <w:keepNext/>
              <w:keepLines/>
              <w:spacing w:before="40" w:after="40" w:line="240" w:lineRule="auto"/>
              <w:ind w:left="0"/>
              <w:jc w:val="center"/>
              <w:rPr>
                <w:rFonts w:ascii="Arial Narrow" w:hAnsi="Arial Narrow"/>
                <w:sz w:val="20"/>
                <w:szCs w:val="20"/>
              </w:rPr>
            </w:pPr>
            <w:r w:rsidRPr="007D1918">
              <w:rPr>
                <w:rFonts w:ascii="Arial Narrow" w:hAnsi="Arial Narrow"/>
                <w:sz w:val="20"/>
                <w:szCs w:val="20"/>
              </w:rPr>
              <w:t>$1.17 /tab</w:t>
            </w:r>
          </w:p>
        </w:tc>
      </w:tr>
      <w:tr w:rsidR="006C641A" w:rsidRPr="007D1918" w14:paraId="2CE5F0B8" w14:textId="77777777" w:rsidTr="00153384">
        <w:tc>
          <w:tcPr>
            <w:tcW w:w="2689" w:type="dxa"/>
          </w:tcPr>
          <w:p w14:paraId="27736C4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Prednisolone 25mg tablet</w:t>
            </w:r>
          </w:p>
        </w:tc>
        <w:tc>
          <w:tcPr>
            <w:tcW w:w="1842" w:type="dxa"/>
          </w:tcPr>
          <w:p w14:paraId="120CD4E1"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$15.76 / 30 units</w:t>
            </w:r>
          </w:p>
        </w:tc>
        <w:tc>
          <w:tcPr>
            <w:tcW w:w="2694" w:type="dxa"/>
          </w:tcPr>
          <w:p w14:paraId="114F785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1916W</w:t>
            </w:r>
          </w:p>
        </w:tc>
        <w:tc>
          <w:tcPr>
            <w:tcW w:w="1842" w:type="dxa"/>
          </w:tcPr>
          <w:p w14:paraId="30C912E0"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$0.53 /tab</w:t>
            </w:r>
          </w:p>
        </w:tc>
      </w:tr>
      <w:tr w:rsidR="006C641A" w:rsidRPr="007D1918" w14:paraId="78BEAE88" w14:textId="77777777" w:rsidTr="00153384">
        <w:tc>
          <w:tcPr>
            <w:tcW w:w="2689" w:type="dxa"/>
          </w:tcPr>
          <w:p w14:paraId="0C50986A"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Azathioprine 50mg tablet</w:t>
            </w:r>
          </w:p>
        </w:tc>
        <w:tc>
          <w:tcPr>
            <w:tcW w:w="1842" w:type="dxa"/>
          </w:tcPr>
          <w:p w14:paraId="0AF3DE9F"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$32.19 / 100 units</w:t>
            </w:r>
          </w:p>
        </w:tc>
        <w:tc>
          <w:tcPr>
            <w:tcW w:w="2694" w:type="dxa"/>
          </w:tcPr>
          <w:p w14:paraId="48B0318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2687K</w:t>
            </w:r>
          </w:p>
        </w:tc>
        <w:tc>
          <w:tcPr>
            <w:tcW w:w="1842" w:type="dxa"/>
          </w:tcPr>
          <w:p w14:paraId="2A682776"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$0.32 /tab</w:t>
            </w:r>
          </w:p>
        </w:tc>
      </w:tr>
      <w:tr w:rsidR="006C641A" w:rsidRPr="007D1918" w14:paraId="4BA3873B" w14:textId="77777777" w:rsidTr="00153384">
        <w:tc>
          <w:tcPr>
            <w:tcW w:w="2689" w:type="dxa"/>
          </w:tcPr>
          <w:p w14:paraId="463AA159"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Methotrexate 10mg tablet</w:t>
            </w:r>
          </w:p>
        </w:tc>
        <w:tc>
          <w:tcPr>
            <w:tcW w:w="1842" w:type="dxa"/>
          </w:tcPr>
          <w:p w14:paraId="524CBC9B"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$23.58 / 15 units</w:t>
            </w:r>
          </w:p>
        </w:tc>
        <w:tc>
          <w:tcPr>
            <w:tcW w:w="2694" w:type="dxa"/>
          </w:tcPr>
          <w:p w14:paraId="64EC680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2272N</w:t>
            </w:r>
          </w:p>
        </w:tc>
        <w:tc>
          <w:tcPr>
            <w:tcW w:w="1842" w:type="dxa"/>
          </w:tcPr>
          <w:p w14:paraId="5C5F35E5"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$1.57 /tab</w:t>
            </w:r>
          </w:p>
        </w:tc>
      </w:tr>
      <w:tr w:rsidR="006C641A" w:rsidRPr="007D1918" w14:paraId="05709753" w14:textId="77777777" w:rsidTr="00153384">
        <w:tc>
          <w:tcPr>
            <w:tcW w:w="2689" w:type="dxa"/>
          </w:tcPr>
          <w:p w14:paraId="5B87B1A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Methotrexate 2.5mg tablet</w:t>
            </w:r>
          </w:p>
        </w:tc>
        <w:tc>
          <w:tcPr>
            <w:tcW w:w="1842" w:type="dxa"/>
          </w:tcPr>
          <w:p w14:paraId="7FB66D76"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$17.31 / 30 units</w:t>
            </w:r>
          </w:p>
        </w:tc>
        <w:tc>
          <w:tcPr>
            <w:tcW w:w="2694" w:type="dxa"/>
          </w:tcPr>
          <w:p w14:paraId="1492515D"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1622J</w:t>
            </w:r>
          </w:p>
        </w:tc>
        <w:tc>
          <w:tcPr>
            <w:tcW w:w="1842" w:type="dxa"/>
          </w:tcPr>
          <w:p w14:paraId="4C481C40"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$0.57 /tab</w:t>
            </w:r>
          </w:p>
        </w:tc>
      </w:tr>
      <w:tr w:rsidR="006C641A" w:rsidRPr="007D1918" w14:paraId="6FDA27A6" w14:textId="77777777" w:rsidTr="00153384">
        <w:tc>
          <w:tcPr>
            <w:tcW w:w="2689" w:type="dxa"/>
          </w:tcPr>
          <w:p w14:paraId="4B69F6F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Folic acid 5mg tablet</w:t>
            </w:r>
          </w:p>
        </w:tc>
        <w:tc>
          <w:tcPr>
            <w:tcW w:w="1842" w:type="dxa"/>
          </w:tcPr>
          <w:p w14:paraId="3B35055A"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$17.77 / 200 units</w:t>
            </w:r>
          </w:p>
        </w:tc>
        <w:tc>
          <w:tcPr>
            <w:tcW w:w="2694" w:type="dxa"/>
          </w:tcPr>
          <w:p w14:paraId="7C1B256F"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10573L</w:t>
            </w:r>
          </w:p>
        </w:tc>
        <w:tc>
          <w:tcPr>
            <w:tcW w:w="1842" w:type="dxa"/>
          </w:tcPr>
          <w:p w14:paraId="38780810"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$0.09 /tab</w:t>
            </w:r>
          </w:p>
        </w:tc>
      </w:tr>
      <w:tr w:rsidR="006C641A" w:rsidRPr="007D1918" w14:paraId="008BEF18" w14:textId="77777777" w:rsidTr="00153384">
        <w:tc>
          <w:tcPr>
            <w:tcW w:w="2689" w:type="dxa"/>
          </w:tcPr>
          <w:p w14:paraId="1F300358"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Cyclophosphamide 50mg tablet</w:t>
            </w:r>
          </w:p>
        </w:tc>
        <w:tc>
          <w:tcPr>
            <w:tcW w:w="1842" w:type="dxa"/>
          </w:tcPr>
          <w:p w14:paraId="0FFCFA26"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$153.03 / 50 units</w:t>
            </w:r>
          </w:p>
        </w:tc>
        <w:tc>
          <w:tcPr>
            <w:tcW w:w="2694" w:type="dxa"/>
          </w:tcPr>
          <w:p w14:paraId="7715399A"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1266P</w:t>
            </w:r>
          </w:p>
        </w:tc>
        <w:tc>
          <w:tcPr>
            <w:tcW w:w="1842" w:type="dxa"/>
          </w:tcPr>
          <w:p w14:paraId="044FB2D3"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$3.06 /tab</w:t>
            </w:r>
          </w:p>
        </w:tc>
      </w:tr>
      <w:tr w:rsidR="006C641A" w:rsidRPr="007D1918" w14:paraId="5540301D" w14:textId="77777777" w:rsidTr="00153384">
        <w:tc>
          <w:tcPr>
            <w:tcW w:w="2689" w:type="dxa"/>
          </w:tcPr>
          <w:p w14:paraId="1360262A"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Cyclophosphamide 2g injection</w:t>
            </w:r>
          </w:p>
        </w:tc>
        <w:tc>
          <w:tcPr>
            <w:tcW w:w="1842" w:type="dxa"/>
          </w:tcPr>
          <w:p w14:paraId="6AA4E6CF"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$156.76 / supply</w:t>
            </w:r>
            <w:r w:rsidRPr="007D1918">
              <w:rPr>
                <w:rFonts w:ascii="Arial Narrow" w:hAnsi="Arial Narrow"/>
                <w:sz w:val="20"/>
                <w:szCs w:val="20"/>
              </w:rPr>
              <w:br/>
              <w:t>$197.51 / supply</w:t>
            </w:r>
          </w:p>
        </w:tc>
        <w:tc>
          <w:tcPr>
            <w:tcW w:w="2694" w:type="dxa"/>
          </w:tcPr>
          <w:p w14:paraId="53377877"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4327R (public hospital)</w:t>
            </w:r>
          </w:p>
        </w:tc>
        <w:tc>
          <w:tcPr>
            <w:tcW w:w="1842" w:type="dxa"/>
          </w:tcPr>
          <w:p w14:paraId="1215468C"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$156.76 /supply</w:t>
            </w:r>
          </w:p>
        </w:tc>
      </w:tr>
      <w:tr w:rsidR="006C641A" w:rsidRPr="007D1918" w14:paraId="206E57ED" w14:textId="77777777" w:rsidTr="00153384">
        <w:tc>
          <w:tcPr>
            <w:tcW w:w="2689" w:type="dxa"/>
          </w:tcPr>
          <w:p w14:paraId="1A82BEC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Day stay admission for Cyclophosphamide administration</w:t>
            </w:r>
          </w:p>
        </w:tc>
        <w:tc>
          <w:tcPr>
            <w:tcW w:w="1842" w:type="dxa"/>
          </w:tcPr>
          <w:p w14:paraId="67662917" w14:textId="77777777" w:rsidR="00B47FC5" w:rsidRDefault="00B47FC5" w:rsidP="00B47FC5">
            <w:pPr>
              <w:spacing w:before="40" w:after="40" w:line="240" w:lineRule="auto"/>
              <w:ind w:left="0"/>
              <w:jc w:val="center"/>
              <w:rPr>
                <w:rFonts w:ascii="Arial Narrow" w:hAnsi="Arial Narrow"/>
                <w:sz w:val="20"/>
                <w:szCs w:val="20"/>
              </w:rPr>
            </w:pPr>
            <w:r>
              <w:rPr>
                <w:rFonts w:ascii="Arial Narrow" w:hAnsi="Arial Narrow"/>
                <w:sz w:val="20"/>
                <w:szCs w:val="20"/>
              </w:rPr>
              <w:t>$1,748 / gross</w:t>
            </w:r>
          </w:p>
          <w:p w14:paraId="24DD7D89" w14:textId="4309BB60" w:rsidR="006C641A" w:rsidRPr="007D1918" w:rsidRDefault="006C641A" w:rsidP="00B47FC5">
            <w:pPr>
              <w:spacing w:before="40" w:after="40" w:line="240" w:lineRule="auto"/>
              <w:ind w:left="0"/>
              <w:jc w:val="center"/>
              <w:rPr>
                <w:rFonts w:ascii="Arial Narrow" w:hAnsi="Arial Narrow"/>
                <w:sz w:val="20"/>
                <w:szCs w:val="20"/>
              </w:rPr>
            </w:pPr>
            <w:r w:rsidRPr="007D1918">
              <w:rPr>
                <w:rFonts w:ascii="Arial Narrow" w:hAnsi="Arial Narrow"/>
                <w:i/>
                <w:sz w:val="20"/>
                <w:szCs w:val="20"/>
              </w:rPr>
              <w:t>less</w:t>
            </w:r>
          </w:p>
        </w:tc>
        <w:tc>
          <w:tcPr>
            <w:tcW w:w="2694" w:type="dxa"/>
          </w:tcPr>
          <w:p w14:paraId="6025AECF"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AR-DRG R63Z</w:t>
            </w:r>
            <w:r w:rsidRPr="007D1918">
              <w:rPr>
                <w:rFonts w:ascii="Arial Narrow" w:hAnsi="Arial Narrow"/>
                <w:sz w:val="20"/>
                <w:szCs w:val="20"/>
              </w:rPr>
              <w:br/>
            </w:r>
            <w:r w:rsidRPr="007D1918">
              <w:rPr>
                <w:rFonts w:ascii="Arial Narrow" w:hAnsi="Arial Narrow"/>
                <w:i/>
                <w:sz w:val="20"/>
                <w:szCs w:val="20"/>
              </w:rPr>
              <w:t>‘Pharmacy’ component $895</w:t>
            </w:r>
          </w:p>
        </w:tc>
        <w:tc>
          <w:tcPr>
            <w:tcW w:w="1842" w:type="dxa"/>
          </w:tcPr>
          <w:p w14:paraId="20B02453"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i/>
                <w:sz w:val="20"/>
                <w:szCs w:val="20"/>
              </w:rPr>
              <w:t xml:space="preserve">administration only:  </w:t>
            </w:r>
            <w:r w:rsidRPr="007D1918">
              <w:rPr>
                <w:rFonts w:ascii="Arial Narrow" w:hAnsi="Arial Narrow"/>
                <w:sz w:val="20"/>
                <w:szCs w:val="20"/>
              </w:rPr>
              <w:t>$853 /day</w:t>
            </w:r>
          </w:p>
        </w:tc>
      </w:tr>
      <w:tr w:rsidR="006C641A" w:rsidRPr="007D1918" w14:paraId="68DB359A" w14:textId="77777777" w:rsidTr="00153384">
        <w:tc>
          <w:tcPr>
            <w:tcW w:w="2689" w:type="dxa"/>
          </w:tcPr>
          <w:p w14:paraId="442FD56C" w14:textId="77777777" w:rsidR="006C641A" w:rsidRPr="007D1918" w:rsidRDefault="006C641A" w:rsidP="00153384">
            <w:pPr>
              <w:tabs>
                <w:tab w:val="center" w:pos="1590"/>
              </w:tabs>
              <w:spacing w:before="40" w:after="40" w:line="240" w:lineRule="auto"/>
              <w:ind w:left="0"/>
              <w:rPr>
                <w:rFonts w:ascii="Arial Narrow" w:hAnsi="Arial Narrow"/>
                <w:sz w:val="20"/>
                <w:szCs w:val="20"/>
              </w:rPr>
            </w:pPr>
            <w:r w:rsidRPr="007D1918">
              <w:rPr>
                <w:rFonts w:ascii="Arial Narrow" w:hAnsi="Arial Narrow"/>
                <w:sz w:val="20"/>
                <w:szCs w:val="20"/>
              </w:rPr>
              <w:t>Ciclosporin 100mg capsule</w:t>
            </w:r>
          </w:p>
        </w:tc>
        <w:tc>
          <w:tcPr>
            <w:tcW w:w="1842" w:type="dxa"/>
          </w:tcPr>
          <w:p w14:paraId="7A1B5E28"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$309.21 / 60 units</w:t>
            </w:r>
          </w:p>
        </w:tc>
        <w:tc>
          <w:tcPr>
            <w:tcW w:w="2694" w:type="dxa"/>
          </w:tcPr>
          <w:p w14:paraId="06F82124"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8660T</w:t>
            </w:r>
          </w:p>
        </w:tc>
        <w:tc>
          <w:tcPr>
            <w:tcW w:w="1842" w:type="dxa"/>
          </w:tcPr>
          <w:p w14:paraId="781C1840"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$5.15 /cap</w:t>
            </w:r>
          </w:p>
        </w:tc>
      </w:tr>
      <w:tr w:rsidR="006C641A" w:rsidRPr="007D1918" w14:paraId="6F074E69" w14:textId="77777777" w:rsidTr="00153384">
        <w:tc>
          <w:tcPr>
            <w:tcW w:w="2689" w:type="dxa"/>
          </w:tcPr>
          <w:p w14:paraId="3CA43395"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Mycophenolate 500mg tablet</w:t>
            </w:r>
          </w:p>
        </w:tc>
        <w:tc>
          <w:tcPr>
            <w:tcW w:w="1842" w:type="dxa"/>
          </w:tcPr>
          <w:p w14:paraId="025B9E6B"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$153.28 / 150 units</w:t>
            </w:r>
          </w:p>
        </w:tc>
        <w:tc>
          <w:tcPr>
            <w:tcW w:w="2694" w:type="dxa"/>
          </w:tcPr>
          <w:p w14:paraId="0FD926B2"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PBS 8650G</w:t>
            </w:r>
          </w:p>
        </w:tc>
        <w:tc>
          <w:tcPr>
            <w:tcW w:w="1842" w:type="dxa"/>
          </w:tcPr>
          <w:p w14:paraId="18AE3A82"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$1.021 /tab</w:t>
            </w:r>
          </w:p>
        </w:tc>
      </w:tr>
      <w:tr w:rsidR="006C641A" w:rsidRPr="007D1918" w14:paraId="6D552FB9" w14:textId="77777777" w:rsidTr="00153384">
        <w:tc>
          <w:tcPr>
            <w:tcW w:w="2689" w:type="dxa"/>
          </w:tcPr>
          <w:p w14:paraId="06581366"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Rituximab 1 x 500mg vial for injection</w:t>
            </w:r>
          </w:p>
        </w:tc>
        <w:tc>
          <w:tcPr>
            <w:tcW w:w="1842" w:type="dxa"/>
          </w:tcPr>
          <w:p w14:paraId="7BECF044"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$1,544.50</w:t>
            </w:r>
          </w:p>
        </w:tc>
        <w:tc>
          <w:tcPr>
            <w:tcW w:w="2694" w:type="dxa"/>
          </w:tcPr>
          <w:p w14:paraId="4BCA5418"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 xml:space="preserve">Estimated using PBS item 10593M </w:t>
            </w:r>
            <w:r w:rsidRPr="007D1918">
              <w:rPr>
                <w:rFonts w:ascii="Arial Narrow" w:hAnsi="Arial Narrow"/>
                <w:i/>
                <w:sz w:val="20"/>
                <w:szCs w:val="20"/>
              </w:rPr>
              <w:t>*not PBS funded for MG</w:t>
            </w:r>
          </w:p>
        </w:tc>
        <w:tc>
          <w:tcPr>
            <w:tcW w:w="1842" w:type="dxa"/>
          </w:tcPr>
          <w:p w14:paraId="2C08EC12"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$1,544.50 /vial</w:t>
            </w:r>
          </w:p>
        </w:tc>
      </w:tr>
      <w:tr w:rsidR="006C641A" w:rsidRPr="007D1918" w14:paraId="6F8BF0AD" w14:textId="77777777" w:rsidTr="00153384">
        <w:tc>
          <w:tcPr>
            <w:tcW w:w="2689" w:type="dxa"/>
          </w:tcPr>
          <w:p w14:paraId="7814CD75"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Monitoring: Liver function</w:t>
            </w:r>
          </w:p>
        </w:tc>
        <w:tc>
          <w:tcPr>
            <w:tcW w:w="1842" w:type="dxa"/>
          </w:tcPr>
          <w:p w14:paraId="511AE814"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$17.70</w:t>
            </w:r>
          </w:p>
        </w:tc>
        <w:tc>
          <w:tcPr>
            <w:tcW w:w="2694" w:type="dxa"/>
          </w:tcPr>
          <w:p w14:paraId="10463AB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MBS 66512 fee, July 2019</w:t>
            </w:r>
          </w:p>
        </w:tc>
        <w:tc>
          <w:tcPr>
            <w:tcW w:w="1842" w:type="dxa"/>
          </w:tcPr>
          <w:p w14:paraId="7147EE40"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$17.70</w:t>
            </w:r>
          </w:p>
        </w:tc>
      </w:tr>
      <w:tr w:rsidR="006C641A" w:rsidRPr="007D1918" w14:paraId="054664F9" w14:textId="77777777" w:rsidTr="00153384">
        <w:tc>
          <w:tcPr>
            <w:tcW w:w="2689" w:type="dxa"/>
          </w:tcPr>
          <w:p w14:paraId="669D1E8C"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Monitoring: Blood disorders</w:t>
            </w:r>
          </w:p>
        </w:tc>
        <w:tc>
          <w:tcPr>
            <w:tcW w:w="1842" w:type="dxa"/>
          </w:tcPr>
          <w:p w14:paraId="34A9CAE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$16.95</w:t>
            </w:r>
          </w:p>
        </w:tc>
        <w:tc>
          <w:tcPr>
            <w:tcW w:w="2694" w:type="dxa"/>
          </w:tcPr>
          <w:p w14:paraId="70D91AC3"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MBS 65070 fee, July 2019</w:t>
            </w:r>
          </w:p>
        </w:tc>
        <w:tc>
          <w:tcPr>
            <w:tcW w:w="1842" w:type="dxa"/>
          </w:tcPr>
          <w:p w14:paraId="53E4A2CD"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$16.95</w:t>
            </w:r>
          </w:p>
        </w:tc>
      </w:tr>
      <w:tr w:rsidR="006C641A" w:rsidRPr="007D1918" w14:paraId="1C99C821" w14:textId="77777777" w:rsidTr="00153384">
        <w:tc>
          <w:tcPr>
            <w:tcW w:w="2689" w:type="dxa"/>
          </w:tcPr>
          <w:p w14:paraId="789C5768"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Monitoring: renal function</w:t>
            </w:r>
          </w:p>
        </w:tc>
        <w:tc>
          <w:tcPr>
            <w:tcW w:w="1842" w:type="dxa"/>
          </w:tcPr>
          <w:p w14:paraId="20D21E67"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$17.70</w:t>
            </w:r>
          </w:p>
        </w:tc>
        <w:tc>
          <w:tcPr>
            <w:tcW w:w="2694" w:type="dxa"/>
          </w:tcPr>
          <w:p w14:paraId="37E5255E"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MBS 66512 fee, July 2019</w:t>
            </w:r>
          </w:p>
        </w:tc>
        <w:tc>
          <w:tcPr>
            <w:tcW w:w="1842" w:type="dxa"/>
          </w:tcPr>
          <w:p w14:paraId="6CD759B8"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$17.70</w:t>
            </w:r>
          </w:p>
        </w:tc>
      </w:tr>
      <w:tr w:rsidR="006C641A" w:rsidRPr="007D1918" w14:paraId="46C744BE" w14:textId="77777777" w:rsidTr="00153384">
        <w:tc>
          <w:tcPr>
            <w:tcW w:w="9067" w:type="dxa"/>
            <w:gridSpan w:val="4"/>
          </w:tcPr>
          <w:p w14:paraId="529F5D33" w14:textId="77777777" w:rsidR="006C641A" w:rsidRPr="007D1918" w:rsidRDefault="006C641A" w:rsidP="00153384">
            <w:pPr>
              <w:keepNext/>
              <w:spacing w:before="40" w:after="40" w:line="240" w:lineRule="auto"/>
              <w:ind w:left="0"/>
              <w:rPr>
                <w:rFonts w:ascii="Arial Narrow" w:hAnsi="Arial Narrow"/>
                <w:b/>
                <w:sz w:val="20"/>
                <w:szCs w:val="20"/>
              </w:rPr>
            </w:pPr>
            <w:r w:rsidRPr="007D1918">
              <w:rPr>
                <w:rFonts w:ascii="Arial Narrow" w:hAnsi="Arial Narrow"/>
                <w:b/>
                <w:sz w:val="20"/>
                <w:szCs w:val="20"/>
              </w:rPr>
              <w:t>Surgical management</w:t>
            </w:r>
          </w:p>
        </w:tc>
      </w:tr>
      <w:tr w:rsidR="006C641A" w:rsidRPr="007D1918" w14:paraId="362AE94E" w14:textId="77777777" w:rsidTr="00153384">
        <w:tc>
          <w:tcPr>
            <w:tcW w:w="2689" w:type="dxa"/>
          </w:tcPr>
          <w:p w14:paraId="65A51758" w14:textId="77777777" w:rsidR="006C641A" w:rsidRPr="007D1918" w:rsidRDefault="006C641A" w:rsidP="00153384">
            <w:pPr>
              <w:spacing w:before="40" w:after="40" w:line="240" w:lineRule="auto"/>
              <w:ind w:left="0"/>
              <w:rPr>
                <w:rFonts w:ascii="Arial Narrow" w:hAnsi="Arial Narrow"/>
                <w:sz w:val="20"/>
                <w:szCs w:val="20"/>
              </w:rPr>
            </w:pPr>
            <w:r w:rsidRPr="007D1918">
              <w:rPr>
                <w:rFonts w:ascii="Arial Narrow" w:hAnsi="Arial Narrow"/>
                <w:sz w:val="20"/>
                <w:szCs w:val="20"/>
              </w:rPr>
              <w:t>Thymectomy average hospital episode</w:t>
            </w:r>
          </w:p>
        </w:tc>
        <w:tc>
          <w:tcPr>
            <w:tcW w:w="1842" w:type="dxa"/>
          </w:tcPr>
          <w:p w14:paraId="097D8182" w14:textId="77777777" w:rsidR="006C641A" w:rsidRPr="007D1918" w:rsidRDefault="006C641A" w:rsidP="00153384">
            <w:pPr>
              <w:spacing w:before="40" w:after="40" w:line="240" w:lineRule="auto"/>
              <w:ind w:left="0"/>
              <w:jc w:val="center"/>
              <w:rPr>
                <w:rFonts w:ascii="Arial Narrow" w:hAnsi="Arial Narrow"/>
                <w:sz w:val="20"/>
                <w:szCs w:val="20"/>
              </w:rPr>
            </w:pPr>
            <w:r w:rsidRPr="007D1918">
              <w:rPr>
                <w:rFonts w:ascii="Arial Narrow" w:hAnsi="Arial Narrow"/>
                <w:sz w:val="20"/>
                <w:szCs w:val="20"/>
              </w:rPr>
              <w:t>$38,835 / episode</w:t>
            </w:r>
          </w:p>
        </w:tc>
        <w:tc>
          <w:tcPr>
            <w:tcW w:w="2694" w:type="dxa"/>
          </w:tcPr>
          <w:p w14:paraId="2EDE1957" w14:textId="77777777" w:rsidR="006C641A" w:rsidRPr="007D1918" w:rsidRDefault="006C641A" w:rsidP="00153384">
            <w:pPr>
              <w:spacing w:before="40" w:after="40" w:line="240" w:lineRule="auto"/>
              <w:ind w:left="0"/>
              <w:rPr>
                <w:rFonts w:ascii="Arial Narrow" w:hAnsi="Arial Narrow"/>
                <w:sz w:val="20"/>
              </w:rPr>
            </w:pPr>
            <w:r w:rsidRPr="007D1918">
              <w:rPr>
                <w:rFonts w:ascii="Arial Narrow" w:hAnsi="Arial Narrow"/>
                <w:sz w:val="20"/>
                <w:szCs w:val="20"/>
              </w:rPr>
              <w:t>AR-DRG D02A, NHCDC Round 21 2016/17</w:t>
            </w:r>
          </w:p>
        </w:tc>
        <w:tc>
          <w:tcPr>
            <w:tcW w:w="1842" w:type="dxa"/>
          </w:tcPr>
          <w:p w14:paraId="197EF287" w14:textId="77777777" w:rsidR="006C641A" w:rsidRPr="007D1918" w:rsidRDefault="006C641A" w:rsidP="00153384">
            <w:pPr>
              <w:keepNext/>
              <w:spacing w:before="40" w:after="40" w:line="240" w:lineRule="auto"/>
              <w:ind w:left="0"/>
              <w:jc w:val="center"/>
              <w:rPr>
                <w:rFonts w:ascii="Arial Narrow" w:hAnsi="Arial Narrow"/>
                <w:sz w:val="20"/>
                <w:szCs w:val="20"/>
              </w:rPr>
            </w:pPr>
            <w:r w:rsidRPr="007D1918">
              <w:rPr>
                <w:rFonts w:ascii="Arial Narrow" w:hAnsi="Arial Narrow"/>
                <w:sz w:val="20"/>
                <w:szCs w:val="20"/>
              </w:rPr>
              <w:t>$38,835 surgery in-hospital episode</w:t>
            </w:r>
          </w:p>
        </w:tc>
      </w:tr>
    </w:tbl>
    <w:p w14:paraId="27451B05" w14:textId="77777777" w:rsidR="006C641A" w:rsidRPr="007D1918" w:rsidRDefault="006C641A" w:rsidP="006C641A">
      <w:pPr>
        <w:pStyle w:val="Tablenotes0"/>
      </w:pPr>
      <w:r w:rsidRPr="007D1918">
        <w:t>AR-DRG descriptions: R63Z = Chemotherapy (total cost $1,748; Pharmacy component $895; net of pharmacy); D02A = Head and Neck Procedures, Major Complexity.</w:t>
      </w:r>
    </w:p>
    <w:p w14:paraId="78A0A237" w14:textId="77777777" w:rsidR="00132097" w:rsidRPr="007D1918" w:rsidRDefault="00132097" w:rsidP="00132097"/>
    <w:p w14:paraId="421EE222" w14:textId="30854648" w:rsidR="008D69E9" w:rsidRPr="007D1918" w:rsidRDefault="008D69E9" w:rsidP="008D69E9">
      <w:pPr>
        <w:pStyle w:val="Heading3"/>
      </w:pPr>
      <w:bookmarkStart w:id="430" w:name="_Toc23767001"/>
      <w:r w:rsidRPr="007D1918">
        <w:t>Health Outcomes</w:t>
      </w:r>
      <w:bookmarkEnd w:id="430"/>
    </w:p>
    <w:p w14:paraId="03E5F467" w14:textId="66E3B168" w:rsidR="008D69E9" w:rsidRPr="007D1918" w:rsidRDefault="008D69E9" w:rsidP="008D69E9">
      <w:pPr>
        <w:jc w:val="both"/>
      </w:pPr>
      <w:r w:rsidRPr="007D1918">
        <w:t xml:space="preserve">The translation of each adverse event into a utility decrement is described in </w:t>
      </w:r>
      <w:r w:rsidR="005F6B74" w:rsidRPr="007D1918">
        <w:fldChar w:fldCharType="begin"/>
      </w:r>
      <w:r w:rsidR="005F6B74" w:rsidRPr="007D1918">
        <w:instrText xml:space="preserve"> REF _Ref18572579 \h  \* MERGEFORMAT </w:instrText>
      </w:r>
      <w:r w:rsidR="005F6B74" w:rsidRPr="007D1918">
        <w:fldChar w:fldCharType="separate"/>
      </w:r>
      <w:r w:rsidR="005F6B74" w:rsidRPr="007D1918">
        <w:t xml:space="preserve">Table </w:t>
      </w:r>
      <w:r w:rsidR="005F6B74" w:rsidRPr="007D1918">
        <w:rPr>
          <w:noProof/>
        </w:rPr>
        <w:t>58</w:t>
      </w:r>
      <w:r w:rsidR="005F6B74" w:rsidRPr="007D1918">
        <w:fldChar w:fldCharType="end"/>
      </w:r>
      <w:r w:rsidRPr="007D1918">
        <w:t>, C.4.2.</w:t>
      </w:r>
    </w:p>
    <w:p w14:paraId="3AC0B63D" w14:textId="4432FBD4" w:rsidR="005F6B74" w:rsidRPr="007D1918" w:rsidRDefault="00E63823" w:rsidP="008D69E9">
      <w:pPr>
        <w:jc w:val="both"/>
      </w:pPr>
      <w:r w:rsidRPr="007D1918">
        <w:t>T</w:t>
      </w:r>
      <w:r w:rsidR="008D69E9" w:rsidRPr="007D1918">
        <w:t xml:space="preserve">he overall incremental QALY decrements across the modelled population is calculated by multiplying the QALY decrement per adverse event by the adverse event incidence rate. The </w:t>
      </w:r>
      <w:r w:rsidR="00F00EE9" w:rsidRPr="007D1918">
        <w:t xml:space="preserve">estimated </w:t>
      </w:r>
      <w:r w:rsidR="008D69E9" w:rsidRPr="007D1918">
        <w:t xml:space="preserve">incidence rates for the adverse events </w:t>
      </w:r>
      <w:r w:rsidR="00F00EE9" w:rsidRPr="007D1918">
        <w:t xml:space="preserve">across a whole population </w:t>
      </w:r>
      <w:r w:rsidR="008D69E9" w:rsidRPr="007D1918">
        <w:t xml:space="preserve">are estimated in </w:t>
      </w:r>
      <w:r w:rsidR="005F6B74" w:rsidRPr="007D1918">
        <w:fldChar w:fldCharType="begin"/>
      </w:r>
      <w:r w:rsidR="005F6B74" w:rsidRPr="007D1918">
        <w:instrText xml:space="preserve"> REF _Ref17711478 \h  \* MERGEFORMAT </w:instrText>
      </w:r>
      <w:r w:rsidR="005F6B74" w:rsidRPr="007D1918">
        <w:fldChar w:fldCharType="separate"/>
      </w:r>
      <w:r w:rsidR="005F6B74" w:rsidRPr="007D1918">
        <w:t xml:space="preserve">Table </w:t>
      </w:r>
      <w:r w:rsidR="005F6B74" w:rsidRPr="007D1918">
        <w:rPr>
          <w:noProof/>
        </w:rPr>
        <w:t>56</w:t>
      </w:r>
      <w:r w:rsidR="005F6B74" w:rsidRPr="007D1918">
        <w:fldChar w:fldCharType="end"/>
      </w:r>
      <w:r w:rsidR="00F00EE9" w:rsidRPr="007D1918">
        <w:t xml:space="preserve"> C.4.1. The modelled overall QALY decrements are presented in</w:t>
      </w:r>
      <w:r w:rsidR="00F51AD3" w:rsidRPr="007D1918">
        <w:t xml:space="preserve"> </w:t>
      </w:r>
      <w:r w:rsidR="005F6B74" w:rsidRPr="007D1918">
        <w:fldChar w:fldCharType="begin"/>
      </w:r>
      <w:r w:rsidR="005F6B74" w:rsidRPr="007D1918">
        <w:instrText xml:space="preserve"> REF _Ref23445818 \h  \* MERGEFORMAT </w:instrText>
      </w:r>
      <w:r w:rsidR="005F6B74" w:rsidRPr="007D1918">
        <w:fldChar w:fldCharType="separate"/>
      </w:r>
      <w:r w:rsidR="005F6B74" w:rsidRPr="007D1918">
        <w:t xml:space="preserve">Table </w:t>
      </w:r>
      <w:r w:rsidR="005F6B74" w:rsidRPr="007D1918">
        <w:rPr>
          <w:noProof/>
        </w:rPr>
        <w:t>77</w:t>
      </w:r>
      <w:r w:rsidR="005F6B74" w:rsidRPr="007D1918">
        <w:fldChar w:fldCharType="end"/>
      </w:r>
      <w:r w:rsidR="005F6B74" w:rsidRPr="007D1918">
        <w:t xml:space="preserve"> below.</w:t>
      </w:r>
    </w:p>
    <w:p w14:paraId="771FE5CA" w14:textId="38E1635C" w:rsidR="00132097" w:rsidRPr="007D1918" w:rsidRDefault="00E63823" w:rsidP="008D69E9">
      <w:pPr>
        <w:jc w:val="both"/>
      </w:pPr>
      <w:r w:rsidRPr="007D1918">
        <w:t xml:space="preserve">For </w:t>
      </w:r>
      <w:r w:rsidR="00F51AD3" w:rsidRPr="007D1918">
        <w:t xml:space="preserve">Indication </w:t>
      </w:r>
      <w:r w:rsidRPr="007D1918">
        <w:t xml:space="preserve">1, the QALY decrements are one-off applications. For </w:t>
      </w:r>
      <w:r w:rsidR="00F51AD3" w:rsidRPr="007D1918">
        <w:t xml:space="preserve">Indication </w:t>
      </w:r>
      <w:r w:rsidRPr="007D1918">
        <w:t>3, the QALY decrement is calculated for each plasma exchange, therefore the QALY decrements accrue with each exchange per year and with each year of analysis.</w:t>
      </w:r>
    </w:p>
    <w:p w14:paraId="1B903B05" w14:textId="77777777" w:rsidR="00132097" w:rsidRPr="007D1918" w:rsidRDefault="00132097">
      <w:pPr>
        <w:spacing w:after="0" w:line="240" w:lineRule="auto"/>
      </w:pPr>
      <w:r w:rsidRPr="007D1918">
        <w:br w:type="page"/>
      </w:r>
    </w:p>
    <w:p w14:paraId="2584B570" w14:textId="1F960264" w:rsidR="00E63823" w:rsidRPr="007D1918" w:rsidRDefault="00942701" w:rsidP="00942701">
      <w:pPr>
        <w:pStyle w:val="Caption"/>
      </w:pPr>
      <w:bookmarkStart w:id="431" w:name="_Ref23445818"/>
      <w:bookmarkStart w:id="432" w:name="_Toc23769564"/>
      <w:r w:rsidRPr="007D1918">
        <w:lastRenderedPageBreak/>
        <w:t xml:space="preserve">Table </w:t>
      </w:r>
      <w:r w:rsidR="002814BF">
        <w:fldChar w:fldCharType="begin"/>
      </w:r>
      <w:r w:rsidR="002814BF">
        <w:instrText xml:space="preserve"> SEQ Table \* ARABIC </w:instrText>
      </w:r>
      <w:r w:rsidR="002814BF">
        <w:fldChar w:fldCharType="separate"/>
      </w:r>
      <w:r w:rsidRPr="007D1918">
        <w:rPr>
          <w:noProof/>
        </w:rPr>
        <w:t>77</w:t>
      </w:r>
      <w:r w:rsidR="002814BF">
        <w:rPr>
          <w:noProof/>
        </w:rPr>
        <w:fldChar w:fldCharType="end"/>
      </w:r>
      <w:bookmarkEnd w:id="431"/>
      <w:r w:rsidRPr="007D1918">
        <w:tab/>
      </w:r>
      <w:r w:rsidR="002D7145" w:rsidRPr="007D1918">
        <w:t>Total QALY decrement calculations per adverse event in the cost-utility analyses</w:t>
      </w:r>
      <w:bookmarkEnd w:id="432"/>
    </w:p>
    <w:tbl>
      <w:tblPr>
        <w:tblStyle w:val="TableGrid"/>
        <w:tblW w:w="9067" w:type="dxa"/>
        <w:tblLook w:val="04A0" w:firstRow="1" w:lastRow="0" w:firstColumn="1" w:lastColumn="0" w:noHBand="0" w:noVBand="1"/>
        <w:tblCaption w:val="Table 77 Total QALY decrement calculations per adverse event in the cost-utility analyses"/>
      </w:tblPr>
      <w:tblGrid>
        <w:gridCol w:w="2547"/>
        <w:gridCol w:w="1843"/>
        <w:gridCol w:w="1701"/>
        <w:gridCol w:w="2976"/>
      </w:tblGrid>
      <w:tr w:rsidR="002D7145" w:rsidRPr="007D1918" w14:paraId="471CA78A" w14:textId="77777777" w:rsidTr="00BD29C0">
        <w:trPr>
          <w:tblHeader/>
        </w:trPr>
        <w:tc>
          <w:tcPr>
            <w:tcW w:w="2547" w:type="dxa"/>
          </w:tcPr>
          <w:p w14:paraId="6F3155AA" w14:textId="78B49ACD" w:rsidR="002D7145" w:rsidRPr="007D1918" w:rsidRDefault="002D7145" w:rsidP="00CA5D25">
            <w:pPr>
              <w:pStyle w:val="TableHeading"/>
              <w:ind w:left="0"/>
              <w:rPr>
                <w:snapToGrid w:val="0"/>
                <w:lang w:eastAsia="en-US"/>
              </w:rPr>
            </w:pPr>
            <w:r w:rsidRPr="007D1918">
              <w:rPr>
                <w:snapToGrid w:val="0"/>
                <w:lang w:eastAsia="en-US"/>
              </w:rPr>
              <w:t>Adverse event</w:t>
            </w:r>
            <w:r w:rsidR="00942701" w:rsidRPr="007D1918">
              <w:rPr>
                <w:snapToGrid w:val="0"/>
                <w:lang w:eastAsia="en-US"/>
              </w:rPr>
              <w:t xml:space="preserve"> description</w:t>
            </w:r>
          </w:p>
        </w:tc>
        <w:tc>
          <w:tcPr>
            <w:tcW w:w="1843" w:type="dxa"/>
          </w:tcPr>
          <w:p w14:paraId="4DECD72C" w14:textId="08ECE467" w:rsidR="002D7145" w:rsidRPr="007D1918" w:rsidRDefault="002D7145" w:rsidP="00CA5D25">
            <w:pPr>
              <w:pStyle w:val="TableHeading"/>
              <w:ind w:left="0"/>
              <w:jc w:val="center"/>
              <w:rPr>
                <w:snapToGrid w:val="0"/>
                <w:lang w:eastAsia="en-US"/>
              </w:rPr>
            </w:pPr>
            <w:r w:rsidRPr="007D1918">
              <w:rPr>
                <w:snapToGrid w:val="0"/>
                <w:lang w:eastAsia="en-US"/>
              </w:rPr>
              <w:t>QALY decrement per event</w:t>
            </w:r>
          </w:p>
        </w:tc>
        <w:tc>
          <w:tcPr>
            <w:tcW w:w="1701" w:type="dxa"/>
          </w:tcPr>
          <w:p w14:paraId="2B20EB71" w14:textId="267861D4" w:rsidR="002D7145" w:rsidRPr="007D1918" w:rsidRDefault="002D7145" w:rsidP="00CA5D25">
            <w:pPr>
              <w:pStyle w:val="TableHeading"/>
              <w:ind w:left="0"/>
              <w:jc w:val="center"/>
              <w:rPr>
                <w:snapToGrid w:val="0"/>
                <w:lang w:eastAsia="en-US"/>
              </w:rPr>
            </w:pPr>
            <w:r w:rsidRPr="007D1918">
              <w:rPr>
                <w:snapToGrid w:val="0"/>
                <w:lang w:eastAsia="en-US"/>
              </w:rPr>
              <w:t>Incidence rate</w:t>
            </w:r>
          </w:p>
        </w:tc>
        <w:tc>
          <w:tcPr>
            <w:tcW w:w="2976" w:type="dxa"/>
          </w:tcPr>
          <w:p w14:paraId="12078F99" w14:textId="0734F7BA" w:rsidR="002D7145" w:rsidRPr="007D1918" w:rsidRDefault="00942701" w:rsidP="00942701">
            <w:pPr>
              <w:pStyle w:val="TableHeading"/>
              <w:ind w:left="0"/>
              <w:jc w:val="center"/>
              <w:rPr>
                <w:snapToGrid w:val="0"/>
                <w:lang w:eastAsia="en-US"/>
              </w:rPr>
            </w:pPr>
            <w:r w:rsidRPr="007D1918">
              <w:rPr>
                <w:snapToGrid w:val="0"/>
                <w:lang w:eastAsia="en-US"/>
              </w:rPr>
              <w:t xml:space="preserve">Total </w:t>
            </w:r>
            <w:r w:rsidR="00132097" w:rsidRPr="007D1918">
              <w:rPr>
                <w:snapToGrid w:val="0"/>
                <w:lang w:eastAsia="en-US"/>
              </w:rPr>
              <w:t xml:space="preserve">QALY </w:t>
            </w:r>
            <w:r w:rsidRPr="007D1918">
              <w:rPr>
                <w:snapToGrid w:val="0"/>
                <w:lang w:eastAsia="en-US"/>
              </w:rPr>
              <w:t>d</w:t>
            </w:r>
            <w:r w:rsidR="002D7145" w:rsidRPr="007D1918">
              <w:rPr>
                <w:snapToGrid w:val="0"/>
                <w:lang w:eastAsia="en-US"/>
              </w:rPr>
              <w:t xml:space="preserve">ecrement </w:t>
            </w:r>
            <w:r w:rsidRPr="007D1918">
              <w:rPr>
                <w:snapToGrid w:val="0"/>
                <w:lang w:eastAsia="en-US"/>
              </w:rPr>
              <w:t xml:space="preserve">associated with adverse event(s) </w:t>
            </w:r>
            <w:r w:rsidR="002D7145" w:rsidRPr="007D1918">
              <w:rPr>
                <w:snapToGrid w:val="0"/>
                <w:lang w:eastAsia="en-US"/>
              </w:rPr>
              <w:t>across population</w:t>
            </w:r>
          </w:p>
        </w:tc>
      </w:tr>
      <w:tr w:rsidR="002D7145" w:rsidRPr="007D1918" w14:paraId="2899FE91" w14:textId="77777777" w:rsidTr="00132097">
        <w:tc>
          <w:tcPr>
            <w:tcW w:w="2547" w:type="dxa"/>
          </w:tcPr>
          <w:p w14:paraId="3154337F" w14:textId="77777777" w:rsidR="002D7145" w:rsidRPr="007D1918" w:rsidRDefault="002D7145" w:rsidP="00CA5D25">
            <w:pPr>
              <w:pStyle w:val="Tablecontents"/>
              <w:ind w:left="0"/>
              <w:rPr>
                <w:snapToGrid w:val="0"/>
                <w:lang w:eastAsia="en-US"/>
              </w:rPr>
            </w:pPr>
            <w:r w:rsidRPr="007D1918">
              <w:rPr>
                <w:snapToGrid w:val="0"/>
                <w:lang w:eastAsia="en-US"/>
              </w:rPr>
              <w:t>Retroperitoneal haematoma</w:t>
            </w:r>
          </w:p>
        </w:tc>
        <w:tc>
          <w:tcPr>
            <w:tcW w:w="1843" w:type="dxa"/>
          </w:tcPr>
          <w:p w14:paraId="23464C9D" w14:textId="617D1857" w:rsidR="002D7145" w:rsidRPr="007D1918" w:rsidRDefault="002D7145" w:rsidP="00CA5D25">
            <w:pPr>
              <w:pStyle w:val="Tablecontents"/>
              <w:ind w:left="0"/>
              <w:jc w:val="center"/>
              <w:rPr>
                <w:snapToGrid w:val="0"/>
                <w:lang w:eastAsia="en-US"/>
              </w:rPr>
            </w:pPr>
            <w:r w:rsidRPr="007D1918">
              <w:rPr>
                <w:snapToGrid w:val="0"/>
                <w:lang w:eastAsia="en-US"/>
              </w:rPr>
              <w:t>0.02663</w:t>
            </w:r>
          </w:p>
        </w:tc>
        <w:tc>
          <w:tcPr>
            <w:tcW w:w="1701" w:type="dxa"/>
            <w:vAlign w:val="center"/>
          </w:tcPr>
          <w:p w14:paraId="5EDA5514" w14:textId="7A63F5FD" w:rsidR="002D7145" w:rsidRPr="007D1918" w:rsidRDefault="002D7145" w:rsidP="00132097">
            <w:pPr>
              <w:pStyle w:val="Tablecontents"/>
              <w:ind w:left="0"/>
              <w:jc w:val="center"/>
              <w:rPr>
                <w:snapToGrid w:val="0"/>
                <w:lang w:eastAsia="en-US"/>
              </w:rPr>
            </w:pPr>
            <w:r w:rsidRPr="007D1918">
              <w:rPr>
                <w:snapToGrid w:val="0"/>
                <w:lang w:eastAsia="en-US"/>
              </w:rPr>
              <w:t>2.44%</w:t>
            </w:r>
          </w:p>
        </w:tc>
        <w:tc>
          <w:tcPr>
            <w:tcW w:w="2976" w:type="dxa"/>
            <w:vAlign w:val="center"/>
          </w:tcPr>
          <w:p w14:paraId="5AF5F3E2" w14:textId="460A45C2" w:rsidR="002D7145" w:rsidRPr="007D1918" w:rsidRDefault="002D7145" w:rsidP="00132097">
            <w:pPr>
              <w:pStyle w:val="Tablecontents"/>
              <w:ind w:left="0"/>
              <w:jc w:val="center"/>
              <w:rPr>
                <w:snapToGrid w:val="0"/>
                <w:lang w:eastAsia="en-US"/>
              </w:rPr>
            </w:pPr>
            <w:r w:rsidRPr="007D1918">
              <w:rPr>
                <w:snapToGrid w:val="0"/>
                <w:lang w:eastAsia="en-US"/>
              </w:rPr>
              <w:t>0.000065</w:t>
            </w:r>
          </w:p>
        </w:tc>
      </w:tr>
      <w:tr w:rsidR="002D7145" w:rsidRPr="007D1918" w14:paraId="19F4A797" w14:textId="77777777" w:rsidTr="00132097">
        <w:tc>
          <w:tcPr>
            <w:tcW w:w="2547" w:type="dxa"/>
          </w:tcPr>
          <w:p w14:paraId="7F21EDFF" w14:textId="6455BB1F" w:rsidR="002D7145" w:rsidRPr="007D1918" w:rsidRDefault="002D7145" w:rsidP="00CA5D25">
            <w:pPr>
              <w:pStyle w:val="Tablecontents"/>
              <w:ind w:left="0"/>
              <w:rPr>
                <w:snapToGrid w:val="0"/>
                <w:lang w:eastAsia="en-US"/>
              </w:rPr>
            </w:pPr>
            <w:r w:rsidRPr="007D1918">
              <w:rPr>
                <w:snapToGrid w:val="0"/>
                <w:lang w:eastAsia="en-US"/>
              </w:rPr>
              <w:t>Femoral thrombosis</w:t>
            </w:r>
          </w:p>
          <w:p w14:paraId="53B4545F" w14:textId="4C42F240" w:rsidR="00CA5D25" w:rsidRPr="007D1918" w:rsidRDefault="00CA5D25" w:rsidP="00842707">
            <w:pPr>
              <w:pStyle w:val="Tablecontents"/>
              <w:ind w:left="0" w:firstLine="311"/>
              <w:rPr>
                <w:snapToGrid w:val="0"/>
                <w:lang w:eastAsia="en-US"/>
              </w:rPr>
            </w:pPr>
            <w:r w:rsidRPr="007D1918">
              <w:rPr>
                <w:snapToGrid w:val="0"/>
                <w:lang w:eastAsia="en-US"/>
              </w:rPr>
              <w:t>Acute event</w:t>
            </w:r>
          </w:p>
          <w:p w14:paraId="41798646" w14:textId="77777777" w:rsidR="00842707" w:rsidRDefault="00CA5D25" w:rsidP="00842707">
            <w:pPr>
              <w:pStyle w:val="Tablecontents"/>
              <w:ind w:left="0" w:firstLine="311"/>
              <w:rPr>
                <w:snapToGrid w:val="0"/>
                <w:lang w:eastAsia="en-US"/>
              </w:rPr>
            </w:pPr>
            <w:r w:rsidRPr="007D1918">
              <w:rPr>
                <w:snapToGrid w:val="0"/>
                <w:lang w:eastAsia="en-US"/>
              </w:rPr>
              <w:t>3-month anticoagulant Tx</w:t>
            </w:r>
          </w:p>
          <w:p w14:paraId="36C7D5DF" w14:textId="103E4F6B" w:rsidR="00CA5D25" w:rsidRPr="007D1918" w:rsidRDefault="00CA5D25" w:rsidP="00377ACB">
            <w:pPr>
              <w:pStyle w:val="Tablecontents"/>
              <w:ind w:left="0" w:firstLine="1303"/>
              <w:rPr>
                <w:snapToGrid w:val="0"/>
                <w:lang w:eastAsia="en-US"/>
              </w:rPr>
            </w:pPr>
            <w:r w:rsidRPr="007D1918">
              <w:rPr>
                <w:snapToGrid w:val="0"/>
                <w:lang w:eastAsia="en-US"/>
              </w:rPr>
              <w:t>Total</w:t>
            </w:r>
          </w:p>
        </w:tc>
        <w:tc>
          <w:tcPr>
            <w:tcW w:w="1843" w:type="dxa"/>
          </w:tcPr>
          <w:p w14:paraId="35E7DB57" w14:textId="77777777" w:rsidR="00CA5D25" w:rsidRPr="007D1918" w:rsidRDefault="00CA5D25" w:rsidP="00CA5D25">
            <w:pPr>
              <w:pStyle w:val="Tablecontents"/>
              <w:ind w:left="0"/>
              <w:jc w:val="center"/>
              <w:rPr>
                <w:snapToGrid w:val="0"/>
                <w:lang w:eastAsia="en-US"/>
              </w:rPr>
            </w:pPr>
          </w:p>
          <w:p w14:paraId="4C80ED4B" w14:textId="7B4DF802" w:rsidR="002D7145" w:rsidRPr="007D1918" w:rsidRDefault="002D7145" w:rsidP="00CA5D25">
            <w:pPr>
              <w:pStyle w:val="Tablecontents"/>
              <w:ind w:left="0"/>
              <w:jc w:val="center"/>
              <w:rPr>
                <w:snapToGrid w:val="0"/>
                <w:lang w:eastAsia="en-US"/>
              </w:rPr>
            </w:pPr>
            <w:r w:rsidRPr="007D1918">
              <w:rPr>
                <w:snapToGrid w:val="0"/>
                <w:lang w:eastAsia="en-US"/>
              </w:rPr>
              <w:t>0.00641</w:t>
            </w:r>
            <w:r w:rsidR="00CA5D25" w:rsidRPr="007D1918">
              <w:rPr>
                <w:snapToGrid w:val="0"/>
                <w:lang w:eastAsia="en-US"/>
              </w:rPr>
              <w:br/>
            </w:r>
            <w:r w:rsidR="00CA5D25" w:rsidRPr="007D1918">
              <w:t>0.01205</w:t>
            </w:r>
            <w:r w:rsidR="00CA5D25" w:rsidRPr="007D1918">
              <w:br/>
            </w:r>
          </w:p>
        </w:tc>
        <w:tc>
          <w:tcPr>
            <w:tcW w:w="1701" w:type="dxa"/>
            <w:vAlign w:val="center"/>
          </w:tcPr>
          <w:p w14:paraId="60C03DC3" w14:textId="67E0E57E" w:rsidR="002D7145" w:rsidRPr="007D1918" w:rsidRDefault="002D7145" w:rsidP="00132097">
            <w:pPr>
              <w:pStyle w:val="Tablecontents"/>
              <w:ind w:left="0"/>
              <w:jc w:val="center"/>
              <w:rPr>
                <w:snapToGrid w:val="0"/>
                <w:lang w:eastAsia="en-US"/>
              </w:rPr>
            </w:pPr>
            <w:r w:rsidRPr="007D1918">
              <w:rPr>
                <w:snapToGrid w:val="0"/>
                <w:lang w:eastAsia="en-US"/>
              </w:rPr>
              <w:t>2.44%</w:t>
            </w:r>
          </w:p>
        </w:tc>
        <w:tc>
          <w:tcPr>
            <w:tcW w:w="2976" w:type="dxa"/>
            <w:vAlign w:val="center"/>
          </w:tcPr>
          <w:p w14:paraId="091C339C" w14:textId="3E6369E8" w:rsidR="002D7145" w:rsidRPr="007D1918" w:rsidRDefault="002D7145" w:rsidP="00132097">
            <w:pPr>
              <w:pStyle w:val="Tablecontents"/>
              <w:ind w:left="0"/>
              <w:jc w:val="center"/>
              <w:rPr>
                <w:snapToGrid w:val="0"/>
                <w:lang w:eastAsia="en-US"/>
              </w:rPr>
            </w:pPr>
            <w:r w:rsidRPr="007D1918">
              <w:rPr>
                <w:snapToGrid w:val="0"/>
                <w:lang w:eastAsia="en-US"/>
              </w:rPr>
              <w:t>0.00016</w:t>
            </w:r>
          </w:p>
        </w:tc>
      </w:tr>
      <w:tr w:rsidR="002D7145" w:rsidRPr="007D1918" w14:paraId="12E2E1A8" w14:textId="77777777" w:rsidTr="00132097">
        <w:tc>
          <w:tcPr>
            <w:tcW w:w="2547" w:type="dxa"/>
          </w:tcPr>
          <w:p w14:paraId="2CFDAA0C" w14:textId="19AE83ED" w:rsidR="002D7145" w:rsidRPr="007D1918" w:rsidRDefault="002D7145" w:rsidP="00CA5D25">
            <w:pPr>
              <w:pStyle w:val="Tablecontents"/>
              <w:ind w:left="0"/>
              <w:rPr>
                <w:snapToGrid w:val="0"/>
                <w:lang w:eastAsia="en-US"/>
              </w:rPr>
            </w:pPr>
            <w:r w:rsidRPr="007D1918">
              <w:rPr>
                <w:snapToGrid w:val="0"/>
                <w:lang w:eastAsia="en-US"/>
              </w:rPr>
              <w:t>Systemic Infection</w:t>
            </w:r>
            <w:r w:rsidR="00CA5D25" w:rsidRPr="007D1918">
              <w:rPr>
                <w:snapToGrid w:val="0"/>
                <w:lang w:eastAsia="en-US"/>
              </w:rPr>
              <w:t xml:space="preserve"> (acute</w:t>
            </w:r>
            <w:r w:rsidR="005F6B74" w:rsidRPr="007D1918">
              <w:rPr>
                <w:snapToGrid w:val="0"/>
                <w:lang w:eastAsia="en-US"/>
              </w:rPr>
              <w:t xml:space="preserve"> ICU setting</w:t>
            </w:r>
            <w:r w:rsidR="00CA5D25" w:rsidRPr="007D1918">
              <w:rPr>
                <w:snapToGrid w:val="0"/>
                <w:lang w:eastAsia="en-US"/>
              </w:rPr>
              <w:t>)</w:t>
            </w:r>
          </w:p>
          <w:p w14:paraId="59CDFD02" w14:textId="247BD40D" w:rsidR="00CA5D25" w:rsidRPr="007D1918" w:rsidRDefault="00CA5D25" w:rsidP="00377ACB">
            <w:pPr>
              <w:pStyle w:val="Tablecontents"/>
              <w:ind w:left="452"/>
              <w:rPr>
                <w:snapToGrid w:val="0"/>
                <w:lang w:eastAsia="en-US"/>
              </w:rPr>
            </w:pPr>
            <w:r w:rsidRPr="007D1918">
              <w:rPr>
                <w:snapToGrid w:val="0"/>
                <w:lang w:eastAsia="en-US"/>
              </w:rPr>
              <w:t>lower estimate</w:t>
            </w:r>
            <w:r w:rsidRPr="007D1918">
              <w:rPr>
                <w:snapToGrid w:val="0"/>
                <w:lang w:eastAsia="en-US"/>
              </w:rPr>
              <w:br/>
              <w:t>upper estim</w:t>
            </w:r>
            <w:r w:rsidR="00377ACB">
              <w:rPr>
                <w:snapToGrid w:val="0"/>
                <w:lang w:eastAsia="en-US"/>
              </w:rPr>
              <w:t>a</w:t>
            </w:r>
            <w:r w:rsidRPr="007D1918">
              <w:rPr>
                <w:snapToGrid w:val="0"/>
                <w:lang w:eastAsia="en-US"/>
              </w:rPr>
              <w:t>te</w:t>
            </w:r>
          </w:p>
        </w:tc>
        <w:tc>
          <w:tcPr>
            <w:tcW w:w="1843" w:type="dxa"/>
            <w:vAlign w:val="center"/>
          </w:tcPr>
          <w:p w14:paraId="54811B8C" w14:textId="4B6D793E" w:rsidR="00132097" w:rsidRPr="007D1918" w:rsidRDefault="00CA5D25" w:rsidP="00132097">
            <w:pPr>
              <w:pStyle w:val="Tablecontents"/>
              <w:ind w:left="0"/>
              <w:jc w:val="center"/>
              <w:rPr>
                <w:snapToGrid w:val="0"/>
                <w:lang w:eastAsia="en-US"/>
              </w:rPr>
            </w:pPr>
            <w:r w:rsidRPr="007D1918">
              <w:rPr>
                <w:snapToGrid w:val="0"/>
                <w:lang w:eastAsia="en-US"/>
              </w:rPr>
              <w:t>0.01305</w:t>
            </w:r>
            <w:r w:rsidR="00132097" w:rsidRPr="007D1918">
              <w:rPr>
                <w:snapToGrid w:val="0"/>
                <w:lang w:eastAsia="en-US"/>
              </w:rPr>
              <w:br/>
            </w:r>
          </w:p>
          <w:p w14:paraId="3CF7F501" w14:textId="59F9B39C" w:rsidR="00CA5D25" w:rsidRPr="007D1918" w:rsidRDefault="00CA5D25" w:rsidP="00132097">
            <w:pPr>
              <w:pStyle w:val="Tablecontents"/>
              <w:ind w:left="0"/>
              <w:jc w:val="center"/>
              <w:rPr>
                <w:snapToGrid w:val="0"/>
                <w:lang w:eastAsia="en-US"/>
              </w:rPr>
            </w:pPr>
          </w:p>
        </w:tc>
        <w:tc>
          <w:tcPr>
            <w:tcW w:w="1701" w:type="dxa"/>
            <w:vAlign w:val="center"/>
          </w:tcPr>
          <w:p w14:paraId="050A8EF8" w14:textId="77777777" w:rsidR="00CA5D25" w:rsidRPr="007D1918" w:rsidRDefault="00CA5D25" w:rsidP="00132097">
            <w:pPr>
              <w:pStyle w:val="Tablecontents"/>
              <w:ind w:left="0"/>
              <w:jc w:val="center"/>
              <w:rPr>
                <w:snapToGrid w:val="0"/>
                <w:lang w:eastAsia="en-US"/>
              </w:rPr>
            </w:pPr>
          </w:p>
          <w:p w14:paraId="20A6C1C8" w14:textId="303BBF2D" w:rsidR="002D7145" w:rsidRPr="007D1918" w:rsidRDefault="00CA5D25" w:rsidP="00132097">
            <w:pPr>
              <w:pStyle w:val="Tablecontents"/>
              <w:ind w:left="0"/>
              <w:jc w:val="center"/>
              <w:rPr>
                <w:snapToGrid w:val="0"/>
                <w:lang w:eastAsia="en-US"/>
              </w:rPr>
            </w:pPr>
            <w:r w:rsidRPr="007D1918">
              <w:rPr>
                <w:snapToGrid w:val="0"/>
                <w:lang w:eastAsia="en-US"/>
              </w:rPr>
              <w:t>4.88%</w:t>
            </w:r>
            <w:r w:rsidRPr="007D1918">
              <w:rPr>
                <w:snapToGrid w:val="0"/>
                <w:lang w:eastAsia="en-US"/>
              </w:rPr>
              <w:br/>
            </w:r>
            <w:r w:rsidR="002D7145" w:rsidRPr="007D1918">
              <w:rPr>
                <w:snapToGrid w:val="0"/>
                <w:lang w:eastAsia="en-US"/>
              </w:rPr>
              <w:t>7.67%</w:t>
            </w:r>
          </w:p>
        </w:tc>
        <w:tc>
          <w:tcPr>
            <w:tcW w:w="2976" w:type="dxa"/>
            <w:vAlign w:val="center"/>
          </w:tcPr>
          <w:p w14:paraId="2964BAC6" w14:textId="77777777" w:rsidR="00942701" w:rsidRPr="007D1918" w:rsidRDefault="00942701" w:rsidP="00132097">
            <w:pPr>
              <w:spacing w:after="0" w:line="240" w:lineRule="auto"/>
              <w:ind w:left="0"/>
              <w:jc w:val="center"/>
              <w:rPr>
                <w:rFonts w:ascii="Arial Narrow" w:hAnsi="Arial Narrow" w:cs="Times New Roman"/>
                <w:snapToGrid w:val="0"/>
                <w:sz w:val="20"/>
                <w:szCs w:val="20"/>
                <w:lang w:eastAsia="en-US"/>
              </w:rPr>
            </w:pPr>
          </w:p>
          <w:p w14:paraId="3CC33F6B" w14:textId="6BD7BB05" w:rsidR="00942701" w:rsidRPr="007D1918" w:rsidRDefault="00942701" w:rsidP="00132097">
            <w:pPr>
              <w:spacing w:after="0" w:line="240" w:lineRule="auto"/>
              <w:ind w:left="0"/>
              <w:jc w:val="center"/>
              <w:rPr>
                <w:rFonts w:ascii="Arial Narrow" w:hAnsi="Arial Narrow" w:cs="Times New Roman"/>
                <w:snapToGrid w:val="0"/>
                <w:sz w:val="20"/>
                <w:szCs w:val="20"/>
                <w:lang w:eastAsia="en-US"/>
              </w:rPr>
            </w:pPr>
            <w:r w:rsidRPr="007D1918">
              <w:rPr>
                <w:rFonts w:ascii="Arial Narrow" w:hAnsi="Arial Narrow" w:cs="Times New Roman"/>
                <w:snapToGrid w:val="0"/>
                <w:sz w:val="20"/>
                <w:szCs w:val="20"/>
                <w:lang w:eastAsia="en-US"/>
              </w:rPr>
              <w:t>0.001356</w:t>
            </w:r>
          </w:p>
          <w:p w14:paraId="0F7EE9FA" w14:textId="4E2E91B9" w:rsidR="002D7145" w:rsidRPr="007D1918" w:rsidRDefault="00942701" w:rsidP="00132097">
            <w:pPr>
              <w:spacing w:after="0" w:line="240" w:lineRule="auto"/>
              <w:ind w:left="0"/>
              <w:jc w:val="center"/>
              <w:rPr>
                <w:snapToGrid w:val="0"/>
                <w:lang w:eastAsia="en-US"/>
              </w:rPr>
            </w:pPr>
            <w:r w:rsidRPr="007D1918">
              <w:rPr>
                <w:rFonts w:ascii="Arial Narrow" w:hAnsi="Arial Narrow" w:cs="Times New Roman"/>
                <w:snapToGrid w:val="0"/>
                <w:sz w:val="20"/>
                <w:szCs w:val="20"/>
                <w:lang w:eastAsia="en-US"/>
              </w:rPr>
              <w:t>0.002131</w:t>
            </w:r>
          </w:p>
        </w:tc>
      </w:tr>
      <w:tr w:rsidR="002D7145" w:rsidRPr="007D1918" w14:paraId="6517B671" w14:textId="77777777" w:rsidTr="00132097">
        <w:tc>
          <w:tcPr>
            <w:tcW w:w="2547" w:type="dxa"/>
            <w:shd w:val="clear" w:color="auto" w:fill="auto"/>
          </w:tcPr>
          <w:p w14:paraId="24F7A899" w14:textId="77777777" w:rsidR="002D7145" w:rsidRPr="007D1918" w:rsidRDefault="002D7145" w:rsidP="002D7145">
            <w:pPr>
              <w:pStyle w:val="Tablecontents"/>
              <w:ind w:left="0"/>
              <w:rPr>
                <w:snapToGrid w:val="0"/>
                <w:lang w:eastAsia="en-US"/>
              </w:rPr>
            </w:pPr>
            <w:r w:rsidRPr="007D1918">
              <w:rPr>
                <w:snapToGrid w:val="0"/>
                <w:lang w:eastAsia="en-US"/>
              </w:rPr>
              <w:t>Death following sepsis</w:t>
            </w:r>
          </w:p>
        </w:tc>
        <w:tc>
          <w:tcPr>
            <w:tcW w:w="1843" w:type="dxa"/>
            <w:shd w:val="clear" w:color="auto" w:fill="auto"/>
            <w:vAlign w:val="center"/>
          </w:tcPr>
          <w:p w14:paraId="7A3B69C2" w14:textId="409B99BB" w:rsidR="002D7145" w:rsidRPr="007D1918" w:rsidRDefault="005E42E4" w:rsidP="00132097">
            <w:pPr>
              <w:pStyle w:val="Tablecontents"/>
              <w:ind w:left="0"/>
              <w:jc w:val="center"/>
              <w:rPr>
                <w:snapToGrid w:val="0"/>
                <w:lang w:eastAsia="en-US"/>
              </w:rPr>
            </w:pPr>
            <w:r w:rsidRPr="007D1918">
              <w:rPr>
                <w:snapToGrid w:val="0"/>
                <w:lang w:eastAsia="en-US"/>
              </w:rPr>
              <w:t>9.01671</w:t>
            </w:r>
          </w:p>
        </w:tc>
        <w:tc>
          <w:tcPr>
            <w:tcW w:w="1701" w:type="dxa"/>
            <w:vAlign w:val="center"/>
          </w:tcPr>
          <w:p w14:paraId="0D3A3264" w14:textId="21BE35EE" w:rsidR="002D7145" w:rsidRPr="007D1918" w:rsidRDefault="002D7145" w:rsidP="00132097">
            <w:pPr>
              <w:pStyle w:val="Tablecontents"/>
              <w:rPr>
                <w:snapToGrid w:val="0"/>
                <w:lang w:eastAsia="en-US"/>
              </w:rPr>
            </w:pPr>
            <w:r w:rsidRPr="007D1918">
              <w:rPr>
                <w:snapToGrid w:val="0"/>
                <w:lang w:eastAsia="en-US"/>
              </w:rPr>
              <w:t>18.4%</w:t>
            </w:r>
          </w:p>
        </w:tc>
        <w:tc>
          <w:tcPr>
            <w:tcW w:w="2976" w:type="dxa"/>
            <w:shd w:val="clear" w:color="auto" w:fill="auto"/>
            <w:vAlign w:val="center"/>
          </w:tcPr>
          <w:p w14:paraId="2C905A1C" w14:textId="2CB3BA00" w:rsidR="002D7145" w:rsidRPr="007D1918" w:rsidRDefault="005E42E4" w:rsidP="00132097">
            <w:pPr>
              <w:pStyle w:val="Tablecontents"/>
              <w:ind w:left="0"/>
              <w:jc w:val="center"/>
              <w:rPr>
                <w:snapToGrid w:val="0"/>
                <w:lang w:eastAsia="en-US"/>
              </w:rPr>
            </w:pPr>
            <w:r w:rsidRPr="007D1918">
              <w:rPr>
                <w:snapToGrid w:val="0"/>
                <w:lang w:eastAsia="en-US"/>
              </w:rPr>
              <w:t>At 4.88% sepsis rate:</w:t>
            </w:r>
            <w:r w:rsidR="00942701" w:rsidRPr="007D1918">
              <w:rPr>
                <w:snapToGrid w:val="0"/>
                <w:lang w:eastAsia="en-US"/>
              </w:rPr>
              <w:t xml:space="preserve">  0.08096</w:t>
            </w:r>
          </w:p>
          <w:p w14:paraId="54553D26" w14:textId="7EACE578" w:rsidR="005E42E4" w:rsidRPr="007D1918" w:rsidRDefault="005E42E4" w:rsidP="00132097">
            <w:pPr>
              <w:pStyle w:val="Tablecontents"/>
              <w:ind w:left="0"/>
              <w:jc w:val="center"/>
              <w:rPr>
                <w:snapToGrid w:val="0"/>
                <w:lang w:eastAsia="en-US"/>
              </w:rPr>
            </w:pPr>
            <w:r w:rsidRPr="007D1918">
              <w:rPr>
                <w:snapToGrid w:val="0"/>
                <w:lang w:eastAsia="en-US"/>
              </w:rPr>
              <w:t>At 7.67% sepsis rate:</w:t>
            </w:r>
            <w:r w:rsidR="00942701" w:rsidRPr="007D1918">
              <w:rPr>
                <w:snapToGrid w:val="0"/>
                <w:lang w:eastAsia="en-US"/>
              </w:rPr>
              <w:t xml:space="preserve"> 0.12725</w:t>
            </w:r>
          </w:p>
        </w:tc>
      </w:tr>
      <w:tr w:rsidR="005E42E4" w:rsidRPr="007D1918" w14:paraId="38652388" w14:textId="77777777" w:rsidTr="00132097">
        <w:tc>
          <w:tcPr>
            <w:tcW w:w="2547" w:type="dxa"/>
            <w:shd w:val="clear" w:color="auto" w:fill="auto"/>
          </w:tcPr>
          <w:p w14:paraId="23998BA1" w14:textId="38DD9FF7" w:rsidR="005E42E4" w:rsidRPr="007D1918" w:rsidRDefault="005E42E4" w:rsidP="00942701">
            <w:pPr>
              <w:pStyle w:val="Tablecontents"/>
              <w:ind w:left="0"/>
              <w:rPr>
                <w:snapToGrid w:val="0"/>
                <w:lang w:eastAsia="en-US"/>
              </w:rPr>
            </w:pPr>
            <w:r w:rsidRPr="007D1918">
              <w:rPr>
                <w:snapToGrid w:val="0"/>
                <w:lang w:eastAsia="en-US"/>
              </w:rPr>
              <w:t>Morbidity following sepsis</w:t>
            </w:r>
          </w:p>
        </w:tc>
        <w:tc>
          <w:tcPr>
            <w:tcW w:w="1843" w:type="dxa"/>
            <w:shd w:val="clear" w:color="auto" w:fill="auto"/>
            <w:vAlign w:val="center"/>
          </w:tcPr>
          <w:p w14:paraId="548E5942" w14:textId="2C6561BE" w:rsidR="005E42E4" w:rsidRPr="007D1918" w:rsidRDefault="005E42E4" w:rsidP="00132097">
            <w:pPr>
              <w:pStyle w:val="Tablecontents"/>
              <w:ind w:left="0"/>
              <w:jc w:val="center"/>
              <w:rPr>
                <w:snapToGrid w:val="0"/>
                <w:lang w:eastAsia="en-US"/>
              </w:rPr>
            </w:pPr>
            <w:r w:rsidRPr="007D1918">
              <w:rPr>
                <w:snapToGrid w:val="0"/>
                <w:lang w:eastAsia="en-US"/>
              </w:rPr>
              <w:t>1.50278</w:t>
            </w:r>
          </w:p>
        </w:tc>
        <w:tc>
          <w:tcPr>
            <w:tcW w:w="1701" w:type="dxa"/>
            <w:vAlign w:val="center"/>
          </w:tcPr>
          <w:p w14:paraId="74031489" w14:textId="48638273" w:rsidR="005E42E4" w:rsidRPr="007D1918" w:rsidRDefault="005E42E4" w:rsidP="00132097">
            <w:pPr>
              <w:pStyle w:val="Tablecontents"/>
              <w:rPr>
                <w:snapToGrid w:val="0"/>
                <w:lang w:eastAsia="en-US"/>
              </w:rPr>
            </w:pPr>
            <w:r w:rsidRPr="007D1918">
              <w:rPr>
                <w:snapToGrid w:val="0"/>
                <w:lang w:eastAsia="en-US"/>
              </w:rPr>
              <w:t>81.6%</w:t>
            </w:r>
          </w:p>
        </w:tc>
        <w:tc>
          <w:tcPr>
            <w:tcW w:w="2976" w:type="dxa"/>
            <w:shd w:val="clear" w:color="auto" w:fill="auto"/>
            <w:vAlign w:val="center"/>
          </w:tcPr>
          <w:p w14:paraId="40ED7F20" w14:textId="4124B679" w:rsidR="005E42E4" w:rsidRPr="007D1918" w:rsidRDefault="005E42E4" w:rsidP="00132097">
            <w:pPr>
              <w:pStyle w:val="Tablecontents"/>
              <w:ind w:left="0"/>
              <w:jc w:val="center"/>
              <w:rPr>
                <w:snapToGrid w:val="0"/>
                <w:lang w:eastAsia="en-US"/>
              </w:rPr>
            </w:pPr>
            <w:r w:rsidRPr="007D1918">
              <w:rPr>
                <w:snapToGrid w:val="0"/>
                <w:lang w:eastAsia="en-US"/>
              </w:rPr>
              <w:t>At 4.88% sepsis rate:</w:t>
            </w:r>
            <w:r w:rsidR="00942701" w:rsidRPr="007D1918">
              <w:t xml:space="preserve"> </w:t>
            </w:r>
            <w:r w:rsidR="00942701" w:rsidRPr="007D1918">
              <w:rPr>
                <w:snapToGrid w:val="0"/>
                <w:lang w:eastAsia="en-US"/>
              </w:rPr>
              <w:t>0.05984</w:t>
            </w:r>
          </w:p>
          <w:p w14:paraId="3537CAA0" w14:textId="2DA11EE7" w:rsidR="005E42E4" w:rsidRPr="007D1918" w:rsidRDefault="005E42E4" w:rsidP="00132097">
            <w:pPr>
              <w:pStyle w:val="Tablecontents"/>
              <w:ind w:left="0"/>
              <w:jc w:val="center"/>
              <w:rPr>
                <w:snapToGrid w:val="0"/>
                <w:lang w:eastAsia="en-US"/>
              </w:rPr>
            </w:pPr>
            <w:r w:rsidRPr="007D1918">
              <w:rPr>
                <w:snapToGrid w:val="0"/>
                <w:lang w:eastAsia="en-US"/>
              </w:rPr>
              <w:t>At 7.67% sepsis rate:</w:t>
            </w:r>
            <w:r w:rsidR="00942701" w:rsidRPr="007D1918">
              <w:rPr>
                <w:snapToGrid w:val="0"/>
                <w:lang w:eastAsia="en-US"/>
              </w:rPr>
              <w:t xml:space="preserve"> 0.09406</w:t>
            </w:r>
          </w:p>
        </w:tc>
      </w:tr>
      <w:tr w:rsidR="005E42E4" w:rsidRPr="007D1918" w14:paraId="53B3A383" w14:textId="77777777" w:rsidTr="00132097">
        <w:tc>
          <w:tcPr>
            <w:tcW w:w="2547" w:type="dxa"/>
            <w:shd w:val="clear" w:color="auto" w:fill="auto"/>
          </w:tcPr>
          <w:p w14:paraId="59BEEC82" w14:textId="0212D90F" w:rsidR="005E42E4" w:rsidRPr="007D1918" w:rsidRDefault="005E42E4" w:rsidP="00132097">
            <w:pPr>
              <w:pStyle w:val="Tablecontents"/>
              <w:ind w:left="0"/>
              <w:rPr>
                <w:snapToGrid w:val="0"/>
                <w:lang w:eastAsia="en-US"/>
              </w:rPr>
            </w:pPr>
            <w:r w:rsidRPr="007D1918">
              <w:rPr>
                <w:snapToGrid w:val="0"/>
                <w:lang w:eastAsia="en-US"/>
              </w:rPr>
              <w:t xml:space="preserve">Alternative overall </w:t>
            </w:r>
            <w:r w:rsidR="00132097" w:rsidRPr="007D1918">
              <w:rPr>
                <w:snapToGrid w:val="0"/>
                <w:lang w:eastAsia="en-US"/>
              </w:rPr>
              <w:t>m</w:t>
            </w:r>
            <w:r w:rsidRPr="007D1918">
              <w:rPr>
                <w:snapToGrid w:val="0"/>
                <w:lang w:eastAsia="en-US"/>
              </w:rPr>
              <w:t>ortality</w:t>
            </w:r>
            <w:r w:rsidR="00132097" w:rsidRPr="007D1918">
              <w:rPr>
                <w:snapToGrid w:val="0"/>
                <w:lang w:eastAsia="en-US"/>
              </w:rPr>
              <w:t xml:space="preserve"> estimate (SA)</w:t>
            </w:r>
          </w:p>
        </w:tc>
        <w:tc>
          <w:tcPr>
            <w:tcW w:w="1843" w:type="dxa"/>
            <w:shd w:val="clear" w:color="auto" w:fill="auto"/>
            <w:vAlign w:val="center"/>
          </w:tcPr>
          <w:p w14:paraId="43EB2FB0" w14:textId="681987E8" w:rsidR="005E42E4" w:rsidRPr="007D1918" w:rsidRDefault="00132097" w:rsidP="00132097">
            <w:pPr>
              <w:pStyle w:val="Tablecontents"/>
              <w:ind w:left="0"/>
              <w:jc w:val="center"/>
              <w:rPr>
                <w:snapToGrid w:val="0"/>
                <w:lang w:eastAsia="en-US"/>
              </w:rPr>
            </w:pPr>
            <w:r w:rsidRPr="007D1918">
              <w:rPr>
                <w:snapToGrid w:val="0"/>
                <w:lang w:eastAsia="en-US"/>
              </w:rPr>
              <w:t>9.01671</w:t>
            </w:r>
          </w:p>
        </w:tc>
        <w:tc>
          <w:tcPr>
            <w:tcW w:w="1701" w:type="dxa"/>
            <w:vAlign w:val="center"/>
          </w:tcPr>
          <w:p w14:paraId="368D93FE" w14:textId="1927AF20" w:rsidR="005E42E4" w:rsidRPr="007D1918" w:rsidRDefault="005E42E4" w:rsidP="00132097">
            <w:pPr>
              <w:pStyle w:val="Tablecontents"/>
              <w:rPr>
                <w:snapToGrid w:val="0"/>
                <w:lang w:eastAsia="en-US"/>
              </w:rPr>
            </w:pPr>
            <w:r w:rsidRPr="007D1918">
              <w:rPr>
                <w:snapToGrid w:val="0"/>
                <w:lang w:eastAsia="en-US"/>
              </w:rPr>
              <w:t>0.05%</w:t>
            </w:r>
          </w:p>
        </w:tc>
        <w:tc>
          <w:tcPr>
            <w:tcW w:w="2976" w:type="dxa"/>
            <w:shd w:val="clear" w:color="auto" w:fill="auto"/>
            <w:vAlign w:val="center"/>
          </w:tcPr>
          <w:p w14:paraId="30915D43" w14:textId="5D099AB6" w:rsidR="005E42E4" w:rsidRPr="007D1918" w:rsidRDefault="00132097" w:rsidP="00132097">
            <w:pPr>
              <w:spacing w:after="0" w:line="240" w:lineRule="auto"/>
              <w:ind w:left="0"/>
              <w:jc w:val="center"/>
              <w:rPr>
                <w:snapToGrid w:val="0"/>
                <w:lang w:eastAsia="en-US"/>
              </w:rPr>
            </w:pPr>
            <w:r w:rsidRPr="007D1918">
              <w:rPr>
                <w:rFonts w:ascii="Arial Narrow" w:hAnsi="Arial Narrow" w:cs="Times New Roman"/>
                <w:snapToGrid w:val="0"/>
                <w:sz w:val="20"/>
                <w:szCs w:val="20"/>
                <w:lang w:eastAsia="en-US"/>
              </w:rPr>
              <w:t>0.00451</w:t>
            </w:r>
          </w:p>
        </w:tc>
      </w:tr>
      <w:tr w:rsidR="005F6B74" w:rsidRPr="007D1918" w14:paraId="5CD61DE4" w14:textId="77777777" w:rsidTr="00BA6D29">
        <w:tc>
          <w:tcPr>
            <w:tcW w:w="2547" w:type="dxa"/>
            <w:shd w:val="clear" w:color="auto" w:fill="auto"/>
          </w:tcPr>
          <w:p w14:paraId="6277C4B4" w14:textId="1D459264" w:rsidR="005F6B74" w:rsidRPr="007D1918" w:rsidRDefault="005F6B74" w:rsidP="005F6B74">
            <w:pPr>
              <w:pStyle w:val="Tablecontents"/>
              <w:ind w:left="0"/>
              <w:rPr>
                <w:snapToGrid w:val="0"/>
                <w:lang w:eastAsia="en-US"/>
              </w:rPr>
            </w:pPr>
            <w:r w:rsidRPr="007D1918">
              <w:rPr>
                <w:snapToGrid w:val="0"/>
                <w:lang w:eastAsia="en-US"/>
              </w:rPr>
              <w:t>Sepsis rate maintenance PE</w:t>
            </w:r>
          </w:p>
        </w:tc>
        <w:tc>
          <w:tcPr>
            <w:tcW w:w="1843" w:type="dxa"/>
            <w:shd w:val="clear" w:color="auto" w:fill="auto"/>
            <w:vAlign w:val="center"/>
          </w:tcPr>
          <w:p w14:paraId="27C21B3D" w14:textId="5C0AEC6E" w:rsidR="005F6B74" w:rsidRPr="007D1918" w:rsidRDefault="005F6B74" w:rsidP="00BA6D29">
            <w:pPr>
              <w:pStyle w:val="Tablecontents"/>
              <w:ind w:left="0"/>
              <w:jc w:val="center"/>
              <w:rPr>
                <w:snapToGrid w:val="0"/>
                <w:lang w:eastAsia="en-US"/>
              </w:rPr>
            </w:pPr>
            <w:r w:rsidRPr="007D1918">
              <w:rPr>
                <w:snapToGrid w:val="0"/>
                <w:lang w:eastAsia="en-US"/>
              </w:rPr>
              <w:t>0.017038</w:t>
            </w:r>
          </w:p>
        </w:tc>
        <w:tc>
          <w:tcPr>
            <w:tcW w:w="1701" w:type="dxa"/>
            <w:vAlign w:val="center"/>
          </w:tcPr>
          <w:p w14:paraId="5C9BB193" w14:textId="527E31C6" w:rsidR="005F6B74" w:rsidRPr="007D1918" w:rsidRDefault="005F6B74" w:rsidP="00BA6D29">
            <w:pPr>
              <w:pStyle w:val="Tablecontents"/>
              <w:ind w:left="0"/>
              <w:jc w:val="center"/>
              <w:rPr>
                <w:snapToGrid w:val="0"/>
                <w:lang w:eastAsia="en-US"/>
              </w:rPr>
            </w:pPr>
            <w:r w:rsidRPr="007D1918">
              <w:rPr>
                <w:snapToGrid w:val="0"/>
                <w:lang w:eastAsia="en-US"/>
              </w:rPr>
              <w:t>0.2% of exchanges</w:t>
            </w:r>
          </w:p>
        </w:tc>
        <w:tc>
          <w:tcPr>
            <w:tcW w:w="2976" w:type="dxa"/>
            <w:shd w:val="clear" w:color="auto" w:fill="auto"/>
            <w:vAlign w:val="center"/>
          </w:tcPr>
          <w:p w14:paraId="5BF83A01" w14:textId="2A1D1579" w:rsidR="005F6B74" w:rsidRPr="007D1918" w:rsidRDefault="005F6B74" w:rsidP="005F6B74">
            <w:pPr>
              <w:spacing w:after="0" w:line="240" w:lineRule="auto"/>
              <w:ind w:left="0"/>
              <w:rPr>
                <w:rFonts w:ascii="Arial Narrow" w:hAnsi="Arial Narrow" w:cs="Times New Roman"/>
                <w:snapToGrid w:val="0"/>
                <w:sz w:val="20"/>
                <w:szCs w:val="20"/>
                <w:lang w:eastAsia="en-US"/>
              </w:rPr>
            </w:pPr>
            <w:r w:rsidRPr="007D1918">
              <w:rPr>
                <w:rFonts w:ascii="Arial Narrow" w:hAnsi="Arial Narrow" w:cs="Times New Roman"/>
                <w:snapToGrid w:val="0"/>
                <w:sz w:val="20"/>
                <w:szCs w:val="20"/>
                <w:lang w:eastAsia="en-US"/>
              </w:rPr>
              <w:t>NA</w:t>
            </w:r>
          </w:p>
        </w:tc>
      </w:tr>
    </w:tbl>
    <w:p w14:paraId="2D94C011" w14:textId="38CD90CF" w:rsidR="00E63823" w:rsidRPr="007D1918" w:rsidRDefault="00E63823" w:rsidP="00E63823">
      <w:pPr>
        <w:pStyle w:val="Tablenotes1"/>
        <w:rPr>
          <w:snapToGrid w:val="0"/>
        </w:rPr>
      </w:pPr>
      <w:r w:rsidRPr="007D1918">
        <w:rPr>
          <w:snapToGrid w:val="0"/>
        </w:rPr>
        <w:t xml:space="preserve">MG = myasthenia gravis; </w:t>
      </w:r>
      <w:r w:rsidR="005F6B74" w:rsidRPr="007D1918">
        <w:rPr>
          <w:snapToGrid w:val="0"/>
        </w:rPr>
        <w:t xml:space="preserve">NA = not applicable; </w:t>
      </w:r>
      <w:r w:rsidRPr="007D1918">
        <w:rPr>
          <w:snapToGrid w:val="0"/>
        </w:rPr>
        <w:t>PE = plasma exchange; Ig = immunoglobulin; QALYs = quality adjusted life years; SA = scenario analyses.</w:t>
      </w:r>
    </w:p>
    <w:p w14:paraId="2FC2B3FC" w14:textId="19BD9B4F" w:rsidR="006C641A" w:rsidRPr="007D1918" w:rsidRDefault="006C641A" w:rsidP="008D69E9"/>
    <w:p w14:paraId="2B532A2A" w14:textId="77777777" w:rsidR="008D69E9" w:rsidRPr="007D1918" w:rsidRDefault="008D69E9">
      <w:pPr>
        <w:spacing w:after="0" w:line="240" w:lineRule="auto"/>
        <w:rPr>
          <w:b/>
          <w:smallCaps/>
          <w:sz w:val="28"/>
        </w:rPr>
      </w:pPr>
      <w:bookmarkStart w:id="433" w:name="_Toc381796480"/>
      <w:r w:rsidRPr="007D1918">
        <w:br w:type="page"/>
      </w:r>
    </w:p>
    <w:p w14:paraId="5BB615D5" w14:textId="6C54922A" w:rsidR="0021388F" w:rsidRPr="007D1918" w:rsidRDefault="003029CE" w:rsidP="005619FC">
      <w:pPr>
        <w:pStyle w:val="Heading2"/>
        <w:jc w:val="both"/>
      </w:pPr>
      <w:bookmarkStart w:id="434" w:name="_Toc23767002"/>
      <w:r w:rsidRPr="007D1918">
        <w:lastRenderedPageBreak/>
        <w:t>D.5</w:t>
      </w:r>
      <w:r w:rsidR="005619FC" w:rsidRPr="007D1918">
        <w:t>/</w:t>
      </w:r>
      <w:r w:rsidRPr="007D1918">
        <w:t>6</w:t>
      </w:r>
      <w:r w:rsidRPr="007D1918">
        <w:tab/>
      </w:r>
      <w:r w:rsidR="00AF22DE" w:rsidRPr="007D1918">
        <w:t>Results of</w:t>
      </w:r>
      <w:r w:rsidR="0021388F" w:rsidRPr="007D1918">
        <w:t xml:space="preserve"> the </w:t>
      </w:r>
      <w:r w:rsidR="00AF22DE" w:rsidRPr="007D1918">
        <w:t>Economic E</w:t>
      </w:r>
      <w:r w:rsidR="0021388F" w:rsidRPr="007D1918">
        <w:t>valuation</w:t>
      </w:r>
      <w:bookmarkEnd w:id="433"/>
      <w:r w:rsidR="004C068D" w:rsidRPr="007D1918">
        <w:t xml:space="preserve">, </w:t>
      </w:r>
      <w:r w:rsidRPr="007D1918">
        <w:t>including exploratory and sensitivity analyses</w:t>
      </w:r>
      <w:bookmarkEnd w:id="434"/>
    </w:p>
    <w:p w14:paraId="7AA6F374" w14:textId="7A291CDE" w:rsidR="00BD5461" w:rsidRPr="007D1918" w:rsidRDefault="00BD5461" w:rsidP="005619FC">
      <w:pPr>
        <w:jc w:val="both"/>
      </w:pPr>
      <w:bookmarkStart w:id="435" w:name="_Ref379274614"/>
      <w:r w:rsidRPr="007D1918">
        <w:t xml:space="preserve">For </w:t>
      </w:r>
      <w:r w:rsidR="003029CE" w:rsidRPr="007D1918">
        <w:t xml:space="preserve">the ease of interpreting the results, </w:t>
      </w:r>
      <w:r w:rsidRPr="007D1918">
        <w:t xml:space="preserve">all </w:t>
      </w:r>
      <w:r w:rsidR="00075298" w:rsidRPr="007D1918">
        <w:t>results</w:t>
      </w:r>
      <w:r w:rsidR="003029CE" w:rsidRPr="007D1918">
        <w:t xml:space="preserve"> </w:t>
      </w:r>
      <w:r w:rsidR="00075298" w:rsidRPr="007D1918">
        <w:t xml:space="preserve">(base case and sensitivity analyses) </w:t>
      </w:r>
      <w:r w:rsidR="003029CE" w:rsidRPr="007D1918">
        <w:t>for each IVIg indication are presented together. T</w:t>
      </w:r>
      <w:r w:rsidRPr="007D1918">
        <w:t>ables identifying resource use (without prices) are located in Appendix G.</w:t>
      </w:r>
    </w:p>
    <w:p w14:paraId="0D2A492A" w14:textId="42C7CF49" w:rsidR="005619FC" w:rsidRPr="007D1918" w:rsidRDefault="005619FC">
      <w:pPr>
        <w:spacing w:after="0" w:line="240" w:lineRule="auto"/>
      </w:pPr>
    </w:p>
    <w:p w14:paraId="71D6A991" w14:textId="040D0E49" w:rsidR="00BD5461" w:rsidRPr="007D1918" w:rsidRDefault="005619FC" w:rsidP="00BD5461">
      <w:pPr>
        <w:pStyle w:val="Heading3"/>
      </w:pPr>
      <w:bookmarkStart w:id="436" w:name="_Toc23767003"/>
      <w:r w:rsidRPr="007D1918">
        <w:t>D.5.1</w:t>
      </w:r>
      <w:r w:rsidRPr="007D1918">
        <w:tab/>
      </w:r>
      <w:r w:rsidRPr="007D1918">
        <w:tab/>
      </w:r>
      <w:r w:rsidR="00E430BB" w:rsidRPr="007D1918">
        <w:t xml:space="preserve">Indication </w:t>
      </w:r>
      <w:r w:rsidR="00BD5461" w:rsidRPr="007D1918">
        <w:t>1 Analysis</w:t>
      </w:r>
      <w:bookmarkEnd w:id="436"/>
    </w:p>
    <w:p w14:paraId="53340667" w14:textId="77777777" w:rsidR="00BD5461" w:rsidRPr="007D1918" w:rsidRDefault="00BD5461" w:rsidP="006C641A">
      <w:pPr>
        <w:pStyle w:val="Heading4"/>
      </w:pPr>
      <w:r w:rsidRPr="007D1918">
        <w:t>Trial-based estimate</w:t>
      </w:r>
    </w:p>
    <w:p w14:paraId="2FBC7FAF" w14:textId="1A8D91C9" w:rsidR="006C641A" w:rsidRPr="007D1918" w:rsidRDefault="006C641A" w:rsidP="006C641A">
      <w:pPr>
        <w:jc w:val="both"/>
      </w:pPr>
      <w:bookmarkStart w:id="437" w:name="_Ref378943976"/>
      <w:r w:rsidRPr="007D1918">
        <w:t xml:space="preserve">The overall costs and outcomes, and incremental costs and outcomes as calculated for the intervention and comparator in the model, with the base case assumptions, are shown in </w:t>
      </w:r>
      <w:r w:rsidRPr="007D1918">
        <w:fldChar w:fldCharType="begin"/>
      </w:r>
      <w:r w:rsidRPr="007D1918">
        <w:instrText xml:space="preserve"> REF _Ref14379372 \h </w:instrText>
      </w:r>
      <w:r w:rsidR="00E07567" w:rsidRPr="007D1918">
        <w:instrText xml:space="preserve"> \* MERGEFORMAT </w:instrText>
      </w:r>
      <w:r w:rsidRPr="007D1918">
        <w:fldChar w:fldCharType="separate"/>
      </w:r>
      <w:r w:rsidR="007C33AD" w:rsidRPr="007D1918">
        <w:t xml:space="preserve">Table </w:t>
      </w:r>
      <w:r w:rsidR="007C33AD" w:rsidRPr="007D1918">
        <w:rPr>
          <w:noProof/>
        </w:rPr>
        <w:t>78</w:t>
      </w:r>
      <w:r w:rsidRPr="007D1918">
        <w:fldChar w:fldCharType="end"/>
      </w:r>
      <w:r w:rsidRPr="007D1918">
        <w:t xml:space="preserve"> below. In the trial-based analysis</w:t>
      </w:r>
      <w:r w:rsidR="005347CC" w:rsidRPr="007D1918">
        <w:t>,</w:t>
      </w:r>
      <w:r w:rsidRPr="007D1918">
        <w:t xml:space="preserve"> resource use has been calculated for each of the three trial arms (two arms received IVIg at different doses)</w:t>
      </w:r>
      <w:r w:rsidR="005347CC" w:rsidRPr="007D1918">
        <w:t>;</w:t>
      </w:r>
      <w:r w:rsidRPr="007D1918">
        <w:t xml:space="preserve"> however the safety outcomes contributing to the incremental clinical consequences are pooled for the two IVIg study arms (as reported in the publication).</w:t>
      </w:r>
    </w:p>
    <w:p w14:paraId="6D7B282D" w14:textId="5EE239B1" w:rsidR="006C641A" w:rsidRPr="007D1918" w:rsidRDefault="006C641A" w:rsidP="006C641A">
      <w:pPr>
        <w:pStyle w:val="Caption"/>
        <w:keepNext/>
        <w:jc w:val="both"/>
      </w:pPr>
      <w:bookmarkStart w:id="438" w:name="_Ref14379372"/>
      <w:bookmarkStart w:id="439" w:name="_Toc381969877"/>
      <w:bookmarkStart w:id="440" w:name="_Toc13142371"/>
      <w:bookmarkStart w:id="441" w:name="_Toc15561980"/>
      <w:bookmarkStart w:id="442" w:name="_Toc23769565"/>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7C33AD" w:rsidRPr="007D1918">
        <w:rPr>
          <w:noProof/>
        </w:rPr>
        <w:t>78</w:t>
      </w:r>
      <w:r w:rsidRPr="007D1918">
        <w:rPr>
          <w:noProof/>
        </w:rPr>
        <w:fldChar w:fldCharType="end"/>
      </w:r>
      <w:bookmarkEnd w:id="438"/>
      <w:r w:rsidRPr="007D1918">
        <w:t xml:space="preserve"> </w:t>
      </w:r>
      <w:r w:rsidRPr="007D1918">
        <w:tab/>
      </w:r>
      <w:bookmarkEnd w:id="439"/>
      <w:bookmarkEnd w:id="440"/>
      <w:r w:rsidRPr="007D1918">
        <w:t>Indication 1 Trial based cost consequences analysis (Gajdos 1997)</w:t>
      </w:r>
      <w:bookmarkEnd w:id="441"/>
      <w:bookmarkEnd w:id="442"/>
    </w:p>
    <w:tbl>
      <w:tblPr>
        <w:tblStyle w:val="TableGrid2"/>
        <w:tblW w:w="8908"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3002"/>
        <w:gridCol w:w="1180"/>
        <w:gridCol w:w="1181"/>
        <w:gridCol w:w="1184"/>
        <w:gridCol w:w="1180"/>
        <w:gridCol w:w="1181"/>
      </w:tblGrid>
      <w:tr w:rsidR="006C641A" w:rsidRPr="007D1918" w14:paraId="5CBCDB40"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3002" w:type="dxa"/>
            <w:tcBorders>
              <w:bottom w:val="single" w:sz="4" w:space="0" w:color="auto"/>
            </w:tcBorders>
          </w:tcPr>
          <w:p w14:paraId="28C12AC1" w14:textId="77777777" w:rsidR="006C641A" w:rsidRPr="007D1918" w:rsidRDefault="006C641A" w:rsidP="00153384">
            <w:pPr>
              <w:keepNext/>
              <w:spacing w:after="40" w:line="240" w:lineRule="auto"/>
              <w:jc w:val="both"/>
              <w:rPr>
                <w:rFonts w:ascii="Arial Narrow" w:hAnsi="Arial Narrow"/>
                <w:b/>
                <w:sz w:val="20"/>
                <w:szCs w:val="20"/>
              </w:rPr>
            </w:pPr>
          </w:p>
        </w:tc>
        <w:tc>
          <w:tcPr>
            <w:tcW w:w="1180" w:type="dxa"/>
            <w:tcBorders>
              <w:bottom w:val="single" w:sz="4" w:space="0" w:color="auto"/>
            </w:tcBorders>
          </w:tcPr>
          <w:p w14:paraId="1591F0E1"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 3 doses</w:t>
            </w:r>
          </w:p>
        </w:tc>
        <w:tc>
          <w:tcPr>
            <w:tcW w:w="1181" w:type="dxa"/>
            <w:tcBorders>
              <w:bottom w:val="single" w:sz="4" w:space="0" w:color="auto"/>
            </w:tcBorders>
          </w:tcPr>
          <w:p w14:paraId="1AD29526"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 5 doses</w:t>
            </w:r>
          </w:p>
        </w:tc>
        <w:tc>
          <w:tcPr>
            <w:tcW w:w="1184" w:type="dxa"/>
            <w:tcBorders>
              <w:bottom w:val="single" w:sz="4" w:space="0" w:color="auto"/>
            </w:tcBorders>
          </w:tcPr>
          <w:p w14:paraId="1BB08921"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PE (3 exchanges)</w:t>
            </w:r>
          </w:p>
        </w:tc>
        <w:tc>
          <w:tcPr>
            <w:tcW w:w="2361" w:type="dxa"/>
            <w:gridSpan w:val="2"/>
          </w:tcPr>
          <w:p w14:paraId="5E8984EA"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Incremental difference</w:t>
            </w:r>
          </w:p>
        </w:tc>
      </w:tr>
      <w:tr w:rsidR="006C641A" w:rsidRPr="007D1918" w14:paraId="470969CA"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3002" w:type="dxa"/>
            <w:tcBorders>
              <w:bottom w:val="single" w:sz="4" w:space="0" w:color="auto"/>
            </w:tcBorders>
          </w:tcPr>
          <w:p w14:paraId="543402B6"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Resource costs</w:t>
            </w:r>
          </w:p>
        </w:tc>
        <w:tc>
          <w:tcPr>
            <w:tcW w:w="1180" w:type="dxa"/>
            <w:tcBorders>
              <w:bottom w:val="single" w:sz="4" w:space="0" w:color="auto"/>
            </w:tcBorders>
          </w:tcPr>
          <w:p w14:paraId="6A58DF80" w14:textId="77777777" w:rsidR="006C641A" w:rsidRPr="007D1918" w:rsidRDefault="006C641A" w:rsidP="00153384">
            <w:pPr>
              <w:keepNext/>
              <w:spacing w:after="40" w:line="240" w:lineRule="auto"/>
              <w:jc w:val="both"/>
              <w:rPr>
                <w:rFonts w:ascii="Arial Narrow" w:hAnsi="Arial Narrow"/>
                <w:sz w:val="20"/>
                <w:szCs w:val="20"/>
              </w:rPr>
            </w:pPr>
          </w:p>
        </w:tc>
        <w:tc>
          <w:tcPr>
            <w:tcW w:w="1181" w:type="dxa"/>
            <w:tcBorders>
              <w:bottom w:val="single" w:sz="4" w:space="0" w:color="auto"/>
            </w:tcBorders>
          </w:tcPr>
          <w:p w14:paraId="6E83141A" w14:textId="77777777" w:rsidR="006C641A" w:rsidRPr="007D1918" w:rsidRDefault="006C641A" w:rsidP="00153384">
            <w:pPr>
              <w:keepNext/>
              <w:spacing w:after="40" w:line="240" w:lineRule="auto"/>
              <w:jc w:val="both"/>
              <w:rPr>
                <w:rFonts w:ascii="Arial Narrow" w:hAnsi="Arial Narrow"/>
                <w:sz w:val="20"/>
                <w:szCs w:val="20"/>
              </w:rPr>
            </w:pPr>
          </w:p>
        </w:tc>
        <w:tc>
          <w:tcPr>
            <w:tcW w:w="1184" w:type="dxa"/>
            <w:tcBorders>
              <w:bottom w:val="single" w:sz="4" w:space="0" w:color="auto"/>
            </w:tcBorders>
          </w:tcPr>
          <w:p w14:paraId="35A72B26" w14:textId="77777777" w:rsidR="006C641A" w:rsidRPr="007D1918" w:rsidRDefault="006C641A" w:rsidP="00153384">
            <w:pPr>
              <w:keepNext/>
              <w:spacing w:after="40" w:line="240" w:lineRule="auto"/>
              <w:jc w:val="both"/>
              <w:rPr>
                <w:rFonts w:ascii="Arial Narrow" w:hAnsi="Arial Narrow"/>
                <w:b/>
                <w:sz w:val="20"/>
                <w:szCs w:val="20"/>
              </w:rPr>
            </w:pPr>
          </w:p>
        </w:tc>
        <w:tc>
          <w:tcPr>
            <w:tcW w:w="1180" w:type="dxa"/>
            <w:tcBorders>
              <w:bottom w:val="single" w:sz="4" w:space="0" w:color="auto"/>
            </w:tcBorders>
          </w:tcPr>
          <w:p w14:paraId="692F1476"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IVIg 3 vs PE</w:t>
            </w:r>
          </w:p>
        </w:tc>
        <w:tc>
          <w:tcPr>
            <w:tcW w:w="1181" w:type="dxa"/>
            <w:tcBorders>
              <w:bottom w:val="single" w:sz="4" w:space="0" w:color="auto"/>
            </w:tcBorders>
          </w:tcPr>
          <w:p w14:paraId="4E30F3E5"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IVIg 5 vs PE</w:t>
            </w:r>
          </w:p>
        </w:tc>
      </w:tr>
      <w:tr w:rsidR="006C641A" w:rsidRPr="007D1918" w14:paraId="29C35301" w14:textId="77777777" w:rsidTr="00153384">
        <w:tc>
          <w:tcPr>
            <w:tcW w:w="3002" w:type="dxa"/>
          </w:tcPr>
          <w:p w14:paraId="4F2C3CCE"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IVig procurement</w:t>
            </w:r>
          </w:p>
        </w:tc>
        <w:tc>
          <w:tcPr>
            <w:tcW w:w="1180" w:type="dxa"/>
            <w:tcBorders>
              <w:top w:val="single" w:sz="4" w:space="0" w:color="auto"/>
              <w:bottom w:val="single" w:sz="4" w:space="0" w:color="auto"/>
            </w:tcBorders>
          </w:tcPr>
          <w:p w14:paraId="6F257D2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$5,860</w:t>
            </w:r>
          </w:p>
        </w:tc>
        <w:tc>
          <w:tcPr>
            <w:tcW w:w="1181" w:type="dxa"/>
            <w:tcBorders>
              <w:top w:val="single" w:sz="4" w:space="0" w:color="auto"/>
              <w:bottom w:val="single" w:sz="4" w:space="0" w:color="auto"/>
            </w:tcBorders>
          </w:tcPr>
          <w:p w14:paraId="0C403F7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$9,786</w:t>
            </w:r>
          </w:p>
        </w:tc>
        <w:tc>
          <w:tcPr>
            <w:tcW w:w="1184" w:type="dxa"/>
            <w:tcBorders>
              <w:top w:val="single" w:sz="4" w:space="0" w:color="auto"/>
              <w:bottom w:val="single" w:sz="4" w:space="0" w:color="auto"/>
            </w:tcBorders>
          </w:tcPr>
          <w:p w14:paraId="17CF14C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180" w:type="dxa"/>
            <w:tcBorders>
              <w:top w:val="single" w:sz="4" w:space="0" w:color="auto"/>
              <w:left w:val="nil"/>
              <w:bottom w:val="single" w:sz="4" w:space="0" w:color="auto"/>
              <w:right w:val="single" w:sz="4" w:space="0" w:color="auto"/>
            </w:tcBorders>
            <w:shd w:val="clear" w:color="auto" w:fill="auto"/>
            <w:vAlign w:val="bottom"/>
          </w:tcPr>
          <w:p w14:paraId="7E5D667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$5,860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14:paraId="602FEDD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 xml:space="preserve"> $9,786 </w:t>
            </w:r>
          </w:p>
        </w:tc>
      </w:tr>
      <w:tr w:rsidR="006C641A" w:rsidRPr="007D1918" w14:paraId="04CFA4E1" w14:textId="77777777" w:rsidTr="00153384">
        <w:tc>
          <w:tcPr>
            <w:tcW w:w="3002" w:type="dxa"/>
          </w:tcPr>
          <w:p w14:paraId="45540C4E"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PE replacement Albumin 4%</w:t>
            </w:r>
          </w:p>
        </w:tc>
        <w:tc>
          <w:tcPr>
            <w:tcW w:w="1180" w:type="dxa"/>
            <w:tcBorders>
              <w:top w:val="single" w:sz="4" w:space="0" w:color="auto"/>
              <w:bottom w:val="single" w:sz="4" w:space="0" w:color="auto"/>
            </w:tcBorders>
          </w:tcPr>
          <w:p w14:paraId="4468D5F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181" w:type="dxa"/>
            <w:tcBorders>
              <w:top w:val="single" w:sz="4" w:space="0" w:color="auto"/>
              <w:bottom w:val="single" w:sz="4" w:space="0" w:color="auto"/>
              <w:right w:val="single" w:sz="4" w:space="0" w:color="auto"/>
            </w:tcBorders>
          </w:tcPr>
          <w:p w14:paraId="04E639F5" w14:textId="77777777" w:rsidR="006C641A" w:rsidRPr="007D1918" w:rsidRDefault="006C641A" w:rsidP="00153384">
            <w:pPr>
              <w:spacing w:after="40" w:line="240" w:lineRule="auto"/>
              <w:jc w:val="right"/>
              <w:rPr>
                <w:rFonts w:ascii="Arial Narrow" w:hAnsi="Arial Narrow"/>
                <w:sz w:val="20"/>
                <w:szCs w:val="20"/>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tcPr>
          <w:p w14:paraId="0F4A26D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$925</w:t>
            </w:r>
          </w:p>
        </w:tc>
        <w:tc>
          <w:tcPr>
            <w:tcW w:w="1180" w:type="dxa"/>
            <w:tcBorders>
              <w:top w:val="single" w:sz="4" w:space="0" w:color="auto"/>
              <w:left w:val="nil"/>
              <w:bottom w:val="single" w:sz="4" w:space="0" w:color="auto"/>
              <w:right w:val="single" w:sz="4" w:space="0" w:color="auto"/>
            </w:tcBorders>
            <w:shd w:val="clear" w:color="auto" w:fill="auto"/>
            <w:vAlign w:val="bottom"/>
          </w:tcPr>
          <w:p w14:paraId="2AC036AF"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-$925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14:paraId="2AFE9CB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 xml:space="preserve">-$925 </w:t>
            </w:r>
          </w:p>
        </w:tc>
      </w:tr>
      <w:tr w:rsidR="006C641A" w:rsidRPr="007D1918" w14:paraId="1D9C07E4" w14:textId="77777777" w:rsidTr="00153384">
        <w:tc>
          <w:tcPr>
            <w:tcW w:w="3002" w:type="dxa"/>
          </w:tcPr>
          <w:p w14:paraId="2CF4F147"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PE replacement diluent (Gelatin)</w:t>
            </w:r>
          </w:p>
        </w:tc>
        <w:tc>
          <w:tcPr>
            <w:tcW w:w="1180" w:type="dxa"/>
            <w:tcBorders>
              <w:top w:val="single" w:sz="4" w:space="0" w:color="auto"/>
              <w:bottom w:val="single" w:sz="4" w:space="0" w:color="auto"/>
            </w:tcBorders>
          </w:tcPr>
          <w:p w14:paraId="4BD90AB5" w14:textId="77777777" w:rsidR="006C641A" w:rsidRPr="007D1918" w:rsidRDefault="006C641A" w:rsidP="00153384">
            <w:pPr>
              <w:spacing w:after="40" w:line="240" w:lineRule="auto"/>
              <w:jc w:val="right"/>
              <w:rPr>
                <w:rFonts w:ascii="Arial Narrow" w:hAnsi="Arial Narrow"/>
                <w:sz w:val="20"/>
                <w:szCs w:val="20"/>
              </w:rPr>
            </w:pPr>
          </w:p>
        </w:tc>
        <w:tc>
          <w:tcPr>
            <w:tcW w:w="1181" w:type="dxa"/>
            <w:tcBorders>
              <w:top w:val="single" w:sz="4" w:space="0" w:color="auto"/>
              <w:bottom w:val="single" w:sz="4" w:space="0" w:color="auto"/>
              <w:right w:val="single" w:sz="4" w:space="0" w:color="auto"/>
            </w:tcBorders>
          </w:tcPr>
          <w:p w14:paraId="607C9A64" w14:textId="77777777" w:rsidR="006C641A" w:rsidRPr="007D1918" w:rsidRDefault="006C641A" w:rsidP="00153384">
            <w:pPr>
              <w:spacing w:after="40" w:line="240" w:lineRule="auto"/>
              <w:jc w:val="right"/>
              <w:rPr>
                <w:rFonts w:ascii="Arial Narrow" w:hAnsi="Arial Narrow"/>
                <w:sz w:val="20"/>
                <w:szCs w:val="20"/>
              </w:rPr>
            </w:pP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tcPr>
          <w:p w14:paraId="273BE9F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$201</w:t>
            </w:r>
          </w:p>
        </w:tc>
        <w:tc>
          <w:tcPr>
            <w:tcW w:w="1180" w:type="dxa"/>
            <w:tcBorders>
              <w:top w:val="single" w:sz="4" w:space="0" w:color="auto"/>
              <w:left w:val="nil"/>
              <w:bottom w:val="single" w:sz="4" w:space="0" w:color="auto"/>
              <w:right w:val="single" w:sz="4" w:space="0" w:color="auto"/>
            </w:tcBorders>
            <w:shd w:val="clear" w:color="auto" w:fill="auto"/>
            <w:vAlign w:val="bottom"/>
          </w:tcPr>
          <w:p w14:paraId="408B50F8"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-$201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14:paraId="3BAE025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 xml:space="preserve">-$201 </w:t>
            </w:r>
          </w:p>
        </w:tc>
      </w:tr>
      <w:tr w:rsidR="006C641A" w:rsidRPr="007D1918" w14:paraId="5927033E" w14:textId="77777777" w:rsidTr="00153384">
        <w:tc>
          <w:tcPr>
            <w:tcW w:w="3002" w:type="dxa"/>
          </w:tcPr>
          <w:p w14:paraId="05E77239"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Consumables, equipment depreciation</w:t>
            </w:r>
          </w:p>
        </w:tc>
        <w:tc>
          <w:tcPr>
            <w:tcW w:w="1180" w:type="dxa"/>
            <w:tcBorders>
              <w:top w:val="single" w:sz="4" w:space="0" w:color="auto"/>
              <w:bottom w:val="single" w:sz="4" w:space="0" w:color="auto"/>
            </w:tcBorders>
          </w:tcPr>
          <w:p w14:paraId="1B15B79F" w14:textId="77777777" w:rsidR="006C641A" w:rsidRPr="007D1918" w:rsidRDefault="006C641A" w:rsidP="00153384">
            <w:pPr>
              <w:spacing w:after="40" w:line="240" w:lineRule="auto"/>
              <w:jc w:val="right"/>
              <w:rPr>
                <w:rFonts w:ascii="Arial Narrow" w:hAnsi="Arial Narrow"/>
                <w:sz w:val="20"/>
                <w:szCs w:val="20"/>
              </w:rPr>
            </w:pPr>
          </w:p>
        </w:tc>
        <w:tc>
          <w:tcPr>
            <w:tcW w:w="1181" w:type="dxa"/>
            <w:tcBorders>
              <w:top w:val="single" w:sz="4" w:space="0" w:color="auto"/>
              <w:bottom w:val="single" w:sz="4" w:space="0" w:color="auto"/>
            </w:tcBorders>
          </w:tcPr>
          <w:p w14:paraId="2B320A1B" w14:textId="77777777" w:rsidR="006C641A" w:rsidRPr="007D1918" w:rsidRDefault="006C641A" w:rsidP="00153384">
            <w:pPr>
              <w:spacing w:after="40" w:line="240" w:lineRule="auto"/>
              <w:jc w:val="right"/>
              <w:rPr>
                <w:rFonts w:ascii="Arial Narrow" w:hAnsi="Arial Narrow"/>
                <w:sz w:val="20"/>
                <w:szCs w:val="20"/>
              </w:rPr>
            </w:pPr>
          </w:p>
        </w:tc>
        <w:tc>
          <w:tcPr>
            <w:tcW w:w="1184" w:type="dxa"/>
            <w:tcBorders>
              <w:top w:val="single" w:sz="4" w:space="0" w:color="auto"/>
              <w:bottom w:val="single" w:sz="4" w:space="0" w:color="auto"/>
            </w:tcBorders>
            <w:vAlign w:val="center"/>
          </w:tcPr>
          <w:p w14:paraId="39BA824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$873</w:t>
            </w:r>
          </w:p>
        </w:tc>
        <w:tc>
          <w:tcPr>
            <w:tcW w:w="1180" w:type="dxa"/>
            <w:tcBorders>
              <w:top w:val="single" w:sz="4" w:space="0" w:color="auto"/>
              <w:left w:val="nil"/>
              <w:bottom w:val="single" w:sz="4" w:space="0" w:color="auto"/>
              <w:right w:val="single" w:sz="4" w:space="0" w:color="auto"/>
            </w:tcBorders>
            <w:shd w:val="clear" w:color="auto" w:fill="auto"/>
            <w:vAlign w:val="center"/>
          </w:tcPr>
          <w:p w14:paraId="4323C64A"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-$873</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14:paraId="4E7AD41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-$873</w:t>
            </w:r>
          </w:p>
        </w:tc>
      </w:tr>
      <w:tr w:rsidR="006C641A" w:rsidRPr="007D1918" w14:paraId="48C4036F" w14:textId="77777777" w:rsidTr="00153384">
        <w:tc>
          <w:tcPr>
            <w:tcW w:w="3002" w:type="dxa"/>
          </w:tcPr>
          <w:p w14:paraId="48B444A7"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Hospital admission</w:t>
            </w:r>
          </w:p>
        </w:tc>
        <w:tc>
          <w:tcPr>
            <w:tcW w:w="1180" w:type="dxa"/>
            <w:tcBorders>
              <w:top w:val="single" w:sz="4" w:space="0" w:color="auto"/>
              <w:bottom w:val="single" w:sz="4" w:space="0" w:color="auto"/>
            </w:tcBorders>
          </w:tcPr>
          <w:p w14:paraId="46BAA06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$45,001</w:t>
            </w:r>
          </w:p>
        </w:tc>
        <w:tc>
          <w:tcPr>
            <w:tcW w:w="1181" w:type="dxa"/>
            <w:tcBorders>
              <w:top w:val="single" w:sz="4" w:space="0" w:color="auto"/>
              <w:bottom w:val="single" w:sz="4" w:space="0" w:color="auto"/>
            </w:tcBorders>
          </w:tcPr>
          <w:p w14:paraId="00A91C57"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$45,001</w:t>
            </w:r>
          </w:p>
        </w:tc>
        <w:tc>
          <w:tcPr>
            <w:tcW w:w="1184" w:type="dxa"/>
            <w:tcBorders>
              <w:top w:val="single" w:sz="4" w:space="0" w:color="auto"/>
              <w:bottom w:val="single" w:sz="4" w:space="0" w:color="auto"/>
            </w:tcBorders>
          </w:tcPr>
          <w:p w14:paraId="72B0E58F"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$45,001</w:t>
            </w:r>
          </w:p>
        </w:tc>
        <w:tc>
          <w:tcPr>
            <w:tcW w:w="1180" w:type="dxa"/>
            <w:tcBorders>
              <w:top w:val="single" w:sz="4" w:space="0" w:color="auto"/>
              <w:left w:val="nil"/>
              <w:bottom w:val="single" w:sz="4" w:space="0" w:color="auto"/>
              <w:right w:val="single" w:sz="4" w:space="0" w:color="auto"/>
            </w:tcBorders>
            <w:shd w:val="clear" w:color="auto" w:fill="auto"/>
            <w:vAlign w:val="bottom"/>
          </w:tcPr>
          <w:p w14:paraId="0763826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14:paraId="0F8DAA1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r>
      <w:tr w:rsidR="006C641A" w:rsidRPr="007D1918" w14:paraId="4D07EF1A" w14:textId="77777777" w:rsidTr="00153384">
        <w:tc>
          <w:tcPr>
            <w:tcW w:w="3002" w:type="dxa"/>
          </w:tcPr>
          <w:p w14:paraId="22C49E8E" w14:textId="77777777" w:rsidR="006C641A" w:rsidRPr="007D1918" w:rsidRDefault="006C641A" w:rsidP="00153384">
            <w:pPr>
              <w:spacing w:after="40" w:line="240" w:lineRule="auto"/>
              <w:jc w:val="both"/>
              <w:rPr>
                <w:rFonts w:ascii="Arial Narrow" w:hAnsi="Arial Narrow"/>
                <w:b/>
                <w:sz w:val="20"/>
                <w:szCs w:val="20"/>
              </w:rPr>
            </w:pPr>
            <w:r w:rsidRPr="007D1918">
              <w:rPr>
                <w:rFonts w:ascii="Arial Narrow" w:hAnsi="Arial Narrow"/>
                <w:b/>
                <w:sz w:val="20"/>
                <w:szCs w:val="20"/>
              </w:rPr>
              <w:t>Total Resource costs</w:t>
            </w:r>
          </w:p>
        </w:tc>
        <w:tc>
          <w:tcPr>
            <w:tcW w:w="1180" w:type="dxa"/>
            <w:tcBorders>
              <w:top w:val="single" w:sz="4" w:space="0" w:color="auto"/>
              <w:left w:val="nil"/>
              <w:bottom w:val="single" w:sz="4" w:space="0" w:color="auto"/>
              <w:right w:val="single" w:sz="4" w:space="0" w:color="auto"/>
            </w:tcBorders>
            <w:shd w:val="clear" w:color="auto" w:fill="auto"/>
            <w:vAlign w:val="bottom"/>
          </w:tcPr>
          <w:p w14:paraId="6C037045"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$50,861</w:t>
            </w:r>
          </w:p>
        </w:tc>
        <w:tc>
          <w:tcPr>
            <w:tcW w:w="1181" w:type="dxa"/>
            <w:tcBorders>
              <w:top w:val="single" w:sz="4" w:space="0" w:color="auto"/>
              <w:left w:val="single" w:sz="4" w:space="0" w:color="auto"/>
              <w:bottom w:val="single" w:sz="4" w:space="0" w:color="auto"/>
              <w:right w:val="single" w:sz="4" w:space="0" w:color="auto"/>
            </w:tcBorders>
          </w:tcPr>
          <w:p w14:paraId="5AF6FA3B"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$54,787</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tcPr>
          <w:p w14:paraId="4FEA8A51"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$46,999</w:t>
            </w:r>
          </w:p>
        </w:tc>
        <w:tc>
          <w:tcPr>
            <w:tcW w:w="1180" w:type="dxa"/>
            <w:tcBorders>
              <w:top w:val="single" w:sz="4" w:space="0" w:color="auto"/>
              <w:left w:val="nil"/>
              <w:bottom w:val="single" w:sz="4" w:space="0" w:color="auto"/>
              <w:right w:val="single" w:sz="4" w:space="0" w:color="auto"/>
            </w:tcBorders>
            <w:shd w:val="clear" w:color="auto" w:fill="auto"/>
            <w:vAlign w:val="bottom"/>
          </w:tcPr>
          <w:p w14:paraId="73C919F1"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$3,862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bottom"/>
          </w:tcPr>
          <w:p w14:paraId="04F52E90"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 xml:space="preserve">$7,788 </w:t>
            </w:r>
          </w:p>
        </w:tc>
      </w:tr>
      <w:tr w:rsidR="006C641A" w:rsidRPr="007D1918" w14:paraId="1545DFE9" w14:textId="77777777" w:rsidTr="00153384">
        <w:tc>
          <w:tcPr>
            <w:tcW w:w="8908" w:type="dxa"/>
            <w:gridSpan w:val="6"/>
            <w:tcBorders>
              <w:right w:val="single" w:sz="4" w:space="0" w:color="auto"/>
            </w:tcBorders>
          </w:tcPr>
          <w:p w14:paraId="446C9967" w14:textId="77777777" w:rsidR="006C641A" w:rsidRPr="007D1918" w:rsidRDefault="006C641A" w:rsidP="00153384">
            <w:pPr>
              <w:spacing w:after="40" w:line="240" w:lineRule="auto"/>
              <w:rPr>
                <w:rFonts w:ascii="Arial Narrow" w:hAnsi="Arial Narrow"/>
                <w:b/>
                <w:sz w:val="20"/>
                <w:szCs w:val="20"/>
              </w:rPr>
            </w:pPr>
            <w:r w:rsidRPr="007D1918">
              <w:rPr>
                <w:rFonts w:ascii="Arial Narrow" w:hAnsi="Arial Narrow"/>
                <w:b/>
                <w:sz w:val="20"/>
                <w:szCs w:val="20"/>
              </w:rPr>
              <w:t>Health outcome (safety) consequences</w:t>
            </w:r>
          </w:p>
        </w:tc>
      </w:tr>
      <w:tr w:rsidR="006C641A" w:rsidRPr="007D1918" w14:paraId="69E8F00C" w14:textId="77777777" w:rsidTr="00153384">
        <w:tc>
          <w:tcPr>
            <w:tcW w:w="3002" w:type="dxa"/>
          </w:tcPr>
          <w:p w14:paraId="34AB98CE"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Patients with adverse events</w:t>
            </w:r>
          </w:p>
        </w:tc>
        <w:tc>
          <w:tcPr>
            <w:tcW w:w="2361" w:type="dxa"/>
            <w:gridSpan w:val="2"/>
            <w:tcBorders>
              <w:top w:val="single" w:sz="4" w:space="0" w:color="auto"/>
              <w:left w:val="nil"/>
              <w:bottom w:val="single" w:sz="4" w:space="0" w:color="auto"/>
              <w:right w:val="single" w:sz="4" w:space="0" w:color="auto"/>
            </w:tcBorders>
            <w:shd w:val="clear" w:color="auto" w:fill="auto"/>
            <w:vAlign w:val="bottom"/>
          </w:tcPr>
          <w:p w14:paraId="3611E24A"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2.2%</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tcPr>
          <w:p w14:paraId="67230759"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19.5%</w:t>
            </w:r>
          </w:p>
        </w:tc>
        <w:tc>
          <w:tcPr>
            <w:tcW w:w="2361" w:type="dxa"/>
            <w:gridSpan w:val="2"/>
            <w:tcBorders>
              <w:top w:val="single" w:sz="4" w:space="0" w:color="auto"/>
              <w:left w:val="nil"/>
              <w:bottom w:val="single" w:sz="4" w:space="0" w:color="auto"/>
              <w:right w:val="single" w:sz="4" w:space="0" w:color="auto"/>
            </w:tcBorders>
            <w:shd w:val="clear" w:color="auto" w:fill="auto"/>
            <w:vAlign w:val="bottom"/>
          </w:tcPr>
          <w:p w14:paraId="45DDD2B3"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-17.3%</w:t>
            </w:r>
          </w:p>
        </w:tc>
      </w:tr>
      <w:tr w:rsidR="006C641A" w:rsidRPr="007D1918" w14:paraId="6BDDC00A" w14:textId="77777777" w:rsidTr="00153384">
        <w:tc>
          <w:tcPr>
            <w:tcW w:w="3002" w:type="dxa"/>
          </w:tcPr>
          <w:p w14:paraId="284DE017"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Patients with clinically significant adverse events</w:t>
            </w:r>
          </w:p>
        </w:tc>
        <w:tc>
          <w:tcPr>
            <w:tcW w:w="2361" w:type="dxa"/>
            <w:gridSpan w:val="2"/>
            <w:tcBorders>
              <w:top w:val="single" w:sz="4" w:space="0" w:color="auto"/>
              <w:left w:val="nil"/>
              <w:bottom w:val="single" w:sz="4" w:space="0" w:color="auto"/>
              <w:right w:val="single" w:sz="4" w:space="0" w:color="auto"/>
            </w:tcBorders>
            <w:shd w:val="clear" w:color="auto" w:fill="auto"/>
            <w:vAlign w:val="bottom"/>
          </w:tcPr>
          <w:p w14:paraId="4E9AA321"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0%</w:t>
            </w:r>
          </w:p>
        </w:tc>
        <w:tc>
          <w:tcPr>
            <w:tcW w:w="1184" w:type="dxa"/>
            <w:tcBorders>
              <w:top w:val="single" w:sz="4" w:space="0" w:color="auto"/>
              <w:left w:val="single" w:sz="4" w:space="0" w:color="auto"/>
              <w:bottom w:val="single" w:sz="4" w:space="0" w:color="auto"/>
              <w:right w:val="single" w:sz="4" w:space="0" w:color="auto"/>
            </w:tcBorders>
            <w:shd w:val="clear" w:color="auto" w:fill="auto"/>
            <w:vAlign w:val="bottom"/>
          </w:tcPr>
          <w:p w14:paraId="1D70FB7D"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4.9%</w:t>
            </w:r>
          </w:p>
        </w:tc>
        <w:tc>
          <w:tcPr>
            <w:tcW w:w="2361" w:type="dxa"/>
            <w:gridSpan w:val="2"/>
            <w:tcBorders>
              <w:top w:val="single" w:sz="4" w:space="0" w:color="auto"/>
              <w:left w:val="nil"/>
              <w:bottom w:val="single" w:sz="4" w:space="0" w:color="auto"/>
              <w:right w:val="single" w:sz="4" w:space="0" w:color="auto"/>
            </w:tcBorders>
            <w:shd w:val="clear" w:color="auto" w:fill="auto"/>
            <w:vAlign w:val="bottom"/>
          </w:tcPr>
          <w:p w14:paraId="126C9D5D"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-4.9%</w:t>
            </w:r>
          </w:p>
        </w:tc>
      </w:tr>
    </w:tbl>
    <w:p w14:paraId="351D35DF" w14:textId="77777777" w:rsidR="006C641A" w:rsidRPr="007D1918" w:rsidRDefault="006C641A" w:rsidP="006C641A">
      <w:pPr>
        <w:pStyle w:val="Tablenotes1"/>
      </w:pPr>
      <w:r w:rsidRPr="007D1918">
        <w:t>IVIg = intravenous immunoglobulin; PE = plasma exchanges</w:t>
      </w:r>
    </w:p>
    <w:p w14:paraId="65601CF2" w14:textId="77777777" w:rsidR="006C641A" w:rsidRPr="007D1918" w:rsidRDefault="006C641A" w:rsidP="006C641A">
      <w:pPr>
        <w:pStyle w:val="Tablenotes1"/>
        <w:rPr>
          <w:bCs/>
        </w:rPr>
      </w:pPr>
    </w:p>
    <w:p w14:paraId="3CA877C4" w14:textId="77777777" w:rsidR="006C641A" w:rsidRPr="007D1918" w:rsidRDefault="006C641A" w:rsidP="006C641A">
      <w:pPr>
        <w:pStyle w:val="Heading4"/>
      </w:pPr>
      <w:bookmarkStart w:id="443" w:name="_Toc395200804"/>
      <w:bookmarkStart w:id="444" w:name="_Toc13142294"/>
      <w:r w:rsidRPr="007D1918">
        <w:t>Stepped economic evaluation</w:t>
      </w:r>
      <w:bookmarkEnd w:id="443"/>
      <w:bookmarkEnd w:id="444"/>
    </w:p>
    <w:p w14:paraId="2607662F" w14:textId="5AF47101" w:rsidR="006C641A" w:rsidRPr="007D1918" w:rsidRDefault="006C641A" w:rsidP="006C641A">
      <w:pPr>
        <w:jc w:val="both"/>
      </w:pPr>
      <w:r w:rsidRPr="007D1918">
        <w:t xml:space="preserve">The stepped evaluation is shown in </w:t>
      </w:r>
      <w:r w:rsidRPr="007D1918">
        <w:fldChar w:fldCharType="begin"/>
      </w:r>
      <w:r w:rsidRPr="007D1918">
        <w:instrText xml:space="preserve"> REF _Ref14379373 \h </w:instrText>
      </w:r>
      <w:r w:rsidR="00E07567" w:rsidRPr="007D1918">
        <w:instrText xml:space="preserve"> \* MERGEFORMAT </w:instrText>
      </w:r>
      <w:r w:rsidRPr="007D1918">
        <w:fldChar w:fldCharType="separate"/>
      </w:r>
      <w:r w:rsidR="00B865E7" w:rsidRPr="007D1918">
        <w:t xml:space="preserve">Table </w:t>
      </w:r>
      <w:r w:rsidR="00B865E7" w:rsidRPr="007D1918">
        <w:rPr>
          <w:noProof/>
        </w:rPr>
        <w:t>79</w:t>
      </w:r>
      <w:r w:rsidRPr="007D1918">
        <w:fldChar w:fldCharType="end"/>
      </w:r>
      <w:r w:rsidRPr="007D1918">
        <w:t>. In step 1</w:t>
      </w:r>
      <w:r w:rsidR="005347CC" w:rsidRPr="007D1918">
        <w:t>,</w:t>
      </w:r>
      <w:r w:rsidRPr="007D1918">
        <w:t xml:space="preserve"> Australian data and estimates for the IVIg and PE dosing are applied. Step 2 adds the assumption that patients who discontinue PE due to adverse events will receive IVIg. Step 3 assumes that the inappropriate use of FFP as a fluid diluent is reversed and PE for MG crisis is conducted with undiluted Albumin 4% as recommended in </w:t>
      </w:r>
      <w:r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F4CDE" w:rsidRPr="007D1918">
        <w:instrText xml:space="preserve"> ADDIN EN.CITE </w:instrText>
      </w:r>
      <w:r w:rsidR="007F4CDE" w:rsidRPr="007D1918">
        <w:fldChar w:fldCharType="begin">
          <w:fldData xml:space="preserve">PEVuZE5vdGU+PENpdGU+PEF1dGhvcj5QYXRvbjwvQXV0aG9yPjxZZWFyPjIwMTQ8L1llYXI+PFJl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</w:fldData>
        </w:fldChar>
      </w:r>
      <w:r w:rsidR="007F4CDE" w:rsidRPr="007D1918">
        <w:instrText xml:space="preserve"> ADDIN EN.CITE.DATA </w:instrText>
      </w:r>
      <w:r w:rsidR="007F4CDE" w:rsidRPr="007D1918">
        <w:fldChar w:fldCharType="end"/>
      </w:r>
      <w:r w:rsidRPr="007D1918">
        <w:fldChar w:fldCharType="separate"/>
      </w:r>
      <w:r w:rsidRPr="007D1918">
        <w:rPr>
          <w:noProof/>
        </w:rPr>
        <w:t>(</w:t>
      </w:r>
      <w:hyperlink w:anchor="_ENREF_78" w:tooltip="Paton, 2014 #74" w:history="1">
        <w:r w:rsidR="007D4948" w:rsidRPr="007D1918">
          <w:rPr>
            <w:noProof/>
          </w:rPr>
          <w:t xml:space="preserve">Paton &amp; Baldwin </w:t>
        </w:r>
        <w:r w:rsidR="007D4948" w:rsidRPr="007D1918">
          <w:rPr>
            <w:noProof/>
          </w:rPr>
          <w:lastRenderedPageBreak/>
          <w:t>2014</w:t>
        </w:r>
      </w:hyperlink>
      <w:r w:rsidRPr="007D1918">
        <w:rPr>
          <w:noProof/>
        </w:rPr>
        <w:t>)</w:t>
      </w:r>
      <w:r w:rsidRPr="007D1918">
        <w:fldChar w:fldCharType="end"/>
      </w:r>
      <w:r w:rsidRPr="007D1918">
        <w:t>. Step 4 adds in the estimated cost of adverse events and the transforms the adverse events outcomes into QALY decrements.</w:t>
      </w:r>
    </w:p>
    <w:p w14:paraId="04E7D399" w14:textId="587290EF" w:rsidR="006C641A" w:rsidRPr="007D1918" w:rsidRDefault="006C641A" w:rsidP="006C641A">
      <w:pPr>
        <w:jc w:val="both"/>
      </w:pPr>
      <w:r w:rsidRPr="007D1918">
        <w:t>A cost consequences analysis</w:t>
      </w:r>
      <w:r w:rsidR="00A176F1" w:rsidRPr="007D1918">
        <w:t xml:space="preserve"> to the timepoint of the direct evidence</w:t>
      </w:r>
      <w:r w:rsidRPr="007D1918">
        <w:t xml:space="preserve"> shows that management of MG crisis using IVIg costs approximately $9,225 more per patient, but 17.3% of patients avoid experiencing an adverse event, including 4.9% of patients avoiding a serious, clinically significant event (based on </w:t>
      </w:r>
      <w:r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7F4CDE" w:rsidRPr="007D1918">
        <w:instrText xml:space="preserve"> ADDIN EN.CITE </w:instrText>
      </w:r>
      <w:r w:rsidR="007F4CDE" w:rsidRPr="007D1918">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7F4CDE" w:rsidRPr="007D1918">
        <w:instrText xml:space="preserve"> ADDIN EN.CITE.DATA </w:instrText>
      </w:r>
      <w:r w:rsidR="007F4CDE" w:rsidRPr="007D1918">
        <w:fldChar w:fldCharType="end"/>
      </w:r>
      <w:r w:rsidRPr="007D1918">
        <w:fldChar w:fldCharType="separate"/>
      </w:r>
      <w:r w:rsidR="007F4CDE" w:rsidRPr="007D1918">
        <w:rPr>
          <w:noProof/>
        </w:rPr>
        <w:t>(</w:t>
      </w:r>
      <w:hyperlink w:anchor="_ENREF_28" w:tooltip="Gajdos, 1997 #45" w:history="1">
        <w:r w:rsidR="007D4948" w:rsidRPr="007D1918">
          <w:rPr>
            <w:noProof/>
          </w:rPr>
          <w:t>Gajdos et al. 1997</w:t>
        </w:r>
      </w:hyperlink>
      <w:r w:rsidR="007F4CDE" w:rsidRPr="007D1918">
        <w:rPr>
          <w:noProof/>
        </w:rPr>
        <w:t>)</w:t>
      </w:r>
      <w:r w:rsidRPr="007D1918">
        <w:fldChar w:fldCharType="end"/>
      </w:r>
      <w:r w:rsidRPr="007D1918">
        <w:t>.</w:t>
      </w:r>
    </w:p>
    <w:p w14:paraId="4CAD42BD" w14:textId="77777777" w:rsidR="006C641A" w:rsidRPr="007D1918" w:rsidRDefault="006C641A" w:rsidP="006C641A">
      <w:pPr>
        <w:jc w:val="both"/>
      </w:pPr>
      <w:r w:rsidRPr="007D1918">
        <w:t xml:space="preserve">Framed from the health consequences perspective, this is equivalent to identifying that the incremental costs of achieving each consequential outcome is; </w:t>
      </w:r>
    </w:p>
    <w:p w14:paraId="2DE6224E" w14:textId="77777777" w:rsidR="006C641A" w:rsidRPr="007D1918" w:rsidRDefault="006C641A" w:rsidP="006C641A">
      <w:pPr>
        <w:pStyle w:val="ListParagraph"/>
        <w:numPr>
          <w:ilvl w:val="0"/>
          <w:numId w:val="45"/>
        </w:numPr>
        <w:jc w:val="both"/>
      </w:pPr>
      <w:r w:rsidRPr="007D1918">
        <w:t>$53,324 per additional adverse event avoided (of which 28% of these are highly clinically significant); or $188,265 per additional highly clinically significant adverse event avoided.</w:t>
      </w:r>
    </w:p>
    <w:p w14:paraId="70BED569" w14:textId="5013C88D" w:rsidR="006C641A" w:rsidRPr="007D1918" w:rsidRDefault="006C641A" w:rsidP="006C641A">
      <w:pPr>
        <w:jc w:val="both"/>
      </w:pPr>
      <w:r w:rsidRPr="007D1918">
        <w:t>Where the adverse event outcomes are transformed into utility decrements; the total difference in utility is small (as expected given it is only derived from transient adverse events in a small number of patients associated with safety differences, not a treatment effect across all patients as occurs with a treatment effectiveness claim). Therefore</w:t>
      </w:r>
      <w:r w:rsidR="004C068D" w:rsidRPr="007D1918">
        <w:t xml:space="preserve"> where only the direct evidence is used to inform the economic analysis</w:t>
      </w:r>
      <w:r w:rsidR="0023473A" w:rsidRPr="007D1918">
        <w:t>,</w:t>
      </w:r>
      <w:r w:rsidRPr="007D1918">
        <w:t xml:space="preserve"> the ICER is high, at approximately $</w:t>
      </w:r>
      <w:r w:rsidR="004C068D" w:rsidRPr="007D1918">
        <w:t>7</w:t>
      </w:r>
      <w:r w:rsidRPr="007D1918">
        <w:t xml:space="preserve"> million/QALY.</w:t>
      </w:r>
    </w:p>
    <w:p w14:paraId="640E1D7F" w14:textId="7603C982" w:rsidR="006C641A" w:rsidRPr="007D1918" w:rsidRDefault="00A176F1" w:rsidP="006C641A">
      <w:pPr>
        <w:jc w:val="both"/>
      </w:pPr>
      <w:r w:rsidRPr="007D1918">
        <w:t>Steps 5-</w:t>
      </w:r>
      <w:r w:rsidR="004C068D" w:rsidRPr="007D1918">
        <w:t>7</w:t>
      </w:r>
      <w:r w:rsidRPr="007D1918">
        <w:t xml:space="preserve"> present ongoing modelling incorporating estimates of mortality and morbidity associated with sepsis, based on external data. The accuracy and applicability of this data is more uncertain, and results using a range of alternative inputs are presented. Accepting the estimates of long-term morbidity and mortality associated with rare but serious PE adverse events </w:t>
      </w:r>
      <w:r w:rsidR="004C068D" w:rsidRPr="007D1918">
        <w:t xml:space="preserve">drastically </w:t>
      </w:r>
      <w:r w:rsidR="006C641A" w:rsidRPr="007D1918">
        <w:t>reduce</w:t>
      </w:r>
      <w:r w:rsidR="004C068D" w:rsidRPr="007D1918">
        <w:t>s</w:t>
      </w:r>
      <w:r w:rsidR="006C641A" w:rsidRPr="007D1918">
        <w:t xml:space="preserve"> th</w:t>
      </w:r>
      <w:r w:rsidRPr="007D1918">
        <w:t>e</w:t>
      </w:r>
      <w:r w:rsidR="006C641A" w:rsidRPr="007D1918">
        <w:t xml:space="preserve"> ICER to approximately $</w:t>
      </w:r>
      <w:r w:rsidR="004C068D" w:rsidRPr="007D1918">
        <w:t>46 thousand</w:t>
      </w:r>
      <w:r w:rsidR="006C641A" w:rsidRPr="007D1918">
        <w:t>/QALY.</w:t>
      </w:r>
    </w:p>
    <w:p w14:paraId="0C8E70D3" w14:textId="77777777" w:rsidR="006C641A" w:rsidRPr="007D1918" w:rsidRDefault="006C641A" w:rsidP="006C641A">
      <w:pPr>
        <w:pStyle w:val="Caption"/>
        <w:keepNext/>
        <w:keepLines/>
        <w:spacing w:after="40"/>
        <w:jc w:val="both"/>
      </w:pPr>
      <w:bookmarkStart w:id="445" w:name="_Ref14379373"/>
      <w:bookmarkStart w:id="446" w:name="_Toc15561981"/>
      <w:bookmarkStart w:id="447" w:name="_Toc23769566"/>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79</w:t>
      </w:r>
      <w:r w:rsidRPr="007D1918">
        <w:rPr>
          <w:noProof/>
        </w:rPr>
        <w:fldChar w:fldCharType="end"/>
      </w:r>
      <w:bookmarkEnd w:id="445"/>
      <w:r w:rsidRPr="007D1918">
        <w:t xml:space="preserve"> </w:t>
      </w:r>
      <w:r w:rsidRPr="007D1918">
        <w:tab/>
        <w:t>Indication 1 Stepped cost consequences analysis to replicate Australian practice</w:t>
      </w:r>
      <w:bookmarkEnd w:id="446"/>
      <w:bookmarkEnd w:id="447"/>
    </w:p>
    <w:tbl>
      <w:tblPr>
        <w:tblStyle w:val="TableGrid2"/>
        <w:tblW w:w="8432"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043"/>
        <w:gridCol w:w="1347"/>
        <w:gridCol w:w="1348"/>
        <w:gridCol w:w="1694"/>
      </w:tblGrid>
      <w:tr w:rsidR="006C641A" w:rsidRPr="007D1918" w14:paraId="52D8F927"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043" w:type="dxa"/>
            <w:tcBorders>
              <w:bottom w:val="single" w:sz="4" w:space="0" w:color="auto"/>
            </w:tcBorders>
          </w:tcPr>
          <w:p w14:paraId="4F8B0067" w14:textId="77777777" w:rsidR="006C641A" w:rsidRPr="007D1918" w:rsidRDefault="006C641A" w:rsidP="00153384">
            <w:pPr>
              <w:keepNext/>
              <w:keepLines/>
              <w:spacing w:after="40" w:line="240" w:lineRule="auto"/>
              <w:jc w:val="both"/>
              <w:rPr>
                <w:rFonts w:ascii="Arial Narrow" w:hAnsi="Arial Narrow"/>
                <w:b/>
                <w:sz w:val="20"/>
                <w:szCs w:val="20"/>
              </w:rPr>
            </w:pPr>
          </w:p>
        </w:tc>
        <w:tc>
          <w:tcPr>
            <w:tcW w:w="1347" w:type="dxa"/>
            <w:tcBorders>
              <w:bottom w:val="single" w:sz="4" w:space="0" w:color="auto"/>
            </w:tcBorders>
          </w:tcPr>
          <w:p w14:paraId="229B60A3" w14:textId="77777777" w:rsidR="006C641A" w:rsidRPr="007D1918" w:rsidRDefault="006C641A" w:rsidP="00153384">
            <w:pPr>
              <w:keepNext/>
              <w:keepLines/>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1348" w:type="dxa"/>
            <w:tcBorders>
              <w:bottom w:val="single" w:sz="4" w:space="0" w:color="auto"/>
            </w:tcBorders>
          </w:tcPr>
          <w:p w14:paraId="3DD7124D" w14:textId="77777777" w:rsidR="006C641A" w:rsidRPr="007D1918" w:rsidRDefault="006C641A" w:rsidP="00153384">
            <w:pPr>
              <w:keepNext/>
              <w:keepLines/>
              <w:spacing w:after="40" w:line="240" w:lineRule="auto"/>
              <w:jc w:val="center"/>
              <w:rPr>
                <w:rFonts w:ascii="Arial Narrow" w:hAnsi="Arial Narrow"/>
                <w:b/>
                <w:sz w:val="20"/>
                <w:szCs w:val="20"/>
              </w:rPr>
            </w:pPr>
            <w:r w:rsidRPr="007D1918">
              <w:rPr>
                <w:rFonts w:ascii="Arial Narrow" w:hAnsi="Arial Narrow"/>
                <w:b/>
                <w:sz w:val="20"/>
                <w:szCs w:val="20"/>
              </w:rPr>
              <w:t>PE</w:t>
            </w:r>
          </w:p>
        </w:tc>
        <w:tc>
          <w:tcPr>
            <w:tcW w:w="1694" w:type="dxa"/>
            <w:vMerge w:val="restart"/>
            <w:tcBorders>
              <w:bottom w:val="single" w:sz="4" w:space="0" w:color="auto"/>
            </w:tcBorders>
          </w:tcPr>
          <w:p w14:paraId="7EE5D994" w14:textId="77777777" w:rsidR="006C641A" w:rsidRPr="007D1918" w:rsidRDefault="006C641A" w:rsidP="00153384">
            <w:pPr>
              <w:keepNext/>
              <w:keepLines/>
              <w:spacing w:after="40" w:line="240" w:lineRule="auto"/>
              <w:jc w:val="center"/>
              <w:rPr>
                <w:rFonts w:ascii="Arial Narrow" w:hAnsi="Arial Narrow"/>
                <w:b/>
                <w:sz w:val="20"/>
                <w:szCs w:val="20"/>
              </w:rPr>
            </w:pPr>
            <w:r w:rsidRPr="007D1918">
              <w:rPr>
                <w:rFonts w:ascii="Arial Narrow" w:hAnsi="Arial Narrow"/>
                <w:b/>
                <w:sz w:val="20"/>
                <w:szCs w:val="20"/>
              </w:rPr>
              <w:t>Increment</w:t>
            </w:r>
          </w:p>
        </w:tc>
      </w:tr>
      <w:tr w:rsidR="006C641A" w:rsidRPr="007D1918" w14:paraId="5EAD97DA"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043" w:type="dxa"/>
            <w:tcBorders>
              <w:bottom w:val="single" w:sz="4" w:space="0" w:color="auto"/>
            </w:tcBorders>
          </w:tcPr>
          <w:p w14:paraId="68DB26B5" w14:textId="77777777" w:rsidR="006C641A" w:rsidRPr="007D1918" w:rsidRDefault="006C641A" w:rsidP="00153384">
            <w:pPr>
              <w:keepNext/>
              <w:keepLines/>
              <w:spacing w:after="40" w:line="240" w:lineRule="auto"/>
              <w:jc w:val="both"/>
              <w:rPr>
                <w:rFonts w:ascii="Arial Narrow" w:hAnsi="Arial Narrow"/>
                <w:b/>
                <w:sz w:val="20"/>
                <w:szCs w:val="20"/>
              </w:rPr>
            </w:pPr>
            <w:r w:rsidRPr="007D1918">
              <w:rPr>
                <w:rFonts w:ascii="Arial Narrow" w:hAnsi="Arial Narrow"/>
                <w:b/>
                <w:sz w:val="20"/>
                <w:szCs w:val="20"/>
              </w:rPr>
              <w:t>Resources (disaggregated)</w:t>
            </w:r>
          </w:p>
        </w:tc>
        <w:tc>
          <w:tcPr>
            <w:tcW w:w="1347" w:type="dxa"/>
            <w:tcBorders>
              <w:bottom w:val="single" w:sz="4" w:space="0" w:color="auto"/>
            </w:tcBorders>
          </w:tcPr>
          <w:p w14:paraId="3A68C9EB" w14:textId="77777777" w:rsidR="006C641A" w:rsidRPr="007D1918" w:rsidRDefault="006C641A" w:rsidP="00153384">
            <w:pPr>
              <w:keepNext/>
              <w:keepLines/>
              <w:spacing w:after="40" w:line="240" w:lineRule="auto"/>
              <w:jc w:val="center"/>
              <w:rPr>
                <w:rFonts w:ascii="Arial Narrow" w:hAnsi="Arial Narrow"/>
                <w:sz w:val="20"/>
                <w:szCs w:val="20"/>
              </w:rPr>
            </w:pPr>
            <w:r w:rsidRPr="007D1918">
              <w:rPr>
                <w:rFonts w:ascii="Arial Narrow" w:hAnsi="Arial Narrow"/>
                <w:sz w:val="20"/>
                <w:szCs w:val="20"/>
              </w:rPr>
              <w:t>Total Cost</w:t>
            </w:r>
          </w:p>
        </w:tc>
        <w:tc>
          <w:tcPr>
            <w:tcW w:w="1348" w:type="dxa"/>
            <w:tcBorders>
              <w:bottom w:val="single" w:sz="4" w:space="0" w:color="auto"/>
            </w:tcBorders>
          </w:tcPr>
          <w:p w14:paraId="6116FFE1" w14:textId="77777777" w:rsidR="006C641A" w:rsidRPr="007D1918" w:rsidRDefault="006C641A" w:rsidP="00153384">
            <w:pPr>
              <w:keepNext/>
              <w:keepLines/>
              <w:spacing w:after="40" w:line="240" w:lineRule="auto"/>
              <w:jc w:val="center"/>
              <w:rPr>
                <w:rFonts w:ascii="Arial Narrow" w:hAnsi="Arial Narrow"/>
                <w:b/>
                <w:sz w:val="20"/>
                <w:szCs w:val="20"/>
              </w:rPr>
            </w:pPr>
            <w:r w:rsidRPr="007D1918">
              <w:rPr>
                <w:rFonts w:ascii="Arial Narrow" w:hAnsi="Arial Narrow"/>
                <w:sz w:val="20"/>
                <w:szCs w:val="20"/>
              </w:rPr>
              <w:t>Total Cost</w:t>
            </w:r>
          </w:p>
        </w:tc>
        <w:tc>
          <w:tcPr>
            <w:tcW w:w="1694" w:type="dxa"/>
            <w:vMerge/>
            <w:tcBorders>
              <w:bottom w:val="single" w:sz="4" w:space="0" w:color="auto"/>
            </w:tcBorders>
          </w:tcPr>
          <w:p w14:paraId="4A634DD4" w14:textId="77777777" w:rsidR="006C641A" w:rsidRPr="007D1918" w:rsidRDefault="006C641A" w:rsidP="00153384">
            <w:pPr>
              <w:keepNext/>
              <w:keepLines/>
              <w:spacing w:after="40" w:line="240" w:lineRule="auto"/>
              <w:jc w:val="both"/>
              <w:rPr>
                <w:rFonts w:ascii="Arial Narrow" w:hAnsi="Arial Narrow"/>
                <w:b/>
                <w:sz w:val="20"/>
                <w:szCs w:val="20"/>
              </w:rPr>
            </w:pPr>
          </w:p>
        </w:tc>
      </w:tr>
      <w:tr w:rsidR="006C641A" w:rsidRPr="007D1918" w14:paraId="68A276D2"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8432" w:type="dxa"/>
            <w:gridSpan w:val="4"/>
            <w:tcBorders>
              <w:bottom w:val="single" w:sz="4" w:space="0" w:color="auto"/>
            </w:tcBorders>
          </w:tcPr>
          <w:p w14:paraId="44A77E3B" w14:textId="77777777" w:rsidR="006C641A" w:rsidRPr="007D1918" w:rsidRDefault="006C641A" w:rsidP="00153384">
            <w:pPr>
              <w:keepNext/>
              <w:keepLines/>
              <w:spacing w:after="40" w:line="240" w:lineRule="auto"/>
              <w:jc w:val="both"/>
              <w:rPr>
                <w:rFonts w:ascii="Arial Narrow" w:hAnsi="Arial Narrow"/>
                <w:b/>
                <w:i/>
                <w:sz w:val="20"/>
                <w:szCs w:val="20"/>
              </w:rPr>
            </w:pPr>
            <w:r w:rsidRPr="007D1918">
              <w:rPr>
                <w:rFonts w:ascii="Arial Narrow" w:hAnsi="Arial Narrow"/>
                <w:b/>
                <w:i/>
                <w:sz w:val="20"/>
                <w:szCs w:val="20"/>
              </w:rPr>
              <w:t>Step 1 – Australian IVIg doses and PE fluids (4 exchanges)</w:t>
            </w:r>
          </w:p>
        </w:tc>
      </w:tr>
      <w:tr w:rsidR="006C641A" w:rsidRPr="007D1918" w14:paraId="308A375F" w14:textId="77777777" w:rsidTr="00153384">
        <w:tc>
          <w:tcPr>
            <w:tcW w:w="4043" w:type="dxa"/>
          </w:tcPr>
          <w:p w14:paraId="3BB54AE1" w14:textId="77777777" w:rsidR="006C641A" w:rsidRPr="007D1918" w:rsidRDefault="006C641A" w:rsidP="00153384">
            <w:pPr>
              <w:keepNext/>
              <w:keepLines/>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IVIg product </w:t>
            </w:r>
          </w:p>
        </w:tc>
        <w:tc>
          <w:tcPr>
            <w:tcW w:w="1347" w:type="dxa"/>
            <w:tcBorders>
              <w:top w:val="single" w:sz="4" w:space="0" w:color="auto"/>
              <w:left w:val="nil"/>
              <w:bottom w:val="single" w:sz="4" w:space="0" w:color="auto"/>
              <w:right w:val="single" w:sz="4" w:space="0" w:color="auto"/>
            </w:tcBorders>
            <w:shd w:val="clear" w:color="auto" w:fill="auto"/>
            <w:vAlign w:val="bottom"/>
          </w:tcPr>
          <w:p w14:paraId="3506657E"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$13,894</w:t>
            </w:r>
          </w:p>
        </w:tc>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51705EC0" w14:textId="77777777" w:rsidR="006C641A" w:rsidRPr="007D1918" w:rsidRDefault="006C641A" w:rsidP="00153384">
            <w:pPr>
              <w:keepNext/>
              <w:keepLines/>
              <w:spacing w:after="40" w:line="240" w:lineRule="auto"/>
              <w:jc w:val="right"/>
              <w:rPr>
                <w:rFonts w:ascii="Arial Narrow" w:hAnsi="Arial Narrow"/>
                <w:sz w:val="20"/>
                <w:szCs w:val="20"/>
              </w:rPr>
            </w:pP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5EEFCCA1"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$13,894</w:t>
            </w:r>
          </w:p>
        </w:tc>
      </w:tr>
      <w:tr w:rsidR="006C641A" w:rsidRPr="007D1918" w14:paraId="6ED99282" w14:textId="77777777" w:rsidTr="00153384">
        <w:tc>
          <w:tcPr>
            <w:tcW w:w="4043" w:type="dxa"/>
          </w:tcPr>
          <w:p w14:paraId="417B0D28" w14:textId="77777777" w:rsidR="006C641A" w:rsidRPr="007D1918" w:rsidRDefault="006C641A" w:rsidP="00153384">
            <w:pPr>
              <w:keepNext/>
              <w:keepLines/>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PE tubing and equipment depreciation </w:t>
            </w:r>
          </w:p>
        </w:tc>
        <w:tc>
          <w:tcPr>
            <w:tcW w:w="1347" w:type="dxa"/>
            <w:tcBorders>
              <w:top w:val="single" w:sz="4" w:space="0" w:color="auto"/>
              <w:left w:val="nil"/>
              <w:bottom w:val="single" w:sz="4" w:space="0" w:color="auto"/>
              <w:right w:val="single" w:sz="4" w:space="0" w:color="auto"/>
            </w:tcBorders>
            <w:shd w:val="clear" w:color="auto" w:fill="auto"/>
            <w:vAlign w:val="bottom"/>
          </w:tcPr>
          <w:p w14:paraId="28B4829C" w14:textId="77777777" w:rsidR="006C641A" w:rsidRPr="007D1918" w:rsidRDefault="006C641A" w:rsidP="00153384">
            <w:pPr>
              <w:keepNext/>
              <w:keepLines/>
              <w:spacing w:after="40" w:line="240" w:lineRule="auto"/>
              <w:jc w:val="right"/>
              <w:rPr>
                <w:rFonts w:ascii="Arial Narrow" w:hAnsi="Arial Narrow"/>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300374A9"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$1,164</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0F9F5702"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-$1,164</w:t>
            </w:r>
          </w:p>
        </w:tc>
      </w:tr>
      <w:tr w:rsidR="006C641A" w:rsidRPr="007D1918" w14:paraId="34652368" w14:textId="77777777" w:rsidTr="00153384">
        <w:tc>
          <w:tcPr>
            <w:tcW w:w="4043" w:type="dxa"/>
          </w:tcPr>
          <w:p w14:paraId="2BD67A91" w14:textId="77777777" w:rsidR="006C641A" w:rsidRPr="007D1918" w:rsidRDefault="006C641A" w:rsidP="00153384">
            <w:pPr>
              <w:keepNext/>
              <w:keepLines/>
              <w:spacing w:after="40" w:line="240" w:lineRule="auto"/>
              <w:ind w:left="346" w:hanging="141"/>
              <w:jc w:val="both"/>
              <w:rPr>
                <w:rFonts w:ascii="Arial Narrow" w:hAnsi="Arial Narrow"/>
                <w:sz w:val="20"/>
                <w:szCs w:val="20"/>
              </w:rPr>
            </w:pPr>
            <w:r w:rsidRPr="007D1918">
              <w:rPr>
                <w:rFonts w:ascii="Arial Narrow" w:hAnsi="Arial Narrow"/>
                <w:sz w:val="20"/>
                <w:szCs w:val="20"/>
              </w:rPr>
              <w:t>PE replacement Albumin 4%</w:t>
            </w:r>
          </w:p>
        </w:tc>
        <w:tc>
          <w:tcPr>
            <w:tcW w:w="1347" w:type="dxa"/>
            <w:tcBorders>
              <w:top w:val="single" w:sz="4" w:space="0" w:color="auto"/>
              <w:left w:val="nil"/>
              <w:bottom w:val="single" w:sz="4" w:space="0" w:color="auto"/>
              <w:right w:val="single" w:sz="4" w:space="0" w:color="auto"/>
            </w:tcBorders>
            <w:shd w:val="clear" w:color="auto" w:fill="auto"/>
            <w:vAlign w:val="bottom"/>
          </w:tcPr>
          <w:p w14:paraId="5E28D189" w14:textId="77777777" w:rsidR="006C641A" w:rsidRPr="007D1918" w:rsidRDefault="006C641A" w:rsidP="00153384">
            <w:pPr>
              <w:keepNext/>
              <w:keepLines/>
              <w:spacing w:after="40" w:line="240" w:lineRule="auto"/>
              <w:jc w:val="right"/>
              <w:rPr>
                <w:rFonts w:ascii="Arial Narrow" w:hAnsi="Arial Narrow"/>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5EFB4BD6"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$1,096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69992D20"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-$1,096</w:t>
            </w:r>
          </w:p>
        </w:tc>
      </w:tr>
      <w:tr w:rsidR="006C641A" w:rsidRPr="007D1918" w14:paraId="228BC60D" w14:textId="77777777" w:rsidTr="00153384">
        <w:tc>
          <w:tcPr>
            <w:tcW w:w="4043" w:type="dxa"/>
          </w:tcPr>
          <w:p w14:paraId="270C0D26" w14:textId="77777777" w:rsidR="006C641A" w:rsidRPr="007D1918" w:rsidRDefault="006C641A" w:rsidP="00153384">
            <w:pPr>
              <w:keepNext/>
              <w:keepLines/>
              <w:spacing w:after="40" w:line="240" w:lineRule="auto"/>
              <w:ind w:left="346" w:hanging="141"/>
              <w:jc w:val="both"/>
              <w:rPr>
                <w:rFonts w:ascii="Arial Narrow" w:hAnsi="Arial Narrow"/>
                <w:sz w:val="20"/>
                <w:szCs w:val="20"/>
              </w:rPr>
            </w:pPr>
            <w:r w:rsidRPr="007D1918">
              <w:rPr>
                <w:rFonts w:ascii="Arial Narrow" w:hAnsi="Arial Narrow"/>
                <w:sz w:val="20"/>
                <w:szCs w:val="20"/>
              </w:rPr>
              <w:t>PE replacement diluent FFP</w:t>
            </w:r>
          </w:p>
        </w:tc>
        <w:tc>
          <w:tcPr>
            <w:tcW w:w="1347" w:type="dxa"/>
            <w:tcBorders>
              <w:top w:val="single" w:sz="4" w:space="0" w:color="auto"/>
              <w:left w:val="nil"/>
              <w:bottom w:val="single" w:sz="4" w:space="0" w:color="auto"/>
              <w:right w:val="single" w:sz="4" w:space="0" w:color="auto"/>
            </w:tcBorders>
            <w:shd w:val="clear" w:color="auto" w:fill="auto"/>
            <w:vAlign w:val="bottom"/>
          </w:tcPr>
          <w:p w14:paraId="14611F68" w14:textId="77777777" w:rsidR="006C641A" w:rsidRPr="007D1918" w:rsidRDefault="006C641A" w:rsidP="00153384">
            <w:pPr>
              <w:keepNext/>
              <w:keepLines/>
              <w:spacing w:after="40" w:line="240" w:lineRule="auto"/>
              <w:jc w:val="right"/>
              <w:rPr>
                <w:rFonts w:ascii="Arial Narrow" w:hAnsi="Arial Narrow"/>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6CFE9FE3"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$7,146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7F48AFC3"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-$7,146</w:t>
            </w:r>
          </w:p>
        </w:tc>
      </w:tr>
      <w:tr w:rsidR="006C641A" w:rsidRPr="007D1918" w14:paraId="63C5DE0A" w14:textId="77777777" w:rsidTr="00153384">
        <w:tc>
          <w:tcPr>
            <w:tcW w:w="4043" w:type="dxa"/>
          </w:tcPr>
          <w:p w14:paraId="67399E16" w14:textId="77777777" w:rsidR="006C641A" w:rsidRPr="007D1918" w:rsidRDefault="006C641A" w:rsidP="00153384">
            <w:pPr>
              <w:keepNext/>
              <w:keepLines/>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Hospital admission </w:t>
            </w:r>
          </w:p>
        </w:tc>
        <w:tc>
          <w:tcPr>
            <w:tcW w:w="1347" w:type="dxa"/>
            <w:tcBorders>
              <w:top w:val="single" w:sz="4" w:space="0" w:color="auto"/>
              <w:left w:val="nil"/>
              <w:bottom w:val="single" w:sz="4" w:space="0" w:color="auto"/>
              <w:right w:val="single" w:sz="4" w:space="0" w:color="auto"/>
            </w:tcBorders>
            <w:shd w:val="clear" w:color="auto" w:fill="auto"/>
          </w:tcPr>
          <w:p w14:paraId="2872A921"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$45,001</w:t>
            </w:r>
          </w:p>
        </w:tc>
        <w:tc>
          <w:tcPr>
            <w:tcW w:w="1348" w:type="dxa"/>
            <w:tcBorders>
              <w:top w:val="single" w:sz="4" w:space="0" w:color="auto"/>
              <w:left w:val="single" w:sz="4" w:space="0" w:color="auto"/>
              <w:bottom w:val="single" w:sz="4" w:space="0" w:color="auto"/>
              <w:right w:val="single" w:sz="4" w:space="0" w:color="auto"/>
            </w:tcBorders>
            <w:shd w:val="clear" w:color="auto" w:fill="auto"/>
          </w:tcPr>
          <w:p w14:paraId="51CF297C"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$45,001</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1377535D"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$0</w:t>
            </w:r>
          </w:p>
        </w:tc>
      </w:tr>
      <w:tr w:rsidR="006C641A" w:rsidRPr="007D1918" w14:paraId="22006856" w14:textId="77777777" w:rsidTr="00153384">
        <w:tc>
          <w:tcPr>
            <w:tcW w:w="4043" w:type="dxa"/>
            <w:tcBorders>
              <w:top w:val="single" w:sz="4" w:space="0" w:color="auto"/>
              <w:bottom w:val="single" w:sz="4" w:space="0" w:color="auto"/>
              <w:right w:val="single" w:sz="4" w:space="0" w:color="auto"/>
            </w:tcBorders>
          </w:tcPr>
          <w:p w14:paraId="38E41BDF" w14:textId="77777777" w:rsidR="006C641A" w:rsidRPr="007D1918" w:rsidRDefault="006C641A" w:rsidP="00153384">
            <w:pPr>
              <w:keepNext/>
              <w:keepLines/>
              <w:spacing w:after="40" w:line="240" w:lineRule="auto"/>
              <w:rPr>
                <w:rFonts w:ascii="Arial Narrow" w:hAnsi="Arial Narrow"/>
                <w:b/>
                <w:sz w:val="20"/>
                <w:szCs w:val="20"/>
              </w:rPr>
            </w:pPr>
            <w:r w:rsidRPr="007D1918">
              <w:rPr>
                <w:rFonts w:ascii="Arial Narrow" w:hAnsi="Arial Narrow"/>
                <w:b/>
                <w:sz w:val="20"/>
                <w:szCs w:val="20"/>
              </w:rPr>
              <w:t>Total Step 1</w:t>
            </w:r>
          </w:p>
        </w:tc>
        <w:tc>
          <w:tcPr>
            <w:tcW w:w="1347" w:type="dxa"/>
            <w:tcBorders>
              <w:top w:val="single" w:sz="4" w:space="0" w:color="auto"/>
              <w:left w:val="nil"/>
              <w:bottom w:val="single" w:sz="4" w:space="0" w:color="auto"/>
              <w:right w:val="single" w:sz="4" w:space="0" w:color="auto"/>
            </w:tcBorders>
            <w:shd w:val="clear" w:color="auto" w:fill="auto"/>
            <w:vAlign w:val="bottom"/>
          </w:tcPr>
          <w:p w14:paraId="220E059E"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sz w:val="20"/>
                <w:szCs w:val="20"/>
              </w:rPr>
              <w:t>$58,895</w:t>
            </w:r>
          </w:p>
        </w:tc>
        <w:tc>
          <w:tcPr>
            <w:tcW w:w="1348" w:type="dxa"/>
            <w:tcBorders>
              <w:top w:val="nil"/>
              <w:left w:val="single" w:sz="8" w:space="0" w:color="auto"/>
              <w:bottom w:val="single" w:sz="8" w:space="0" w:color="auto"/>
              <w:right w:val="single" w:sz="8" w:space="0" w:color="auto"/>
            </w:tcBorders>
            <w:shd w:val="clear" w:color="auto" w:fill="auto"/>
            <w:vAlign w:val="center"/>
          </w:tcPr>
          <w:p w14:paraId="0EFA3C71"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bCs/>
                <w:color w:val="000000"/>
                <w:sz w:val="20"/>
                <w:szCs w:val="20"/>
              </w:rPr>
              <w:t>$54,407</w:t>
            </w:r>
          </w:p>
        </w:tc>
        <w:tc>
          <w:tcPr>
            <w:tcW w:w="1694" w:type="dxa"/>
            <w:tcBorders>
              <w:top w:val="nil"/>
              <w:left w:val="nil"/>
              <w:bottom w:val="single" w:sz="8" w:space="0" w:color="auto"/>
              <w:right w:val="single" w:sz="8" w:space="0" w:color="auto"/>
            </w:tcBorders>
            <w:shd w:val="clear" w:color="auto" w:fill="auto"/>
            <w:vAlign w:val="center"/>
          </w:tcPr>
          <w:p w14:paraId="30ED7DD0"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bCs/>
                <w:color w:val="000000"/>
                <w:sz w:val="20"/>
                <w:szCs w:val="20"/>
              </w:rPr>
              <w:t>$4,488</w:t>
            </w:r>
          </w:p>
        </w:tc>
      </w:tr>
      <w:tr w:rsidR="006C641A" w:rsidRPr="007D1918" w14:paraId="573EC59A" w14:textId="77777777" w:rsidTr="00153384">
        <w:tc>
          <w:tcPr>
            <w:tcW w:w="8432" w:type="dxa"/>
            <w:gridSpan w:val="4"/>
          </w:tcPr>
          <w:p w14:paraId="04AF6192" w14:textId="77777777" w:rsidR="006C641A" w:rsidRPr="007D1918" w:rsidRDefault="006C641A" w:rsidP="00153384">
            <w:pPr>
              <w:keepNext/>
              <w:keepLines/>
              <w:spacing w:after="40" w:line="240" w:lineRule="auto"/>
              <w:jc w:val="both"/>
              <w:rPr>
                <w:rFonts w:ascii="Arial Narrow" w:hAnsi="Arial Narrow"/>
                <w:b/>
                <w:i/>
                <w:sz w:val="20"/>
                <w:szCs w:val="20"/>
              </w:rPr>
            </w:pPr>
            <w:r w:rsidRPr="007D1918">
              <w:rPr>
                <w:rFonts w:ascii="Arial Narrow" w:hAnsi="Arial Narrow"/>
                <w:b/>
                <w:i/>
                <w:sz w:val="20"/>
                <w:szCs w:val="20"/>
              </w:rPr>
              <w:t xml:space="preserve">Step 2: Adding cost of treatment failure and re-treatment </w:t>
            </w:r>
          </w:p>
        </w:tc>
      </w:tr>
      <w:tr w:rsidR="006C641A" w:rsidRPr="007D1918" w14:paraId="38954E16" w14:textId="77777777" w:rsidTr="00153384">
        <w:tc>
          <w:tcPr>
            <w:tcW w:w="4043" w:type="dxa"/>
          </w:tcPr>
          <w:p w14:paraId="1E2F7B31" w14:textId="77777777" w:rsidR="006C641A" w:rsidRPr="007D1918" w:rsidRDefault="006C641A" w:rsidP="00153384">
            <w:pPr>
              <w:pStyle w:val="Tablecontents"/>
              <w:keepNext/>
              <w:keepLines/>
            </w:pPr>
            <w:r w:rsidRPr="007D1918">
              <w:t>IVIg for 2</w:t>
            </w:r>
            <w:r w:rsidRPr="007D1918">
              <w:rPr>
                <w:vertAlign w:val="superscript"/>
              </w:rPr>
              <w:t>nd</w:t>
            </w:r>
            <w:r w:rsidRPr="007D1918">
              <w:t xml:space="preserve"> line treatment in 4.88% PE patients</w:t>
            </w:r>
          </w:p>
        </w:tc>
        <w:tc>
          <w:tcPr>
            <w:tcW w:w="1347" w:type="dxa"/>
          </w:tcPr>
          <w:p w14:paraId="1E95BCE7"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$0</w:t>
            </w:r>
          </w:p>
        </w:tc>
        <w:tc>
          <w:tcPr>
            <w:tcW w:w="1348" w:type="dxa"/>
          </w:tcPr>
          <w:p w14:paraId="717CA2F0"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$678</w:t>
            </w:r>
          </w:p>
        </w:tc>
        <w:tc>
          <w:tcPr>
            <w:tcW w:w="1694" w:type="dxa"/>
          </w:tcPr>
          <w:p w14:paraId="5583B3CB"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-$678</w:t>
            </w:r>
          </w:p>
        </w:tc>
      </w:tr>
      <w:tr w:rsidR="006C641A" w:rsidRPr="007D1918" w14:paraId="2FC33E14" w14:textId="77777777" w:rsidTr="00153384">
        <w:tc>
          <w:tcPr>
            <w:tcW w:w="4043" w:type="dxa"/>
          </w:tcPr>
          <w:p w14:paraId="52E16594" w14:textId="77777777" w:rsidR="006C641A" w:rsidRPr="007D1918" w:rsidRDefault="006C641A" w:rsidP="00153384">
            <w:pPr>
              <w:pStyle w:val="Tablecontents"/>
              <w:keepNext/>
              <w:keepLines/>
              <w:rPr>
                <w:b/>
              </w:rPr>
            </w:pPr>
            <w:r w:rsidRPr="007D1918">
              <w:rPr>
                <w:b/>
              </w:rPr>
              <w:t>Total Step 2</w:t>
            </w:r>
          </w:p>
        </w:tc>
        <w:tc>
          <w:tcPr>
            <w:tcW w:w="1347" w:type="dxa"/>
            <w:tcBorders>
              <w:top w:val="single" w:sz="8" w:space="0" w:color="auto"/>
              <w:left w:val="single" w:sz="8" w:space="0" w:color="auto"/>
              <w:bottom w:val="single" w:sz="8" w:space="0" w:color="000000"/>
              <w:right w:val="single" w:sz="8" w:space="0" w:color="auto"/>
            </w:tcBorders>
            <w:shd w:val="clear" w:color="auto" w:fill="auto"/>
            <w:vAlign w:val="center"/>
          </w:tcPr>
          <w:p w14:paraId="2C02B276"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bCs/>
                <w:color w:val="000000"/>
                <w:sz w:val="20"/>
                <w:szCs w:val="20"/>
              </w:rPr>
              <w:t>$58,895</w:t>
            </w:r>
          </w:p>
        </w:tc>
        <w:tc>
          <w:tcPr>
            <w:tcW w:w="1348" w:type="dxa"/>
            <w:vAlign w:val="bottom"/>
          </w:tcPr>
          <w:p w14:paraId="7E852E95"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sz w:val="20"/>
                <w:szCs w:val="20"/>
              </w:rPr>
              <w:t>$55,085</w:t>
            </w:r>
          </w:p>
        </w:tc>
        <w:tc>
          <w:tcPr>
            <w:tcW w:w="1694" w:type="dxa"/>
            <w:vAlign w:val="bottom"/>
          </w:tcPr>
          <w:p w14:paraId="5659028A"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sz w:val="20"/>
                <w:szCs w:val="20"/>
              </w:rPr>
              <w:t>$3,810</w:t>
            </w:r>
          </w:p>
        </w:tc>
      </w:tr>
      <w:tr w:rsidR="006C641A" w:rsidRPr="007D1918" w14:paraId="4351B748" w14:textId="77777777" w:rsidTr="00153384">
        <w:tc>
          <w:tcPr>
            <w:tcW w:w="4043" w:type="dxa"/>
          </w:tcPr>
          <w:p w14:paraId="703145DA" w14:textId="77777777" w:rsidR="006C641A" w:rsidRPr="007D1918" w:rsidRDefault="006C641A" w:rsidP="00153384">
            <w:pPr>
              <w:keepNext/>
              <w:keepLines/>
              <w:spacing w:after="40" w:line="240" w:lineRule="auto"/>
              <w:jc w:val="both"/>
              <w:rPr>
                <w:rFonts w:ascii="Arial Narrow" w:hAnsi="Arial Narrow"/>
                <w:b/>
                <w:i/>
                <w:sz w:val="20"/>
                <w:szCs w:val="20"/>
              </w:rPr>
            </w:pPr>
            <w:r w:rsidRPr="007D1918">
              <w:rPr>
                <w:rFonts w:ascii="Arial Narrow" w:hAnsi="Arial Narrow"/>
                <w:b/>
                <w:i/>
                <w:sz w:val="20"/>
                <w:szCs w:val="20"/>
              </w:rPr>
              <w:t>Step 3: Assuming updated PE fluid protocol</w:t>
            </w:r>
          </w:p>
        </w:tc>
        <w:tc>
          <w:tcPr>
            <w:tcW w:w="1347" w:type="dxa"/>
            <w:tcBorders>
              <w:top w:val="single" w:sz="8" w:space="0" w:color="auto"/>
              <w:left w:val="single" w:sz="8" w:space="0" w:color="auto"/>
              <w:bottom w:val="single" w:sz="8" w:space="0" w:color="000000"/>
              <w:right w:val="single" w:sz="8" w:space="0" w:color="auto"/>
            </w:tcBorders>
            <w:vAlign w:val="center"/>
          </w:tcPr>
          <w:p w14:paraId="2D51AC11" w14:textId="77777777" w:rsidR="006C641A" w:rsidRPr="007D1918" w:rsidRDefault="006C641A" w:rsidP="00153384">
            <w:pPr>
              <w:pStyle w:val="Tablecontents"/>
              <w:keepNext/>
              <w:keepLines/>
              <w:jc w:val="right"/>
              <w:rPr>
                <w:i/>
              </w:rPr>
            </w:pPr>
          </w:p>
        </w:tc>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3142C2FF" w14:textId="77777777" w:rsidR="006C641A" w:rsidRPr="007D1918" w:rsidRDefault="006C641A" w:rsidP="00153384">
            <w:pPr>
              <w:pStyle w:val="Tablecontents"/>
              <w:keepNext/>
              <w:keepLines/>
              <w:jc w:val="right"/>
              <w:rPr>
                <w:i/>
              </w:rPr>
            </w:pP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693F7AAA" w14:textId="77777777" w:rsidR="006C641A" w:rsidRPr="007D1918" w:rsidRDefault="006C641A" w:rsidP="00153384">
            <w:pPr>
              <w:pStyle w:val="Tablecontents"/>
              <w:keepNext/>
              <w:keepLines/>
              <w:jc w:val="right"/>
              <w:rPr>
                <w:i/>
              </w:rPr>
            </w:pPr>
          </w:p>
        </w:tc>
      </w:tr>
      <w:tr w:rsidR="006C641A" w:rsidRPr="007D1918" w14:paraId="4AD24D92" w14:textId="77777777" w:rsidTr="00153384">
        <w:tc>
          <w:tcPr>
            <w:tcW w:w="4043" w:type="dxa"/>
          </w:tcPr>
          <w:p w14:paraId="30F111BC" w14:textId="77777777" w:rsidR="006C641A" w:rsidRPr="007D1918" w:rsidRDefault="006C641A" w:rsidP="00153384">
            <w:pPr>
              <w:pStyle w:val="Tablecontents"/>
              <w:keepNext/>
              <w:keepLines/>
            </w:pPr>
            <w:r w:rsidRPr="007D1918">
              <w:t>Remove FFP</w:t>
            </w:r>
          </w:p>
        </w:tc>
        <w:tc>
          <w:tcPr>
            <w:tcW w:w="1347" w:type="dxa"/>
            <w:tcBorders>
              <w:top w:val="single" w:sz="4" w:space="0" w:color="auto"/>
              <w:left w:val="nil"/>
              <w:bottom w:val="single" w:sz="4" w:space="0" w:color="auto"/>
              <w:right w:val="single" w:sz="4" w:space="0" w:color="auto"/>
            </w:tcBorders>
            <w:shd w:val="clear" w:color="auto" w:fill="auto"/>
            <w:vAlign w:val="bottom"/>
          </w:tcPr>
          <w:p w14:paraId="2B422533" w14:textId="77777777" w:rsidR="006C641A" w:rsidRPr="007D1918" w:rsidRDefault="006C641A" w:rsidP="00153384">
            <w:pPr>
              <w:keepNext/>
              <w:keepLines/>
              <w:spacing w:after="40" w:line="240" w:lineRule="auto"/>
              <w:jc w:val="right"/>
              <w:rPr>
                <w:rFonts w:ascii="Arial Narrow" w:hAnsi="Arial Narrow"/>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2399EF71"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-$7,146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63839AB0"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-$7146</w:t>
            </w:r>
          </w:p>
        </w:tc>
      </w:tr>
      <w:tr w:rsidR="006C641A" w:rsidRPr="007D1918" w14:paraId="5037BB26" w14:textId="77777777" w:rsidTr="00153384">
        <w:tc>
          <w:tcPr>
            <w:tcW w:w="4043" w:type="dxa"/>
          </w:tcPr>
          <w:p w14:paraId="00F6A8A5" w14:textId="77777777" w:rsidR="006C641A" w:rsidRPr="007D1918" w:rsidRDefault="006C641A" w:rsidP="00153384">
            <w:pPr>
              <w:pStyle w:val="Tablecontents"/>
              <w:keepNext/>
              <w:keepLines/>
            </w:pPr>
            <w:r w:rsidRPr="007D1918">
              <w:t>Additional Albumin 4% (100% of PE fluid)</w:t>
            </w:r>
          </w:p>
        </w:tc>
        <w:tc>
          <w:tcPr>
            <w:tcW w:w="1347" w:type="dxa"/>
            <w:tcBorders>
              <w:top w:val="single" w:sz="4" w:space="0" w:color="auto"/>
              <w:left w:val="nil"/>
              <w:bottom w:val="single" w:sz="4" w:space="0" w:color="auto"/>
              <w:right w:val="single" w:sz="4" w:space="0" w:color="auto"/>
            </w:tcBorders>
            <w:shd w:val="clear" w:color="auto" w:fill="auto"/>
            <w:vAlign w:val="bottom"/>
          </w:tcPr>
          <w:p w14:paraId="11B063D0" w14:textId="77777777" w:rsidR="006C641A" w:rsidRPr="007D1918" w:rsidRDefault="006C641A" w:rsidP="00153384">
            <w:pPr>
              <w:keepNext/>
              <w:keepLines/>
              <w:spacing w:after="40" w:line="240" w:lineRule="auto"/>
              <w:jc w:val="right"/>
              <w:rPr>
                <w:rFonts w:ascii="Arial Narrow" w:hAnsi="Arial Narrow"/>
                <w:sz w:val="20"/>
                <w:szCs w:val="20"/>
              </w:rPr>
            </w:pPr>
          </w:p>
        </w:tc>
        <w:tc>
          <w:tcPr>
            <w:tcW w:w="1348" w:type="dxa"/>
            <w:tcBorders>
              <w:top w:val="single" w:sz="4" w:space="0" w:color="auto"/>
              <w:left w:val="single" w:sz="4" w:space="0" w:color="auto"/>
              <w:bottom w:val="single" w:sz="4" w:space="0" w:color="auto"/>
              <w:right w:val="single" w:sz="4" w:space="0" w:color="auto"/>
            </w:tcBorders>
            <w:shd w:val="clear" w:color="auto" w:fill="auto"/>
            <w:vAlign w:val="bottom"/>
          </w:tcPr>
          <w:p w14:paraId="36F1D9F0"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$1,096</w:t>
            </w:r>
          </w:p>
        </w:tc>
        <w:tc>
          <w:tcPr>
            <w:tcW w:w="1694" w:type="dxa"/>
            <w:tcBorders>
              <w:top w:val="single" w:sz="4" w:space="0" w:color="auto"/>
              <w:left w:val="single" w:sz="4" w:space="0" w:color="auto"/>
              <w:bottom w:val="single" w:sz="4" w:space="0" w:color="auto"/>
              <w:right w:val="single" w:sz="4" w:space="0" w:color="auto"/>
            </w:tcBorders>
            <w:shd w:val="clear" w:color="auto" w:fill="auto"/>
            <w:vAlign w:val="bottom"/>
          </w:tcPr>
          <w:p w14:paraId="77429414"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$1,096</w:t>
            </w:r>
          </w:p>
        </w:tc>
      </w:tr>
      <w:tr w:rsidR="006C641A" w:rsidRPr="007D1918" w14:paraId="03C1087D" w14:textId="77777777" w:rsidTr="00153384">
        <w:tc>
          <w:tcPr>
            <w:tcW w:w="4043" w:type="dxa"/>
          </w:tcPr>
          <w:p w14:paraId="051392A0" w14:textId="77777777" w:rsidR="006C641A" w:rsidRPr="007D1918" w:rsidRDefault="006C641A" w:rsidP="00153384">
            <w:pPr>
              <w:keepNext/>
              <w:keepLines/>
              <w:spacing w:after="40" w:line="240" w:lineRule="auto"/>
              <w:jc w:val="both"/>
              <w:rPr>
                <w:rFonts w:ascii="Arial Narrow" w:hAnsi="Arial Narrow"/>
                <w:b/>
                <w:sz w:val="20"/>
                <w:szCs w:val="20"/>
              </w:rPr>
            </w:pPr>
            <w:r w:rsidRPr="007D1918">
              <w:rPr>
                <w:rFonts w:ascii="Arial Narrow" w:hAnsi="Arial Narrow"/>
                <w:b/>
                <w:sz w:val="20"/>
                <w:szCs w:val="20"/>
              </w:rPr>
              <w:t>Total Step 3</w:t>
            </w:r>
          </w:p>
        </w:tc>
        <w:tc>
          <w:tcPr>
            <w:tcW w:w="1347" w:type="dxa"/>
            <w:tcBorders>
              <w:top w:val="single" w:sz="8" w:space="0" w:color="auto"/>
              <w:left w:val="single" w:sz="8" w:space="0" w:color="auto"/>
              <w:bottom w:val="single" w:sz="8" w:space="0" w:color="000000"/>
              <w:right w:val="single" w:sz="8" w:space="0" w:color="auto"/>
            </w:tcBorders>
            <w:shd w:val="clear" w:color="auto" w:fill="auto"/>
            <w:vAlign w:val="center"/>
          </w:tcPr>
          <w:p w14:paraId="5AECB43A"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bCs/>
                <w:color w:val="000000"/>
                <w:sz w:val="20"/>
                <w:szCs w:val="20"/>
              </w:rPr>
              <w:t>$58,895</w:t>
            </w:r>
          </w:p>
        </w:tc>
        <w:tc>
          <w:tcPr>
            <w:tcW w:w="1348" w:type="dxa"/>
            <w:tcBorders>
              <w:top w:val="single" w:sz="2" w:space="0" w:color="000000"/>
              <w:left w:val="single" w:sz="2" w:space="0" w:color="000000"/>
              <w:bottom w:val="single" w:sz="2" w:space="0" w:color="000000"/>
              <w:right w:val="single" w:sz="2" w:space="0" w:color="000000"/>
            </w:tcBorders>
            <w:shd w:val="clear" w:color="auto" w:fill="auto"/>
            <w:vAlign w:val="bottom"/>
          </w:tcPr>
          <w:p w14:paraId="45CB0670"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sz w:val="20"/>
                <w:szCs w:val="20"/>
              </w:rPr>
              <w:t>$49,035</w:t>
            </w:r>
          </w:p>
        </w:tc>
        <w:tc>
          <w:tcPr>
            <w:tcW w:w="1694" w:type="dxa"/>
            <w:tcBorders>
              <w:top w:val="single" w:sz="2" w:space="0" w:color="000000"/>
              <w:left w:val="single" w:sz="2" w:space="0" w:color="000000"/>
              <w:bottom w:val="single" w:sz="2" w:space="0" w:color="000000"/>
              <w:right w:val="single" w:sz="2" w:space="0" w:color="000000"/>
            </w:tcBorders>
            <w:shd w:val="clear" w:color="auto" w:fill="auto"/>
            <w:vAlign w:val="bottom"/>
          </w:tcPr>
          <w:p w14:paraId="18C2C9B6" w14:textId="77777777" w:rsidR="006C641A" w:rsidRPr="007D1918" w:rsidRDefault="006C641A" w:rsidP="00153384">
            <w:pPr>
              <w:keepNext/>
              <w:keepLines/>
              <w:spacing w:after="40" w:line="240" w:lineRule="auto"/>
              <w:jc w:val="right"/>
              <w:rPr>
                <w:rFonts w:ascii="Arial Narrow" w:hAnsi="Arial Narrow"/>
                <w:b/>
                <w:sz w:val="20"/>
                <w:szCs w:val="20"/>
              </w:rPr>
            </w:pPr>
            <w:r w:rsidRPr="007D1918">
              <w:rPr>
                <w:rFonts w:ascii="Arial Narrow" w:hAnsi="Arial Narrow"/>
                <w:b/>
                <w:sz w:val="20"/>
                <w:szCs w:val="20"/>
              </w:rPr>
              <w:t>$9,860</w:t>
            </w:r>
          </w:p>
        </w:tc>
      </w:tr>
      <w:tr w:rsidR="006C641A" w:rsidRPr="007D1918" w14:paraId="0C0943CA" w14:textId="77777777" w:rsidTr="00153384">
        <w:tc>
          <w:tcPr>
            <w:tcW w:w="8432" w:type="dxa"/>
            <w:gridSpan w:val="4"/>
            <w:tcBorders>
              <w:right w:val="single" w:sz="4" w:space="0" w:color="auto"/>
            </w:tcBorders>
          </w:tcPr>
          <w:p w14:paraId="1F6F4DD2" w14:textId="77777777" w:rsidR="006C641A" w:rsidRPr="007D1918" w:rsidRDefault="006C641A" w:rsidP="00153384">
            <w:pPr>
              <w:keepNext/>
              <w:keepLines/>
              <w:spacing w:after="40" w:line="240" w:lineRule="auto"/>
              <w:rPr>
                <w:rFonts w:ascii="Arial Narrow" w:hAnsi="Arial Narrow"/>
                <w:b/>
                <w:sz w:val="20"/>
                <w:szCs w:val="20"/>
              </w:rPr>
            </w:pPr>
            <w:r w:rsidRPr="007D1918">
              <w:rPr>
                <w:rFonts w:ascii="Arial Narrow" w:hAnsi="Arial Narrow"/>
                <w:b/>
                <w:sz w:val="20"/>
                <w:szCs w:val="20"/>
              </w:rPr>
              <w:t>Step 4: Adding the costs of treating adverse events</w:t>
            </w:r>
          </w:p>
        </w:tc>
      </w:tr>
      <w:tr w:rsidR="006C641A" w:rsidRPr="007D1918" w14:paraId="0F6B21BA" w14:textId="77777777" w:rsidTr="00153384">
        <w:tc>
          <w:tcPr>
            <w:tcW w:w="4043" w:type="dxa"/>
          </w:tcPr>
          <w:p w14:paraId="5A7A4F55" w14:textId="77777777" w:rsidR="006C641A" w:rsidRPr="007D1918" w:rsidRDefault="006C641A" w:rsidP="00153384">
            <w:pPr>
              <w:pStyle w:val="Tablecontents"/>
              <w:keepNext/>
              <w:keepLines/>
            </w:pPr>
            <w:r w:rsidRPr="007D1918">
              <w:t>Retroperitoneal Haematoma (in 2.44% of patients)</w:t>
            </w:r>
          </w:p>
        </w:tc>
        <w:tc>
          <w:tcPr>
            <w:tcW w:w="1347" w:type="dxa"/>
            <w:tcBorders>
              <w:top w:val="single" w:sz="4" w:space="0" w:color="auto"/>
              <w:left w:val="nil"/>
              <w:bottom w:val="single" w:sz="4" w:space="0" w:color="auto"/>
              <w:right w:val="single" w:sz="4" w:space="0" w:color="auto"/>
            </w:tcBorders>
            <w:shd w:val="clear" w:color="auto" w:fill="auto"/>
            <w:vAlign w:val="bottom"/>
          </w:tcPr>
          <w:p w14:paraId="21425D80" w14:textId="77777777" w:rsidR="006C641A" w:rsidRPr="007D1918" w:rsidRDefault="006C641A" w:rsidP="00153384">
            <w:pPr>
              <w:keepNext/>
              <w:keepLines/>
              <w:spacing w:after="40" w:line="240" w:lineRule="auto"/>
              <w:jc w:val="right"/>
              <w:rPr>
                <w:rFonts w:ascii="Arial Narrow" w:hAnsi="Arial Narrow"/>
                <w:sz w:val="20"/>
                <w:szCs w:val="20"/>
              </w:rPr>
            </w:pPr>
          </w:p>
        </w:tc>
        <w:tc>
          <w:tcPr>
            <w:tcW w:w="1348" w:type="dxa"/>
            <w:vAlign w:val="center"/>
          </w:tcPr>
          <w:p w14:paraId="0A09C761"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$586</w:t>
            </w:r>
          </w:p>
        </w:tc>
        <w:tc>
          <w:tcPr>
            <w:tcW w:w="1694" w:type="dxa"/>
            <w:vAlign w:val="center"/>
          </w:tcPr>
          <w:p w14:paraId="3432797B"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$586</w:t>
            </w:r>
          </w:p>
        </w:tc>
      </w:tr>
      <w:tr w:rsidR="006C641A" w:rsidRPr="007D1918" w14:paraId="4FB35BC5" w14:textId="77777777" w:rsidTr="00153384">
        <w:tc>
          <w:tcPr>
            <w:tcW w:w="4043" w:type="dxa"/>
          </w:tcPr>
          <w:p w14:paraId="1BF99F55" w14:textId="77777777" w:rsidR="006C641A" w:rsidRPr="007D1918" w:rsidRDefault="006C641A" w:rsidP="00153384">
            <w:pPr>
              <w:pStyle w:val="Tablecontents"/>
              <w:keepNext/>
              <w:keepLines/>
            </w:pPr>
            <w:r w:rsidRPr="007D1918">
              <w:t>Femoral Thrombosis (in 2.44% of patients)</w:t>
            </w:r>
          </w:p>
        </w:tc>
        <w:tc>
          <w:tcPr>
            <w:tcW w:w="1347" w:type="dxa"/>
            <w:tcBorders>
              <w:top w:val="single" w:sz="4" w:space="0" w:color="auto"/>
              <w:left w:val="nil"/>
              <w:bottom w:val="single" w:sz="4" w:space="0" w:color="auto"/>
              <w:right w:val="single" w:sz="4" w:space="0" w:color="auto"/>
            </w:tcBorders>
            <w:shd w:val="clear" w:color="auto" w:fill="auto"/>
            <w:vAlign w:val="bottom"/>
          </w:tcPr>
          <w:p w14:paraId="526253A6" w14:textId="77777777" w:rsidR="006C641A" w:rsidRPr="007D1918" w:rsidRDefault="006C641A" w:rsidP="00153384">
            <w:pPr>
              <w:keepNext/>
              <w:keepLines/>
              <w:spacing w:after="40" w:line="240" w:lineRule="auto"/>
              <w:jc w:val="right"/>
              <w:rPr>
                <w:rFonts w:ascii="Arial Narrow" w:hAnsi="Arial Narrow"/>
                <w:sz w:val="20"/>
                <w:szCs w:val="20"/>
              </w:rPr>
            </w:pPr>
          </w:p>
        </w:tc>
        <w:tc>
          <w:tcPr>
            <w:tcW w:w="1348" w:type="dxa"/>
            <w:tcBorders>
              <w:top w:val="single" w:sz="4" w:space="0" w:color="auto"/>
              <w:left w:val="nil"/>
              <w:bottom w:val="single" w:sz="4" w:space="0" w:color="auto"/>
              <w:right w:val="single" w:sz="4" w:space="0" w:color="auto"/>
            </w:tcBorders>
            <w:shd w:val="clear" w:color="auto" w:fill="auto"/>
            <w:vAlign w:val="center"/>
          </w:tcPr>
          <w:p w14:paraId="212FE3FE"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$49</w:t>
            </w:r>
          </w:p>
        </w:tc>
        <w:tc>
          <w:tcPr>
            <w:tcW w:w="1694" w:type="dxa"/>
            <w:tcBorders>
              <w:top w:val="single" w:sz="4" w:space="0" w:color="auto"/>
              <w:left w:val="nil"/>
              <w:bottom w:val="single" w:sz="4" w:space="0" w:color="auto"/>
              <w:right w:val="single" w:sz="4" w:space="0" w:color="auto"/>
            </w:tcBorders>
            <w:shd w:val="clear" w:color="auto" w:fill="auto"/>
            <w:vAlign w:val="center"/>
          </w:tcPr>
          <w:p w14:paraId="454A5533" w14:textId="77777777" w:rsidR="006C641A" w:rsidRPr="007D1918" w:rsidRDefault="006C641A" w:rsidP="00153384">
            <w:pPr>
              <w:keepNext/>
              <w:keepLines/>
              <w:spacing w:after="40" w:line="240" w:lineRule="auto"/>
              <w:jc w:val="right"/>
              <w:rPr>
                <w:rFonts w:ascii="Arial Narrow" w:hAnsi="Arial Narrow"/>
                <w:sz w:val="20"/>
                <w:szCs w:val="20"/>
              </w:rPr>
            </w:pPr>
            <w:r w:rsidRPr="007D1918">
              <w:rPr>
                <w:rFonts w:ascii="Arial Narrow" w:hAnsi="Arial Narrow"/>
                <w:sz w:val="20"/>
                <w:szCs w:val="20"/>
              </w:rPr>
              <w:t>$49</w:t>
            </w:r>
          </w:p>
        </w:tc>
      </w:tr>
      <w:tr w:rsidR="00911631" w:rsidRPr="007D1918" w14:paraId="7D2BBB97" w14:textId="77777777" w:rsidTr="00FD38A8">
        <w:tc>
          <w:tcPr>
            <w:tcW w:w="4043" w:type="dxa"/>
          </w:tcPr>
          <w:p w14:paraId="2ED47107" w14:textId="77777777" w:rsidR="00911631" w:rsidRPr="007D1918" w:rsidRDefault="00911631" w:rsidP="00911631">
            <w:pPr>
              <w:pStyle w:val="Tablecontents"/>
              <w:keepNext/>
              <w:keepLines/>
              <w:rPr>
                <w:b/>
              </w:rPr>
            </w:pPr>
            <w:r w:rsidRPr="007D1918">
              <w:rPr>
                <w:b/>
              </w:rPr>
              <w:t>Total Step 4</w:t>
            </w:r>
          </w:p>
        </w:tc>
        <w:tc>
          <w:tcPr>
            <w:tcW w:w="1347" w:type="dxa"/>
            <w:tcBorders>
              <w:top w:val="single" w:sz="4" w:space="0" w:color="auto"/>
              <w:left w:val="nil"/>
              <w:bottom w:val="single" w:sz="4" w:space="0" w:color="auto"/>
              <w:right w:val="single" w:sz="4" w:space="0" w:color="auto"/>
            </w:tcBorders>
            <w:shd w:val="clear" w:color="auto" w:fill="auto"/>
            <w:vAlign w:val="bottom"/>
          </w:tcPr>
          <w:p w14:paraId="2700F8EE" w14:textId="77777777" w:rsidR="00911631" w:rsidRPr="007D1918" w:rsidRDefault="00911631" w:rsidP="00911631">
            <w:pPr>
              <w:keepNext/>
              <w:keepLines/>
              <w:spacing w:after="40" w:line="240" w:lineRule="auto"/>
              <w:jc w:val="right"/>
              <w:rPr>
                <w:rFonts w:ascii="Arial Narrow" w:hAnsi="Arial Narrow"/>
                <w:b/>
                <w:sz w:val="20"/>
                <w:szCs w:val="20"/>
              </w:rPr>
            </w:pPr>
            <w:r w:rsidRPr="007D1918">
              <w:rPr>
                <w:rFonts w:ascii="Arial Narrow" w:hAnsi="Arial Narrow"/>
                <w:b/>
                <w:sz w:val="20"/>
                <w:szCs w:val="20"/>
              </w:rPr>
              <w:t>$58,895</w:t>
            </w:r>
          </w:p>
        </w:tc>
        <w:tc>
          <w:tcPr>
            <w:tcW w:w="1348" w:type="dxa"/>
            <w:tcBorders>
              <w:top w:val="nil"/>
              <w:left w:val="nil"/>
              <w:bottom w:val="nil"/>
              <w:right w:val="nil"/>
            </w:tcBorders>
            <w:shd w:val="clear" w:color="auto" w:fill="auto"/>
            <w:vAlign w:val="bottom"/>
          </w:tcPr>
          <w:p w14:paraId="6B5A7EB3" w14:textId="7941EE87" w:rsidR="00911631" w:rsidRPr="007D1918" w:rsidRDefault="00911631" w:rsidP="00911631">
            <w:pPr>
              <w:keepNext/>
              <w:keepLines/>
              <w:spacing w:after="40" w:line="240" w:lineRule="auto"/>
              <w:jc w:val="right"/>
              <w:rPr>
                <w:rFonts w:ascii="Arial Narrow" w:hAnsi="Arial Narrow"/>
                <w:b/>
                <w:sz w:val="20"/>
                <w:szCs w:val="20"/>
              </w:rPr>
            </w:pPr>
            <w:r w:rsidRPr="007D1918">
              <w:rPr>
                <w:rFonts w:ascii="Arial Narrow" w:hAnsi="Arial Narrow"/>
                <w:b/>
                <w:sz w:val="20"/>
                <w:szCs w:val="20"/>
              </w:rPr>
              <w:t>$50,998</w:t>
            </w:r>
          </w:p>
        </w:tc>
        <w:tc>
          <w:tcPr>
            <w:tcW w:w="1694" w:type="dxa"/>
            <w:tcBorders>
              <w:top w:val="nil"/>
              <w:left w:val="nil"/>
              <w:bottom w:val="nil"/>
              <w:right w:val="nil"/>
            </w:tcBorders>
            <w:shd w:val="clear" w:color="auto" w:fill="auto"/>
            <w:vAlign w:val="bottom"/>
          </w:tcPr>
          <w:p w14:paraId="09BB9ABB" w14:textId="548D7BDD" w:rsidR="00911631" w:rsidRPr="007D1918" w:rsidRDefault="00911631" w:rsidP="00911631">
            <w:pPr>
              <w:keepNext/>
              <w:keepLines/>
              <w:spacing w:after="40" w:line="240" w:lineRule="auto"/>
              <w:jc w:val="right"/>
              <w:rPr>
                <w:rFonts w:ascii="Arial Narrow" w:hAnsi="Arial Narrow"/>
                <w:b/>
                <w:sz w:val="20"/>
                <w:szCs w:val="20"/>
              </w:rPr>
            </w:pPr>
            <w:r w:rsidRPr="007D1918">
              <w:rPr>
                <w:rFonts w:ascii="Arial Narrow" w:hAnsi="Arial Narrow"/>
                <w:b/>
                <w:sz w:val="20"/>
                <w:szCs w:val="20"/>
              </w:rPr>
              <w:t>$7,898</w:t>
            </w:r>
          </w:p>
        </w:tc>
      </w:tr>
      <w:tr w:rsidR="006C641A" w:rsidRPr="007D1918" w14:paraId="566AFFD9" w14:textId="77777777" w:rsidTr="00153384">
        <w:tc>
          <w:tcPr>
            <w:tcW w:w="8432" w:type="dxa"/>
            <w:gridSpan w:val="4"/>
          </w:tcPr>
          <w:p w14:paraId="11C890E3" w14:textId="32ABD5B3" w:rsidR="006C641A" w:rsidRPr="007D1918" w:rsidRDefault="006C641A" w:rsidP="00153384">
            <w:pPr>
              <w:keepNext/>
              <w:keepLines/>
              <w:spacing w:after="40" w:line="240" w:lineRule="auto"/>
              <w:rPr>
                <w:rFonts w:ascii="Arial Narrow" w:hAnsi="Arial Narrow"/>
                <w:b/>
                <w:sz w:val="20"/>
                <w:szCs w:val="20"/>
              </w:rPr>
            </w:pPr>
            <w:r w:rsidRPr="007D1918">
              <w:rPr>
                <w:rFonts w:ascii="Arial Narrow" w:hAnsi="Arial Narrow"/>
                <w:b/>
                <w:sz w:val="20"/>
                <w:szCs w:val="20"/>
              </w:rPr>
              <w:t>Health outcome (safety) consequences</w:t>
            </w:r>
            <w:r w:rsidR="005619FC" w:rsidRPr="007D1918">
              <w:rPr>
                <w:rFonts w:ascii="Arial Narrow" w:hAnsi="Arial Narrow"/>
                <w:b/>
                <w:sz w:val="20"/>
                <w:szCs w:val="20"/>
              </w:rPr>
              <w:t xml:space="preserve"> (within trial time)</w:t>
            </w:r>
          </w:p>
        </w:tc>
      </w:tr>
      <w:tr w:rsidR="006C641A" w:rsidRPr="007D1918" w14:paraId="03F1113A" w14:textId="77777777" w:rsidTr="00153384">
        <w:tc>
          <w:tcPr>
            <w:tcW w:w="4043" w:type="dxa"/>
          </w:tcPr>
          <w:p w14:paraId="61E60830" w14:textId="77777777" w:rsidR="006C641A" w:rsidRPr="007D1918" w:rsidRDefault="006C641A" w:rsidP="00153384">
            <w:pPr>
              <w:keepNext/>
              <w:keepLines/>
              <w:spacing w:after="40" w:line="240" w:lineRule="auto"/>
              <w:ind w:left="204"/>
              <w:jc w:val="both"/>
              <w:rPr>
                <w:rFonts w:ascii="Arial Narrow" w:hAnsi="Arial Narrow"/>
                <w:sz w:val="20"/>
                <w:szCs w:val="20"/>
              </w:rPr>
            </w:pPr>
            <w:r w:rsidRPr="007D1918">
              <w:rPr>
                <w:rFonts w:ascii="Arial Narrow" w:hAnsi="Arial Narrow"/>
                <w:sz w:val="20"/>
                <w:szCs w:val="20"/>
              </w:rPr>
              <w:t>Patients with adverse events</w:t>
            </w:r>
          </w:p>
        </w:tc>
        <w:tc>
          <w:tcPr>
            <w:tcW w:w="1347" w:type="dxa"/>
          </w:tcPr>
          <w:p w14:paraId="50D509E7" w14:textId="77777777" w:rsidR="006C641A" w:rsidRPr="007D1918" w:rsidRDefault="006C641A" w:rsidP="00153384">
            <w:pPr>
              <w:keepNext/>
              <w:keepLines/>
              <w:spacing w:after="40" w:line="240" w:lineRule="auto"/>
              <w:jc w:val="center"/>
              <w:rPr>
                <w:rFonts w:ascii="Arial Narrow" w:hAnsi="Arial Narrow"/>
                <w:sz w:val="20"/>
                <w:szCs w:val="20"/>
              </w:rPr>
            </w:pPr>
            <w:r w:rsidRPr="007D1918">
              <w:rPr>
                <w:rFonts w:ascii="Arial Narrow" w:hAnsi="Arial Narrow"/>
                <w:sz w:val="20"/>
                <w:szCs w:val="20"/>
              </w:rPr>
              <w:t>2.2%</w:t>
            </w:r>
            <w:bookmarkStart w:id="448" w:name="_GoBack"/>
            <w:bookmarkEnd w:id="448"/>
          </w:p>
        </w:tc>
        <w:tc>
          <w:tcPr>
            <w:tcW w:w="1348" w:type="dxa"/>
          </w:tcPr>
          <w:p w14:paraId="17E9D569" w14:textId="77777777" w:rsidR="006C641A" w:rsidRPr="007D1918" w:rsidRDefault="006C641A" w:rsidP="00153384">
            <w:pPr>
              <w:keepNext/>
              <w:keepLines/>
              <w:spacing w:after="40" w:line="240" w:lineRule="auto"/>
              <w:jc w:val="center"/>
              <w:rPr>
                <w:rFonts w:ascii="Arial Narrow" w:hAnsi="Arial Narrow"/>
                <w:sz w:val="20"/>
                <w:szCs w:val="20"/>
              </w:rPr>
            </w:pPr>
            <w:r w:rsidRPr="007D1918">
              <w:rPr>
                <w:rFonts w:ascii="Arial Narrow" w:hAnsi="Arial Narrow"/>
                <w:sz w:val="20"/>
                <w:szCs w:val="20"/>
              </w:rPr>
              <w:t>19.5%</w:t>
            </w:r>
          </w:p>
        </w:tc>
        <w:tc>
          <w:tcPr>
            <w:tcW w:w="1694" w:type="dxa"/>
          </w:tcPr>
          <w:p w14:paraId="00ACE59B" w14:textId="77777777" w:rsidR="006C641A" w:rsidRPr="007D1918" w:rsidRDefault="006C641A" w:rsidP="00635D2F">
            <w:pPr>
              <w:keepNext/>
              <w:keepLines/>
              <w:spacing w:after="40" w:line="240" w:lineRule="auto"/>
              <w:jc w:val="right"/>
              <w:rPr>
                <w:rFonts w:ascii="Arial Narrow" w:hAnsi="Arial Narrow"/>
                <w:sz w:val="20"/>
                <w:szCs w:val="20"/>
              </w:rPr>
            </w:pPr>
            <w:r w:rsidRPr="007D1918">
              <w:rPr>
                <w:rFonts w:ascii="Arial Narrow" w:hAnsi="Arial Narrow"/>
                <w:sz w:val="20"/>
                <w:szCs w:val="20"/>
              </w:rPr>
              <w:t>-17.3%</w:t>
            </w:r>
          </w:p>
        </w:tc>
      </w:tr>
      <w:tr w:rsidR="006C641A" w:rsidRPr="007D1918" w14:paraId="50051639" w14:textId="77777777" w:rsidTr="00153384">
        <w:tc>
          <w:tcPr>
            <w:tcW w:w="4043" w:type="dxa"/>
          </w:tcPr>
          <w:p w14:paraId="522E8E1A" w14:textId="77777777" w:rsidR="006C641A" w:rsidRPr="007D1918" w:rsidRDefault="006C641A" w:rsidP="00153384">
            <w:pPr>
              <w:keepNext/>
              <w:keepLines/>
              <w:spacing w:after="40" w:line="240" w:lineRule="auto"/>
              <w:ind w:left="204"/>
              <w:jc w:val="both"/>
              <w:rPr>
                <w:rFonts w:ascii="Arial Narrow" w:hAnsi="Arial Narrow"/>
                <w:sz w:val="20"/>
                <w:szCs w:val="20"/>
              </w:rPr>
            </w:pPr>
            <w:r w:rsidRPr="007D1918">
              <w:rPr>
                <w:rFonts w:ascii="Arial Narrow" w:hAnsi="Arial Narrow"/>
                <w:sz w:val="20"/>
                <w:szCs w:val="20"/>
              </w:rPr>
              <w:t>Patients with clinically significant adverse events</w:t>
            </w:r>
          </w:p>
        </w:tc>
        <w:tc>
          <w:tcPr>
            <w:tcW w:w="1347" w:type="dxa"/>
          </w:tcPr>
          <w:p w14:paraId="5F0E4AFA" w14:textId="77777777" w:rsidR="006C641A" w:rsidRPr="007D1918" w:rsidRDefault="006C641A" w:rsidP="00153384">
            <w:pPr>
              <w:keepNext/>
              <w:keepLines/>
              <w:spacing w:after="40" w:line="240" w:lineRule="auto"/>
              <w:jc w:val="center"/>
              <w:rPr>
                <w:rFonts w:ascii="Arial Narrow" w:hAnsi="Arial Narrow"/>
                <w:sz w:val="20"/>
                <w:szCs w:val="20"/>
              </w:rPr>
            </w:pPr>
            <w:r w:rsidRPr="007D1918">
              <w:rPr>
                <w:rFonts w:ascii="Arial Narrow" w:hAnsi="Arial Narrow"/>
                <w:sz w:val="20"/>
                <w:szCs w:val="20"/>
              </w:rPr>
              <w:t>0%</w:t>
            </w:r>
          </w:p>
        </w:tc>
        <w:tc>
          <w:tcPr>
            <w:tcW w:w="1348" w:type="dxa"/>
          </w:tcPr>
          <w:p w14:paraId="425F3701" w14:textId="77777777" w:rsidR="006C641A" w:rsidRPr="007D1918" w:rsidRDefault="006C641A" w:rsidP="00153384">
            <w:pPr>
              <w:keepNext/>
              <w:keepLines/>
              <w:spacing w:after="40" w:line="240" w:lineRule="auto"/>
              <w:jc w:val="center"/>
              <w:rPr>
                <w:rFonts w:ascii="Arial Narrow" w:hAnsi="Arial Narrow"/>
                <w:sz w:val="20"/>
                <w:szCs w:val="20"/>
              </w:rPr>
            </w:pPr>
            <w:r w:rsidRPr="007D1918">
              <w:rPr>
                <w:rFonts w:ascii="Arial Narrow" w:hAnsi="Arial Narrow"/>
                <w:sz w:val="20"/>
                <w:szCs w:val="20"/>
              </w:rPr>
              <w:t>4.9%</w:t>
            </w:r>
          </w:p>
        </w:tc>
        <w:tc>
          <w:tcPr>
            <w:tcW w:w="1694" w:type="dxa"/>
          </w:tcPr>
          <w:p w14:paraId="59CE0790" w14:textId="77777777" w:rsidR="006C641A" w:rsidRPr="007D1918" w:rsidRDefault="006C641A" w:rsidP="00635D2F">
            <w:pPr>
              <w:keepNext/>
              <w:keepLines/>
              <w:spacing w:after="40" w:line="240" w:lineRule="auto"/>
              <w:jc w:val="right"/>
              <w:rPr>
                <w:rFonts w:ascii="Arial Narrow" w:hAnsi="Arial Narrow"/>
                <w:sz w:val="20"/>
                <w:szCs w:val="20"/>
              </w:rPr>
            </w:pPr>
            <w:r w:rsidRPr="007D1918">
              <w:rPr>
                <w:rFonts w:ascii="Arial Narrow" w:hAnsi="Arial Narrow"/>
                <w:sz w:val="20"/>
                <w:szCs w:val="20"/>
              </w:rPr>
              <w:t>-4.9%</w:t>
            </w:r>
          </w:p>
        </w:tc>
      </w:tr>
      <w:tr w:rsidR="006C641A" w:rsidRPr="002814BF" w14:paraId="01B513B4" w14:textId="77777777" w:rsidTr="002814BF">
        <w:tc>
          <w:tcPr>
            <w:tcW w:w="4043" w:type="dxa"/>
            <w:tcBorders>
              <w:bottom w:val="double" w:sz="4" w:space="0" w:color="auto"/>
            </w:tcBorders>
            <w:shd w:val="clear" w:color="auto" w:fill="auto"/>
          </w:tcPr>
          <w:p w14:paraId="6E326CA9" w14:textId="6469D4F5" w:rsidR="006C641A" w:rsidRPr="002814BF" w:rsidRDefault="006C641A" w:rsidP="002814BF">
            <w:pPr>
              <w:keepNext/>
              <w:keepLines/>
              <w:spacing w:after="40" w:line="240" w:lineRule="auto"/>
              <w:ind w:left="204"/>
              <w:jc w:val="both"/>
              <w:rPr>
                <w:rFonts w:ascii="Arial Narrow" w:hAnsi="Arial Narrow"/>
                <w:sz w:val="20"/>
                <w:szCs w:val="20"/>
              </w:rPr>
            </w:pPr>
            <w:r w:rsidRPr="002814BF">
              <w:rPr>
                <w:rFonts w:ascii="Arial Narrow" w:hAnsi="Arial Narrow"/>
                <w:sz w:val="20"/>
                <w:szCs w:val="20"/>
              </w:rPr>
              <w:t>QALY decrement due to AEs</w:t>
            </w:r>
            <w:r w:rsidR="006253DC" w:rsidRPr="002814BF">
              <w:rPr>
                <w:rFonts w:ascii="Arial Narrow" w:hAnsi="Arial Narrow"/>
                <w:sz w:val="20"/>
                <w:szCs w:val="20"/>
              </w:rPr>
              <w:t xml:space="preserve"> (RH and FT)</w:t>
            </w:r>
          </w:p>
        </w:tc>
        <w:tc>
          <w:tcPr>
            <w:tcW w:w="1347" w:type="dxa"/>
            <w:tcBorders>
              <w:bottom w:val="double" w:sz="4" w:space="0" w:color="auto"/>
            </w:tcBorders>
          </w:tcPr>
          <w:p w14:paraId="1F7F7513" w14:textId="77777777" w:rsidR="006C641A" w:rsidRPr="002814BF" w:rsidRDefault="006C641A" w:rsidP="002814BF">
            <w:pPr>
              <w:keepNext/>
              <w:keepLines/>
              <w:spacing w:after="40" w:line="240" w:lineRule="auto"/>
              <w:jc w:val="center"/>
              <w:rPr>
                <w:rFonts w:ascii="Arial Narrow" w:hAnsi="Arial Narrow"/>
                <w:sz w:val="20"/>
                <w:szCs w:val="20"/>
              </w:rPr>
            </w:pPr>
          </w:p>
        </w:tc>
        <w:tc>
          <w:tcPr>
            <w:tcW w:w="1348" w:type="dxa"/>
            <w:tcBorders>
              <w:bottom w:val="double" w:sz="4" w:space="0" w:color="auto"/>
            </w:tcBorders>
          </w:tcPr>
          <w:p w14:paraId="77BB201B" w14:textId="48FC40A3" w:rsidR="006C641A" w:rsidRPr="002814BF" w:rsidRDefault="00D62E2F" w:rsidP="002814BF">
            <w:pPr>
              <w:keepNext/>
              <w:keepLines/>
              <w:spacing w:after="40" w:line="240" w:lineRule="auto"/>
              <w:jc w:val="center"/>
              <w:rPr>
                <w:rFonts w:ascii="Arial Narrow" w:hAnsi="Arial Narrow"/>
                <w:sz w:val="20"/>
                <w:szCs w:val="20"/>
              </w:rPr>
            </w:pPr>
            <w:r w:rsidRPr="002814BF">
              <w:rPr>
                <w:rFonts w:ascii="Arial Narrow" w:hAnsi="Arial Narrow"/>
                <w:sz w:val="20"/>
                <w:szCs w:val="20"/>
              </w:rPr>
              <w:t>-0.001100</w:t>
            </w:r>
          </w:p>
        </w:tc>
        <w:tc>
          <w:tcPr>
            <w:tcW w:w="1694" w:type="dxa"/>
            <w:tcBorders>
              <w:bottom w:val="double" w:sz="4" w:space="0" w:color="auto"/>
            </w:tcBorders>
          </w:tcPr>
          <w:p w14:paraId="60CBB394" w14:textId="77777777" w:rsidR="006C641A" w:rsidRPr="002814BF" w:rsidRDefault="006C641A" w:rsidP="002814BF">
            <w:pPr>
              <w:keepNext/>
              <w:keepLines/>
              <w:spacing w:after="40" w:line="240" w:lineRule="auto"/>
              <w:jc w:val="right"/>
              <w:rPr>
                <w:rFonts w:ascii="Arial Narrow" w:hAnsi="Arial Narrow"/>
                <w:sz w:val="20"/>
                <w:szCs w:val="20"/>
              </w:rPr>
            </w:pPr>
            <w:r w:rsidRPr="002814BF">
              <w:rPr>
                <w:rFonts w:ascii="Arial Narrow" w:hAnsi="Arial Narrow"/>
                <w:sz w:val="20"/>
                <w:szCs w:val="20"/>
              </w:rPr>
              <w:t>0.001100</w:t>
            </w:r>
          </w:p>
        </w:tc>
      </w:tr>
      <w:tr w:rsidR="006C641A" w:rsidRPr="002814BF" w14:paraId="2AA91093" w14:textId="77777777" w:rsidTr="002814BF">
        <w:tc>
          <w:tcPr>
            <w:tcW w:w="4043" w:type="dxa"/>
            <w:tcBorders>
              <w:top w:val="double" w:sz="4" w:space="0" w:color="auto"/>
              <w:left w:val="double" w:sz="4" w:space="0" w:color="auto"/>
              <w:bottom w:val="double" w:sz="4" w:space="0" w:color="auto"/>
              <w:right w:val="double" w:sz="4" w:space="0" w:color="auto"/>
            </w:tcBorders>
            <w:shd w:val="clear" w:color="auto" w:fill="auto"/>
          </w:tcPr>
          <w:p w14:paraId="1AC19930" w14:textId="7DA0EA20" w:rsidR="006C641A" w:rsidRPr="002814BF" w:rsidRDefault="006253DC" w:rsidP="002814BF">
            <w:pPr>
              <w:keepNext/>
              <w:keepLines/>
              <w:spacing w:after="40" w:line="240" w:lineRule="auto"/>
              <w:jc w:val="both"/>
              <w:rPr>
                <w:rFonts w:ascii="Arial Narrow" w:hAnsi="Arial Narrow"/>
                <w:b/>
                <w:sz w:val="20"/>
                <w:szCs w:val="20"/>
              </w:rPr>
            </w:pPr>
            <w:r w:rsidRPr="002814BF">
              <w:rPr>
                <w:rFonts w:ascii="Arial Narrow" w:hAnsi="Arial Narrow"/>
                <w:b/>
                <w:sz w:val="20"/>
                <w:szCs w:val="20"/>
              </w:rPr>
              <w:t xml:space="preserve">Step 4 </w:t>
            </w:r>
            <w:r w:rsidR="006C641A" w:rsidRPr="002814BF">
              <w:rPr>
                <w:rFonts w:ascii="Arial Narrow" w:hAnsi="Arial Narrow"/>
                <w:b/>
                <w:sz w:val="20"/>
                <w:szCs w:val="20"/>
              </w:rPr>
              <w:t>ICER ($/QALY)</w:t>
            </w:r>
          </w:p>
        </w:tc>
        <w:tc>
          <w:tcPr>
            <w:tcW w:w="1347" w:type="dxa"/>
            <w:tcBorders>
              <w:top w:val="double" w:sz="4" w:space="0" w:color="auto"/>
              <w:left w:val="double" w:sz="4" w:space="0" w:color="auto"/>
              <w:bottom w:val="double" w:sz="4" w:space="0" w:color="auto"/>
              <w:right w:val="double" w:sz="4" w:space="0" w:color="auto"/>
            </w:tcBorders>
            <w:shd w:val="clear" w:color="auto" w:fill="auto"/>
          </w:tcPr>
          <w:p w14:paraId="101E9425" w14:textId="77777777" w:rsidR="006C641A" w:rsidRPr="002814BF" w:rsidRDefault="006C641A" w:rsidP="002814BF">
            <w:pPr>
              <w:keepNext/>
              <w:keepLines/>
              <w:spacing w:after="40" w:line="240" w:lineRule="auto"/>
              <w:jc w:val="center"/>
              <w:rPr>
                <w:rFonts w:ascii="Arial Narrow" w:hAnsi="Arial Narrow"/>
                <w:sz w:val="20"/>
                <w:szCs w:val="20"/>
              </w:rPr>
            </w:pPr>
          </w:p>
        </w:tc>
        <w:tc>
          <w:tcPr>
            <w:tcW w:w="1348" w:type="dxa"/>
            <w:tcBorders>
              <w:top w:val="double" w:sz="4" w:space="0" w:color="auto"/>
              <w:left w:val="double" w:sz="4" w:space="0" w:color="auto"/>
              <w:bottom w:val="double" w:sz="4" w:space="0" w:color="auto"/>
              <w:right w:val="double" w:sz="4" w:space="0" w:color="auto"/>
            </w:tcBorders>
            <w:shd w:val="clear" w:color="auto" w:fill="auto"/>
          </w:tcPr>
          <w:p w14:paraId="0026016C" w14:textId="77777777" w:rsidR="006C641A" w:rsidRPr="002814BF" w:rsidRDefault="006C641A" w:rsidP="002814BF">
            <w:pPr>
              <w:keepNext/>
              <w:keepLines/>
              <w:spacing w:after="40" w:line="240" w:lineRule="auto"/>
              <w:jc w:val="center"/>
              <w:rPr>
                <w:rFonts w:ascii="Arial Narrow" w:hAnsi="Arial Narrow"/>
                <w:sz w:val="20"/>
                <w:szCs w:val="20"/>
              </w:rPr>
            </w:pPr>
          </w:p>
        </w:tc>
        <w:tc>
          <w:tcPr>
            <w:tcW w:w="1694" w:type="dxa"/>
            <w:tcBorders>
              <w:top w:val="double" w:sz="4" w:space="0" w:color="auto"/>
              <w:left w:val="double" w:sz="4" w:space="0" w:color="auto"/>
              <w:bottom w:val="double" w:sz="4" w:space="0" w:color="auto"/>
              <w:right w:val="double" w:sz="4" w:space="0" w:color="auto"/>
            </w:tcBorders>
            <w:shd w:val="clear" w:color="auto" w:fill="auto"/>
          </w:tcPr>
          <w:p w14:paraId="4D1145A1" w14:textId="69673FD5" w:rsidR="006C641A" w:rsidRPr="002814BF" w:rsidRDefault="00066566" w:rsidP="002814BF">
            <w:pPr>
              <w:keepNext/>
              <w:keepLines/>
              <w:spacing w:after="40" w:line="240" w:lineRule="auto"/>
              <w:jc w:val="right"/>
              <w:rPr>
                <w:rFonts w:ascii="Arial Narrow" w:hAnsi="Arial Narrow"/>
                <w:b/>
                <w:sz w:val="20"/>
                <w:szCs w:val="20"/>
              </w:rPr>
            </w:pPr>
            <w:r w:rsidRPr="002814BF">
              <w:rPr>
                <w:rFonts w:ascii="Arial Narrow" w:hAnsi="Arial Narrow"/>
                <w:b/>
                <w:sz w:val="20"/>
                <w:szCs w:val="20"/>
              </w:rPr>
              <w:t>$7,177,933</w:t>
            </w:r>
          </w:p>
        </w:tc>
      </w:tr>
      <w:tr w:rsidR="005619FC" w:rsidRPr="002814BF" w14:paraId="100DBEFD" w14:textId="77777777" w:rsidTr="002814BF">
        <w:tc>
          <w:tcPr>
            <w:tcW w:w="4043" w:type="dxa"/>
            <w:tcBorders>
              <w:top w:val="double" w:sz="4" w:space="0" w:color="auto"/>
            </w:tcBorders>
            <w:shd w:val="clear" w:color="auto" w:fill="auto"/>
          </w:tcPr>
          <w:p w14:paraId="7235DF11" w14:textId="606B7C71" w:rsidR="005619FC" w:rsidRPr="002814BF" w:rsidRDefault="006253DC" w:rsidP="002814BF">
            <w:pPr>
              <w:keepNext/>
              <w:keepLines/>
              <w:spacing w:after="40" w:line="240" w:lineRule="auto"/>
              <w:jc w:val="both"/>
              <w:rPr>
                <w:rFonts w:ascii="Arial Narrow" w:hAnsi="Arial Narrow"/>
                <w:b/>
                <w:sz w:val="20"/>
                <w:szCs w:val="20"/>
              </w:rPr>
            </w:pPr>
            <w:r w:rsidRPr="002814BF">
              <w:rPr>
                <w:rFonts w:ascii="Arial Narrow" w:hAnsi="Arial Narrow"/>
                <w:b/>
                <w:sz w:val="20"/>
                <w:szCs w:val="20"/>
              </w:rPr>
              <w:t>Extended Modelling of adverse events</w:t>
            </w:r>
          </w:p>
        </w:tc>
        <w:tc>
          <w:tcPr>
            <w:tcW w:w="1347" w:type="dxa"/>
            <w:tcBorders>
              <w:top w:val="double" w:sz="4" w:space="0" w:color="auto"/>
            </w:tcBorders>
            <w:shd w:val="clear" w:color="auto" w:fill="auto"/>
          </w:tcPr>
          <w:p w14:paraId="17BB8783" w14:textId="77777777" w:rsidR="005619FC" w:rsidRPr="002814BF" w:rsidRDefault="005619FC" w:rsidP="002814BF">
            <w:pPr>
              <w:keepNext/>
              <w:keepLines/>
              <w:spacing w:after="40" w:line="240" w:lineRule="auto"/>
              <w:jc w:val="center"/>
              <w:rPr>
                <w:rFonts w:ascii="Arial Narrow" w:hAnsi="Arial Narrow"/>
                <w:sz w:val="20"/>
                <w:szCs w:val="20"/>
              </w:rPr>
            </w:pPr>
          </w:p>
        </w:tc>
        <w:tc>
          <w:tcPr>
            <w:tcW w:w="1348" w:type="dxa"/>
            <w:tcBorders>
              <w:top w:val="double" w:sz="4" w:space="0" w:color="auto"/>
            </w:tcBorders>
            <w:shd w:val="clear" w:color="auto" w:fill="auto"/>
          </w:tcPr>
          <w:p w14:paraId="104A7BA4" w14:textId="77777777" w:rsidR="005619FC" w:rsidRPr="002814BF" w:rsidRDefault="005619FC" w:rsidP="002814BF">
            <w:pPr>
              <w:keepNext/>
              <w:keepLines/>
              <w:spacing w:after="40" w:line="240" w:lineRule="auto"/>
              <w:jc w:val="center"/>
              <w:rPr>
                <w:rFonts w:ascii="Arial Narrow" w:hAnsi="Arial Narrow"/>
                <w:sz w:val="20"/>
                <w:szCs w:val="20"/>
              </w:rPr>
            </w:pPr>
          </w:p>
        </w:tc>
        <w:tc>
          <w:tcPr>
            <w:tcW w:w="1694" w:type="dxa"/>
            <w:tcBorders>
              <w:top w:val="double" w:sz="4" w:space="0" w:color="auto"/>
            </w:tcBorders>
            <w:shd w:val="clear" w:color="auto" w:fill="auto"/>
          </w:tcPr>
          <w:p w14:paraId="14760E42" w14:textId="77777777" w:rsidR="005619FC" w:rsidRPr="002814BF" w:rsidRDefault="005619FC" w:rsidP="002814BF">
            <w:pPr>
              <w:keepNext/>
              <w:keepLines/>
              <w:spacing w:after="40" w:line="240" w:lineRule="auto"/>
              <w:jc w:val="center"/>
              <w:rPr>
                <w:rFonts w:ascii="Arial Narrow" w:hAnsi="Arial Narrow"/>
                <w:b/>
                <w:sz w:val="20"/>
                <w:szCs w:val="20"/>
              </w:rPr>
            </w:pPr>
          </w:p>
        </w:tc>
      </w:tr>
      <w:tr w:rsidR="00635D2F" w:rsidRPr="002814BF" w14:paraId="5808FCB2" w14:textId="77777777" w:rsidTr="002814BF">
        <w:tc>
          <w:tcPr>
            <w:tcW w:w="8432" w:type="dxa"/>
            <w:gridSpan w:val="4"/>
            <w:shd w:val="clear" w:color="auto" w:fill="auto"/>
            <w:vAlign w:val="center"/>
          </w:tcPr>
          <w:p w14:paraId="4ADE950D" w14:textId="2746E006" w:rsidR="00635D2F" w:rsidRPr="002814BF" w:rsidRDefault="00635D2F" w:rsidP="002814BF">
            <w:pPr>
              <w:keepNext/>
              <w:keepLines/>
              <w:spacing w:after="40" w:line="240" w:lineRule="auto"/>
              <w:rPr>
                <w:rFonts w:ascii="Arial Narrow" w:hAnsi="Arial Narrow"/>
                <w:b/>
                <w:sz w:val="20"/>
                <w:szCs w:val="20"/>
              </w:rPr>
            </w:pPr>
            <w:r w:rsidRPr="002814BF">
              <w:rPr>
                <w:rFonts w:ascii="Arial Narrow" w:hAnsi="Arial Narrow"/>
                <w:b/>
                <w:sz w:val="20"/>
                <w:szCs w:val="20"/>
              </w:rPr>
              <w:t>Step 5: Assuming sepsis at rate of 4.88%: immediate effects only</w:t>
            </w:r>
          </w:p>
        </w:tc>
      </w:tr>
      <w:tr w:rsidR="006253DC" w:rsidRPr="002814BF" w14:paraId="5F8B2A70" w14:textId="77777777" w:rsidTr="002814BF">
        <w:tc>
          <w:tcPr>
            <w:tcW w:w="4043" w:type="dxa"/>
            <w:shd w:val="clear" w:color="auto" w:fill="auto"/>
          </w:tcPr>
          <w:p w14:paraId="70938D33" w14:textId="08451FD0" w:rsidR="006253DC" w:rsidRPr="002814BF" w:rsidRDefault="006253DC" w:rsidP="002814BF">
            <w:pPr>
              <w:keepNext/>
              <w:keepLines/>
              <w:spacing w:after="40" w:line="240" w:lineRule="auto"/>
              <w:ind w:left="204"/>
              <w:jc w:val="both"/>
              <w:rPr>
                <w:rFonts w:ascii="Arial Narrow" w:hAnsi="Arial Narrow"/>
                <w:sz w:val="20"/>
                <w:szCs w:val="20"/>
              </w:rPr>
            </w:pPr>
            <w:r w:rsidRPr="002814BF">
              <w:rPr>
                <w:rFonts w:ascii="Arial Narrow" w:hAnsi="Arial Narrow"/>
                <w:sz w:val="20"/>
                <w:szCs w:val="20"/>
              </w:rPr>
              <w:t xml:space="preserve">Additional sepsis-related resource use </w:t>
            </w:r>
          </w:p>
        </w:tc>
        <w:tc>
          <w:tcPr>
            <w:tcW w:w="1347" w:type="dxa"/>
            <w:shd w:val="clear" w:color="auto" w:fill="auto"/>
          </w:tcPr>
          <w:p w14:paraId="679CDAE1" w14:textId="77777777" w:rsidR="006253DC" w:rsidRPr="002814BF" w:rsidRDefault="006253DC" w:rsidP="002814BF">
            <w:pPr>
              <w:keepNext/>
              <w:keepLines/>
              <w:spacing w:after="40" w:line="240" w:lineRule="auto"/>
              <w:jc w:val="center"/>
              <w:rPr>
                <w:rFonts w:ascii="Arial Narrow" w:hAnsi="Arial Narrow"/>
                <w:sz w:val="20"/>
                <w:szCs w:val="20"/>
              </w:rPr>
            </w:pPr>
          </w:p>
        </w:tc>
        <w:tc>
          <w:tcPr>
            <w:tcW w:w="1348" w:type="dxa"/>
            <w:shd w:val="clear" w:color="auto" w:fill="auto"/>
          </w:tcPr>
          <w:p w14:paraId="0785E599" w14:textId="17DAC1DC" w:rsidR="006253DC" w:rsidRPr="002814BF" w:rsidRDefault="00066566" w:rsidP="002814BF">
            <w:pPr>
              <w:keepNext/>
              <w:keepLines/>
              <w:spacing w:after="40" w:line="240" w:lineRule="auto"/>
              <w:jc w:val="center"/>
              <w:rPr>
                <w:rFonts w:ascii="Arial Narrow" w:hAnsi="Arial Narrow"/>
                <w:sz w:val="20"/>
                <w:szCs w:val="20"/>
              </w:rPr>
            </w:pPr>
            <w:r w:rsidRPr="002814BF">
              <w:rPr>
                <w:rFonts w:ascii="Arial Narrow" w:hAnsi="Arial Narrow"/>
                <w:sz w:val="20"/>
                <w:szCs w:val="20"/>
              </w:rPr>
              <w:t>$1,340</w:t>
            </w:r>
          </w:p>
        </w:tc>
        <w:tc>
          <w:tcPr>
            <w:tcW w:w="1694" w:type="dxa"/>
            <w:shd w:val="clear" w:color="auto" w:fill="auto"/>
          </w:tcPr>
          <w:p w14:paraId="36C5DBB9" w14:textId="5FEFC20F" w:rsidR="006253DC" w:rsidRPr="002814BF" w:rsidRDefault="00066566" w:rsidP="002814BF">
            <w:pPr>
              <w:keepNext/>
              <w:keepLines/>
              <w:spacing w:after="40" w:line="240" w:lineRule="auto"/>
              <w:jc w:val="right"/>
              <w:rPr>
                <w:rFonts w:ascii="Arial Narrow" w:hAnsi="Arial Narrow"/>
                <w:b/>
                <w:sz w:val="20"/>
                <w:szCs w:val="20"/>
              </w:rPr>
            </w:pPr>
            <w:r w:rsidRPr="002814BF">
              <w:rPr>
                <w:rFonts w:ascii="Arial Narrow" w:hAnsi="Arial Narrow"/>
                <w:b/>
                <w:sz w:val="20"/>
                <w:szCs w:val="20"/>
              </w:rPr>
              <w:t>$6,558</w:t>
            </w:r>
          </w:p>
        </w:tc>
      </w:tr>
      <w:tr w:rsidR="006253DC" w:rsidRPr="002814BF" w14:paraId="08904747" w14:textId="77777777" w:rsidTr="002814BF">
        <w:tc>
          <w:tcPr>
            <w:tcW w:w="4043" w:type="dxa"/>
            <w:shd w:val="clear" w:color="auto" w:fill="auto"/>
          </w:tcPr>
          <w:p w14:paraId="121AF5A3" w14:textId="5CE49115" w:rsidR="006253DC" w:rsidRPr="002814BF" w:rsidRDefault="006253DC" w:rsidP="002814BF">
            <w:pPr>
              <w:keepNext/>
              <w:keepLines/>
              <w:spacing w:after="40" w:line="240" w:lineRule="auto"/>
              <w:ind w:left="204"/>
              <w:jc w:val="both"/>
              <w:rPr>
                <w:rFonts w:ascii="Arial Narrow" w:hAnsi="Arial Narrow"/>
                <w:sz w:val="20"/>
                <w:szCs w:val="20"/>
              </w:rPr>
            </w:pPr>
            <w:r w:rsidRPr="002814BF">
              <w:rPr>
                <w:rFonts w:ascii="Arial Narrow" w:hAnsi="Arial Narrow"/>
                <w:sz w:val="20"/>
                <w:szCs w:val="20"/>
              </w:rPr>
              <w:t>Additional disutility due to acute sepsis episode</w:t>
            </w:r>
          </w:p>
        </w:tc>
        <w:tc>
          <w:tcPr>
            <w:tcW w:w="1347" w:type="dxa"/>
            <w:shd w:val="clear" w:color="auto" w:fill="auto"/>
          </w:tcPr>
          <w:p w14:paraId="2F4E213F" w14:textId="77777777" w:rsidR="006253DC" w:rsidRPr="002814BF" w:rsidRDefault="006253DC" w:rsidP="002814BF">
            <w:pPr>
              <w:keepNext/>
              <w:keepLines/>
              <w:spacing w:after="40" w:line="240" w:lineRule="auto"/>
              <w:jc w:val="center"/>
              <w:rPr>
                <w:rFonts w:ascii="Arial Narrow" w:hAnsi="Arial Narrow"/>
                <w:sz w:val="20"/>
                <w:szCs w:val="20"/>
              </w:rPr>
            </w:pPr>
          </w:p>
        </w:tc>
        <w:tc>
          <w:tcPr>
            <w:tcW w:w="1348" w:type="dxa"/>
            <w:shd w:val="clear" w:color="auto" w:fill="auto"/>
          </w:tcPr>
          <w:p w14:paraId="635E2CC0" w14:textId="7395C825" w:rsidR="006253DC" w:rsidRPr="002814BF" w:rsidRDefault="00066566" w:rsidP="002814BF">
            <w:pPr>
              <w:keepNext/>
              <w:keepLines/>
              <w:spacing w:after="40" w:line="240" w:lineRule="auto"/>
              <w:jc w:val="center"/>
              <w:rPr>
                <w:rFonts w:ascii="Arial Narrow" w:hAnsi="Arial Narrow"/>
                <w:sz w:val="20"/>
                <w:szCs w:val="20"/>
              </w:rPr>
            </w:pPr>
            <w:r w:rsidRPr="002814BF">
              <w:rPr>
                <w:rFonts w:ascii="Arial Narrow" w:hAnsi="Arial Narrow"/>
                <w:sz w:val="20"/>
                <w:szCs w:val="20"/>
              </w:rPr>
              <w:t>-0.001356</w:t>
            </w:r>
          </w:p>
        </w:tc>
        <w:tc>
          <w:tcPr>
            <w:tcW w:w="1694" w:type="dxa"/>
            <w:shd w:val="clear" w:color="auto" w:fill="auto"/>
          </w:tcPr>
          <w:p w14:paraId="2EE7AACD" w14:textId="0999A1A6" w:rsidR="006253DC" w:rsidRPr="002814BF" w:rsidRDefault="00066566" w:rsidP="002814BF">
            <w:pPr>
              <w:keepNext/>
              <w:keepLines/>
              <w:spacing w:after="40" w:line="240" w:lineRule="auto"/>
              <w:jc w:val="right"/>
              <w:rPr>
                <w:rFonts w:ascii="Arial Narrow" w:hAnsi="Arial Narrow"/>
                <w:b/>
                <w:sz w:val="20"/>
                <w:szCs w:val="20"/>
              </w:rPr>
            </w:pPr>
            <w:r w:rsidRPr="002814BF">
              <w:rPr>
                <w:rFonts w:ascii="Arial Narrow" w:hAnsi="Arial Narrow"/>
                <w:b/>
                <w:sz w:val="20"/>
                <w:szCs w:val="20"/>
              </w:rPr>
              <w:t>0.002456</w:t>
            </w:r>
          </w:p>
        </w:tc>
      </w:tr>
      <w:tr w:rsidR="006253DC" w:rsidRPr="002814BF" w14:paraId="5D926197" w14:textId="77777777" w:rsidTr="002814BF">
        <w:tc>
          <w:tcPr>
            <w:tcW w:w="4043" w:type="dxa"/>
            <w:tcBorders>
              <w:top w:val="double" w:sz="4" w:space="0" w:color="auto"/>
              <w:left w:val="double" w:sz="4" w:space="0" w:color="auto"/>
              <w:bottom w:val="double" w:sz="4" w:space="0" w:color="auto"/>
              <w:right w:val="double" w:sz="4" w:space="0" w:color="auto"/>
            </w:tcBorders>
            <w:shd w:val="clear" w:color="auto" w:fill="auto"/>
          </w:tcPr>
          <w:p w14:paraId="68A97658" w14:textId="201A38F2" w:rsidR="006253DC" w:rsidRPr="002814BF" w:rsidRDefault="006253DC" w:rsidP="002814BF">
            <w:pPr>
              <w:keepNext/>
              <w:keepLines/>
              <w:spacing w:after="40" w:line="240" w:lineRule="auto"/>
              <w:jc w:val="both"/>
              <w:rPr>
                <w:rFonts w:ascii="Arial Narrow" w:hAnsi="Arial Narrow"/>
                <w:sz w:val="20"/>
                <w:szCs w:val="20"/>
              </w:rPr>
            </w:pPr>
            <w:r w:rsidRPr="002814BF">
              <w:rPr>
                <w:rFonts w:ascii="Arial Narrow" w:hAnsi="Arial Narrow"/>
                <w:b/>
                <w:sz w:val="20"/>
                <w:szCs w:val="20"/>
              </w:rPr>
              <w:t>Step 5 ICER ($/QALY)</w:t>
            </w:r>
          </w:p>
        </w:tc>
        <w:tc>
          <w:tcPr>
            <w:tcW w:w="1347" w:type="dxa"/>
            <w:shd w:val="clear" w:color="auto" w:fill="auto"/>
          </w:tcPr>
          <w:p w14:paraId="482DFC1D" w14:textId="77777777" w:rsidR="006253DC" w:rsidRPr="002814BF" w:rsidRDefault="006253DC" w:rsidP="002814BF">
            <w:pPr>
              <w:keepNext/>
              <w:keepLines/>
              <w:spacing w:after="40" w:line="240" w:lineRule="auto"/>
              <w:jc w:val="center"/>
              <w:rPr>
                <w:rFonts w:ascii="Arial Narrow" w:hAnsi="Arial Narrow"/>
                <w:sz w:val="20"/>
                <w:szCs w:val="20"/>
              </w:rPr>
            </w:pPr>
          </w:p>
        </w:tc>
        <w:tc>
          <w:tcPr>
            <w:tcW w:w="1348" w:type="dxa"/>
            <w:shd w:val="clear" w:color="auto" w:fill="auto"/>
          </w:tcPr>
          <w:p w14:paraId="272DBED3" w14:textId="77777777" w:rsidR="006253DC" w:rsidRPr="002814BF" w:rsidRDefault="006253DC" w:rsidP="002814BF">
            <w:pPr>
              <w:keepNext/>
              <w:keepLines/>
              <w:spacing w:after="40" w:line="240" w:lineRule="auto"/>
              <w:jc w:val="center"/>
              <w:rPr>
                <w:rFonts w:ascii="Arial Narrow" w:hAnsi="Arial Narrow"/>
                <w:sz w:val="20"/>
                <w:szCs w:val="20"/>
              </w:rPr>
            </w:pPr>
          </w:p>
        </w:tc>
        <w:tc>
          <w:tcPr>
            <w:tcW w:w="1694" w:type="dxa"/>
            <w:shd w:val="clear" w:color="auto" w:fill="auto"/>
          </w:tcPr>
          <w:p w14:paraId="20FE79C6" w14:textId="395328CA" w:rsidR="006253DC" w:rsidRPr="002814BF" w:rsidRDefault="00066566" w:rsidP="002814BF">
            <w:pPr>
              <w:keepNext/>
              <w:keepLines/>
              <w:spacing w:after="40" w:line="240" w:lineRule="auto"/>
              <w:jc w:val="right"/>
              <w:rPr>
                <w:rFonts w:ascii="Arial Narrow" w:hAnsi="Arial Narrow"/>
                <w:b/>
                <w:sz w:val="20"/>
                <w:szCs w:val="20"/>
              </w:rPr>
            </w:pPr>
            <w:r w:rsidRPr="002814BF">
              <w:rPr>
                <w:rFonts w:ascii="Arial Narrow" w:hAnsi="Arial Narrow"/>
                <w:b/>
                <w:sz w:val="20"/>
                <w:szCs w:val="20"/>
              </w:rPr>
              <w:t>$2,670,183</w:t>
            </w:r>
          </w:p>
        </w:tc>
      </w:tr>
      <w:tr w:rsidR="00066566" w:rsidRPr="002814BF" w14:paraId="24944627" w14:textId="77777777" w:rsidTr="002814BF">
        <w:tc>
          <w:tcPr>
            <w:tcW w:w="8432" w:type="dxa"/>
            <w:gridSpan w:val="4"/>
            <w:shd w:val="clear" w:color="auto" w:fill="auto"/>
            <w:vAlign w:val="center"/>
          </w:tcPr>
          <w:p w14:paraId="73FF4F5B" w14:textId="4BA1B35F" w:rsidR="00066566" w:rsidRPr="002814BF" w:rsidRDefault="00066566" w:rsidP="002814BF">
            <w:pPr>
              <w:keepNext/>
              <w:keepLines/>
              <w:spacing w:after="40" w:line="240" w:lineRule="auto"/>
              <w:rPr>
                <w:rFonts w:ascii="Arial Narrow" w:hAnsi="Arial Narrow"/>
                <w:b/>
                <w:sz w:val="20"/>
                <w:szCs w:val="20"/>
              </w:rPr>
            </w:pPr>
            <w:r w:rsidRPr="002814BF">
              <w:rPr>
                <w:rFonts w:ascii="Arial Narrow" w:hAnsi="Arial Narrow"/>
                <w:b/>
                <w:sz w:val="20"/>
                <w:szCs w:val="20"/>
              </w:rPr>
              <w:t xml:space="preserve">Step 6: Assuming sepsis </w:t>
            </w:r>
            <w:r w:rsidR="005512DF" w:rsidRPr="002814BF">
              <w:rPr>
                <w:rFonts w:ascii="Arial Narrow" w:hAnsi="Arial Narrow"/>
                <w:b/>
                <w:sz w:val="20"/>
                <w:szCs w:val="20"/>
              </w:rPr>
              <w:t>mortality</w:t>
            </w:r>
            <w:r w:rsidRPr="002814BF">
              <w:rPr>
                <w:rFonts w:ascii="Arial Narrow" w:hAnsi="Arial Narrow"/>
                <w:b/>
                <w:sz w:val="20"/>
                <w:szCs w:val="20"/>
              </w:rPr>
              <w:t xml:space="preserve"> </w:t>
            </w:r>
            <w:r w:rsidR="00635D2F" w:rsidRPr="002814BF">
              <w:rPr>
                <w:rFonts w:ascii="Arial Narrow" w:hAnsi="Arial Narrow"/>
                <w:b/>
                <w:sz w:val="20"/>
                <w:szCs w:val="20"/>
              </w:rPr>
              <w:t xml:space="preserve">implications </w:t>
            </w:r>
            <w:r w:rsidRPr="002814BF">
              <w:rPr>
                <w:rFonts w:ascii="Arial Narrow" w:hAnsi="Arial Narrow"/>
                <w:b/>
                <w:sz w:val="20"/>
                <w:szCs w:val="20"/>
              </w:rPr>
              <w:t>over 15 years</w:t>
            </w:r>
          </w:p>
        </w:tc>
      </w:tr>
      <w:tr w:rsidR="005512DF" w:rsidRPr="002814BF" w14:paraId="027B7DBE" w14:textId="77777777" w:rsidTr="002814BF">
        <w:tc>
          <w:tcPr>
            <w:tcW w:w="4043" w:type="dxa"/>
            <w:shd w:val="clear" w:color="auto" w:fill="auto"/>
          </w:tcPr>
          <w:p w14:paraId="0153FAEB" w14:textId="7DF07590" w:rsidR="005512DF" w:rsidRPr="002814BF" w:rsidRDefault="005512DF" w:rsidP="002814BF">
            <w:pPr>
              <w:keepNext/>
              <w:keepLines/>
              <w:spacing w:after="40" w:line="240" w:lineRule="auto"/>
              <w:ind w:left="204"/>
              <w:jc w:val="both"/>
              <w:rPr>
                <w:rFonts w:ascii="Arial Narrow" w:hAnsi="Arial Narrow"/>
                <w:sz w:val="20"/>
                <w:szCs w:val="20"/>
              </w:rPr>
            </w:pPr>
            <w:r w:rsidRPr="002814BF">
              <w:rPr>
                <w:rFonts w:ascii="Arial Narrow" w:hAnsi="Arial Narrow"/>
                <w:sz w:val="20"/>
                <w:szCs w:val="20"/>
              </w:rPr>
              <w:t>Additional disutility due to sepsis-related death</w:t>
            </w:r>
          </w:p>
        </w:tc>
        <w:tc>
          <w:tcPr>
            <w:tcW w:w="1347" w:type="dxa"/>
            <w:shd w:val="clear" w:color="auto" w:fill="auto"/>
          </w:tcPr>
          <w:p w14:paraId="0DCDB61B" w14:textId="77777777" w:rsidR="005512DF" w:rsidRPr="002814BF" w:rsidRDefault="005512DF" w:rsidP="002814BF">
            <w:pPr>
              <w:keepNext/>
              <w:keepLines/>
              <w:spacing w:after="40" w:line="240" w:lineRule="auto"/>
              <w:jc w:val="center"/>
              <w:rPr>
                <w:rFonts w:ascii="Arial Narrow" w:hAnsi="Arial Narrow"/>
                <w:sz w:val="20"/>
                <w:szCs w:val="20"/>
              </w:rPr>
            </w:pPr>
          </w:p>
        </w:tc>
        <w:tc>
          <w:tcPr>
            <w:tcW w:w="1348" w:type="dxa"/>
            <w:shd w:val="clear" w:color="auto" w:fill="auto"/>
          </w:tcPr>
          <w:p w14:paraId="27CFEE25" w14:textId="6827A0C4" w:rsidR="005512DF" w:rsidRPr="002814BF" w:rsidRDefault="005512DF" w:rsidP="002814BF">
            <w:pPr>
              <w:keepNext/>
              <w:keepLines/>
              <w:spacing w:after="40" w:line="240" w:lineRule="auto"/>
              <w:jc w:val="center"/>
              <w:rPr>
                <w:rFonts w:ascii="Arial Narrow" w:hAnsi="Arial Narrow"/>
                <w:sz w:val="20"/>
                <w:szCs w:val="20"/>
              </w:rPr>
            </w:pPr>
            <w:r w:rsidRPr="002814BF">
              <w:rPr>
                <w:rFonts w:ascii="Arial Narrow" w:hAnsi="Arial Narrow"/>
                <w:sz w:val="20"/>
                <w:szCs w:val="20"/>
              </w:rPr>
              <w:t>0.08096</w:t>
            </w:r>
          </w:p>
        </w:tc>
        <w:tc>
          <w:tcPr>
            <w:tcW w:w="1694" w:type="dxa"/>
            <w:tcBorders>
              <w:top w:val="nil"/>
              <w:left w:val="nil"/>
              <w:bottom w:val="single" w:sz="4" w:space="0" w:color="auto"/>
              <w:right w:val="nil"/>
            </w:tcBorders>
            <w:shd w:val="clear" w:color="auto" w:fill="auto"/>
            <w:vAlign w:val="bottom"/>
          </w:tcPr>
          <w:p w14:paraId="6EEFD998" w14:textId="61B4C56C" w:rsidR="005512DF" w:rsidRPr="002814BF" w:rsidRDefault="00635D2F" w:rsidP="002814BF">
            <w:pPr>
              <w:keepNext/>
              <w:keepLines/>
              <w:spacing w:after="40" w:line="240" w:lineRule="auto"/>
              <w:jc w:val="right"/>
              <w:rPr>
                <w:rFonts w:ascii="Arial Narrow" w:hAnsi="Arial Narrow"/>
                <w:sz w:val="20"/>
                <w:szCs w:val="20"/>
              </w:rPr>
            </w:pPr>
            <w:r w:rsidRPr="002814BF">
              <w:rPr>
                <w:rFonts w:ascii="Arial Narrow" w:hAnsi="Arial Narrow"/>
                <w:sz w:val="20"/>
                <w:szCs w:val="20"/>
              </w:rPr>
              <w:t>0.083419</w:t>
            </w:r>
          </w:p>
        </w:tc>
      </w:tr>
      <w:tr w:rsidR="00635D2F" w:rsidRPr="002814BF" w14:paraId="031C30CD" w14:textId="77777777" w:rsidTr="002814BF">
        <w:tc>
          <w:tcPr>
            <w:tcW w:w="4043" w:type="dxa"/>
            <w:tcBorders>
              <w:top w:val="double" w:sz="4" w:space="0" w:color="auto"/>
              <w:left w:val="double" w:sz="4" w:space="0" w:color="auto"/>
              <w:bottom w:val="double" w:sz="4" w:space="0" w:color="auto"/>
              <w:right w:val="double" w:sz="4" w:space="0" w:color="auto"/>
            </w:tcBorders>
            <w:shd w:val="clear" w:color="auto" w:fill="auto"/>
          </w:tcPr>
          <w:p w14:paraId="43703013" w14:textId="77777777" w:rsidR="00635D2F" w:rsidRPr="002814BF" w:rsidRDefault="00635D2F" w:rsidP="002814BF">
            <w:pPr>
              <w:keepNext/>
              <w:keepLines/>
              <w:spacing w:after="40" w:line="240" w:lineRule="auto"/>
              <w:jc w:val="both"/>
              <w:rPr>
                <w:rFonts w:ascii="Arial Narrow" w:hAnsi="Arial Narrow"/>
                <w:b/>
                <w:sz w:val="20"/>
                <w:szCs w:val="20"/>
              </w:rPr>
            </w:pPr>
            <w:r w:rsidRPr="002814BF">
              <w:rPr>
                <w:rFonts w:ascii="Arial Narrow" w:hAnsi="Arial Narrow"/>
                <w:b/>
                <w:sz w:val="20"/>
                <w:szCs w:val="20"/>
              </w:rPr>
              <w:t>Step 6 ICER ($/QALY)</w:t>
            </w:r>
          </w:p>
        </w:tc>
        <w:tc>
          <w:tcPr>
            <w:tcW w:w="1347" w:type="dxa"/>
            <w:tcBorders>
              <w:top w:val="double" w:sz="4" w:space="0" w:color="auto"/>
              <w:left w:val="double" w:sz="4" w:space="0" w:color="auto"/>
              <w:bottom w:val="double" w:sz="4" w:space="0" w:color="auto"/>
              <w:right w:val="double" w:sz="4" w:space="0" w:color="auto"/>
            </w:tcBorders>
            <w:shd w:val="clear" w:color="auto" w:fill="auto"/>
          </w:tcPr>
          <w:p w14:paraId="41F11F98" w14:textId="77777777" w:rsidR="00635D2F" w:rsidRPr="002814BF" w:rsidRDefault="00635D2F" w:rsidP="002814BF">
            <w:pPr>
              <w:keepNext/>
              <w:keepLines/>
              <w:spacing w:after="40" w:line="240" w:lineRule="auto"/>
              <w:jc w:val="center"/>
              <w:rPr>
                <w:rFonts w:ascii="Arial Narrow" w:hAnsi="Arial Narrow"/>
                <w:sz w:val="20"/>
                <w:szCs w:val="20"/>
              </w:rPr>
            </w:pPr>
          </w:p>
        </w:tc>
        <w:tc>
          <w:tcPr>
            <w:tcW w:w="1348" w:type="dxa"/>
            <w:tcBorders>
              <w:top w:val="double" w:sz="4" w:space="0" w:color="auto"/>
              <w:left w:val="double" w:sz="4" w:space="0" w:color="auto"/>
              <w:bottom w:val="double" w:sz="4" w:space="0" w:color="auto"/>
              <w:right w:val="double" w:sz="4" w:space="0" w:color="auto"/>
            </w:tcBorders>
            <w:shd w:val="clear" w:color="auto" w:fill="auto"/>
          </w:tcPr>
          <w:p w14:paraId="5A55EA20" w14:textId="77777777" w:rsidR="00635D2F" w:rsidRPr="002814BF" w:rsidRDefault="00635D2F" w:rsidP="002814BF">
            <w:pPr>
              <w:keepNext/>
              <w:keepLines/>
              <w:spacing w:after="40" w:line="240" w:lineRule="auto"/>
              <w:jc w:val="center"/>
              <w:rPr>
                <w:rFonts w:ascii="Arial Narrow" w:hAnsi="Arial Narrow"/>
                <w:sz w:val="20"/>
                <w:szCs w:val="20"/>
              </w:rPr>
            </w:pPr>
          </w:p>
        </w:tc>
        <w:tc>
          <w:tcPr>
            <w:tcW w:w="1694" w:type="dxa"/>
            <w:tcBorders>
              <w:top w:val="double" w:sz="4" w:space="0" w:color="auto"/>
              <w:left w:val="double" w:sz="4" w:space="0" w:color="auto"/>
              <w:bottom w:val="double" w:sz="4" w:space="0" w:color="auto"/>
              <w:right w:val="double" w:sz="4" w:space="0" w:color="auto"/>
            </w:tcBorders>
            <w:shd w:val="clear" w:color="auto" w:fill="auto"/>
          </w:tcPr>
          <w:p w14:paraId="2D03BAA6" w14:textId="2E1A07D4" w:rsidR="00635D2F" w:rsidRPr="002814BF" w:rsidRDefault="00635D2F" w:rsidP="002814BF">
            <w:pPr>
              <w:keepNext/>
              <w:keepLines/>
              <w:spacing w:after="40" w:line="240" w:lineRule="auto"/>
              <w:jc w:val="right"/>
              <w:rPr>
                <w:rFonts w:ascii="Arial Narrow" w:hAnsi="Arial Narrow"/>
                <w:b/>
                <w:sz w:val="20"/>
                <w:szCs w:val="20"/>
              </w:rPr>
            </w:pPr>
            <w:r w:rsidRPr="002814BF">
              <w:rPr>
                <w:rFonts w:ascii="Arial Narrow" w:hAnsi="Arial Narrow"/>
                <w:b/>
                <w:sz w:val="20"/>
                <w:szCs w:val="20"/>
              </w:rPr>
              <w:t>$78,615</w:t>
            </w:r>
          </w:p>
        </w:tc>
      </w:tr>
      <w:tr w:rsidR="00635D2F" w:rsidRPr="002814BF" w14:paraId="3152A870" w14:textId="77777777" w:rsidTr="002814BF">
        <w:tc>
          <w:tcPr>
            <w:tcW w:w="8432" w:type="dxa"/>
            <w:gridSpan w:val="4"/>
            <w:shd w:val="clear" w:color="auto" w:fill="auto"/>
            <w:vAlign w:val="center"/>
          </w:tcPr>
          <w:p w14:paraId="492526EA" w14:textId="2FC31710" w:rsidR="00635D2F" w:rsidRPr="002814BF" w:rsidRDefault="00635D2F" w:rsidP="002814BF">
            <w:pPr>
              <w:keepNext/>
              <w:keepLines/>
              <w:spacing w:after="40" w:line="240" w:lineRule="auto"/>
              <w:rPr>
                <w:rFonts w:ascii="Arial Narrow" w:hAnsi="Arial Narrow"/>
                <w:sz w:val="20"/>
                <w:szCs w:val="20"/>
              </w:rPr>
            </w:pPr>
            <w:r w:rsidRPr="002814BF">
              <w:rPr>
                <w:rFonts w:ascii="Arial Narrow" w:hAnsi="Arial Narrow"/>
                <w:b/>
                <w:sz w:val="20"/>
                <w:szCs w:val="20"/>
              </w:rPr>
              <w:t xml:space="preserve">Step </w:t>
            </w:r>
            <w:r w:rsidR="00125398" w:rsidRPr="002814BF">
              <w:rPr>
                <w:rFonts w:ascii="Arial Narrow" w:hAnsi="Arial Narrow"/>
                <w:b/>
                <w:sz w:val="20"/>
                <w:szCs w:val="20"/>
              </w:rPr>
              <w:t>7</w:t>
            </w:r>
            <w:r w:rsidRPr="002814BF">
              <w:rPr>
                <w:rFonts w:ascii="Arial Narrow" w:hAnsi="Arial Narrow"/>
                <w:b/>
                <w:sz w:val="20"/>
                <w:szCs w:val="20"/>
              </w:rPr>
              <w:t>: Assuming sepsis mortality and morbidity implications over 15 years</w:t>
            </w:r>
          </w:p>
        </w:tc>
      </w:tr>
      <w:tr w:rsidR="00635D2F" w:rsidRPr="002814BF" w14:paraId="7B526420" w14:textId="77777777" w:rsidTr="002814BF">
        <w:tc>
          <w:tcPr>
            <w:tcW w:w="4043" w:type="dxa"/>
            <w:shd w:val="clear" w:color="auto" w:fill="auto"/>
          </w:tcPr>
          <w:p w14:paraId="6F0E0F47" w14:textId="058DE038" w:rsidR="00635D2F" w:rsidRPr="002814BF" w:rsidRDefault="00635D2F" w:rsidP="002814BF">
            <w:pPr>
              <w:keepNext/>
              <w:keepLines/>
              <w:spacing w:after="40" w:line="240" w:lineRule="auto"/>
              <w:ind w:left="204"/>
              <w:jc w:val="both"/>
              <w:rPr>
                <w:rFonts w:ascii="Arial Narrow" w:hAnsi="Arial Narrow"/>
                <w:sz w:val="20"/>
                <w:szCs w:val="20"/>
              </w:rPr>
            </w:pPr>
            <w:r w:rsidRPr="002814BF">
              <w:rPr>
                <w:rFonts w:ascii="Arial Narrow" w:hAnsi="Arial Narrow"/>
                <w:sz w:val="20"/>
                <w:szCs w:val="20"/>
              </w:rPr>
              <w:t>Additional disutility due to sepsis-related morbidity</w:t>
            </w:r>
          </w:p>
        </w:tc>
        <w:tc>
          <w:tcPr>
            <w:tcW w:w="1347" w:type="dxa"/>
            <w:shd w:val="clear" w:color="auto" w:fill="auto"/>
          </w:tcPr>
          <w:p w14:paraId="096D102E" w14:textId="77777777" w:rsidR="00635D2F" w:rsidRPr="002814BF" w:rsidRDefault="00635D2F" w:rsidP="002814BF">
            <w:pPr>
              <w:keepNext/>
              <w:keepLines/>
              <w:spacing w:after="40" w:line="240" w:lineRule="auto"/>
              <w:jc w:val="center"/>
              <w:rPr>
                <w:rFonts w:ascii="Arial Narrow" w:hAnsi="Arial Narrow"/>
                <w:sz w:val="20"/>
                <w:szCs w:val="20"/>
              </w:rPr>
            </w:pPr>
          </w:p>
        </w:tc>
        <w:tc>
          <w:tcPr>
            <w:tcW w:w="1348" w:type="dxa"/>
            <w:shd w:val="clear" w:color="auto" w:fill="auto"/>
          </w:tcPr>
          <w:p w14:paraId="38127214" w14:textId="534F5BE3" w:rsidR="00635D2F" w:rsidRPr="002814BF" w:rsidRDefault="00635D2F" w:rsidP="002814BF">
            <w:pPr>
              <w:keepNext/>
              <w:keepLines/>
              <w:spacing w:after="40" w:line="240" w:lineRule="auto"/>
              <w:jc w:val="center"/>
              <w:rPr>
                <w:rFonts w:ascii="Arial Narrow" w:hAnsi="Arial Narrow"/>
                <w:sz w:val="20"/>
                <w:szCs w:val="20"/>
              </w:rPr>
            </w:pPr>
            <w:r w:rsidRPr="002814BF">
              <w:rPr>
                <w:rFonts w:ascii="Arial Narrow" w:hAnsi="Arial Narrow"/>
                <w:sz w:val="20"/>
                <w:szCs w:val="20"/>
              </w:rPr>
              <w:t>0.05984</w:t>
            </w:r>
          </w:p>
        </w:tc>
        <w:tc>
          <w:tcPr>
            <w:tcW w:w="1694" w:type="dxa"/>
            <w:tcBorders>
              <w:top w:val="single" w:sz="4" w:space="0" w:color="auto"/>
              <w:left w:val="nil"/>
              <w:bottom w:val="single" w:sz="4" w:space="0" w:color="auto"/>
              <w:right w:val="nil"/>
            </w:tcBorders>
            <w:shd w:val="clear" w:color="auto" w:fill="auto"/>
            <w:vAlign w:val="bottom"/>
          </w:tcPr>
          <w:p w14:paraId="36AF3A0A" w14:textId="3ABC0BC6" w:rsidR="00635D2F" w:rsidRPr="002814BF" w:rsidRDefault="00635D2F" w:rsidP="002814BF">
            <w:pPr>
              <w:keepNext/>
              <w:keepLines/>
              <w:spacing w:after="40" w:line="240" w:lineRule="auto"/>
              <w:jc w:val="right"/>
              <w:rPr>
                <w:rFonts w:ascii="Arial Narrow" w:hAnsi="Arial Narrow"/>
                <w:sz w:val="20"/>
                <w:szCs w:val="20"/>
              </w:rPr>
            </w:pPr>
            <w:r w:rsidRPr="002814BF">
              <w:rPr>
                <w:rFonts w:ascii="Arial Narrow" w:hAnsi="Arial Narrow"/>
                <w:sz w:val="20"/>
                <w:szCs w:val="20"/>
              </w:rPr>
              <w:t>0.143261</w:t>
            </w:r>
          </w:p>
        </w:tc>
      </w:tr>
      <w:tr w:rsidR="00635D2F" w:rsidRPr="002814BF" w14:paraId="7CD21FA5" w14:textId="77777777" w:rsidTr="002814BF">
        <w:tc>
          <w:tcPr>
            <w:tcW w:w="4043" w:type="dxa"/>
            <w:tcBorders>
              <w:top w:val="double" w:sz="4" w:space="0" w:color="auto"/>
              <w:left w:val="double" w:sz="4" w:space="0" w:color="auto"/>
              <w:bottom w:val="double" w:sz="4" w:space="0" w:color="auto"/>
              <w:right w:val="double" w:sz="4" w:space="0" w:color="auto"/>
            </w:tcBorders>
            <w:shd w:val="clear" w:color="auto" w:fill="auto"/>
          </w:tcPr>
          <w:p w14:paraId="42A10604" w14:textId="62A7FC0E" w:rsidR="00635D2F" w:rsidRPr="002814BF" w:rsidRDefault="00635D2F" w:rsidP="002814BF">
            <w:pPr>
              <w:keepNext/>
              <w:keepLines/>
              <w:spacing w:after="40" w:line="240" w:lineRule="auto"/>
              <w:jc w:val="both"/>
              <w:rPr>
                <w:rFonts w:ascii="Arial Narrow" w:hAnsi="Arial Narrow"/>
                <w:b/>
                <w:sz w:val="20"/>
                <w:szCs w:val="20"/>
              </w:rPr>
            </w:pPr>
            <w:r w:rsidRPr="002814BF">
              <w:rPr>
                <w:rFonts w:ascii="Arial Narrow" w:hAnsi="Arial Narrow"/>
                <w:b/>
                <w:sz w:val="20"/>
                <w:szCs w:val="20"/>
              </w:rPr>
              <w:t xml:space="preserve">Step </w:t>
            </w:r>
            <w:r w:rsidR="00125398" w:rsidRPr="002814BF">
              <w:rPr>
                <w:rFonts w:ascii="Arial Narrow" w:hAnsi="Arial Narrow"/>
                <w:b/>
                <w:sz w:val="20"/>
                <w:szCs w:val="20"/>
              </w:rPr>
              <w:t>7</w:t>
            </w:r>
            <w:r w:rsidRPr="002814BF">
              <w:rPr>
                <w:rFonts w:ascii="Arial Narrow" w:hAnsi="Arial Narrow"/>
                <w:b/>
                <w:sz w:val="20"/>
                <w:szCs w:val="20"/>
              </w:rPr>
              <w:t xml:space="preserve"> ICER ($/QALY)</w:t>
            </w:r>
          </w:p>
        </w:tc>
        <w:tc>
          <w:tcPr>
            <w:tcW w:w="1347" w:type="dxa"/>
            <w:tcBorders>
              <w:top w:val="double" w:sz="4" w:space="0" w:color="auto"/>
              <w:left w:val="double" w:sz="4" w:space="0" w:color="auto"/>
              <w:bottom w:val="double" w:sz="4" w:space="0" w:color="auto"/>
              <w:right w:val="double" w:sz="4" w:space="0" w:color="auto"/>
            </w:tcBorders>
            <w:shd w:val="clear" w:color="auto" w:fill="auto"/>
          </w:tcPr>
          <w:p w14:paraId="3670941B" w14:textId="77777777" w:rsidR="00635D2F" w:rsidRPr="002814BF" w:rsidRDefault="00635D2F" w:rsidP="002814BF">
            <w:pPr>
              <w:keepNext/>
              <w:keepLines/>
              <w:spacing w:after="40" w:line="240" w:lineRule="auto"/>
              <w:jc w:val="center"/>
              <w:rPr>
                <w:rFonts w:ascii="Arial Narrow" w:hAnsi="Arial Narrow"/>
                <w:sz w:val="20"/>
                <w:szCs w:val="20"/>
              </w:rPr>
            </w:pPr>
          </w:p>
        </w:tc>
        <w:tc>
          <w:tcPr>
            <w:tcW w:w="1348" w:type="dxa"/>
            <w:tcBorders>
              <w:top w:val="double" w:sz="4" w:space="0" w:color="auto"/>
              <w:left w:val="double" w:sz="4" w:space="0" w:color="auto"/>
              <w:bottom w:val="double" w:sz="4" w:space="0" w:color="auto"/>
              <w:right w:val="double" w:sz="4" w:space="0" w:color="auto"/>
            </w:tcBorders>
            <w:shd w:val="clear" w:color="auto" w:fill="auto"/>
          </w:tcPr>
          <w:p w14:paraId="17EEAE25" w14:textId="77777777" w:rsidR="00635D2F" w:rsidRPr="002814BF" w:rsidRDefault="00635D2F" w:rsidP="002814BF">
            <w:pPr>
              <w:keepNext/>
              <w:keepLines/>
              <w:spacing w:after="40" w:line="240" w:lineRule="auto"/>
              <w:jc w:val="center"/>
              <w:rPr>
                <w:rFonts w:ascii="Arial Narrow" w:hAnsi="Arial Narrow"/>
                <w:sz w:val="20"/>
                <w:szCs w:val="20"/>
              </w:rPr>
            </w:pPr>
          </w:p>
        </w:tc>
        <w:tc>
          <w:tcPr>
            <w:tcW w:w="1694" w:type="dxa"/>
            <w:tcBorders>
              <w:top w:val="double" w:sz="4" w:space="0" w:color="auto"/>
              <w:left w:val="double" w:sz="4" w:space="0" w:color="auto"/>
              <w:bottom w:val="double" w:sz="4" w:space="0" w:color="auto"/>
              <w:right w:val="double" w:sz="4" w:space="0" w:color="auto"/>
            </w:tcBorders>
            <w:shd w:val="clear" w:color="auto" w:fill="auto"/>
          </w:tcPr>
          <w:p w14:paraId="3A9B8F38" w14:textId="743BAC1C" w:rsidR="00635D2F" w:rsidRPr="002814BF" w:rsidRDefault="00635D2F" w:rsidP="002814BF">
            <w:pPr>
              <w:keepNext/>
              <w:keepLines/>
              <w:spacing w:after="40" w:line="240" w:lineRule="auto"/>
              <w:jc w:val="right"/>
              <w:rPr>
                <w:rFonts w:ascii="Arial Narrow" w:hAnsi="Arial Narrow"/>
                <w:b/>
                <w:sz w:val="20"/>
                <w:szCs w:val="20"/>
              </w:rPr>
            </w:pPr>
            <w:r w:rsidRPr="002814BF">
              <w:rPr>
                <w:rFonts w:ascii="Arial Narrow" w:hAnsi="Arial Narrow"/>
                <w:b/>
                <w:sz w:val="20"/>
                <w:szCs w:val="20"/>
              </w:rPr>
              <w:t>$45,776</w:t>
            </w:r>
          </w:p>
        </w:tc>
      </w:tr>
    </w:tbl>
    <w:p w14:paraId="32EDAC86" w14:textId="3F3DB6B0" w:rsidR="006C641A" w:rsidRPr="007D1918" w:rsidRDefault="00D62E2F" w:rsidP="002814BF">
      <w:pPr>
        <w:pStyle w:val="Tablenotes1"/>
        <w:spacing w:after="360"/>
      </w:pPr>
      <w:r w:rsidRPr="002814BF">
        <w:t>AE = adverse event;</w:t>
      </w:r>
      <w:r w:rsidR="004C068D" w:rsidRPr="002814BF">
        <w:t xml:space="preserve"> ICER = incremental cost-effectiveness ratio;</w:t>
      </w:r>
      <w:r w:rsidRPr="002814BF">
        <w:t xml:space="preserve"> </w:t>
      </w:r>
      <w:r w:rsidR="006C641A" w:rsidRPr="002814BF">
        <w:t xml:space="preserve">IVIg = intravenous immunoglobulin; FFP = fresh frozen plasma; </w:t>
      </w:r>
      <w:r w:rsidR="004C068D" w:rsidRPr="002814BF">
        <w:t xml:space="preserve">FT = femoral thrombosis; </w:t>
      </w:r>
      <w:r w:rsidR="006C641A" w:rsidRPr="002814BF">
        <w:t>PE = plasma exchange</w:t>
      </w:r>
      <w:r w:rsidRPr="002814BF">
        <w:t>; QALY = quality adjusted life years</w:t>
      </w:r>
      <w:r w:rsidR="004C068D" w:rsidRPr="002814BF">
        <w:t>; RH = retroperitoneal haematoma</w:t>
      </w:r>
      <w:r w:rsidRPr="002814BF">
        <w:t>.</w:t>
      </w:r>
    </w:p>
    <w:p w14:paraId="3983E7BE" w14:textId="30C7C292" w:rsidR="005229AF" w:rsidRPr="007D1918" w:rsidRDefault="005229AF" w:rsidP="005619FC">
      <w:pPr>
        <w:jc w:val="both"/>
      </w:pPr>
      <w:r w:rsidRPr="007D1918">
        <w:t xml:space="preserve">The ICER and cost-effectivenss of IVIg is heavily dependent on the assumption that PE is associated with sepsis, and this in turn has mortality and/or long-term morbidity implications. </w:t>
      </w:r>
    </w:p>
    <w:p w14:paraId="27636F33" w14:textId="7E754C46" w:rsidR="00263375" w:rsidRPr="007D1918" w:rsidRDefault="005229AF" w:rsidP="00263375">
      <w:pPr>
        <w:jc w:val="both"/>
      </w:pPr>
      <w:r w:rsidRPr="007D1918">
        <w:lastRenderedPageBreak/>
        <w:t>Se</w:t>
      </w:r>
      <w:r w:rsidR="005619FC" w:rsidRPr="007D1918">
        <w:t>nsitivity analyses were conducted around IVIg pricing and uncertainty in the PE dosing schedules and replacement fluid composition</w:t>
      </w:r>
      <w:r w:rsidR="000C5850" w:rsidRPr="007D1918">
        <w:t xml:space="preserve">. These </w:t>
      </w:r>
      <w:r w:rsidR="005619FC" w:rsidRPr="007D1918">
        <w:t>are presented in</w:t>
      </w:r>
      <w:r w:rsidR="00D12B32" w:rsidRPr="007D1918">
        <w:t xml:space="preserve"> </w:t>
      </w:r>
      <w:r w:rsidR="00D12B32" w:rsidRPr="007D1918">
        <w:fldChar w:fldCharType="begin"/>
      </w:r>
      <w:r w:rsidR="00D12B32" w:rsidRPr="007D1918">
        <w:instrText xml:space="preserve"> REF _Ref23765617 \h </w:instrText>
      </w:r>
      <w:r w:rsidR="007D1918">
        <w:instrText xml:space="preserve"> \* MERGEFORMAT </w:instrText>
      </w:r>
      <w:r w:rsidR="00D12B32" w:rsidRPr="007D1918">
        <w:fldChar w:fldCharType="separate"/>
      </w:r>
      <w:r w:rsidR="00B865E7" w:rsidRPr="007D1918">
        <w:t xml:space="preserve">Table </w:t>
      </w:r>
      <w:r w:rsidR="00B865E7" w:rsidRPr="007D1918">
        <w:rPr>
          <w:noProof/>
        </w:rPr>
        <w:t>80</w:t>
      </w:r>
      <w:r w:rsidR="00D12B32" w:rsidRPr="007D1918">
        <w:fldChar w:fldCharType="end"/>
      </w:r>
      <w:r w:rsidR="005619FC" w:rsidRPr="007D1918">
        <w:t>, below</w:t>
      </w:r>
      <w:r w:rsidR="00263375" w:rsidRPr="007D1918">
        <w:t xml:space="preserve">. The ICER for IVIg vs PE is somewhat sensitive to the IVIg price, PE dosing and also mortality rates and </w:t>
      </w:r>
      <w:r w:rsidR="00C46C32" w:rsidRPr="007D1918">
        <w:t>morbidity</w:t>
      </w:r>
      <w:r w:rsidR="00263375" w:rsidRPr="007D1918">
        <w:t xml:space="preserve"> utilities if the extended model is accepted.</w:t>
      </w:r>
    </w:p>
    <w:p w14:paraId="358378EC" w14:textId="13BFD39A" w:rsidR="005619FC" w:rsidRPr="007D1918" w:rsidRDefault="005619FC" w:rsidP="005619FC">
      <w:pPr>
        <w:pStyle w:val="Caption"/>
      </w:pPr>
      <w:bookmarkStart w:id="449" w:name="_Ref23765617"/>
      <w:bookmarkStart w:id="450" w:name="_Toc2376956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80</w:t>
      </w:r>
      <w:r w:rsidRPr="007D1918">
        <w:rPr>
          <w:noProof/>
        </w:rPr>
        <w:fldChar w:fldCharType="end"/>
      </w:r>
      <w:bookmarkEnd w:id="449"/>
      <w:r w:rsidRPr="007D1918">
        <w:tab/>
        <w:t>Sensitivity analyses: Alternative IVIg prices or PE resource use (Indication 1)</w:t>
      </w:r>
      <w:bookmarkEnd w:id="450"/>
      <w:r w:rsidRPr="007D1918">
        <w:t xml:space="preserve"> </w:t>
      </w:r>
    </w:p>
    <w:tbl>
      <w:tblPr>
        <w:tblStyle w:val="TableGrid1"/>
        <w:tblW w:w="5000" w:type="pct"/>
        <w:tblLayout w:type="fixed"/>
        <w:tblLook w:val="04A0" w:firstRow="1" w:lastRow="0" w:firstColumn="1" w:lastColumn="0" w:noHBand="0" w:noVBand="1"/>
        <w:tblCaption w:val="Key sensitivity analyses"/>
      </w:tblPr>
      <w:tblGrid>
        <w:gridCol w:w="4037"/>
        <w:gridCol w:w="1075"/>
        <w:gridCol w:w="1210"/>
        <w:gridCol w:w="1347"/>
        <w:gridCol w:w="1347"/>
      </w:tblGrid>
      <w:tr w:rsidR="005619FC" w:rsidRPr="007D1918" w14:paraId="19C9B4B6" w14:textId="77777777" w:rsidTr="00942701">
        <w:trPr>
          <w:cnfStyle w:val="100000000000" w:firstRow="1" w:lastRow="0" w:firstColumn="0" w:lastColumn="0" w:oddVBand="0" w:evenVBand="0" w:oddHBand="0" w:evenHBand="0" w:firstRowFirstColumn="0" w:firstRowLastColumn="0" w:lastRowFirstColumn="0" w:lastRowLastColumn="0"/>
          <w:trHeight w:val="300"/>
          <w:tblHeader/>
        </w:trPr>
        <w:tc>
          <w:tcPr>
            <w:tcW w:w="2239" w:type="pct"/>
            <w:noWrap/>
          </w:tcPr>
          <w:p w14:paraId="0FC2BE45" w14:textId="77777777" w:rsidR="005619FC" w:rsidRPr="007D1918" w:rsidRDefault="005619FC" w:rsidP="00942701">
            <w:pPr>
              <w:keepNext/>
              <w:spacing w:after="40" w:line="240" w:lineRule="auto"/>
              <w:jc w:val="both"/>
              <w:rPr>
                <w:rFonts w:ascii="Arial Narrow" w:hAnsi="Arial Narrow"/>
                <w:b/>
                <w:sz w:val="20"/>
                <w:szCs w:val="20"/>
              </w:rPr>
            </w:pPr>
          </w:p>
        </w:tc>
        <w:tc>
          <w:tcPr>
            <w:tcW w:w="596" w:type="pct"/>
            <w:tcBorders>
              <w:bottom w:val="single" w:sz="4" w:space="0" w:color="auto"/>
            </w:tcBorders>
            <w:noWrap/>
          </w:tcPr>
          <w:p w14:paraId="3D0A09F3"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IVIg cost</w:t>
            </w:r>
          </w:p>
        </w:tc>
        <w:tc>
          <w:tcPr>
            <w:tcW w:w="671" w:type="pct"/>
            <w:tcBorders>
              <w:bottom w:val="single" w:sz="4" w:space="0" w:color="auto"/>
            </w:tcBorders>
            <w:noWrap/>
          </w:tcPr>
          <w:p w14:paraId="452C818C"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PE costs</w:t>
            </w:r>
          </w:p>
        </w:tc>
        <w:tc>
          <w:tcPr>
            <w:tcW w:w="747" w:type="pct"/>
            <w:tcBorders>
              <w:bottom w:val="single" w:sz="4" w:space="0" w:color="auto"/>
            </w:tcBorders>
            <w:noWrap/>
          </w:tcPr>
          <w:p w14:paraId="5772C2A2"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Incremental costs</w:t>
            </w:r>
          </w:p>
        </w:tc>
        <w:tc>
          <w:tcPr>
            <w:tcW w:w="747" w:type="pct"/>
          </w:tcPr>
          <w:p w14:paraId="68A19478"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ICER*</w:t>
            </w:r>
            <w:r w:rsidRPr="007D1918">
              <w:rPr>
                <w:rFonts w:ascii="Arial Narrow" w:hAnsi="Arial Narrow"/>
                <w:b/>
                <w:sz w:val="20"/>
                <w:szCs w:val="20"/>
              </w:rPr>
              <w:br/>
              <w:t>$/QALY</w:t>
            </w:r>
          </w:p>
        </w:tc>
      </w:tr>
      <w:tr w:rsidR="005619FC" w:rsidRPr="007D1918" w14:paraId="4B5B0B19" w14:textId="77777777" w:rsidTr="007A490C">
        <w:trPr>
          <w:cnfStyle w:val="100000000000" w:firstRow="1" w:lastRow="0" w:firstColumn="0" w:lastColumn="0" w:oddVBand="0" w:evenVBand="0" w:oddHBand="0" w:evenHBand="0" w:firstRowFirstColumn="0" w:firstRowLastColumn="0" w:lastRowFirstColumn="0" w:lastRowLastColumn="0"/>
          <w:trHeight w:val="300"/>
          <w:tblHeader/>
        </w:trPr>
        <w:tc>
          <w:tcPr>
            <w:tcW w:w="5000" w:type="pct"/>
            <w:gridSpan w:val="5"/>
            <w:tcBorders>
              <w:bottom w:val="single" w:sz="4" w:space="0" w:color="auto"/>
              <w:right w:val="single" w:sz="4" w:space="0" w:color="auto"/>
            </w:tcBorders>
            <w:noWrap/>
            <w:vAlign w:val="center"/>
          </w:tcPr>
          <w:p w14:paraId="6509FDD0" w14:textId="5EB6BE29" w:rsidR="005619FC" w:rsidRPr="007D1918" w:rsidRDefault="005619FC" w:rsidP="007A490C">
            <w:pPr>
              <w:pStyle w:val="Tablecontents"/>
            </w:pPr>
            <w:r w:rsidRPr="007D1918">
              <w:rPr>
                <w:b/>
              </w:rPr>
              <w:t>Within trial-period</w:t>
            </w:r>
            <w:r w:rsidR="007A490C" w:rsidRPr="007D1918">
              <w:rPr>
                <w:b/>
              </w:rPr>
              <w:t xml:space="preserve"> results</w:t>
            </w:r>
            <w:r w:rsidR="00A97725" w:rsidRPr="007D1918">
              <w:rPr>
                <w:b/>
              </w:rPr>
              <w:t xml:space="preserve"> (alternative Step 4 results)</w:t>
            </w:r>
          </w:p>
        </w:tc>
      </w:tr>
      <w:tr w:rsidR="00911631" w:rsidRPr="007D1918" w14:paraId="0CA0116E" w14:textId="77777777" w:rsidTr="00FD38A8">
        <w:trPr>
          <w:cnfStyle w:val="100000000000" w:firstRow="1" w:lastRow="0" w:firstColumn="0" w:lastColumn="0" w:oddVBand="0" w:evenVBand="0" w:oddHBand="0" w:evenHBand="0" w:firstRowFirstColumn="0" w:firstRowLastColumn="0" w:lastRowFirstColumn="0" w:lastRowLastColumn="0"/>
          <w:trHeight w:val="300"/>
          <w:tblHeader/>
        </w:trPr>
        <w:tc>
          <w:tcPr>
            <w:tcW w:w="5000" w:type="pct"/>
            <w:gridSpan w:val="5"/>
            <w:noWrap/>
            <w:vAlign w:val="center"/>
          </w:tcPr>
          <w:p w14:paraId="7C380837" w14:textId="1C32180D" w:rsidR="00911631" w:rsidRPr="007D1918" w:rsidRDefault="00911631" w:rsidP="00911631">
            <w:pPr>
              <w:keepNext/>
              <w:spacing w:after="40" w:line="240" w:lineRule="auto"/>
              <w:rPr>
                <w:rFonts w:ascii="Arial Narrow" w:hAnsi="Arial Narrow"/>
                <w:b/>
                <w:sz w:val="20"/>
                <w:szCs w:val="20"/>
              </w:rPr>
            </w:pPr>
            <w:r w:rsidRPr="007D1918">
              <w:rPr>
                <w:rFonts w:ascii="Arial Narrow" w:hAnsi="Arial Narrow"/>
                <w:sz w:val="20"/>
                <w:szCs w:val="20"/>
              </w:rPr>
              <w:t>Analyses based on outcomes estimate of 0.001100 inceremental QALYs, as per Step 4 of base case.</w:t>
            </w:r>
          </w:p>
        </w:tc>
      </w:tr>
      <w:tr w:rsidR="005619FC" w:rsidRPr="007D1918" w14:paraId="29596C4F" w14:textId="77777777" w:rsidTr="00942701">
        <w:trPr>
          <w:cnfStyle w:val="100000000000" w:firstRow="1" w:lastRow="0" w:firstColumn="0" w:lastColumn="0" w:oddVBand="0" w:evenVBand="0" w:oddHBand="0" w:evenHBand="0" w:firstRowFirstColumn="0" w:firstRowLastColumn="0" w:lastRowFirstColumn="0" w:lastRowLastColumn="0"/>
          <w:trHeight w:val="300"/>
          <w:tblHeader/>
        </w:trPr>
        <w:tc>
          <w:tcPr>
            <w:tcW w:w="2239" w:type="pct"/>
            <w:tcBorders>
              <w:bottom w:val="single" w:sz="4" w:space="0" w:color="auto"/>
            </w:tcBorders>
            <w:noWrap/>
            <w:hideMark/>
          </w:tcPr>
          <w:p w14:paraId="6A2659EB" w14:textId="77777777" w:rsidR="005619FC" w:rsidRPr="007D1918" w:rsidRDefault="005619FC" w:rsidP="00942701">
            <w:pPr>
              <w:spacing w:after="40" w:line="240" w:lineRule="auto"/>
              <w:jc w:val="both"/>
              <w:rPr>
                <w:rFonts w:ascii="Arial Narrow" w:hAnsi="Arial Narrow"/>
                <w:sz w:val="20"/>
                <w:szCs w:val="20"/>
              </w:rPr>
            </w:pPr>
            <w:r w:rsidRPr="007D1918">
              <w:rPr>
                <w:rFonts w:ascii="Arial Narrow" w:hAnsi="Arial Narrow"/>
                <w:sz w:val="20"/>
                <w:szCs w:val="20"/>
              </w:rPr>
              <w:t>Base case (IVIg cost $60.41/g, PE 16L,4 exchanges)</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14:paraId="5C54883A" w14:textId="77777777" w:rsidR="005619FC" w:rsidRPr="007D1918" w:rsidRDefault="005619FC" w:rsidP="00942701">
            <w:pPr>
              <w:pStyle w:val="Tablecontents"/>
              <w:jc w:val="right"/>
            </w:pPr>
            <w:r w:rsidRPr="007D1918">
              <w:t>$58,895</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FAFC94" w14:textId="77777777" w:rsidR="005619FC" w:rsidRPr="007D1918" w:rsidRDefault="005619FC" w:rsidP="00942701">
            <w:pPr>
              <w:pStyle w:val="Tablecontents"/>
              <w:jc w:val="right"/>
            </w:pPr>
            <w:r w:rsidRPr="007D1918">
              <w:t>$49,670</w:t>
            </w:r>
          </w:p>
        </w:tc>
        <w:tc>
          <w:tcPr>
            <w:tcW w:w="747" w:type="pct"/>
            <w:tcBorders>
              <w:top w:val="single" w:sz="4" w:space="0" w:color="auto"/>
              <w:left w:val="single" w:sz="4" w:space="0" w:color="auto"/>
              <w:bottom w:val="single" w:sz="4" w:space="0" w:color="auto"/>
              <w:right w:val="nil"/>
            </w:tcBorders>
            <w:shd w:val="clear" w:color="auto" w:fill="auto"/>
            <w:noWrap/>
            <w:vAlign w:val="center"/>
            <w:hideMark/>
          </w:tcPr>
          <w:p w14:paraId="04B875A3" w14:textId="77777777" w:rsidR="005619FC" w:rsidRPr="007D1918" w:rsidRDefault="005619FC" w:rsidP="00942701">
            <w:pPr>
              <w:pStyle w:val="Tablecontents"/>
              <w:jc w:val="right"/>
            </w:pPr>
            <w:r w:rsidRPr="007D1918">
              <w:t>$9,225</w:t>
            </w:r>
          </w:p>
        </w:tc>
        <w:tc>
          <w:tcPr>
            <w:tcW w:w="747" w:type="pct"/>
            <w:tcBorders>
              <w:top w:val="single" w:sz="4" w:space="0" w:color="auto"/>
              <w:left w:val="single" w:sz="4" w:space="0" w:color="auto"/>
              <w:bottom w:val="single" w:sz="4" w:space="0" w:color="auto"/>
              <w:right w:val="single" w:sz="4" w:space="0" w:color="auto"/>
            </w:tcBorders>
            <w:vAlign w:val="center"/>
          </w:tcPr>
          <w:p w14:paraId="3385A6B6" w14:textId="77777777" w:rsidR="005619FC" w:rsidRPr="007D1918" w:rsidRDefault="005619FC" w:rsidP="00942701">
            <w:pPr>
              <w:pStyle w:val="Tablecontents"/>
              <w:jc w:val="right"/>
            </w:pPr>
            <w:r w:rsidRPr="007D1918">
              <w:t>$8,386,364</w:t>
            </w:r>
          </w:p>
        </w:tc>
      </w:tr>
      <w:tr w:rsidR="005619FC" w:rsidRPr="007D1918" w14:paraId="5733E4EC" w14:textId="77777777" w:rsidTr="00942701">
        <w:trPr>
          <w:cnfStyle w:val="100000000000" w:firstRow="1" w:lastRow="0" w:firstColumn="0" w:lastColumn="0" w:oddVBand="0" w:evenVBand="0" w:oddHBand="0" w:evenHBand="0" w:firstRowFirstColumn="0" w:firstRowLastColumn="0" w:lastRowFirstColumn="0" w:lastRowLastColumn="0"/>
          <w:trHeight w:val="300"/>
          <w:tblHeader/>
        </w:trPr>
        <w:tc>
          <w:tcPr>
            <w:tcW w:w="4253" w:type="pct"/>
            <w:gridSpan w:val="4"/>
            <w:tcBorders>
              <w:bottom w:val="single" w:sz="4" w:space="0" w:color="auto"/>
              <w:right w:val="single" w:sz="4" w:space="0" w:color="auto"/>
            </w:tcBorders>
            <w:noWrap/>
            <w:vAlign w:val="center"/>
          </w:tcPr>
          <w:p w14:paraId="669CE485" w14:textId="77777777" w:rsidR="005619FC" w:rsidRPr="007D1918" w:rsidRDefault="005619FC" w:rsidP="00942701">
            <w:pPr>
              <w:spacing w:after="40" w:line="240" w:lineRule="auto"/>
              <w:rPr>
                <w:rFonts w:ascii="Arial Narrow" w:hAnsi="Arial Narrow"/>
                <w:sz w:val="20"/>
                <w:szCs w:val="20"/>
              </w:rPr>
            </w:pPr>
            <w:r w:rsidRPr="007D1918">
              <w:rPr>
                <w:rFonts w:ascii="Arial Narrow" w:hAnsi="Arial Narrow"/>
                <w:sz w:val="20"/>
                <w:szCs w:val="20"/>
              </w:rPr>
              <w:t>Varying IVIg costs</w:t>
            </w:r>
          </w:p>
        </w:tc>
        <w:tc>
          <w:tcPr>
            <w:tcW w:w="747" w:type="pct"/>
            <w:tcBorders>
              <w:bottom w:val="single" w:sz="4" w:space="0" w:color="auto"/>
              <w:right w:val="single" w:sz="4" w:space="0" w:color="auto"/>
            </w:tcBorders>
            <w:vAlign w:val="center"/>
          </w:tcPr>
          <w:p w14:paraId="2BF7A9A5" w14:textId="77777777" w:rsidR="005619FC" w:rsidRPr="007D1918" w:rsidRDefault="005619FC" w:rsidP="00942701">
            <w:pPr>
              <w:spacing w:after="40" w:line="240" w:lineRule="auto"/>
              <w:ind w:left="170"/>
              <w:jc w:val="right"/>
              <w:rPr>
                <w:rFonts w:ascii="Arial Narrow" w:hAnsi="Arial Narrow"/>
                <w:sz w:val="20"/>
                <w:szCs w:val="20"/>
              </w:rPr>
            </w:pPr>
          </w:p>
        </w:tc>
      </w:tr>
      <w:tr w:rsidR="005619FC" w:rsidRPr="007D1918" w14:paraId="2175EAD9" w14:textId="77777777" w:rsidTr="00942701">
        <w:trPr>
          <w:trHeight w:val="300"/>
        </w:trPr>
        <w:tc>
          <w:tcPr>
            <w:tcW w:w="2239" w:type="pct"/>
            <w:tcBorders>
              <w:top w:val="single" w:sz="2" w:space="0" w:color="000000"/>
              <w:left w:val="single" w:sz="2" w:space="0" w:color="000000"/>
              <w:bottom w:val="single" w:sz="2" w:space="0" w:color="000000"/>
              <w:right w:val="single" w:sz="4" w:space="0" w:color="auto"/>
            </w:tcBorders>
            <w:noWrap/>
            <w:hideMark/>
          </w:tcPr>
          <w:p w14:paraId="7CE22499"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 xml:space="preserve">Highest IVIg cost ($140.18/g) </w:t>
            </w:r>
          </w:p>
        </w:tc>
        <w:tc>
          <w:tcPr>
            <w:tcW w:w="596" w:type="pct"/>
            <w:tcBorders>
              <w:top w:val="single" w:sz="4" w:space="0" w:color="auto"/>
              <w:left w:val="nil"/>
              <w:bottom w:val="single" w:sz="4" w:space="0" w:color="auto"/>
              <w:right w:val="nil"/>
            </w:tcBorders>
            <w:shd w:val="clear" w:color="auto" w:fill="auto"/>
            <w:noWrap/>
            <w:vAlign w:val="center"/>
          </w:tcPr>
          <w:p w14:paraId="0AA2ECE2" w14:textId="77777777" w:rsidR="005619FC" w:rsidRPr="007D1918" w:rsidRDefault="005619FC" w:rsidP="00942701">
            <w:pPr>
              <w:pStyle w:val="Tablecontents"/>
              <w:jc w:val="right"/>
            </w:pPr>
            <w:r w:rsidRPr="007D1918">
              <w:t>$77,242</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6651C6" w14:textId="452E6462" w:rsidR="005619FC" w:rsidRPr="007D1918" w:rsidRDefault="00B94441" w:rsidP="00942701">
            <w:pPr>
              <w:pStyle w:val="Tablecontents"/>
              <w:jc w:val="right"/>
            </w:pPr>
            <w:r w:rsidRPr="007D1918">
              <w:t>$51,893</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1B5BF133" w14:textId="77777777" w:rsidR="005619FC" w:rsidRPr="007D1918" w:rsidRDefault="005619FC" w:rsidP="00942701">
            <w:pPr>
              <w:pStyle w:val="Tablecontents"/>
              <w:jc w:val="right"/>
            </w:pPr>
            <w:r w:rsidRPr="007D1918">
              <w:t>$27,572</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140E3F5" w14:textId="17CFAD0B" w:rsidR="005619FC" w:rsidRPr="007D1918" w:rsidRDefault="00A97725" w:rsidP="00942701">
            <w:pPr>
              <w:pStyle w:val="Tablecontents"/>
              <w:jc w:val="right"/>
            </w:pPr>
            <w:r w:rsidRPr="007D1918">
              <w:t>$23,039,044</w:t>
            </w:r>
          </w:p>
        </w:tc>
      </w:tr>
      <w:tr w:rsidR="005619FC" w:rsidRPr="007D1918" w14:paraId="7992D090" w14:textId="77777777" w:rsidTr="00942701">
        <w:trPr>
          <w:trHeight w:val="300"/>
        </w:trPr>
        <w:tc>
          <w:tcPr>
            <w:tcW w:w="2239" w:type="pct"/>
            <w:tcBorders>
              <w:top w:val="single" w:sz="2" w:space="0" w:color="000000"/>
              <w:left w:val="single" w:sz="2" w:space="0" w:color="000000"/>
              <w:bottom w:val="single" w:sz="2" w:space="0" w:color="000000"/>
              <w:right w:val="single" w:sz="4" w:space="0" w:color="auto"/>
            </w:tcBorders>
            <w:noWrap/>
            <w:hideMark/>
          </w:tcPr>
          <w:p w14:paraId="43BF4D31"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Lowest IVIg cost ($44.94/g)</w:t>
            </w:r>
          </w:p>
        </w:tc>
        <w:tc>
          <w:tcPr>
            <w:tcW w:w="596" w:type="pct"/>
            <w:tcBorders>
              <w:top w:val="single" w:sz="4" w:space="0" w:color="auto"/>
              <w:left w:val="nil"/>
              <w:bottom w:val="single" w:sz="4" w:space="0" w:color="auto"/>
              <w:right w:val="nil"/>
            </w:tcBorders>
            <w:shd w:val="clear" w:color="auto" w:fill="auto"/>
            <w:noWrap/>
            <w:vAlign w:val="center"/>
          </w:tcPr>
          <w:p w14:paraId="1D0119C9" w14:textId="77777777" w:rsidR="005619FC" w:rsidRPr="007D1918" w:rsidRDefault="005619FC" w:rsidP="00942701">
            <w:pPr>
              <w:pStyle w:val="Tablecontents"/>
              <w:jc w:val="right"/>
            </w:pPr>
            <w:r w:rsidRPr="007D1918">
              <w:t>$55,337</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46E459" w14:textId="49FCD738" w:rsidR="005619FC" w:rsidRPr="007D1918" w:rsidRDefault="00B94441" w:rsidP="00942701">
            <w:pPr>
              <w:pStyle w:val="Tablecontents"/>
              <w:jc w:val="right"/>
            </w:pPr>
            <w:r w:rsidRPr="007D1918">
              <w:t>$50,824</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10B30A3E" w14:textId="77777777" w:rsidR="005619FC" w:rsidRPr="007D1918" w:rsidRDefault="005619FC" w:rsidP="00942701">
            <w:pPr>
              <w:pStyle w:val="Tablecontents"/>
              <w:jc w:val="right"/>
            </w:pPr>
            <w:r w:rsidRPr="007D1918">
              <w:t>$5,667</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F9CB32E" w14:textId="718C3D4D" w:rsidR="005619FC" w:rsidRPr="007D1918" w:rsidRDefault="00B94441" w:rsidP="00942701">
            <w:pPr>
              <w:pStyle w:val="Tablecontents"/>
              <w:jc w:val="right"/>
            </w:pPr>
            <w:r w:rsidRPr="007D1918">
              <w:t>$4,101,948</w:t>
            </w:r>
          </w:p>
        </w:tc>
      </w:tr>
      <w:tr w:rsidR="00B94441" w:rsidRPr="007D1918" w14:paraId="7D771116" w14:textId="77777777" w:rsidTr="004C068D">
        <w:trPr>
          <w:trHeight w:val="300"/>
        </w:trPr>
        <w:tc>
          <w:tcPr>
            <w:tcW w:w="2239" w:type="pct"/>
            <w:tcBorders>
              <w:top w:val="single" w:sz="2" w:space="0" w:color="000000"/>
              <w:left w:val="single" w:sz="2" w:space="0" w:color="000000"/>
              <w:bottom w:val="single" w:sz="2" w:space="0" w:color="000000"/>
              <w:right w:val="single" w:sz="4" w:space="0" w:color="auto"/>
            </w:tcBorders>
            <w:noWrap/>
            <w:hideMark/>
          </w:tcPr>
          <w:p w14:paraId="105810E3" w14:textId="77777777" w:rsidR="00B94441" w:rsidRPr="007D1918" w:rsidRDefault="00B94441" w:rsidP="00B94441">
            <w:pPr>
              <w:spacing w:after="40" w:line="240" w:lineRule="auto"/>
              <w:ind w:left="170"/>
              <w:jc w:val="both"/>
              <w:rPr>
                <w:rFonts w:ascii="Arial Narrow" w:hAnsi="Arial Narrow"/>
                <w:sz w:val="20"/>
                <w:szCs w:val="20"/>
              </w:rPr>
            </w:pPr>
            <w:r w:rsidRPr="007D1918">
              <w:rPr>
                <w:rFonts w:ascii="Arial Narrow" w:hAnsi="Arial Narrow"/>
                <w:sz w:val="20"/>
                <w:szCs w:val="20"/>
              </w:rPr>
              <w:t>Alternative cost (weighted historical cost $94.51)</w:t>
            </w:r>
          </w:p>
        </w:tc>
        <w:tc>
          <w:tcPr>
            <w:tcW w:w="596" w:type="pct"/>
            <w:tcBorders>
              <w:top w:val="single" w:sz="4" w:space="0" w:color="auto"/>
              <w:left w:val="nil"/>
              <w:bottom w:val="single" w:sz="4" w:space="0" w:color="auto"/>
              <w:right w:val="nil"/>
            </w:tcBorders>
            <w:shd w:val="clear" w:color="auto" w:fill="auto"/>
            <w:noWrap/>
          </w:tcPr>
          <w:p w14:paraId="1D8C8F96" w14:textId="573DD8FF" w:rsidR="00B94441" w:rsidRPr="007D1918" w:rsidRDefault="00B94441" w:rsidP="00B94441">
            <w:pPr>
              <w:pStyle w:val="Tablecontents"/>
              <w:jc w:val="right"/>
            </w:pPr>
            <w:r w:rsidRPr="007D1918">
              <w:t>$66,738</w:t>
            </w:r>
          </w:p>
        </w:tc>
        <w:tc>
          <w:tcPr>
            <w:tcW w:w="671" w:type="pct"/>
            <w:tcBorders>
              <w:top w:val="single" w:sz="4" w:space="0" w:color="auto"/>
              <w:left w:val="single" w:sz="4" w:space="0" w:color="auto"/>
              <w:bottom w:val="single" w:sz="4" w:space="0" w:color="auto"/>
              <w:right w:val="single" w:sz="4" w:space="0" w:color="auto"/>
            </w:tcBorders>
            <w:shd w:val="clear" w:color="auto" w:fill="auto"/>
            <w:noWrap/>
          </w:tcPr>
          <w:p w14:paraId="346D2D08" w14:textId="64A498DD" w:rsidR="00B94441" w:rsidRPr="007D1918" w:rsidRDefault="00B94441" w:rsidP="00B94441">
            <w:pPr>
              <w:pStyle w:val="Tablecontents"/>
              <w:jc w:val="right"/>
            </w:pPr>
            <w:r w:rsidRPr="007D1918">
              <w:t>$51,380</w:t>
            </w:r>
          </w:p>
        </w:tc>
        <w:tc>
          <w:tcPr>
            <w:tcW w:w="747" w:type="pct"/>
            <w:tcBorders>
              <w:top w:val="single" w:sz="4" w:space="0" w:color="auto"/>
              <w:left w:val="nil"/>
              <w:bottom w:val="single" w:sz="4" w:space="0" w:color="auto"/>
              <w:right w:val="single" w:sz="4" w:space="0" w:color="auto"/>
            </w:tcBorders>
            <w:shd w:val="clear" w:color="auto" w:fill="auto"/>
            <w:noWrap/>
          </w:tcPr>
          <w:p w14:paraId="5B6566F1" w14:textId="43CAD676" w:rsidR="00B94441" w:rsidRPr="007D1918" w:rsidRDefault="00B94441" w:rsidP="00B94441">
            <w:pPr>
              <w:pStyle w:val="Tablecontents"/>
              <w:jc w:val="right"/>
            </w:pPr>
            <w:r w:rsidRPr="007D1918">
              <w:t>$15,358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C2B1FFD" w14:textId="18BBE0B5" w:rsidR="00B94441" w:rsidRPr="007D1918" w:rsidRDefault="00B94441" w:rsidP="00B94441">
            <w:pPr>
              <w:pStyle w:val="Tablecontents"/>
              <w:jc w:val="right"/>
            </w:pPr>
            <w:r w:rsidRPr="007D1918">
              <w:t>$13,958,225</w:t>
            </w:r>
          </w:p>
        </w:tc>
      </w:tr>
      <w:tr w:rsidR="005619FC" w:rsidRPr="007D1918" w14:paraId="596B1A17" w14:textId="77777777" w:rsidTr="00942701">
        <w:trPr>
          <w:trHeight w:val="300"/>
        </w:trPr>
        <w:tc>
          <w:tcPr>
            <w:tcW w:w="2239" w:type="pct"/>
            <w:tcBorders>
              <w:top w:val="single" w:sz="2" w:space="0" w:color="000000"/>
              <w:left w:val="single" w:sz="2" w:space="0" w:color="000000"/>
              <w:bottom w:val="single" w:sz="2" w:space="0" w:color="000000"/>
              <w:right w:val="single" w:sz="4" w:space="0" w:color="auto"/>
            </w:tcBorders>
            <w:noWrap/>
          </w:tcPr>
          <w:p w14:paraId="5BD77393"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Alternative IVIg cost (published price $58.23)</w:t>
            </w:r>
          </w:p>
        </w:tc>
        <w:tc>
          <w:tcPr>
            <w:tcW w:w="596" w:type="pct"/>
            <w:tcBorders>
              <w:top w:val="single" w:sz="4" w:space="0" w:color="auto"/>
              <w:left w:val="nil"/>
              <w:bottom w:val="single" w:sz="4" w:space="0" w:color="auto"/>
              <w:right w:val="nil"/>
            </w:tcBorders>
            <w:shd w:val="clear" w:color="auto" w:fill="auto"/>
            <w:noWrap/>
            <w:vAlign w:val="center"/>
          </w:tcPr>
          <w:p w14:paraId="7379AE88" w14:textId="77777777" w:rsidR="005619FC" w:rsidRPr="007D1918" w:rsidRDefault="005619FC" w:rsidP="00942701">
            <w:pPr>
              <w:pStyle w:val="Tablecontents"/>
              <w:jc w:val="right"/>
            </w:pPr>
            <w:r w:rsidRPr="007D1918">
              <w:t>$58,394</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299956" w14:textId="77777777" w:rsidR="005619FC" w:rsidRPr="007D1918" w:rsidRDefault="005619FC" w:rsidP="00942701">
            <w:pPr>
              <w:pStyle w:val="Tablecontents"/>
              <w:jc w:val="right"/>
            </w:pPr>
            <w:r w:rsidRPr="007D1918">
              <w:t>$49,670</w:t>
            </w: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3CEC2A85" w14:textId="77777777" w:rsidR="005619FC" w:rsidRPr="007D1918" w:rsidRDefault="005619FC" w:rsidP="00942701">
            <w:pPr>
              <w:pStyle w:val="Tablecontents"/>
              <w:jc w:val="right"/>
            </w:pPr>
            <w:r w:rsidRPr="007D1918">
              <w:t>$8,724</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B280596" w14:textId="6AEFC834" w:rsidR="005619FC" w:rsidRPr="007D1918" w:rsidRDefault="00B94441" w:rsidP="00942701">
            <w:pPr>
              <w:pStyle w:val="Tablecontents"/>
              <w:jc w:val="right"/>
            </w:pPr>
            <w:r w:rsidRPr="007D1918">
              <w:t>$6,744,472</w:t>
            </w:r>
          </w:p>
        </w:tc>
      </w:tr>
      <w:tr w:rsidR="005619FC" w:rsidRPr="007D1918" w14:paraId="1CC75FEC" w14:textId="77777777" w:rsidTr="00942701">
        <w:trPr>
          <w:trHeight w:val="300"/>
        </w:trPr>
        <w:tc>
          <w:tcPr>
            <w:tcW w:w="4253" w:type="pct"/>
            <w:gridSpan w:val="4"/>
            <w:tcBorders>
              <w:top w:val="single" w:sz="2" w:space="0" w:color="000000"/>
              <w:left w:val="single" w:sz="2" w:space="0" w:color="000000"/>
              <w:bottom w:val="single" w:sz="2" w:space="0" w:color="000000"/>
              <w:right w:val="single" w:sz="4" w:space="0" w:color="auto"/>
            </w:tcBorders>
            <w:noWrap/>
            <w:vAlign w:val="center"/>
          </w:tcPr>
          <w:p w14:paraId="7CD4D2F2" w14:textId="77777777" w:rsidR="005619FC" w:rsidRPr="007D1918" w:rsidRDefault="005619FC" w:rsidP="00942701">
            <w:pPr>
              <w:spacing w:after="40" w:line="240" w:lineRule="auto"/>
              <w:rPr>
                <w:rFonts w:ascii="Arial Narrow" w:hAnsi="Arial Narrow"/>
                <w:sz w:val="20"/>
                <w:szCs w:val="20"/>
              </w:rPr>
            </w:pPr>
            <w:r w:rsidRPr="007D1918">
              <w:rPr>
                <w:rFonts w:ascii="Arial Narrow" w:hAnsi="Arial Narrow"/>
                <w:sz w:val="20"/>
                <w:szCs w:val="20"/>
              </w:rPr>
              <w:t>Varying PE dosing</w:t>
            </w:r>
          </w:p>
        </w:tc>
        <w:tc>
          <w:tcPr>
            <w:tcW w:w="747" w:type="pct"/>
            <w:tcBorders>
              <w:top w:val="single" w:sz="2" w:space="0" w:color="000000"/>
              <w:left w:val="single" w:sz="2" w:space="0" w:color="000000"/>
              <w:bottom w:val="single" w:sz="2" w:space="0" w:color="000000"/>
              <w:right w:val="single" w:sz="4" w:space="0" w:color="auto"/>
            </w:tcBorders>
            <w:vAlign w:val="center"/>
          </w:tcPr>
          <w:p w14:paraId="0BAD9204" w14:textId="77777777" w:rsidR="005619FC" w:rsidRPr="007D1918" w:rsidRDefault="005619FC" w:rsidP="00942701">
            <w:pPr>
              <w:spacing w:after="40" w:line="240" w:lineRule="auto"/>
              <w:jc w:val="right"/>
              <w:rPr>
                <w:rFonts w:ascii="Arial Narrow" w:hAnsi="Arial Narrow"/>
                <w:sz w:val="20"/>
                <w:szCs w:val="20"/>
              </w:rPr>
            </w:pPr>
          </w:p>
        </w:tc>
      </w:tr>
      <w:tr w:rsidR="005229AF" w:rsidRPr="007D1918" w14:paraId="754ED7E4" w14:textId="77777777" w:rsidTr="005229AF">
        <w:trPr>
          <w:trHeight w:val="300"/>
        </w:trPr>
        <w:tc>
          <w:tcPr>
            <w:tcW w:w="2239" w:type="pct"/>
            <w:tcBorders>
              <w:top w:val="single" w:sz="2" w:space="0" w:color="000000"/>
              <w:left w:val="single" w:sz="2" w:space="0" w:color="000000"/>
              <w:bottom w:val="single" w:sz="2" w:space="0" w:color="000000"/>
              <w:right w:val="single" w:sz="4" w:space="0" w:color="auto"/>
            </w:tcBorders>
            <w:noWrap/>
          </w:tcPr>
          <w:p w14:paraId="27B7AA9E" w14:textId="77777777" w:rsidR="005229AF" w:rsidRPr="007D1918" w:rsidRDefault="005229AF" w:rsidP="005229AF">
            <w:pPr>
              <w:spacing w:after="40" w:line="240" w:lineRule="auto"/>
              <w:ind w:left="170"/>
              <w:jc w:val="both"/>
              <w:rPr>
                <w:rFonts w:ascii="Arial Narrow" w:hAnsi="Arial Narrow"/>
                <w:sz w:val="20"/>
                <w:szCs w:val="20"/>
              </w:rPr>
            </w:pPr>
            <w:r w:rsidRPr="007D1918">
              <w:rPr>
                <w:rFonts w:ascii="Arial Narrow" w:hAnsi="Arial Narrow"/>
                <w:sz w:val="20"/>
                <w:szCs w:val="20"/>
              </w:rPr>
              <w:t>Minimum plausible : 9L fluid over 3 exchanges</w:t>
            </w:r>
          </w:p>
        </w:tc>
        <w:tc>
          <w:tcPr>
            <w:tcW w:w="596" w:type="pct"/>
            <w:tcBorders>
              <w:top w:val="single" w:sz="4" w:space="0" w:color="auto"/>
              <w:left w:val="nil"/>
              <w:bottom w:val="single" w:sz="4" w:space="0" w:color="auto"/>
              <w:right w:val="single" w:sz="4" w:space="0" w:color="auto"/>
            </w:tcBorders>
            <w:shd w:val="clear" w:color="auto" w:fill="auto"/>
            <w:noWrap/>
            <w:vAlign w:val="center"/>
          </w:tcPr>
          <w:p w14:paraId="4C19269F" w14:textId="1DFC05EB" w:rsidR="005229AF" w:rsidRPr="007D1918" w:rsidRDefault="005229AF" w:rsidP="005229AF">
            <w:pPr>
              <w:pStyle w:val="Tablecontents"/>
              <w:jc w:val="right"/>
            </w:pPr>
            <w:r w:rsidRPr="007D1918">
              <w:t>$58,895</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EB7694" w14:textId="72ECEB6F" w:rsidR="005229AF" w:rsidRPr="007D1918" w:rsidRDefault="005229AF" w:rsidP="005229AF">
            <w:pPr>
              <w:pStyle w:val="Tablecontents"/>
              <w:jc w:val="right"/>
            </w:pPr>
            <w:r w:rsidRPr="007D1918">
              <w:t>$49,748</w:t>
            </w:r>
          </w:p>
        </w:tc>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30FD49" w14:textId="540D1A08" w:rsidR="005229AF" w:rsidRPr="007D1918" w:rsidRDefault="005229AF" w:rsidP="005229AF">
            <w:pPr>
              <w:pStyle w:val="Tablecontents"/>
              <w:jc w:val="right"/>
            </w:pPr>
            <w:r w:rsidRPr="007D1918">
              <w:t>$9,148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9719430" w14:textId="162BD1D3" w:rsidR="005229AF" w:rsidRPr="007D1918" w:rsidRDefault="005229AF" w:rsidP="005229AF">
            <w:pPr>
              <w:pStyle w:val="Tablecontents"/>
              <w:jc w:val="right"/>
            </w:pPr>
            <w:r w:rsidRPr="007D1918">
              <w:t>$8,314,001</w:t>
            </w:r>
          </w:p>
        </w:tc>
      </w:tr>
      <w:tr w:rsidR="005229AF" w:rsidRPr="007D1918" w14:paraId="41116F84" w14:textId="77777777" w:rsidTr="005229AF">
        <w:trPr>
          <w:trHeight w:val="300"/>
        </w:trPr>
        <w:tc>
          <w:tcPr>
            <w:tcW w:w="2239" w:type="pct"/>
            <w:tcBorders>
              <w:top w:val="single" w:sz="2" w:space="0" w:color="000000"/>
              <w:left w:val="single" w:sz="2" w:space="0" w:color="000000"/>
              <w:bottom w:val="single" w:sz="2" w:space="0" w:color="000000"/>
              <w:right w:val="single" w:sz="4" w:space="0" w:color="auto"/>
            </w:tcBorders>
            <w:noWrap/>
          </w:tcPr>
          <w:p w14:paraId="6CBD3997" w14:textId="77777777" w:rsidR="005229AF" w:rsidRPr="007D1918" w:rsidRDefault="005229AF" w:rsidP="005229AF">
            <w:pPr>
              <w:spacing w:after="40" w:line="240" w:lineRule="auto"/>
              <w:ind w:left="170"/>
              <w:jc w:val="both"/>
              <w:rPr>
                <w:rFonts w:ascii="Arial Narrow" w:hAnsi="Arial Narrow"/>
                <w:sz w:val="20"/>
                <w:szCs w:val="20"/>
              </w:rPr>
            </w:pPr>
            <w:r w:rsidRPr="007D1918">
              <w:rPr>
                <w:rFonts w:ascii="Arial Narrow" w:hAnsi="Arial Narrow"/>
                <w:sz w:val="20"/>
                <w:szCs w:val="20"/>
              </w:rPr>
              <w:t>Maximum plausible: 40L fluid over 8 exchanges</w:t>
            </w:r>
          </w:p>
        </w:tc>
        <w:tc>
          <w:tcPr>
            <w:tcW w:w="596" w:type="pct"/>
            <w:tcBorders>
              <w:top w:val="single" w:sz="4" w:space="0" w:color="auto"/>
              <w:left w:val="nil"/>
              <w:bottom w:val="single" w:sz="4" w:space="0" w:color="auto"/>
              <w:right w:val="single" w:sz="4" w:space="0" w:color="auto"/>
            </w:tcBorders>
            <w:shd w:val="clear" w:color="auto" w:fill="auto"/>
            <w:noWrap/>
            <w:vAlign w:val="center"/>
          </w:tcPr>
          <w:p w14:paraId="3257481F" w14:textId="7D8251EC" w:rsidR="005229AF" w:rsidRPr="007D1918" w:rsidRDefault="005229AF" w:rsidP="005229AF">
            <w:pPr>
              <w:pStyle w:val="Tablecontents"/>
              <w:jc w:val="right"/>
            </w:pPr>
            <w:r w:rsidRPr="007D1918">
              <w:t>$58,895</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6A740" w14:textId="561FF401" w:rsidR="005229AF" w:rsidRPr="007D1918" w:rsidRDefault="005229AF" w:rsidP="005229AF">
            <w:pPr>
              <w:pStyle w:val="Tablecontents"/>
              <w:jc w:val="right"/>
            </w:pPr>
            <w:r w:rsidRPr="007D1918">
              <w:t>$55,450</w:t>
            </w:r>
          </w:p>
        </w:tc>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FB21DC" w14:textId="215B35CB" w:rsidR="005229AF" w:rsidRPr="007D1918" w:rsidRDefault="005229AF" w:rsidP="005229AF">
            <w:pPr>
              <w:pStyle w:val="Tablecontents"/>
              <w:jc w:val="right"/>
            </w:pPr>
            <w:r w:rsidRPr="007D1918">
              <w:t>$3,446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384EC612" w14:textId="1EB18647" w:rsidR="005229AF" w:rsidRPr="007D1918" w:rsidRDefault="005229AF" w:rsidP="005229AF">
            <w:pPr>
              <w:pStyle w:val="Tablecontents"/>
              <w:jc w:val="right"/>
            </w:pPr>
            <w:r w:rsidRPr="007D1918">
              <w:t>$3,131,713</w:t>
            </w:r>
          </w:p>
        </w:tc>
      </w:tr>
      <w:tr w:rsidR="005619FC" w:rsidRPr="007D1918" w14:paraId="0BC39F38" w14:textId="77777777" w:rsidTr="007A490C">
        <w:trPr>
          <w:trHeight w:val="300"/>
        </w:trPr>
        <w:tc>
          <w:tcPr>
            <w:tcW w:w="5000" w:type="pct"/>
            <w:gridSpan w:val="5"/>
            <w:tcBorders>
              <w:top w:val="single" w:sz="2" w:space="0" w:color="000000"/>
              <w:left w:val="single" w:sz="2" w:space="0" w:color="000000"/>
              <w:bottom w:val="single" w:sz="2" w:space="0" w:color="000000"/>
              <w:right w:val="single" w:sz="4" w:space="0" w:color="auto"/>
            </w:tcBorders>
            <w:noWrap/>
            <w:vAlign w:val="center"/>
          </w:tcPr>
          <w:p w14:paraId="692D5931" w14:textId="5362B427" w:rsidR="005619FC" w:rsidRPr="007D1918" w:rsidRDefault="005619FC" w:rsidP="007A490C">
            <w:pPr>
              <w:pStyle w:val="Tablecontents"/>
              <w:rPr>
                <w:color w:val="000000"/>
              </w:rPr>
            </w:pPr>
            <w:r w:rsidRPr="007D1918">
              <w:rPr>
                <w:b/>
              </w:rPr>
              <w:t>Extended modelling to 15 years with morbidity and mortality</w:t>
            </w:r>
            <w:r w:rsidR="00A97725" w:rsidRPr="007D1918">
              <w:rPr>
                <w:b/>
              </w:rPr>
              <w:t xml:space="preserve"> (alternative Step 7 results)</w:t>
            </w:r>
          </w:p>
        </w:tc>
      </w:tr>
      <w:tr w:rsidR="00911631" w:rsidRPr="007D1918" w14:paraId="13A8FF69" w14:textId="77777777" w:rsidTr="00FD38A8">
        <w:trPr>
          <w:trHeight w:val="300"/>
        </w:trPr>
        <w:tc>
          <w:tcPr>
            <w:tcW w:w="5000" w:type="pct"/>
            <w:gridSpan w:val="5"/>
            <w:noWrap/>
            <w:vAlign w:val="center"/>
          </w:tcPr>
          <w:p w14:paraId="70AC0E2E" w14:textId="0577F160" w:rsidR="00911631" w:rsidRPr="007D1918" w:rsidRDefault="00911631" w:rsidP="00911631">
            <w:pPr>
              <w:pStyle w:val="Tablecontents"/>
              <w:rPr>
                <w:b/>
              </w:rPr>
            </w:pPr>
            <w:r w:rsidRPr="007D1918">
              <w:t>All analyses based on outcomes estimate of 0.143261 inceremental QALYs, as per Step 7 of base case.</w:t>
            </w:r>
          </w:p>
        </w:tc>
      </w:tr>
      <w:tr w:rsidR="00911631" w:rsidRPr="007D1918" w14:paraId="6475E68F" w14:textId="77777777" w:rsidTr="00A97725">
        <w:trPr>
          <w:trHeight w:val="300"/>
        </w:trPr>
        <w:tc>
          <w:tcPr>
            <w:tcW w:w="2239" w:type="pct"/>
            <w:tcBorders>
              <w:bottom w:val="single" w:sz="4" w:space="0" w:color="auto"/>
            </w:tcBorders>
            <w:noWrap/>
          </w:tcPr>
          <w:p w14:paraId="497F9582" w14:textId="57F9A40C" w:rsidR="00911631" w:rsidRPr="007D1918" w:rsidRDefault="00911631" w:rsidP="00911631">
            <w:pPr>
              <w:spacing w:after="40" w:line="240" w:lineRule="auto"/>
              <w:jc w:val="both"/>
              <w:rPr>
                <w:rFonts w:ascii="Arial Narrow" w:hAnsi="Arial Narrow"/>
                <w:sz w:val="20"/>
                <w:szCs w:val="20"/>
              </w:rPr>
            </w:pPr>
            <w:r w:rsidRPr="007D1918">
              <w:rPr>
                <w:rFonts w:ascii="Arial Narrow" w:hAnsi="Arial Narrow"/>
                <w:sz w:val="20"/>
                <w:szCs w:val="20"/>
              </w:rPr>
              <w:t>Base case (IVIg cost $60.41/g, PE 16L,4 exchanges)</w:t>
            </w:r>
          </w:p>
        </w:tc>
        <w:tc>
          <w:tcPr>
            <w:tcW w:w="596" w:type="pct"/>
            <w:tcBorders>
              <w:top w:val="single" w:sz="4" w:space="0" w:color="auto"/>
              <w:left w:val="nil"/>
              <w:bottom w:val="single" w:sz="4" w:space="0" w:color="auto"/>
              <w:right w:val="single" w:sz="4" w:space="0" w:color="auto"/>
            </w:tcBorders>
            <w:shd w:val="clear" w:color="auto" w:fill="auto"/>
            <w:noWrap/>
            <w:vAlign w:val="center"/>
          </w:tcPr>
          <w:p w14:paraId="3E976CED" w14:textId="1F175699" w:rsidR="00911631" w:rsidRPr="007D1918" w:rsidRDefault="00911631" w:rsidP="00911631">
            <w:pPr>
              <w:pStyle w:val="Tablecontents"/>
              <w:jc w:val="right"/>
            </w:pPr>
            <w:r w:rsidRPr="007D1918">
              <w:t>$58,895</w:t>
            </w: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3A8BA0" w14:textId="6DC8A4A6" w:rsidR="00911631" w:rsidRPr="007D1918" w:rsidRDefault="00911631" w:rsidP="002F007B">
            <w:pPr>
              <w:pStyle w:val="Tablecontents"/>
              <w:jc w:val="right"/>
            </w:pPr>
            <w:r w:rsidRPr="007D1918">
              <w:t>$5</w:t>
            </w:r>
            <w:r w:rsidR="002F007B" w:rsidRPr="007D1918">
              <w:t>2,388</w:t>
            </w:r>
          </w:p>
        </w:tc>
        <w:tc>
          <w:tcPr>
            <w:tcW w:w="747" w:type="pct"/>
            <w:tcBorders>
              <w:top w:val="single" w:sz="4" w:space="0" w:color="auto"/>
              <w:left w:val="single" w:sz="4" w:space="0" w:color="auto"/>
              <w:bottom w:val="single" w:sz="4" w:space="0" w:color="auto"/>
              <w:right w:val="nil"/>
            </w:tcBorders>
            <w:shd w:val="clear" w:color="auto" w:fill="auto"/>
            <w:noWrap/>
            <w:vAlign w:val="center"/>
          </w:tcPr>
          <w:p w14:paraId="2B0B5690" w14:textId="08F8634C" w:rsidR="00911631" w:rsidRPr="007D1918" w:rsidRDefault="002F007B" w:rsidP="00911631">
            <w:pPr>
              <w:pStyle w:val="Tablecontents"/>
              <w:jc w:val="right"/>
              <w:rPr>
                <w:color w:val="000000"/>
              </w:rPr>
            </w:pPr>
            <w:r w:rsidRPr="007D1918">
              <w:t>$6,558</w:t>
            </w:r>
          </w:p>
        </w:tc>
        <w:tc>
          <w:tcPr>
            <w:tcW w:w="747" w:type="pct"/>
            <w:tcBorders>
              <w:top w:val="single" w:sz="4" w:space="0" w:color="auto"/>
              <w:left w:val="single" w:sz="4" w:space="0" w:color="auto"/>
              <w:bottom w:val="single" w:sz="4" w:space="0" w:color="auto"/>
              <w:right w:val="single" w:sz="4" w:space="0" w:color="auto"/>
            </w:tcBorders>
            <w:vAlign w:val="center"/>
          </w:tcPr>
          <w:p w14:paraId="6D049931" w14:textId="59927173" w:rsidR="00911631" w:rsidRPr="007D1918" w:rsidRDefault="009925BC" w:rsidP="00911631">
            <w:pPr>
              <w:pStyle w:val="Tablecontents"/>
              <w:jc w:val="right"/>
              <w:rPr>
                <w:color w:val="000000"/>
              </w:rPr>
            </w:pPr>
            <w:r w:rsidRPr="007D1918">
              <w:t>$45,776</w:t>
            </w:r>
          </w:p>
        </w:tc>
      </w:tr>
      <w:tr w:rsidR="00911631" w:rsidRPr="007D1918" w14:paraId="164EBFC5" w14:textId="77777777" w:rsidTr="00B94441">
        <w:trPr>
          <w:trHeight w:val="300"/>
        </w:trPr>
        <w:tc>
          <w:tcPr>
            <w:tcW w:w="2239" w:type="pct"/>
            <w:tcBorders>
              <w:bottom w:val="single" w:sz="4" w:space="0" w:color="auto"/>
              <w:right w:val="single" w:sz="4" w:space="0" w:color="auto"/>
            </w:tcBorders>
            <w:noWrap/>
            <w:vAlign w:val="center"/>
          </w:tcPr>
          <w:p w14:paraId="4E6A34E5" w14:textId="52B4302F" w:rsidR="00911631" w:rsidRPr="007D1918" w:rsidRDefault="00911631" w:rsidP="00911631">
            <w:pPr>
              <w:spacing w:after="40" w:line="240" w:lineRule="auto"/>
              <w:jc w:val="both"/>
              <w:rPr>
                <w:rFonts w:ascii="Arial Narrow" w:hAnsi="Arial Narrow"/>
                <w:sz w:val="20"/>
                <w:szCs w:val="20"/>
              </w:rPr>
            </w:pPr>
            <w:r w:rsidRPr="007D1918">
              <w:rPr>
                <w:rFonts w:ascii="Arial Narrow" w:hAnsi="Arial Narrow"/>
                <w:sz w:val="20"/>
                <w:szCs w:val="20"/>
              </w:rPr>
              <w:t>Varying IVIg costs</w:t>
            </w:r>
          </w:p>
        </w:tc>
        <w:tc>
          <w:tcPr>
            <w:tcW w:w="596" w:type="pct"/>
            <w:tcBorders>
              <w:bottom w:val="single" w:sz="4" w:space="0" w:color="auto"/>
              <w:right w:val="single" w:sz="4" w:space="0" w:color="auto"/>
            </w:tcBorders>
            <w:shd w:val="clear" w:color="auto" w:fill="FFFFFF" w:themeFill="background1"/>
            <w:noWrap/>
            <w:vAlign w:val="center"/>
          </w:tcPr>
          <w:p w14:paraId="5B7C09DC" w14:textId="77777777" w:rsidR="00911631" w:rsidRPr="007D1918" w:rsidRDefault="00911631" w:rsidP="00911631">
            <w:pPr>
              <w:pStyle w:val="Tablecontents"/>
              <w:jc w:val="right"/>
            </w:pP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932080" w14:textId="77777777" w:rsidR="00911631" w:rsidRPr="007D1918" w:rsidRDefault="00911631" w:rsidP="00911631">
            <w:pPr>
              <w:pStyle w:val="Tablecontents"/>
              <w:jc w:val="right"/>
            </w:pP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52B7B2" w14:textId="77777777" w:rsidR="00911631" w:rsidRPr="007D1918" w:rsidRDefault="00911631" w:rsidP="00911631">
            <w:pPr>
              <w:pStyle w:val="Tablecontents"/>
              <w:jc w:val="right"/>
              <w:rPr>
                <w:color w:val="000000"/>
              </w:rPr>
            </w:pP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5E28C3" w14:textId="77777777" w:rsidR="00911631" w:rsidRPr="007D1918" w:rsidRDefault="00911631" w:rsidP="00911631">
            <w:pPr>
              <w:pStyle w:val="Tablecontents"/>
              <w:jc w:val="right"/>
              <w:rPr>
                <w:color w:val="000000"/>
              </w:rPr>
            </w:pPr>
          </w:p>
        </w:tc>
      </w:tr>
      <w:tr w:rsidR="00911631" w:rsidRPr="007D1918" w14:paraId="346A9B2C" w14:textId="77777777" w:rsidTr="005229AF">
        <w:trPr>
          <w:trHeight w:val="300"/>
        </w:trPr>
        <w:tc>
          <w:tcPr>
            <w:tcW w:w="2239" w:type="pct"/>
            <w:tcBorders>
              <w:top w:val="single" w:sz="2" w:space="0" w:color="000000"/>
              <w:left w:val="single" w:sz="2" w:space="0" w:color="000000"/>
              <w:bottom w:val="single" w:sz="2" w:space="0" w:color="000000"/>
              <w:right w:val="single" w:sz="4" w:space="0" w:color="auto"/>
            </w:tcBorders>
            <w:noWrap/>
          </w:tcPr>
          <w:p w14:paraId="02CACD5B" w14:textId="65A957C2" w:rsidR="00911631" w:rsidRPr="007D1918" w:rsidRDefault="00911631" w:rsidP="00911631">
            <w:pPr>
              <w:spacing w:after="40" w:line="240" w:lineRule="auto"/>
              <w:ind w:left="170"/>
              <w:jc w:val="both"/>
              <w:rPr>
                <w:rFonts w:ascii="Arial Narrow" w:hAnsi="Arial Narrow"/>
                <w:sz w:val="20"/>
                <w:szCs w:val="20"/>
              </w:rPr>
            </w:pPr>
            <w:r w:rsidRPr="007D1918">
              <w:rPr>
                <w:rFonts w:ascii="Arial Narrow" w:hAnsi="Arial Narrow"/>
                <w:sz w:val="20"/>
                <w:szCs w:val="20"/>
              </w:rPr>
              <w:t xml:space="preserve">Highest IVIg cost ($140.18/g) </w:t>
            </w:r>
          </w:p>
        </w:tc>
        <w:tc>
          <w:tcPr>
            <w:tcW w:w="596" w:type="pct"/>
            <w:tcBorders>
              <w:top w:val="nil"/>
              <w:left w:val="nil"/>
              <w:bottom w:val="nil"/>
              <w:right w:val="nil"/>
            </w:tcBorders>
            <w:shd w:val="clear" w:color="auto" w:fill="FFFFFF" w:themeFill="background1"/>
            <w:noWrap/>
            <w:vAlign w:val="bottom"/>
          </w:tcPr>
          <w:p w14:paraId="3934BF20" w14:textId="0096BAC2" w:rsidR="00911631" w:rsidRPr="007D1918" w:rsidRDefault="00911631" w:rsidP="00911631">
            <w:pPr>
              <w:pStyle w:val="Tablecontents"/>
              <w:jc w:val="right"/>
            </w:pPr>
          </w:p>
        </w:tc>
        <w:tc>
          <w:tcPr>
            <w:tcW w:w="671" w:type="pct"/>
            <w:tcBorders>
              <w:top w:val="nil"/>
              <w:left w:val="nil"/>
              <w:bottom w:val="nil"/>
              <w:right w:val="nil"/>
            </w:tcBorders>
            <w:shd w:val="clear" w:color="auto" w:fill="FFFFFF" w:themeFill="background1"/>
            <w:noWrap/>
            <w:vAlign w:val="bottom"/>
          </w:tcPr>
          <w:p w14:paraId="379508C4" w14:textId="296B8BB4" w:rsidR="00911631" w:rsidRPr="007D1918" w:rsidRDefault="00911631" w:rsidP="00911631">
            <w:pPr>
              <w:pStyle w:val="Tablecontents"/>
              <w:jc w:val="right"/>
            </w:pPr>
          </w:p>
        </w:tc>
        <w:tc>
          <w:tcPr>
            <w:tcW w:w="747" w:type="pct"/>
            <w:tcBorders>
              <w:top w:val="nil"/>
              <w:left w:val="nil"/>
              <w:bottom w:val="nil"/>
              <w:right w:val="nil"/>
            </w:tcBorders>
            <w:shd w:val="clear" w:color="auto" w:fill="FFFFFF" w:themeFill="background1"/>
            <w:noWrap/>
          </w:tcPr>
          <w:p w14:paraId="6B7E2563" w14:textId="3A18777A" w:rsidR="00911631" w:rsidRPr="007D1918" w:rsidRDefault="00911631" w:rsidP="00911631">
            <w:pPr>
              <w:pStyle w:val="Tablecontents"/>
              <w:jc w:val="right"/>
              <w:rPr>
                <w:color w:val="000000"/>
              </w:rPr>
            </w:pPr>
            <w:r w:rsidRPr="007D1918">
              <w:t>$24,010</w:t>
            </w:r>
          </w:p>
        </w:tc>
        <w:tc>
          <w:tcPr>
            <w:tcW w:w="747" w:type="pct"/>
            <w:tcBorders>
              <w:top w:val="nil"/>
              <w:left w:val="nil"/>
              <w:bottom w:val="nil"/>
              <w:right w:val="nil"/>
            </w:tcBorders>
            <w:shd w:val="clear" w:color="auto" w:fill="FFFFFF" w:themeFill="background1"/>
          </w:tcPr>
          <w:p w14:paraId="616D2D2A" w14:textId="090ED020" w:rsidR="00911631" w:rsidRPr="007D1918" w:rsidRDefault="00911631" w:rsidP="00911631">
            <w:pPr>
              <w:pStyle w:val="Tablecontents"/>
              <w:jc w:val="right"/>
              <w:rPr>
                <w:color w:val="000000"/>
              </w:rPr>
            </w:pPr>
            <w:r w:rsidRPr="007D1918">
              <w:t>$24,010</w:t>
            </w:r>
          </w:p>
        </w:tc>
      </w:tr>
      <w:tr w:rsidR="00911631" w:rsidRPr="007D1918" w14:paraId="2195867D" w14:textId="77777777" w:rsidTr="005229AF">
        <w:trPr>
          <w:trHeight w:val="300"/>
        </w:trPr>
        <w:tc>
          <w:tcPr>
            <w:tcW w:w="2239" w:type="pct"/>
            <w:tcBorders>
              <w:top w:val="single" w:sz="2" w:space="0" w:color="000000"/>
              <w:left w:val="single" w:sz="2" w:space="0" w:color="000000"/>
              <w:bottom w:val="single" w:sz="2" w:space="0" w:color="000000"/>
              <w:right w:val="single" w:sz="4" w:space="0" w:color="auto"/>
            </w:tcBorders>
            <w:noWrap/>
          </w:tcPr>
          <w:p w14:paraId="4369F35B" w14:textId="005538D7" w:rsidR="00911631" w:rsidRPr="007D1918" w:rsidRDefault="00911631" w:rsidP="00911631">
            <w:pPr>
              <w:spacing w:after="40" w:line="240" w:lineRule="auto"/>
              <w:ind w:left="170"/>
              <w:jc w:val="both"/>
              <w:rPr>
                <w:rFonts w:ascii="Arial Narrow" w:hAnsi="Arial Narrow"/>
                <w:sz w:val="20"/>
                <w:szCs w:val="20"/>
              </w:rPr>
            </w:pPr>
            <w:r w:rsidRPr="007D1918">
              <w:rPr>
                <w:rFonts w:ascii="Arial Narrow" w:hAnsi="Arial Narrow"/>
                <w:sz w:val="20"/>
                <w:szCs w:val="20"/>
              </w:rPr>
              <w:t>Lowest IVIg cost ($44.94/g)</w:t>
            </w:r>
          </w:p>
        </w:tc>
        <w:tc>
          <w:tcPr>
            <w:tcW w:w="596" w:type="pct"/>
            <w:tcBorders>
              <w:top w:val="single" w:sz="4" w:space="0" w:color="auto"/>
              <w:left w:val="nil"/>
              <w:bottom w:val="single" w:sz="4" w:space="0" w:color="auto"/>
              <w:right w:val="nil"/>
            </w:tcBorders>
            <w:shd w:val="clear" w:color="auto" w:fill="FFFFFF" w:themeFill="background1"/>
            <w:noWrap/>
            <w:vAlign w:val="center"/>
          </w:tcPr>
          <w:p w14:paraId="52A9C313" w14:textId="07339EBD" w:rsidR="00911631" w:rsidRPr="007D1918" w:rsidRDefault="00911631" w:rsidP="00911631">
            <w:pPr>
              <w:pStyle w:val="Tablecontents"/>
              <w:jc w:val="right"/>
            </w:pP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AD81A6" w14:textId="5315D25A" w:rsidR="00911631" w:rsidRPr="007D1918" w:rsidRDefault="00911631" w:rsidP="00911631">
            <w:pPr>
              <w:pStyle w:val="Tablecontents"/>
              <w:jc w:val="right"/>
            </w:pPr>
          </w:p>
        </w:tc>
        <w:tc>
          <w:tcPr>
            <w:tcW w:w="747" w:type="pct"/>
            <w:tcBorders>
              <w:top w:val="single" w:sz="4" w:space="0" w:color="auto"/>
              <w:left w:val="nil"/>
              <w:bottom w:val="single" w:sz="4" w:space="0" w:color="auto"/>
              <w:right w:val="single" w:sz="4" w:space="0" w:color="auto"/>
            </w:tcBorders>
            <w:shd w:val="clear" w:color="auto" w:fill="FFFFFF" w:themeFill="background1"/>
            <w:noWrap/>
            <w:vAlign w:val="center"/>
          </w:tcPr>
          <w:p w14:paraId="7C539DA9" w14:textId="6A6B3036" w:rsidR="00911631" w:rsidRPr="007D1918" w:rsidRDefault="00911631" w:rsidP="00911631">
            <w:pPr>
              <w:pStyle w:val="Tablecontents"/>
              <w:jc w:val="right"/>
            </w:pPr>
            <w:r w:rsidRPr="007D1918">
              <w:t>$3,173</w:t>
            </w:r>
          </w:p>
        </w:tc>
        <w:tc>
          <w:tcPr>
            <w:tcW w:w="74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D44CDD" w14:textId="1C2A5B9E" w:rsidR="00911631" w:rsidRPr="007D1918" w:rsidRDefault="00911631" w:rsidP="00911631">
            <w:pPr>
              <w:pStyle w:val="Tablecontents"/>
              <w:jc w:val="right"/>
            </w:pPr>
            <w:r w:rsidRPr="007D1918">
              <w:t>$22,152</w:t>
            </w:r>
          </w:p>
        </w:tc>
      </w:tr>
      <w:tr w:rsidR="00911631" w:rsidRPr="007D1918" w14:paraId="622DE67F" w14:textId="77777777" w:rsidTr="005229AF">
        <w:trPr>
          <w:trHeight w:val="300"/>
        </w:trPr>
        <w:tc>
          <w:tcPr>
            <w:tcW w:w="2239" w:type="pct"/>
            <w:tcBorders>
              <w:top w:val="single" w:sz="2" w:space="0" w:color="000000"/>
              <w:left w:val="single" w:sz="2" w:space="0" w:color="000000"/>
              <w:bottom w:val="single" w:sz="2" w:space="0" w:color="000000"/>
              <w:right w:val="single" w:sz="4" w:space="0" w:color="auto"/>
            </w:tcBorders>
            <w:noWrap/>
          </w:tcPr>
          <w:p w14:paraId="1F51FD79" w14:textId="15F09298" w:rsidR="00911631" w:rsidRPr="007D1918" w:rsidRDefault="00911631" w:rsidP="00911631">
            <w:pPr>
              <w:spacing w:after="40" w:line="240" w:lineRule="auto"/>
              <w:ind w:left="170"/>
              <w:jc w:val="both"/>
              <w:rPr>
                <w:rFonts w:ascii="Arial Narrow" w:hAnsi="Arial Narrow"/>
                <w:sz w:val="20"/>
                <w:szCs w:val="20"/>
              </w:rPr>
            </w:pPr>
            <w:r w:rsidRPr="007D1918">
              <w:rPr>
                <w:rFonts w:ascii="Arial Narrow" w:hAnsi="Arial Narrow"/>
                <w:sz w:val="20"/>
                <w:szCs w:val="20"/>
              </w:rPr>
              <w:t>Alternative cost (weighted historical cost $94.51)</w:t>
            </w:r>
          </w:p>
        </w:tc>
        <w:tc>
          <w:tcPr>
            <w:tcW w:w="596" w:type="pct"/>
            <w:tcBorders>
              <w:top w:val="single" w:sz="4" w:space="0" w:color="auto"/>
              <w:left w:val="nil"/>
              <w:bottom w:val="single" w:sz="4" w:space="0" w:color="auto"/>
              <w:right w:val="nil"/>
            </w:tcBorders>
            <w:shd w:val="clear" w:color="auto" w:fill="FFFFFF" w:themeFill="background1"/>
            <w:noWrap/>
            <w:vAlign w:val="center"/>
          </w:tcPr>
          <w:p w14:paraId="2775BDAF" w14:textId="377FD011" w:rsidR="00911631" w:rsidRPr="007D1918" w:rsidRDefault="00911631" w:rsidP="00911631">
            <w:pPr>
              <w:pStyle w:val="Tablecontents"/>
              <w:jc w:val="right"/>
            </w:pP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FABB49" w14:textId="625D7C8B" w:rsidR="00911631" w:rsidRPr="007D1918" w:rsidRDefault="00911631" w:rsidP="00911631">
            <w:pPr>
              <w:pStyle w:val="Tablecontents"/>
              <w:jc w:val="right"/>
            </w:pP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2FEFE21F" w14:textId="49039CC6" w:rsidR="00911631" w:rsidRPr="007D1918" w:rsidRDefault="00911631" w:rsidP="00911631">
            <w:pPr>
              <w:pStyle w:val="Tablecontents"/>
              <w:jc w:val="right"/>
            </w:pPr>
            <w:r w:rsidRPr="007D1918">
              <w:t>$14,018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20C289D1" w14:textId="29F50E40" w:rsidR="00911631" w:rsidRPr="007D1918" w:rsidRDefault="00911631" w:rsidP="00911631">
            <w:pPr>
              <w:pStyle w:val="Tablecontents"/>
              <w:jc w:val="right"/>
            </w:pPr>
            <w:r w:rsidRPr="007D1918">
              <w:t>$97,851</w:t>
            </w:r>
          </w:p>
        </w:tc>
      </w:tr>
      <w:tr w:rsidR="00911631" w:rsidRPr="007D1918" w14:paraId="783E802B" w14:textId="77777777" w:rsidTr="005229AF">
        <w:trPr>
          <w:trHeight w:val="300"/>
        </w:trPr>
        <w:tc>
          <w:tcPr>
            <w:tcW w:w="2239" w:type="pct"/>
            <w:tcBorders>
              <w:top w:val="single" w:sz="2" w:space="0" w:color="000000"/>
              <w:left w:val="single" w:sz="2" w:space="0" w:color="000000"/>
              <w:bottom w:val="single" w:sz="2" w:space="0" w:color="000000"/>
              <w:right w:val="single" w:sz="4" w:space="0" w:color="auto"/>
            </w:tcBorders>
            <w:noWrap/>
          </w:tcPr>
          <w:p w14:paraId="60E103E5" w14:textId="10C7F5F3" w:rsidR="00911631" w:rsidRPr="007D1918" w:rsidRDefault="00911631" w:rsidP="00911631">
            <w:pPr>
              <w:spacing w:after="40" w:line="240" w:lineRule="auto"/>
              <w:ind w:left="170"/>
              <w:jc w:val="both"/>
              <w:rPr>
                <w:rFonts w:ascii="Arial Narrow" w:hAnsi="Arial Narrow"/>
                <w:sz w:val="20"/>
                <w:szCs w:val="20"/>
              </w:rPr>
            </w:pPr>
            <w:r w:rsidRPr="007D1918">
              <w:rPr>
                <w:rFonts w:ascii="Arial Narrow" w:hAnsi="Arial Narrow"/>
                <w:sz w:val="20"/>
                <w:szCs w:val="20"/>
              </w:rPr>
              <w:t>Alternative IVIg cost (published price $58.23)</w:t>
            </w:r>
          </w:p>
        </w:tc>
        <w:tc>
          <w:tcPr>
            <w:tcW w:w="596" w:type="pct"/>
            <w:tcBorders>
              <w:top w:val="single" w:sz="4" w:space="0" w:color="auto"/>
              <w:left w:val="nil"/>
              <w:bottom w:val="single" w:sz="4" w:space="0" w:color="auto"/>
              <w:right w:val="nil"/>
            </w:tcBorders>
            <w:shd w:val="clear" w:color="auto" w:fill="FFFFFF" w:themeFill="background1"/>
            <w:noWrap/>
            <w:vAlign w:val="center"/>
          </w:tcPr>
          <w:p w14:paraId="335F4F38" w14:textId="103175C6" w:rsidR="00911631" w:rsidRPr="007D1918" w:rsidRDefault="00911631" w:rsidP="00911631">
            <w:pPr>
              <w:pStyle w:val="Tablecontents"/>
              <w:jc w:val="right"/>
            </w:pPr>
          </w:p>
        </w:tc>
        <w:tc>
          <w:tcPr>
            <w:tcW w:w="671"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A6EE7D1" w14:textId="723FAF35" w:rsidR="00911631" w:rsidRPr="007D1918" w:rsidRDefault="00911631" w:rsidP="00911631">
            <w:pPr>
              <w:pStyle w:val="Tablecontents"/>
              <w:jc w:val="right"/>
            </w:pPr>
          </w:p>
        </w:tc>
        <w:tc>
          <w:tcPr>
            <w:tcW w:w="747" w:type="pct"/>
            <w:tcBorders>
              <w:top w:val="single" w:sz="4" w:space="0" w:color="auto"/>
              <w:left w:val="nil"/>
              <w:bottom w:val="single" w:sz="4" w:space="0" w:color="auto"/>
              <w:right w:val="single" w:sz="4" w:space="0" w:color="auto"/>
            </w:tcBorders>
            <w:shd w:val="clear" w:color="auto" w:fill="auto"/>
            <w:noWrap/>
            <w:vAlign w:val="center"/>
          </w:tcPr>
          <w:p w14:paraId="3BC019EA" w14:textId="2D350255" w:rsidR="00911631" w:rsidRPr="007D1918" w:rsidRDefault="00911631" w:rsidP="00911631">
            <w:pPr>
              <w:pStyle w:val="Tablecontents"/>
              <w:jc w:val="right"/>
            </w:pPr>
            <w:r w:rsidRPr="007D1918">
              <w:rPr>
                <w:color w:val="000000"/>
              </w:rPr>
              <w:t>$6,081</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53AEE971" w14:textId="69E85646" w:rsidR="00911631" w:rsidRPr="007D1918" w:rsidRDefault="00911631" w:rsidP="00911631">
            <w:pPr>
              <w:pStyle w:val="Tablecontents"/>
              <w:jc w:val="right"/>
            </w:pPr>
            <w:r w:rsidRPr="007D1918">
              <w:t>$42,447</w:t>
            </w:r>
          </w:p>
        </w:tc>
      </w:tr>
      <w:tr w:rsidR="00911631" w:rsidRPr="007D1918" w14:paraId="39986A72" w14:textId="77777777" w:rsidTr="00A97725">
        <w:trPr>
          <w:trHeight w:val="300"/>
        </w:trPr>
        <w:tc>
          <w:tcPr>
            <w:tcW w:w="4253" w:type="pct"/>
            <w:gridSpan w:val="4"/>
            <w:tcBorders>
              <w:top w:val="single" w:sz="2" w:space="0" w:color="000000"/>
              <w:left w:val="single" w:sz="2" w:space="0" w:color="000000"/>
              <w:bottom w:val="single" w:sz="2" w:space="0" w:color="000000"/>
              <w:right w:val="single" w:sz="4" w:space="0" w:color="auto"/>
            </w:tcBorders>
            <w:noWrap/>
            <w:vAlign w:val="center"/>
          </w:tcPr>
          <w:p w14:paraId="38FEC7CB" w14:textId="27387BAC" w:rsidR="00911631" w:rsidRPr="007D1918" w:rsidRDefault="00911631" w:rsidP="00911631">
            <w:pPr>
              <w:spacing w:after="40" w:line="240" w:lineRule="auto"/>
              <w:rPr>
                <w:rFonts w:ascii="Arial Narrow" w:hAnsi="Arial Narrow"/>
                <w:sz w:val="20"/>
                <w:szCs w:val="20"/>
              </w:rPr>
            </w:pPr>
            <w:r w:rsidRPr="007D1918">
              <w:rPr>
                <w:rFonts w:ascii="Arial Narrow" w:hAnsi="Arial Narrow"/>
                <w:sz w:val="20"/>
                <w:szCs w:val="20"/>
              </w:rPr>
              <w:t>Varying PE dosing</w:t>
            </w:r>
          </w:p>
        </w:tc>
        <w:tc>
          <w:tcPr>
            <w:tcW w:w="747" w:type="pct"/>
            <w:tcBorders>
              <w:top w:val="single" w:sz="2" w:space="0" w:color="000000"/>
              <w:left w:val="single" w:sz="2" w:space="0" w:color="000000"/>
              <w:bottom w:val="single" w:sz="2" w:space="0" w:color="000000"/>
              <w:right w:val="single" w:sz="4" w:space="0" w:color="auto"/>
            </w:tcBorders>
            <w:vAlign w:val="center"/>
          </w:tcPr>
          <w:p w14:paraId="21439ADA" w14:textId="77777777" w:rsidR="00911631" w:rsidRPr="007D1918" w:rsidRDefault="00911631" w:rsidP="00911631">
            <w:pPr>
              <w:spacing w:after="40" w:line="240" w:lineRule="auto"/>
              <w:jc w:val="right"/>
              <w:rPr>
                <w:rFonts w:ascii="Arial Narrow" w:hAnsi="Arial Narrow"/>
                <w:sz w:val="20"/>
                <w:szCs w:val="20"/>
              </w:rPr>
            </w:pPr>
          </w:p>
        </w:tc>
      </w:tr>
      <w:tr w:rsidR="00911631" w:rsidRPr="007D1918" w14:paraId="308688C5" w14:textId="77777777" w:rsidTr="00263375">
        <w:trPr>
          <w:trHeight w:val="300"/>
        </w:trPr>
        <w:tc>
          <w:tcPr>
            <w:tcW w:w="2239" w:type="pct"/>
            <w:tcBorders>
              <w:top w:val="single" w:sz="2" w:space="0" w:color="000000"/>
              <w:left w:val="single" w:sz="2" w:space="0" w:color="000000"/>
              <w:bottom w:val="single" w:sz="4" w:space="0" w:color="auto"/>
              <w:right w:val="single" w:sz="4" w:space="0" w:color="auto"/>
            </w:tcBorders>
            <w:noWrap/>
          </w:tcPr>
          <w:p w14:paraId="41AAA6F4" w14:textId="3439BE6A" w:rsidR="00911631" w:rsidRPr="007D1918" w:rsidRDefault="00911631" w:rsidP="00911631">
            <w:pPr>
              <w:spacing w:after="40" w:line="240" w:lineRule="auto"/>
              <w:ind w:left="170"/>
              <w:jc w:val="both"/>
              <w:rPr>
                <w:rFonts w:ascii="Arial Narrow" w:hAnsi="Arial Narrow"/>
                <w:sz w:val="20"/>
                <w:szCs w:val="20"/>
              </w:rPr>
            </w:pPr>
            <w:r w:rsidRPr="007D1918">
              <w:rPr>
                <w:rFonts w:ascii="Arial Narrow" w:hAnsi="Arial Narrow"/>
                <w:sz w:val="20"/>
                <w:szCs w:val="20"/>
              </w:rPr>
              <w:t>Minimum plausible : 9L fluid over 3 exchanges</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D3BB40" w14:textId="2D7A8F3B" w:rsidR="00911631" w:rsidRPr="007D1918" w:rsidRDefault="00911631" w:rsidP="00911631">
            <w:pPr>
              <w:pStyle w:val="Tablecontents"/>
              <w:jc w:val="right"/>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37392" w14:textId="7813DFB8" w:rsidR="00911631" w:rsidRPr="007D1918" w:rsidRDefault="00911631" w:rsidP="00911631">
            <w:pPr>
              <w:pStyle w:val="Tablecontents"/>
              <w:jc w:val="right"/>
            </w:pPr>
          </w:p>
        </w:tc>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358267" w14:textId="778D4D3C" w:rsidR="00911631" w:rsidRPr="007D1918" w:rsidRDefault="00911631" w:rsidP="00911631">
            <w:pPr>
              <w:pStyle w:val="Tablecontents"/>
              <w:jc w:val="right"/>
              <w:rPr>
                <w:color w:val="000000"/>
              </w:rPr>
            </w:pPr>
            <w:r w:rsidRPr="007D1918">
              <w:rPr>
                <w:color w:val="000000"/>
              </w:rPr>
              <w:t>$7,808</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7FD88580" w14:textId="6F534A7B" w:rsidR="00911631" w:rsidRPr="007D1918" w:rsidRDefault="00911631" w:rsidP="00911631">
            <w:pPr>
              <w:pStyle w:val="Tablecontents"/>
              <w:jc w:val="right"/>
              <w:rPr>
                <w:color w:val="000000"/>
              </w:rPr>
            </w:pPr>
            <w:r w:rsidRPr="007D1918">
              <w:rPr>
                <w:color w:val="000000"/>
              </w:rPr>
              <w:t>$54,502</w:t>
            </w:r>
          </w:p>
        </w:tc>
      </w:tr>
      <w:tr w:rsidR="00911631" w:rsidRPr="007D1918" w14:paraId="4AD0F2F4" w14:textId="77777777" w:rsidTr="00263375">
        <w:trPr>
          <w:trHeight w:val="300"/>
        </w:trPr>
        <w:tc>
          <w:tcPr>
            <w:tcW w:w="2239" w:type="pct"/>
            <w:tcBorders>
              <w:top w:val="single" w:sz="4" w:space="0" w:color="auto"/>
              <w:left w:val="single" w:sz="4" w:space="0" w:color="auto"/>
              <w:bottom w:val="single" w:sz="4" w:space="0" w:color="auto"/>
              <w:right w:val="single" w:sz="4" w:space="0" w:color="auto"/>
            </w:tcBorders>
            <w:noWrap/>
          </w:tcPr>
          <w:p w14:paraId="7E4C13C1" w14:textId="4D05451E" w:rsidR="00911631" w:rsidRPr="007D1918" w:rsidRDefault="00911631" w:rsidP="00911631">
            <w:pPr>
              <w:spacing w:after="40" w:line="240" w:lineRule="auto"/>
              <w:ind w:left="170"/>
              <w:jc w:val="both"/>
              <w:rPr>
                <w:rFonts w:ascii="Arial Narrow" w:hAnsi="Arial Narrow"/>
                <w:sz w:val="20"/>
                <w:szCs w:val="20"/>
              </w:rPr>
            </w:pPr>
            <w:r w:rsidRPr="007D1918">
              <w:rPr>
                <w:rFonts w:ascii="Arial Narrow" w:hAnsi="Arial Narrow"/>
                <w:sz w:val="20"/>
                <w:szCs w:val="20"/>
              </w:rPr>
              <w:t>Maximum plausible: 40L fluid over 8 exchanges</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9EBF62" w14:textId="07C79440" w:rsidR="00911631" w:rsidRPr="007D1918" w:rsidRDefault="00911631" w:rsidP="00911631">
            <w:pPr>
              <w:pStyle w:val="Tablecontents"/>
              <w:jc w:val="right"/>
            </w:pPr>
          </w:p>
        </w:tc>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20FE93" w14:textId="51D587CD" w:rsidR="00911631" w:rsidRPr="007D1918" w:rsidRDefault="00911631" w:rsidP="00911631">
            <w:pPr>
              <w:pStyle w:val="Tablecontents"/>
              <w:jc w:val="right"/>
            </w:pPr>
          </w:p>
        </w:tc>
        <w:tc>
          <w:tcPr>
            <w:tcW w:w="7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D31D6C" w14:textId="50406D34" w:rsidR="00911631" w:rsidRPr="007D1918" w:rsidRDefault="00911631" w:rsidP="00911631">
            <w:pPr>
              <w:pStyle w:val="Tablecontents"/>
              <w:jc w:val="right"/>
              <w:rPr>
                <w:color w:val="000000"/>
              </w:rPr>
            </w:pPr>
            <w:r w:rsidRPr="007D1918">
              <w:rPr>
                <w:color w:val="000000"/>
              </w:rPr>
              <w:t>$2,106</w:t>
            </w:r>
          </w:p>
        </w:tc>
        <w:tc>
          <w:tcPr>
            <w:tcW w:w="747" w:type="pct"/>
            <w:tcBorders>
              <w:top w:val="single" w:sz="4" w:space="0" w:color="auto"/>
              <w:left w:val="single" w:sz="4" w:space="0" w:color="auto"/>
              <w:bottom w:val="single" w:sz="4" w:space="0" w:color="auto"/>
              <w:right w:val="single" w:sz="4" w:space="0" w:color="auto"/>
            </w:tcBorders>
            <w:shd w:val="clear" w:color="auto" w:fill="auto"/>
            <w:vAlign w:val="center"/>
          </w:tcPr>
          <w:p w14:paraId="4A1CB823" w14:textId="73CB5023" w:rsidR="00911631" w:rsidRPr="007D1918" w:rsidRDefault="00911631" w:rsidP="00911631">
            <w:pPr>
              <w:pStyle w:val="Tablecontents"/>
              <w:jc w:val="right"/>
              <w:rPr>
                <w:color w:val="000000"/>
              </w:rPr>
            </w:pPr>
            <w:r w:rsidRPr="007D1918">
              <w:rPr>
                <w:color w:val="000000"/>
              </w:rPr>
              <w:t>$14,700</w:t>
            </w:r>
          </w:p>
        </w:tc>
      </w:tr>
    </w:tbl>
    <w:p w14:paraId="116445E4" w14:textId="77777777" w:rsidR="005619FC" w:rsidRPr="007D1918" w:rsidRDefault="005619FC" w:rsidP="005619FC">
      <w:pPr>
        <w:pStyle w:val="Tablenotes1"/>
        <w:spacing w:after="360"/>
      </w:pPr>
      <w:r w:rsidRPr="007D1918">
        <w:t>ICER = incremental cost-effectiveness ratio; IVIg = intravenous immunoglobulin; PE = plasma exchange; QALY = quality adjusted life-years</w:t>
      </w:r>
    </w:p>
    <w:p w14:paraId="4ED9FA18" w14:textId="49DDD161" w:rsidR="005619FC" w:rsidRPr="007D1918" w:rsidRDefault="005619FC" w:rsidP="005619FC">
      <w:pPr>
        <w:pStyle w:val="Caption"/>
      </w:pPr>
      <w:bookmarkStart w:id="451" w:name="_Toc23769568"/>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81</w:t>
      </w:r>
      <w:r w:rsidRPr="007D1918">
        <w:rPr>
          <w:noProof/>
        </w:rPr>
        <w:fldChar w:fldCharType="end"/>
      </w:r>
      <w:r w:rsidRPr="007D1918">
        <w:tab/>
        <w:t xml:space="preserve">Scenario analyses: </w:t>
      </w:r>
      <w:r w:rsidR="007A490C" w:rsidRPr="007D1918">
        <w:t xml:space="preserve">alternative sepsis </w:t>
      </w:r>
      <w:r w:rsidR="002F007B" w:rsidRPr="007D1918">
        <w:t xml:space="preserve">incidence </w:t>
      </w:r>
      <w:r w:rsidR="007A490C" w:rsidRPr="007D1918">
        <w:t>and mort</w:t>
      </w:r>
      <w:r w:rsidR="00A97725" w:rsidRPr="007D1918">
        <w:t>a</w:t>
      </w:r>
      <w:r w:rsidR="007A490C" w:rsidRPr="007D1918">
        <w:t xml:space="preserve">lity rates </w:t>
      </w:r>
      <w:r w:rsidR="002F007B" w:rsidRPr="007D1918">
        <w:t xml:space="preserve">in </w:t>
      </w:r>
      <w:r w:rsidR="005229AF" w:rsidRPr="007D1918">
        <w:t>step</w:t>
      </w:r>
      <w:r w:rsidR="002F007B" w:rsidRPr="007D1918">
        <w:t>s</w:t>
      </w:r>
      <w:r w:rsidR="005229AF" w:rsidRPr="007D1918">
        <w:t xml:space="preserve"> 6 and 7</w:t>
      </w:r>
      <w:bookmarkEnd w:id="451"/>
    </w:p>
    <w:tbl>
      <w:tblPr>
        <w:tblStyle w:val="TableGrid1"/>
        <w:tblW w:w="5000" w:type="pct"/>
        <w:tblLayout w:type="fixed"/>
        <w:tblLook w:val="04A0" w:firstRow="1" w:lastRow="0" w:firstColumn="1" w:lastColumn="0" w:noHBand="0" w:noVBand="1"/>
        <w:tblCaption w:val="Key sensitivity analyses"/>
      </w:tblPr>
      <w:tblGrid>
        <w:gridCol w:w="5098"/>
        <w:gridCol w:w="1306"/>
        <w:gridCol w:w="1306"/>
        <w:gridCol w:w="1306"/>
      </w:tblGrid>
      <w:tr w:rsidR="005619FC" w:rsidRPr="007D1918" w14:paraId="17656ABF" w14:textId="77777777" w:rsidTr="00125398">
        <w:trPr>
          <w:cnfStyle w:val="100000000000" w:firstRow="1" w:lastRow="0" w:firstColumn="0" w:lastColumn="0" w:oddVBand="0" w:evenVBand="0" w:oddHBand="0" w:evenHBand="0" w:firstRowFirstColumn="0" w:firstRowLastColumn="0" w:lastRowFirstColumn="0" w:lastRowLastColumn="0"/>
          <w:trHeight w:val="300"/>
          <w:tblHeader/>
        </w:trPr>
        <w:tc>
          <w:tcPr>
            <w:tcW w:w="2827" w:type="pct"/>
            <w:noWrap/>
            <w:vAlign w:val="center"/>
          </w:tcPr>
          <w:p w14:paraId="1B5C4263" w14:textId="7FD6815E" w:rsidR="005619FC" w:rsidRPr="007D1918" w:rsidRDefault="005619FC" w:rsidP="00125398">
            <w:pPr>
              <w:keepNext/>
              <w:spacing w:after="40" w:line="240" w:lineRule="auto"/>
              <w:rPr>
                <w:rFonts w:ascii="Arial Narrow" w:hAnsi="Arial Narrow"/>
                <w:sz w:val="20"/>
                <w:szCs w:val="20"/>
              </w:rPr>
            </w:pPr>
          </w:p>
        </w:tc>
        <w:tc>
          <w:tcPr>
            <w:tcW w:w="724" w:type="pct"/>
            <w:tcBorders>
              <w:bottom w:val="single" w:sz="4" w:space="0" w:color="auto"/>
            </w:tcBorders>
            <w:noWrap/>
          </w:tcPr>
          <w:p w14:paraId="3D6B975F"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Incremental costs</w:t>
            </w:r>
          </w:p>
        </w:tc>
        <w:tc>
          <w:tcPr>
            <w:tcW w:w="724" w:type="pct"/>
            <w:tcBorders>
              <w:bottom w:val="single" w:sz="4" w:space="0" w:color="auto"/>
            </w:tcBorders>
            <w:noWrap/>
          </w:tcPr>
          <w:p w14:paraId="639AF552"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Incremental QALYs</w:t>
            </w:r>
          </w:p>
        </w:tc>
        <w:tc>
          <w:tcPr>
            <w:tcW w:w="724" w:type="pct"/>
            <w:tcBorders>
              <w:bottom w:val="single" w:sz="4" w:space="0" w:color="auto"/>
            </w:tcBorders>
          </w:tcPr>
          <w:p w14:paraId="4AC23483"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 xml:space="preserve">ICER </w:t>
            </w:r>
            <w:r w:rsidRPr="007D1918">
              <w:rPr>
                <w:rFonts w:ascii="Arial Narrow" w:hAnsi="Arial Narrow"/>
                <w:b/>
                <w:sz w:val="20"/>
                <w:szCs w:val="20"/>
              </w:rPr>
              <w:br/>
              <w:t>$/QALY</w:t>
            </w:r>
          </w:p>
        </w:tc>
      </w:tr>
      <w:tr w:rsidR="00A97725" w:rsidRPr="007D1918" w14:paraId="43734608" w14:textId="77777777" w:rsidTr="00A97725">
        <w:trPr>
          <w:cnfStyle w:val="100000000000" w:firstRow="1" w:lastRow="0" w:firstColumn="0" w:lastColumn="0" w:oddVBand="0" w:evenVBand="0" w:oddHBand="0" w:evenHBand="0" w:firstRowFirstColumn="0" w:firstRowLastColumn="0" w:lastRowFirstColumn="0" w:lastRowLastColumn="0"/>
          <w:trHeight w:val="300"/>
          <w:tblHeader/>
        </w:trPr>
        <w:tc>
          <w:tcPr>
            <w:tcW w:w="2827" w:type="pct"/>
            <w:noWrap/>
            <w:vAlign w:val="center"/>
          </w:tcPr>
          <w:p w14:paraId="6D05E909" w14:textId="75B538C4" w:rsidR="00A97725" w:rsidRPr="007D1918" w:rsidRDefault="00A97725" w:rsidP="005229AF">
            <w:pPr>
              <w:keepNext/>
              <w:spacing w:after="40" w:line="240" w:lineRule="auto"/>
              <w:rPr>
                <w:rFonts w:ascii="Arial Narrow" w:hAnsi="Arial Narrow"/>
                <w:sz w:val="20"/>
                <w:szCs w:val="20"/>
              </w:rPr>
            </w:pPr>
            <w:r w:rsidRPr="007D1918">
              <w:rPr>
                <w:rFonts w:ascii="Arial Narrow" w:hAnsi="Arial Narrow"/>
                <w:sz w:val="20"/>
                <w:szCs w:val="20"/>
              </w:rPr>
              <w:t>(</w:t>
            </w:r>
            <w:r w:rsidR="005229AF" w:rsidRPr="007D1918">
              <w:rPr>
                <w:rFonts w:ascii="Arial Narrow" w:hAnsi="Arial Narrow"/>
                <w:sz w:val="20"/>
                <w:szCs w:val="20"/>
              </w:rPr>
              <w:t xml:space="preserve">Step 7 </w:t>
            </w:r>
            <w:r w:rsidRPr="007D1918">
              <w:rPr>
                <w:rFonts w:ascii="Arial Narrow" w:hAnsi="Arial Narrow"/>
                <w:sz w:val="20"/>
                <w:szCs w:val="20"/>
              </w:rPr>
              <w:t>sepsis rate: 4.88%, effective mortality rate of 0.9%</w:t>
            </w:r>
            <w:r w:rsidR="00C46C32" w:rsidRPr="007D1918">
              <w:rPr>
                <w:rFonts w:ascii="Arial Narrow" w:hAnsi="Arial Narrow"/>
                <w:sz w:val="20"/>
                <w:szCs w:val="20"/>
              </w:rPr>
              <w:t>, morbidity utility 0.8</w:t>
            </w:r>
            <w:r w:rsidRPr="007D1918">
              <w:rPr>
                <w:rFonts w:ascii="Arial Narrow" w:hAnsi="Arial Narrow"/>
                <w:sz w:val="20"/>
                <w:szCs w:val="20"/>
              </w:rPr>
              <w:t>)</w:t>
            </w:r>
          </w:p>
        </w:tc>
        <w:tc>
          <w:tcPr>
            <w:tcW w:w="724" w:type="pct"/>
            <w:tcBorders>
              <w:bottom w:val="single" w:sz="4" w:space="0" w:color="auto"/>
            </w:tcBorders>
            <w:noWrap/>
            <w:vAlign w:val="center"/>
          </w:tcPr>
          <w:p w14:paraId="16CA00CC" w14:textId="29A7C64A" w:rsidR="00A97725" w:rsidRPr="007D1918" w:rsidRDefault="00A97725" w:rsidP="00A97725">
            <w:pPr>
              <w:keepNext/>
              <w:spacing w:after="40" w:line="240" w:lineRule="auto"/>
              <w:jc w:val="right"/>
              <w:rPr>
                <w:rFonts w:ascii="Arial Narrow" w:hAnsi="Arial Narrow"/>
                <w:sz w:val="20"/>
                <w:szCs w:val="20"/>
              </w:rPr>
            </w:pPr>
            <w:r w:rsidRPr="007D1918">
              <w:rPr>
                <w:rFonts w:ascii="Arial Narrow" w:hAnsi="Arial Narrow"/>
                <w:sz w:val="20"/>
                <w:szCs w:val="20"/>
              </w:rPr>
              <w:t>$6,558</w:t>
            </w:r>
          </w:p>
        </w:tc>
        <w:tc>
          <w:tcPr>
            <w:tcW w:w="724" w:type="pct"/>
            <w:tcBorders>
              <w:bottom w:val="single" w:sz="4" w:space="0" w:color="auto"/>
            </w:tcBorders>
            <w:noWrap/>
            <w:vAlign w:val="center"/>
          </w:tcPr>
          <w:p w14:paraId="5E8D55C5" w14:textId="7EF6EC08" w:rsidR="00A97725" w:rsidRPr="007D1918" w:rsidRDefault="00A97725" w:rsidP="00A97725">
            <w:pPr>
              <w:keepNext/>
              <w:spacing w:after="40" w:line="240" w:lineRule="auto"/>
              <w:jc w:val="right"/>
              <w:rPr>
                <w:rFonts w:ascii="Arial Narrow" w:hAnsi="Arial Narrow"/>
                <w:sz w:val="20"/>
                <w:szCs w:val="20"/>
              </w:rPr>
            </w:pPr>
            <w:r w:rsidRPr="007D1918">
              <w:rPr>
                <w:rFonts w:ascii="Arial Narrow" w:hAnsi="Arial Narrow"/>
                <w:sz w:val="20"/>
                <w:szCs w:val="20"/>
              </w:rPr>
              <w:t>0.143261</w:t>
            </w:r>
          </w:p>
        </w:tc>
        <w:tc>
          <w:tcPr>
            <w:tcW w:w="724" w:type="pct"/>
            <w:tcBorders>
              <w:bottom w:val="single" w:sz="4" w:space="0" w:color="auto"/>
            </w:tcBorders>
            <w:vAlign w:val="center"/>
          </w:tcPr>
          <w:p w14:paraId="6F20413A" w14:textId="278F435E" w:rsidR="00A97725" w:rsidRPr="007D1918" w:rsidRDefault="00A97725" w:rsidP="00A97725">
            <w:pPr>
              <w:keepNext/>
              <w:spacing w:after="40" w:line="240" w:lineRule="auto"/>
              <w:jc w:val="right"/>
              <w:rPr>
                <w:rFonts w:ascii="Arial Narrow" w:hAnsi="Arial Narrow"/>
                <w:sz w:val="20"/>
                <w:szCs w:val="20"/>
              </w:rPr>
            </w:pPr>
            <w:r w:rsidRPr="007D1918">
              <w:rPr>
                <w:rFonts w:ascii="Arial Narrow" w:hAnsi="Arial Narrow"/>
                <w:sz w:val="20"/>
                <w:szCs w:val="20"/>
              </w:rPr>
              <w:t>$45,776</w:t>
            </w:r>
          </w:p>
        </w:tc>
      </w:tr>
      <w:tr w:rsidR="00125398" w:rsidRPr="007D1918" w14:paraId="77626C95" w14:textId="77777777" w:rsidTr="002F007B">
        <w:trPr>
          <w:cnfStyle w:val="100000000000" w:firstRow="1" w:lastRow="0" w:firstColumn="0" w:lastColumn="0" w:oddVBand="0" w:evenVBand="0" w:oddHBand="0" w:evenHBand="0" w:firstRowFirstColumn="0" w:firstRowLastColumn="0" w:lastRowFirstColumn="0" w:lastRowLastColumn="0"/>
          <w:trHeight w:val="300"/>
          <w:tblHeader/>
        </w:trPr>
        <w:tc>
          <w:tcPr>
            <w:tcW w:w="2827" w:type="pct"/>
            <w:tcBorders>
              <w:bottom w:val="single" w:sz="4" w:space="0" w:color="auto"/>
            </w:tcBorders>
            <w:noWrap/>
            <w:hideMark/>
          </w:tcPr>
          <w:p w14:paraId="28BCDD1B" w14:textId="07ECCB78" w:rsidR="00125398" w:rsidRPr="007D1918" w:rsidRDefault="00125398" w:rsidP="00125398">
            <w:pPr>
              <w:spacing w:after="40" w:line="240" w:lineRule="auto"/>
              <w:jc w:val="both"/>
              <w:rPr>
                <w:rFonts w:ascii="Arial Narrow" w:hAnsi="Arial Narrow"/>
                <w:sz w:val="20"/>
                <w:szCs w:val="20"/>
              </w:rPr>
            </w:pPr>
            <w:r w:rsidRPr="007D1918">
              <w:rPr>
                <w:rFonts w:ascii="Arial Narrow" w:hAnsi="Arial Narrow"/>
                <w:sz w:val="20"/>
                <w:szCs w:val="20"/>
              </w:rPr>
              <w:t>PE-associated sepsis at an incremental rate of 7.67%</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07B25BB" w14:textId="2F38576E" w:rsidR="00125398" w:rsidRPr="007D1918" w:rsidRDefault="00125398" w:rsidP="00125398">
            <w:pPr>
              <w:pStyle w:val="Tablecontents"/>
              <w:jc w:val="right"/>
            </w:pPr>
            <w:r w:rsidRPr="007D1918">
              <w:t>$5,792</w:t>
            </w:r>
          </w:p>
        </w:tc>
        <w:tc>
          <w:tcPr>
            <w:tcW w:w="7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3575E" w14:textId="626D4B37" w:rsidR="00125398" w:rsidRPr="007D1918" w:rsidRDefault="00125398" w:rsidP="00125398">
            <w:pPr>
              <w:pStyle w:val="Tablecontents"/>
              <w:jc w:val="right"/>
            </w:pPr>
            <w:r w:rsidRPr="007D1918">
              <w:t>0.224537</w:t>
            </w:r>
          </w:p>
        </w:tc>
        <w:tc>
          <w:tcPr>
            <w:tcW w:w="724" w:type="pct"/>
            <w:tcBorders>
              <w:top w:val="single" w:sz="4" w:space="0" w:color="auto"/>
              <w:left w:val="nil"/>
              <w:bottom w:val="single" w:sz="4" w:space="0" w:color="auto"/>
              <w:right w:val="single" w:sz="4" w:space="0" w:color="auto"/>
            </w:tcBorders>
            <w:shd w:val="clear" w:color="auto" w:fill="auto"/>
            <w:vAlign w:val="center"/>
          </w:tcPr>
          <w:p w14:paraId="611B824B" w14:textId="0165BCD8" w:rsidR="00125398" w:rsidRPr="007D1918" w:rsidRDefault="00125398" w:rsidP="00125398">
            <w:pPr>
              <w:pStyle w:val="Tablecontents"/>
              <w:jc w:val="right"/>
            </w:pPr>
            <w:r w:rsidRPr="007D1918">
              <w:t>$25,795</w:t>
            </w:r>
          </w:p>
        </w:tc>
      </w:tr>
      <w:tr w:rsidR="00C46C32" w:rsidRPr="007D1918" w14:paraId="4648AF24" w14:textId="77777777" w:rsidTr="002F007B">
        <w:trPr>
          <w:trHeight w:val="300"/>
        </w:trPr>
        <w:tc>
          <w:tcPr>
            <w:tcW w:w="2827" w:type="pct"/>
            <w:tcBorders>
              <w:bottom w:val="single" w:sz="4" w:space="0" w:color="auto"/>
            </w:tcBorders>
            <w:noWrap/>
          </w:tcPr>
          <w:p w14:paraId="396299DB" w14:textId="71B4E592" w:rsidR="00C46C32" w:rsidRPr="007D1918" w:rsidRDefault="00C46C32" w:rsidP="00C46C32">
            <w:pPr>
              <w:spacing w:after="40" w:line="240" w:lineRule="auto"/>
              <w:jc w:val="both"/>
              <w:rPr>
                <w:rFonts w:ascii="Arial Narrow" w:hAnsi="Arial Narrow"/>
                <w:sz w:val="20"/>
                <w:szCs w:val="20"/>
              </w:rPr>
            </w:pPr>
            <w:r w:rsidRPr="007D1918">
              <w:rPr>
                <w:rFonts w:ascii="Arial Narrow" w:hAnsi="Arial Narrow"/>
                <w:sz w:val="20"/>
                <w:szCs w:val="20"/>
              </w:rPr>
              <w:t>PE-associated sepsis morbidity with utility of 0.6</w:t>
            </w:r>
          </w:p>
        </w:tc>
        <w:tc>
          <w:tcPr>
            <w:tcW w:w="724" w:type="pct"/>
            <w:tcBorders>
              <w:top w:val="single" w:sz="4" w:space="0" w:color="auto"/>
              <w:left w:val="nil"/>
              <w:bottom w:val="single" w:sz="4" w:space="0" w:color="auto"/>
              <w:right w:val="single" w:sz="4" w:space="0" w:color="auto"/>
            </w:tcBorders>
            <w:shd w:val="clear" w:color="auto" w:fill="FFFFFF" w:themeFill="background1"/>
            <w:noWrap/>
            <w:vAlign w:val="bottom"/>
          </w:tcPr>
          <w:p w14:paraId="16B52953" w14:textId="0E0F6F18" w:rsidR="00C46C32" w:rsidRPr="007D1918" w:rsidRDefault="00C46C32" w:rsidP="00C46C32">
            <w:pPr>
              <w:pStyle w:val="Tablecontents"/>
              <w:jc w:val="right"/>
            </w:pPr>
            <w:r w:rsidRPr="007D1918">
              <w:t>$6,558</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EFF028F" w14:textId="0125A8DD" w:rsidR="00C46C32" w:rsidRPr="007D1918" w:rsidRDefault="00C46C32" w:rsidP="00C46C32">
            <w:pPr>
              <w:pStyle w:val="Tablecontents"/>
              <w:jc w:val="right"/>
            </w:pPr>
            <w:r w:rsidRPr="007D1918">
              <w:t>0.228750</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81204A2" w14:textId="1CCBE228" w:rsidR="00C46C32" w:rsidRPr="007D1918" w:rsidRDefault="00C46C32" w:rsidP="00C46C32">
            <w:pPr>
              <w:pStyle w:val="Tablecontents"/>
              <w:jc w:val="right"/>
            </w:pPr>
            <w:r w:rsidRPr="007D1918">
              <w:t>$28,669</w:t>
            </w:r>
          </w:p>
        </w:tc>
      </w:tr>
      <w:tr w:rsidR="00A97725" w:rsidRPr="007D1918" w14:paraId="17C7693E" w14:textId="77777777" w:rsidTr="002F007B">
        <w:trPr>
          <w:trHeight w:val="300"/>
        </w:trPr>
        <w:tc>
          <w:tcPr>
            <w:tcW w:w="2827" w:type="pct"/>
            <w:tcBorders>
              <w:bottom w:val="single" w:sz="4" w:space="0" w:color="auto"/>
            </w:tcBorders>
            <w:noWrap/>
            <w:hideMark/>
          </w:tcPr>
          <w:p w14:paraId="15EC7B34" w14:textId="22276AF0" w:rsidR="00A97725" w:rsidRPr="007D1918" w:rsidRDefault="00A97725" w:rsidP="00A97725">
            <w:pPr>
              <w:spacing w:after="40" w:line="240" w:lineRule="auto"/>
              <w:jc w:val="both"/>
              <w:rPr>
                <w:rFonts w:ascii="Arial Narrow" w:hAnsi="Arial Narrow"/>
                <w:sz w:val="20"/>
                <w:szCs w:val="20"/>
              </w:rPr>
            </w:pPr>
            <w:r w:rsidRPr="007D1918">
              <w:rPr>
                <w:rFonts w:ascii="Arial Narrow" w:hAnsi="Arial Narrow"/>
                <w:sz w:val="20"/>
                <w:szCs w:val="20"/>
              </w:rPr>
              <w:t>Assuming PE associated mortality is 0.05% (sepsis rate 4.88%)</w:t>
            </w:r>
          </w:p>
        </w:tc>
        <w:tc>
          <w:tcPr>
            <w:tcW w:w="724" w:type="pct"/>
            <w:tcBorders>
              <w:top w:val="single" w:sz="4" w:space="0" w:color="auto"/>
              <w:left w:val="nil"/>
              <w:bottom w:val="single" w:sz="4" w:space="0" w:color="auto"/>
              <w:right w:val="single" w:sz="4" w:space="0" w:color="auto"/>
            </w:tcBorders>
            <w:shd w:val="clear" w:color="auto" w:fill="FFFFFF" w:themeFill="background1"/>
            <w:noWrap/>
            <w:vAlign w:val="bottom"/>
          </w:tcPr>
          <w:p w14:paraId="2C3F4319" w14:textId="2DE8BCA7" w:rsidR="00A97725" w:rsidRPr="007D1918" w:rsidRDefault="00A97725" w:rsidP="00A97725">
            <w:pPr>
              <w:pStyle w:val="Tablecontents"/>
              <w:jc w:val="right"/>
            </w:pPr>
            <w:r w:rsidRPr="007D1918">
              <w:t>$6,558</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FDDB52" w14:textId="3A1D43BA" w:rsidR="00A97725" w:rsidRPr="007D1918" w:rsidRDefault="00A97725" w:rsidP="00A97725">
            <w:pPr>
              <w:pStyle w:val="Tablecontents"/>
              <w:jc w:val="right"/>
            </w:pPr>
            <w:r w:rsidRPr="007D1918">
              <w:t>0.079549</w:t>
            </w:r>
          </w:p>
        </w:tc>
        <w:tc>
          <w:tcPr>
            <w:tcW w:w="724" w:type="pct"/>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2D385F8" w14:textId="3B083240" w:rsidR="00A97725" w:rsidRPr="007D1918" w:rsidRDefault="00A97725" w:rsidP="00A97725">
            <w:pPr>
              <w:pStyle w:val="Tablecontents"/>
              <w:jc w:val="right"/>
            </w:pPr>
            <w:r w:rsidRPr="007D1918">
              <w:t>$82,439</w:t>
            </w:r>
          </w:p>
        </w:tc>
      </w:tr>
    </w:tbl>
    <w:p w14:paraId="3BC662DB" w14:textId="0AB56064" w:rsidR="005619FC" w:rsidRPr="007D1918" w:rsidRDefault="005619FC" w:rsidP="002F007B">
      <w:pPr>
        <w:pStyle w:val="Tablenotes1"/>
        <w:spacing w:after="360"/>
      </w:pPr>
      <w:r w:rsidRPr="007D1918">
        <w:t>ICER = incremental cost-effectiveness ratio; IVIg = intravenous immunoglobulin; PE = plasma exchange; QALY = quality adjusted life-years</w:t>
      </w:r>
      <w:bookmarkStart w:id="452" w:name="_Toc15561879"/>
      <w:r w:rsidR="002F007B" w:rsidRPr="007D1918">
        <w:br/>
      </w:r>
      <w:r w:rsidRPr="007D1918">
        <w:br w:type="page"/>
      </w:r>
    </w:p>
    <w:p w14:paraId="63005157" w14:textId="24466611" w:rsidR="006C641A" w:rsidRPr="007D1918" w:rsidRDefault="006C641A" w:rsidP="006C641A">
      <w:pPr>
        <w:pStyle w:val="Heading3"/>
      </w:pPr>
      <w:bookmarkStart w:id="453" w:name="_Toc23767004"/>
      <w:r w:rsidRPr="007D1918">
        <w:lastRenderedPageBreak/>
        <w:t>D.5.2</w:t>
      </w:r>
      <w:r w:rsidRPr="007D1918">
        <w:tab/>
      </w:r>
      <w:r w:rsidRPr="007D1918">
        <w:tab/>
        <w:t>Indication 2 Analysis</w:t>
      </w:r>
      <w:bookmarkEnd w:id="452"/>
      <w:bookmarkEnd w:id="453"/>
    </w:p>
    <w:p w14:paraId="1E3D6D72" w14:textId="77777777" w:rsidR="006C641A" w:rsidRPr="007D1918" w:rsidRDefault="006C641A" w:rsidP="006C641A">
      <w:pPr>
        <w:pStyle w:val="Heading4"/>
      </w:pPr>
      <w:r w:rsidRPr="007D1918">
        <w:t>Trial-based estimate</w:t>
      </w:r>
    </w:p>
    <w:p w14:paraId="359C650A" w14:textId="1AAD5D18" w:rsidR="000B5479" w:rsidRPr="007D1918" w:rsidRDefault="00DF7088" w:rsidP="006C641A">
      <w:pPr>
        <w:jc w:val="both"/>
      </w:pPr>
      <w:r w:rsidRPr="007D1918">
        <w:fldChar w:fldCharType="begin"/>
      </w:r>
      <w:r w:rsidRPr="007D1918">
        <w:instrText xml:space="preserve"> REF _Ref14379438 \h  \* MERGEFORMAT </w:instrText>
      </w:r>
      <w:r w:rsidRPr="007D1918">
        <w:fldChar w:fldCharType="separate"/>
      </w:r>
      <w:r w:rsidRPr="007D1918">
        <w:t xml:space="preserve">Table </w:t>
      </w:r>
      <w:r w:rsidRPr="007D1918">
        <w:rPr>
          <w:noProof/>
        </w:rPr>
        <w:t>82</w:t>
      </w:r>
      <w:r w:rsidRPr="007D1918">
        <w:fldChar w:fldCharType="end"/>
      </w:r>
      <w:r w:rsidR="000C5850" w:rsidRPr="007D1918">
        <w:t xml:space="preserve"> below, presents the </w:t>
      </w:r>
      <w:r w:rsidR="006C641A" w:rsidRPr="007D1918">
        <w:t>overall costs and outcomes, and incremental costs and outcomes as calculated for the IVIg and PE, based on the information available in the clinical trial</w:t>
      </w:r>
      <w:r w:rsidRPr="007D1918">
        <w:t>.</w:t>
      </w:r>
    </w:p>
    <w:p w14:paraId="0939CAD7" w14:textId="39A25106" w:rsidR="000B5479" w:rsidRPr="007D1918" w:rsidRDefault="000B5479">
      <w:pPr>
        <w:spacing w:after="0" w:line="240" w:lineRule="auto"/>
      </w:pPr>
    </w:p>
    <w:p w14:paraId="4BDCF411" w14:textId="2BA93BD6" w:rsidR="006C641A" w:rsidRPr="007D1918" w:rsidRDefault="006C641A" w:rsidP="006C641A">
      <w:pPr>
        <w:pStyle w:val="Caption"/>
        <w:keepNext/>
        <w:jc w:val="both"/>
      </w:pPr>
      <w:bookmarkStart w:id="454" w:name="_Ref14379438"/>
      <w:bookmarkStart w:id="455" w:name="_Toc15561982"/>
      <w:bookmarkStart w:id="456" w:name="_Toc23769569"/>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82</w:t>
      </w:r>
      <w:r w:rsidRPr="007D1918">
        <w:rPr>
          <w:noProof/>
        </w:rPr>
        <w:fldChar w:fldCharType="end"/>
      </w:r>
      <w:bookmarkEnd w:id="454"/>
      <w:r w:rsidRPr="007D1918">
        <w:t xml:space="preserve"> </w:t>
      </w:r>
      <w:r w:rsidRPr="007D1918">
        <w:tab/>
        <w:t>Indication 2 Trial-based cost analysis (Alipour-Faz, 2017)</w:t>
      </w:r>
      <w:bookmarkEnd w:id="455"/>
      <w:bookmarkEnd w:id="456"/>
    </w:p>
    <w:tbl>
      <w:tblPr>
        <w:tblStyle w:val="TableGrid2"/>
        <w:tblW w:w="8902"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565"/>
        <w:gridCol w:w="1418"/>
        <w:gridCol w:w="1275"/>
        <w:gridCol w:w="1644"/>
      </w:tblGrid>
      <w:tr w:rsidR="006C641A" w:rsidRPr="007D1918" w14:paraId="110D11BA"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565" w:type="dxa"/>
            <w:tcBorders>
              <w:bottom w:val="single" w:sz="4" w:space="0" w:color="auto"/>
            </w:tcBorders>
          </w:tcPr>
          <w:p w14:paraId="768C1C4B" w14:textId="77777777" w:rsidR="006C641A" w:rsidRPr="007D1918" w:rsidRDefault="006C641A" w:rsidP="00153384">
            <w:pPr>
              <w:keepNext/>
              <w:spacing w:after="40" w:line="240" w:lineRule="auto"/>
              <w:jc w:val="both"/>
              <w:rPr>
                <w:rFonts w:ascii="Arial Narrow" w:hAnsi="Arial Narrow"/>
                <w:b/>
                <w:sz w:val="20"/>
                <w:szCs w:val="20"/>
              </w:rPr>
            </w:pPr>
          </w:p>
        </w:tc>
        <w:tc>
          <w:tcPr>
            <w:tcW w:w="1418" w:type="dxa"/>
            <w:tcBorders>
              <w:bottom w:val="single" w:sz="4" w:space="0" w:color="auto"/>
            </w:tcBorders>
          </w:tcPr>
          <w:p w14:paraId="78266D91"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1275" w:type="dxa"/>
            <w:tcBorders>
              <w:bottom w:val="single" w:sz="4" w:space="0" w:color="auto"/>
            </w:tcBorders>
          </w:tcPr>
          <w:p w14:paraId="75464B7C"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c>
          <w:tcPr>
            <w:tcW w:w="1644" w:type="dxa"/>
            <w:vMerge w:val="restart"/>
            <w:tcBorders>
              <w:bottom w:val="single" w:sz="4" w:space="0" w:color="auto"/>
            </w:tcBorders>
          </w:tcPr>
          <w:p w14:paraId="24CABEF9"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Incremental cost</w:t>
            </w:r>
          </w:p>
        </w:tc>
      </w:tr>
      <w:tr w:rsidR="006C641A" w:rsidRPr="007D1918" w14:paraId="12B6D98A"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565" w:type="dxa"/>
            <w:tcBorders>
              <w:bottom w:val="single" w:sz="4" w:space="0" w:color="auto"/>
            </w:tcBorders>
          </w:tcPr>
          <w:p w14:paraId="3D6DDA0C"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Resources (disaggregated)</w:t>
            </w:r>
          </w:p>
        </w:tc>
        <w:tc>
          <w:tcPr>
            <w:tcW w:w="1418" w:type="dxa"/>
            <w:tcBorders>
              <w:bottom w:val="single" w:sz="4" w:space="0" w:color="auto"/>
            </w:tcBorders>
          </w:tcPr>
          <w:p w14:paraId="3A52D128" w14:textId="77777777" w:rsidR="006C641A" w:rsidRPr="007D1918" w:rsidRDefault="006C641A" w:rsidP="00153384">
            <w:pPr>
              <w:keepNext/>
              <w:spacing w:after="40" w:line="240" w:lineRule="auto"/>
              <w:jc w:val="both"/>
              <w:rPr>
                <w:rFonts w:ascii="Arial Narrow" w:hAnsi="Arial Narrow"/>
                <w:sz w:val="20"/>
                <w:szCs w:val="20"/>
              </w:rPr>
            </w:pPr>
            <w:r w:rsidRPr="007D1918">
              <w:rPr>
                <w:rFonts w:ascii="Arial Narrow" w:hAnsi="Arial Narrow"/>
                <w:sz w:val="20"/>
                <w:szCs w:val="20"/>
              </w:rPr>
              <w:t>Costs</w:t>
            </w:r>
          </w:p>
        </w:tc>
        <w:tc>
          <w:tcPr>
            <w:tcW w:w="1275" w:type="dxa"/>
            <w:tcBorders>
              <w:bottom w:val="single" w:sz="4" w:space="0" w:color="auto"/>
            </w:tcBorders>
          </w:tcPr>
          <w:p w14:paraId="162EBA5C"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sz w:val="20"/>
                <w:szCs w:val="20"/>
              </w:rPr>
              <w:t>Costs</w:t>
            </w:r>
          </w:p>
        </w:tc>
        <w:tc>
          <w:tcPr>
            <w:tcW w:w="1644" w:type="dxa"/>
            <w:vMerge/>
            <w:tcBorders>
              <w:bottom w:val="single" w:sz="4" w:space="0" w:color="auto"/>
            </w:tcBorders>
          </w:tcPr>
          <w:p w14:paraId="19B01232" w14:textId="77777777" w:rsidR="006C641A" w:rsidRPr="007D1918" w:rsidRDefault="006C641A" w:rsidP="00153384">
            <w:pPr>
              <w:keepNext/>
              <w:spacing w:after="40" w:line="240" w:lineRule="auto"/>
              <w:jc w:val="both"/>
              <w:rPr>
                <w:rFonts w:ascii="Arial Narrow" w:hAnsi="Arial Narrow"/>
                <w:b/>
                <w:sz w:val="20"/>
                <w:szCs w:val="20"/>
              </w:rPr>
            </w:pPr>
          </w:p>
        </w:tc>
      </w:tr>
      <w:tr w:rsidR="006C641A" w:rsidRPr="007D1918" w14:paraId="672E7A94" w14:textId="77777777" w:rsidTr="00153384">
        <w:tc>
          <w:tcPr>
            <w:tcW w:w="4565" w:type="dxa"/>
          </w:tcPr>
          <w:p w14:paraId="0BC440A7"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sz w:val="20"/>
                <w:szCs w:val="20"/>
              </w:rPr>
              <w:t xml:space="preserve">IVig product </w:t>
            </w:r>
          </w:p>
        </w:tc>
        <w:tc>
          <w:tcPr>
            <w:tcW w:w="1418" w:type="dxa"/>
            <w:tcBorders>
              <w:top w:val="single" w:sz="4" w:space="0" w:color="auto"/>
              <w:bottom w:val="single" w:sz="4" w:space="0" w:color="auto"/>
            </w:tcBorders>
          </w:tcPr>
          <w:p w14:paraId="02F0FF0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$9,786</w:t>
            </w:r>
          </w:p>
        </w:tc>
        <w:tc>
          <w:tcPr>
            <w:tcW w:w="1275" w:type="dxa"/>
            <w:tcBorders>
              <w:top w:val="single" w:sz="4" w:space="0" w:color="auto"/>
              <w:bottom w:val="single" w:sz="4" w:space="0" w:color="auto"/>
            </w:tcBorders>
          </w:tcPr>
          <w:p w14:paraId="727406B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644" w:type="dxa"/>
            <w:tcBorders>
              <w:top w:val="single" w:sz="4" w:space="0" w:color="auto"/>
              <w:left w:val="nil"/>
              <w:bottom w:val="single" w:sz="4" w:space="0" w:color="auto"/>
              <w:right w:val="single" w:sz="4" w:space="0" w:color="auto"/>
            </w:tcBorders>
            <w:shd w:val="clear" w:color="auto" w:fill="auto"/>
            <w:vAlign w:val="bottom"/>
          </w:tcPr>
          <w:p w14:paraId="683227D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$9,786</w:t>
            </w:r>
          </w:p>
        </w:tc>
      </w:tr>
      <w:tr w:rsidR="006C641A" w:rsidRPr="007D1918" w14:paraId="45698FA1" w14:textId="77777777" w:rsidTr="00153384">
        <w:tc>
          <w:tcPr>
            <w:tcW w:w="4565" w:type="dxa"/>
          </w:tcPr>
          <w:p w14:paraId="7D21710E"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sz w:val="20"/>
                <w:szCs w:val="20"/>
              </w:rPr>
              <w:t>PE replacement fluid (Albumin 4%)</w:t>
            </w:r>
          </w:p>
        </w:tc>
        <w:tc>
          <w:tcPr>
            <w:tcW w:w="1418" w:type="dxa"/>
            <w:tcBorders>
              <w:top w:val="single" w:sz="4" w:space="0" w:color="auto"/>
              <w:bottom w:val="single" w:sz="4" w:space="0" w:color="auto"/>
            </w:tcBorders>
          </w:tcPr>
          <w:p w14:paraId="06FB188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275" w:type="dxa"/>
            <w:tcBorders>
              <w:top w:val="single" w:sz="4" w:space="0" w:color="auto"/>
              <w:bottom w:val="single" w:sz="4" w:space="0" w:color="auto"/>
            </w:tcBorders>
          </w:tcPr>
          <w:p w14:paraId="69E7CE6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$685</w:t>
            </w:r>
          </w:p>
        </w:tc>
        <w:tc>
          <w:tcPr>
            <w:tcW w:w="1644" w:type="dxa"/>
            <w:tcBorders>
              <w:top w:val="single" w:sz="4" w:space="0" w:color="auto"/>
              <w:left w:val="nil"/>
              <w:bottom w:val="single" w:sz="4" w:space="0" w:color="auto"/>
              <w:right w:val="single" w:sz="4" w:space="0" w:color="auto"/>
            </w:tcBorders>
            <w:shd w:val="clear" w:color="auto" w:fill="auto"/>
            <w:vAlign w:val="bottom"/>
          </w:tcPr>
          <w:p w14:paraId="7CE702F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-$685</w:t>
            </w:r>
          </w:p>
        </w:tc>
      </w:tr>
      <w:tr w:rsidR="006C641A" w:rsidRPr="007D1918" w14:paraId="4EF1A274" w14:textId="77777777" w:rsidTr="00153384">
        <w:tc>
          <w:tcPr>
            <w:tcW w:w="4565" w:type="dxa"/>
          </w:tcPr>
          <w:p w14:paraId="7DB7DB7E"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sz w:val="20"/>
                <w:szCs w:val="20"/>
              </w:rPr>
              <w:t>All outpatient Tx administration costs (pre-admission)</w:t>
            </w:r>
          </w:p>
        </w:tc>
        <w:tc>
          <w:tcPr>
            <w:tcW w:w="1418" w:type="dxa"/>
            <w:tcBorders>
              <w:top w:val="single" w:sz="4" w:space="0" w:color="auto"/>
              <w:bottom w:val="single" w:sz="4" w:space="0" w:color="auto"/>
            </w:tcBorders>
          </w:tcPr>
          <w:p w14:paraId="116C5FF8"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$922</w:t>
            </w:r>
          </w:p>
        </w:tc>
        <w:tc>
          <w:tcPr>
            <w:tcW w:w="1275" w:type="dxa"/>
            <w:tcBorders>
              <w:top w:val="single" w:sz="4" w:space="0" w:color="auto"/>
              <w:bottom w:val="single" w:sz="4" w:space="0" w:color="auto"/>
            </w:tcBorders>
          </w:tcPr>
          <w:p w14:paraId="05AA75DA"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$7,231</w:t>
            </w:r>
          </w:p>
        </w:tc>
        <w:tc>
          <w:tcPr>
            <w:tcW w:w="1644" w:type="dxa"/>
            <w:tcBorders>
              <w:top w:val="single" w:sz="4" w:space="0" w:color="auto"/>
              <w:left w:val="nil"/>
              <w:bottom w:val="single" w:sz="4" w:space="0" w:color="auto"/>
              <w:right w:val="single" w:sz="4" w:space="0" w:color="auto"/>
            </w:tcBorders>
            <w:shd w:val="clear" w:color="auto" w:fill="auto"/>
            <w:vAlign w:val="bottom"/>
          </w:tcPr>
          <w:p w14:paraId="7777EDF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-$6,309</w:t>
            </w:r>
          </w:p>
        </w:tc>
      </w:tr>
      <w:tr w:rsidR="006C641A" w:rsidRPr="007D1918" w14:paraId="5BBBD4E9" w14:textId="77777777" w:rsidTr="00153384">
        <w:tc>
          <w:tcPr>
            <w:tcW w:w="4565" w:type="dxa"/>
          </w:tcPr>
          <w:p w14:paraId="26F2281D"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sz w:val="20"/>
                <w:szCs w:val="20"/>
              </w:rPr>
              <w:t>Thymectomy Operating Theatre (surgery time adjusted)</w:t>
            </w:r>
          </w:p>
        </w:tc>
        <w:tc>
          <w:tcPr>
            <w:tcW w:w="1418" w:type="dxa"/>
            <w:tcBorders>
              <w:top w:val="single" w:sz="4" w:space="0" w:color="auto"/>
              <w:bottom w:val="single" w:sz="4" w:space="0" w:color="auto"/>
            </w:tcBorders>
          </w:tcPr>
          <w:p w14:paraId="32F9B08F"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$9,393</w:t>
            </w:r>
          </w:p>
        </w:tc>
        <w:tc>
          <w:tcPr>
            <w:tcW w:w="1275" w:type="dxa"/>
            <w:tcBorders>
              <w:top w:val="single" w:sz="4" w:space="0" w:color="auto"/>
              <w:bottom w:val="single" w:sz="4" w:space="0" w:color="auto"/>
            </w:tcBorders>
          </w:tcPr>
          <w:p w14:paraId="2FF7377D"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$11,317</w:t>
            </w:r>
          </w:p>
        </w:tc>
        <w:tc>
          <w:tcPr>
            <w:tcW w:w="1644" w:type="dxa"/>
            <w:tcBorders>
              <w:top w:val="single" w:sz="4" w:space="0" w:color="auto"/>
              <w:left w:val="nil"/>
              <w:bottom w:val="single" w:sz="4" w:space="0" w:color="auto"/>
              <w:right w:val="single" w:sz="4" w:space="0" w:color="auto"/>
            </w:tcBorders>
            <w:shd w:val="clear" w:color="auto" w:fill="auto"/>
            <w:vAlign w:val="bottom"/>
          </w:tcPr>
          <w:p w14:paraId="3A18929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-$1,924</w:t>
            </w:r>
          </w:p>
        </w:tc>
      </w:tr>
      <w:tr w:rsidR="006C641A" w:rsidRPr="007D1918" w14:paraId="26362307" w14:textId="77777777" w:rsidTr="00153384">
        <w:tc>
          <w:tcPr>
            <w:tcW w:w="4565" w:type="dxa"/>
          </w:tcPr>
          <w:p w14:paraId="4FE3E1BC"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sz w:val="20"/>
                <w:szCs w:val="20"/>
              </w:rPr>
              <w:t>Other hospitalisation (for surgery) costs</w:t>
            </w:r>
          </w:p>
        </w:tc>
        <w:tc>
          <w:tcPr>
            <w:tcW w:w="1418" w:type="dxa"/>
            <w:tcBorders>
              <w:top w:val="single" w:sz="4" w:space="0" w:color="auto"/>
              <w:bottom w:val="single" w:sz="4" w:space="0" w:color="auto"/>
            </w:tcBorders>
          </w:tcPr>
          <w:p w14:paraId="7457C32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275" w:type="dxa"/>
            <w:tcBorders>
              <w:top w:val="single" w:sz="4" w:space="0" w:color="auto"/>
              <w:bottom w:val="single" w:sz="4" w:space="0" w:color="auto"/>
            </w:tcBorders>
          </w:tcPr>
          <w:p w14:paraId="65E5E76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644" w:type="dxa"/>
            <w:tcBorders>
              <w:top w:val="single" w:sz="4" w:space="0" w:color="auto"/>
              <w:left w:val="nil"/>
              <w:bottom w:val="single" w:sz="4" w:space="0" w:color="auto"/>
              <w:right w:val="single" w:sz="4" w:space="0" w:color="auto"/>
            </w:tcBorders>
            <w:shd w:val="clear" w:color="auto" w:fill="auto"/>
            <w:vAlign w:val="bottom"/>
          </w:tcPr>
          <w:p w14:paraId="3FEA9A8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r>
      <w:tr w:rsidR="006C641A" w:rsidRPr="007D1918" w14:paraId="303685BF" w14:textId="77777777" w:rsidTr="00153384">
        <w:tc>
          <w:tcPr>
            <w:tcW w:w="4565" w:type="dxa"/>
          </w:tcPr>
          <w:p w14:paraId="05EA870F" w14:textId="77777777" w:rsidR="006C641A" w:rsidRPr="007D1918" w:rsidRDefault="006C641A" w:rsidP="00153384">
            <w:pPr>
              <w:spacing w:after="40" w:line="240" w:lineRule="auto"/>
              <w:jc w:val="both"/>
              <w:rPr>
                <w:rFonts w:ascii="Arial Narrow" w:hAnsi="Arial Narrow"/>
                <w:b/>
                <w:sz w:val="20"/>
                <w:szCs w:val="20"/>
              </w:rPr>
            </w:pPr>
            <w:r w:rsidRPr="007D1918">
              <w:rPr>
                <w:rFonts w:ascii="Arial Narrow" w:hAnsi="Arial Narrow"/>
                <w:b/>
                <w:sz w:val="20"/>
                <w:szCs w:val="20"/>
              </w:rPr>
              <w:t xml:space="preserve">Total </w:t>
            </w:r>
          </w:p>
        </w:tc>
        <w:tc>
          <w:tcPr>
            <w:tcW w:w="1418" w:type="dxa"/>
            <w:tcBorders>
              <w:top w:val="single" w:sz="4" w:space="0" w:color="auto"/>
              <w:left w:val="nil"/>
              <w:bottom w:val="single" w:sz="4" w:space="0" w:color="auto"/>
              <w:right w:val="single" w:sz="4" w:space="0" w:color="auto"/>
            </w:tcBorders>
            <w:shd w:val="clear" w:color="auto" w:fill="auto"/>
            <w:vAlign w:val="bottom"/>
          </w:tcPr>
          <w:p w14:paraId="114BF0D1"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$47,619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14:paraId="29623567"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$46,751</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bottom"/>
          </w:tcPr>
          <w:p w14:paraId="37A78217"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$868</w:t>
            </w:r>
          </w:p>
        </w:tc>
      </w:tr>
    </w:tbl>
    <w:p w14:paraId="36B5BE9D" w14:textId="77777777" w:rsidR="006C641A" w:rsidRPr="007D1918" w:rsidRDefault="006C641A" w:rsidP="006C641A">
      <w:pPr>
        <w:pStyle w:val="Tablenotes1"/>
        <w:spacing w:after="360"/>
      </w:pPr>
      <w:r w:rsidRPr="007D1918">
        <w:t>IVIg = intravenous immunoglobulin; FFP = fresh frozen plasma; PE = plasma exchange</w:t>
      </w:r>
    </w:p>
    <w:p w14:paraId="3F81095C" w14:textId="77777777" w:rsidR="006C641A" w:rsidRPr="007D1918" w:rsidRDefault="006C641A" w:rsidP="006C641A">
      <w:pPr>
        <w:pStyle w:val="Heading4"/>
      </w:pPr>
      <w:r w:rsidRPr="007D1918">
        <w:t>Stepped economic evaluation</w:t>
      </w:r>
    </w:p>
    <w:p w14:paraId="5450EF74" w14:textId="7664C35B" w:rsidR="006C641A" w:rsidRPr="007D1918" w:rsidRDefault="006C641A" w:rsidP="006C641A">
      <w:pPr>
        <w:jc w:val="both"/>
      </w:pPr>
      <w:r w:rsidRPr="007D1918">
        <w:t xml:space="preserve">The stepped evaluation uses Australian data to re-estimate the IVIg dose and cost, and is shown in </w:t>
      </w:r>
      <w:r w:rsidRPr="007D1918">
        <w:fldChar w:fldCharType="begin"/>
      </w:r>
      <w:r w:rsidRPr="007D1918">
        <w:instrText xml:space="preserve"> REF _Ref14379521 \h </w:instrText>
      </w:r>
      <w:r w:rsidR="00E07567" w:rsidRPr="007D1918">
        <w:instrText xml:space="preserve"> \* MERGEFORMAT </w:instrText>
      </w:r>
      <w:r w:rsidRPr="007D1918">
        <w:fldChar w:fldCharType="separate"/>
      </w:r>
      <w:r w:rsidR="00B865E7" w:rsidRPr="007D1918">
        <w:t xml:space="preserve">Table </w:t>
      </w:r>
      <w:r w:rsidR="00B865E7" w:rsidRPr="007D1918">
        <w:rPr>
          <w:noProof/>
        </w:rPr>
        <w:t>83</w:t>
      </w:r>
      <w:r w:rsidRPr="007D1918">
        <w:fldChar w:fldCharType="end"/>
      </w:r>
      <w:r w:rsidRPr="007D1918">
        <w:t>. No information was identified to suggest changes were required for the PE dosing or other resource use.</w:t>
      </w:r>
    </w:p>
    <w:p w14:paraId="3FFF1799" w14:textId="2194FD4C" w:rsidR="006C641A" w:rsidRPr="007D1918" w:rsidRDefault="006C641A" w:rsidP="006C641A">
      <w:pPr>
        <w:pStyle w:val="Caption"/>
        <w:keepNext/>
        <w:shd w:val="clear" w:color="auto" w:fill="FFFFFF" w:themeFill="background1"/>
        <w:jc w:val="both"/>
      </w:pPr>
      <w:bookmarkStart w:id="457" w:name="_Ref14379521"/>
      <w:bookmarkStart w:id="458" w:name="_Toc15561983"/>
      <w:bookmarkStart w:id="459" w:name="_Toc23769570"/>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83</w:t>
      </w:r>
      <w:r w:rsidRPr="007D1918">
        <w:rPr>
          <w:noProof/>
        </w:rPr>
        <w:fldChar w:fldCharType="end"/>
      </w:r>
      <w:bookmarkEnd w:id="457"/>
      <w:r w:rsidRPr="007D1918">
        <w:t xml:space="preserve"> </w:t>
      </w:r>
      <w:r w:rsidRPr="007D1918">
        <w:tab/>
        <w:t>Indication 2 Stepped analysis to replicate Australian practice (base case)</w:t>
      </w:r>
      <w:bookmarkEnd w:id="458"/>
      <w:bookmarkEnd w:id="459"/>
    </w:p>
    <w:tbl>
      <w:tblPr>
        <w:tblStyle w:val="TableGrid2"/>
        <w:tblW w:w="8902"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282"/>
        <w:gridCol w:w="1417"/>
        <w:gridCol w:w="1418"/>
        <w:gridCol w:w="1785"/>
      </w:tblGrid>
      <w:tr w:rsidR="006C641A" w:rsidRPr="007D1918" w14:paraId="5B074127"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383915FC" w14:textId="77777777" w:rsidR="006C641A" w:rsidRPr="007D1918" w:rsidRDefault="006C641A" w:rsidP="00153384">
            <w:pPr>
              <w:keepNext/>
              <w:spacing w:after="40" w:line="240" w:lineRule="auto"/>
              <w:jc w:val="both"/>
              <w:rPr>
                <w:rFonts w:ascii="Arial Narrow" w:hAnsi="Arial Narrow"/>
                <w:b/>
                <w:sz w:val="20"/>
                <w:szCs w:val="20"/>
              </w:rPr>
            </w:pPr>
          </w:p>
        </w:tc>
        <w:tc>
          <w:tcPr>
            <w:tcW w:w="1417" w:type="dxa"/>
            <w:tcBorders>
              <w:bottom w:val="single" w:sz="4" w:space="0" w:color="auto"/>
            </w:tcBorders>
          </w:tcPr>
          <w:p w14:paraId="010D3061"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1418" w:type="dxa"/>
            <w:tcBorders>
              <w:bottom w:val="single" w:sz="4" w:space="0" w:color="auto"/>
            </w:tcBorders>
          </w:tcPr>
          <w:p w14:paraId="7205A5D1"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c>
          <w:tcPr>
            <w:tcW w:w="1785" w:type="dxa"/>
            <w:vMerge w:val="restart"/>
            <w:tcBorders>
              <w:bottom w:val="single" w:sz="4" w:space="0" w:color="auto"/>
            </w:tcBorders>
          </w:tcPr>
          <w:p w14:paraId="5DB7460D"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Incremental cost</w:t>
            </w:r>
          </w:p>
        </w:tc>
      </w:tr>
      <w:tr w:rsidR="006C641A" w:rsidRPr="007D1918" w14:paraId="3315EC16"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405B6C9B"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Resources (disaggregated)</w:t>
            </w:r>
          </w:p>
        </w:tc>
        <w:tc>
          <w:tcPr>
            <w:tcW w:w="1417" w:type="dxa"/>
            <w:tcBorders>
              <w:bottom w:val="single" w:sz="4" w:space="0" w:color="auto"/>
            </w:tcBorders>
          </w:tcPr>
          <w:p w14:paraId="0E623E51" w14:textId="77777777" w:rsidR="006C641A" w:rsidRPr="007D1918" w:rsidRDefault="006C641A" w:rsidP="00153384">
            <w:pPr>
              <w:keepNext/>
              <w:spacing w:after="40" w:line="240" w:lineRule="auto"/>
              <w:jc w:val="both"/>
              <w:rPr>
                <w:rFonts w:ascii="Arial Narrow" w:hAnsi="Arial Narrow"/>
                <w:sz w:val="20"/>
                <w:szCs w:val="20"/>
              </w:rPr>
            </w:pPr>
            <w:r w:rsidRPr="007D1918">
              <w:rPr>
                <w:rFonts w:ascii="Arial Narrow" w:hAnsi="Arial Narrow"/>
                <w:sz w:val="20"/>
                <w:szCs w:val="20"/>
              </w:rPr>
              <w:t>Total Cost</w:t>
            </w:r>
          </w:p>
        </w:tc>
        <w:tc>
          <w:tcPr>
            <w:tcW w:w="1418" w:type="dxa"/>
            <w:tcBorders>
              <w:bottom w:val="single" w:sz="4" w:space="0" w:color="auto"/>
            </w:tcBorders>
          </w:tcPr>
          <w:p w14:paraId="69FD7241"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sz w:val="20"/>
                <w:szCs w:val="20"/>
              </w:rPr>
              <w:t>Total Cost</w:t>
            </w:r>
          </w:p>
        </w:tc>
        <w:tc>
          <w:tcPr>
            <w:tcW w:w="1785" w:type="dxa"/>
            <w:vMerge/>
            <w:tcBorders>
              <w:bottom w:val="single" w:sz="4" w:space="0" w:color="auto"/>
            </w:tcBorders>
          </w:tcPr>
          <w:p w14:paraId="3B1516BC" w14:textId="77777777" w:rsidR="006C641A" w:rsidRPr="007D1918" w:rsidRDefault="006C641A" w:rsidP="00153384">
            <w:pPr>
              <w:keepNext/>
              <w:spacing w:after="40" w:line="240" w:lineRule="auto"/>
              <w:jc w:val="both"/>
              <w:rPr>
                <w:rFonts w:ascii="Arial Narrow" w:hAnsi="Arial Narrow"/>
                <w:b/>
                <w:sz w:val="20"/>
                <w:szCs w:val="20"/>
              </w:rPr>
            </w:pPr>
          </w:p>
        </w:tc>
      </w:tr>
      <w:tr w:rsidR="006C641A" w:rsidRPr="007D1918" w14:paraId="3E579897" w14:textId="77777777" w:rsidTr="00153384">
        <w:tc>
          <w:tcPr>
            <w:tcW w:w="4282" w:type="dxa"/>
          </w:tcPr>
          <w:p w14:paraId="6B0ECDE6" w14:textId="071C244C" w:rsidR="006C641A" w:rsidRPr="007D1918" w:rsidRDefault="006C641A"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IVIg product (156g)</w:t>
            </w:r>
          </w:p>
        </w:tc>
        <w:tc>
          <w:tcPr>
            <w:tcW w:w="1417" w:type="dxa"/>
            <w:tcBorders>
              <w:top w:val="single" w:sz="4" w:space="0" w:color="auto"/>
              <w:bottom w:val="single" w:sz="4" w:space="0" w:color="auto"/>
            </w:tcBorders>
          </w:tcPr>
          <w:p w14:paraId="31FDDC7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$9,424</w:t>
            </w:r>
          </w:p>
        </w:tc>
        <w:tc>
          <w:tcPr>
            <w:tcW w:w="1418" w:type="dxa"/>
            <w:tcBorders>
              <w:top w:val="single" w:sz="4" w:space="0" w:color="auto"/>
              <w:bottom w:val="single" w:sz="4" w:space="0" w:color="auto"/>
            </w:tcBorders>
          </w:tcPr>
          <w:p w14:paraId="72FF173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785" w:type="dxa"/>
            <w:tcBorders>
              <w:top w:val="single" w:sz="4" w:space="0" w:color="auto"/>
              <w:left w:val="nil"/>
              <w:bottom w:val="single" w:sz="4" w:space="0" w:color="auto"/>
              <w:right w:val="single" w:sz="4" w:space="0" w:color="auto"/>
            </w:tcBorders>
            <w:shd w:val="clear" w:color="auto" w:fill="auto"/>
            <w:vAlign w:val="bottom"/>
          </w:tcPr>
          <w:p w14:paraId="3F29B6D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$9,424</w:t>
            </w:r>
          </w:p>
        </w:tc>
      </w:tr>
      <w:tr w:rsidR="006C641A" w:rsidRPr="007D1918" w14:paraId="19CA2109" w14:textId="77777777" w:rsidTr="00153384">
        <w:tc>
          <w:tcPr>
            <w:tcW w:w="4282" w:type="dxa"/>
          </w:tcPr>
          <w:p w14:paraId="4185ADD3" w14:textId="77777777" w:rsidR="006C641A" w:rsidRPr="007D1918" w:rsidRDefault="006C641A"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PE replacement fluid (Albumin 4%)</w:t>
            </w:r>
          </w:p>
        </w:tc>
        <w:tc>
          <w:tcPr>
            <w:tcW w:w="1417" w:type="dxa"/>
            <w:tcBorders>
              <w:top w:val="single" w:sz="4" w:space="0" w:color="auto"/>
              <w:bottom w:val="single" w:sz="4" w:space="0" w:color="auto"/>
            </w:tcBorders>
          </w:tcPr>
          <w:p w14:paraId="406A50B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bottom w:val="single" w:sz="4" w:space="0" w:color="auto"/>
            </w:tcBorders>
          </w:tcPr>
          <w:p w14:paraId="49A861BD"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$685</w:t>
            </w:r>
          </w:p>
        </w:tc>
        <w:tc>
          <w:tcPr>
            <w:tcW w:w="1785" w:type="dxa"/>
            <w:tcBorders>
              <w:top w:val="single" w:sz="4" w:space="0" w:color="auto"/>
              <w:left w:val="nil"/>
              <w:bottom w:val="single" w:sz="4" w:space="0" w:color="auto"/>
              <w:right w:val="single" w:sz="4" w:space="0" w:color="auto"/>
            </w:tcBorders>
            <w:shd w:val="clear" w:color="auto" w:fill="auto"/>
            <w:vAlign w:val="bottom"/>
          </w:tcPr>
          <w:p w14:paraId="5BBA6BE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-$685</w:t>
            </w:r>
          </w:p>
        </w:tc>
      </w:tr>
      <w:tr w:rsidR="006C641A" w:rsidRPr="007D1918" w14:paraId="48D75AB0" w14:textId="77777777" w:rsidTr="00153384">
        <w:tc>
          <w:tcPr>
            <w:tcW w:w="4282" w:type="dxa"/>
          </w:tcPr>
          <w:p w14:paraId="7A621EDF" w14:textId="77777777" w:rsidR="006C641A" w:rsidRPr="007D1918" w:rsidRDefault="006C641A"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All outpatient Tx administration costs (pre-admission)</w:t>
            </w:r>
          </w:p>
        </w:tc>
        <w:tc>
          <w:tcPr>
            <w:tcW w:w="1417" w:type="dxa"/>
            <w:tcBorders>
              <w:top w:val="single" w:sz="4" w:space="0" w:color="auto"/>
              <w:bottom w:val="single" w:sz="4" w:space="0" w:color="auto"/>
            </w:tcBorders>
          </w:tcPr>
          <w:p w14:paraId="21475197"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$922</w:t>
            </w:r>
          </w:p>
        </w:tc>
        <w:tc>
          <w:tcPr>
            <w:tcW w:w="1418" w:type="dxa"/>
            <w:tcBorders>
              <w:top w:val="single" w:sz="4" w:space="0" w:color="auto"/>
              <w:bottom w:val="single" w:sz="4" w:space="0" w:color="auto"/>
            </w:tcBorders>
          </w:tcPr>
          <w:p w14:paraId="4811DC0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$7,231</w:t>
            </w:r>
          </w:p>
        </w:tc>
        <w:tc>
          <w:tcPr>
            <w:tcW w:w="1785" w:type="dxa"/>
            <w:tcBorders>
              <w:top w:val="single" w:sz="4" w:space="0" w:color="auto"/>
              <w:left w:val="nil"/>
              <w:bottom w:val="single" w:sz="4" w:space="0" w:color="auto"/>
              <w:right w:val="single" w:sz="4" w:space="0" w:color="auto"/>
            </w:tcBorders>
            <w:shd w:val="clear" w:color="auto" w:fill="auto"/>
            <w:vAlign w:val="bottom"/>
          </w:tcPr>
          <w:p w14:paraId="7031FD8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-$6,309</w:t>
            </w:r>
          </w:p>
        </w:tc>
      </w:tr>
      <w:tr w:rsidR="006C641A" w:rsidRPr="007D1918" w14:paraId="6DFB945F" w14:textId="77777777" w:rsidTr="00153384">
        <w:tc>
          <w:tcPr>
            <w:tcW w:w="4282" w:type="dxa"/>
          </w:tcPr>
          <w:p w14:paraId="08BEF286" w14:textId="77777777" w:rsidR="006C641A" w:rsidRPr="007D1918" w:rsidRDefault="006C641A"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Thymectomy Operating Theatre </w:t>
            </w:r>
          </w:p>
        </w:tc>
        <w:tc>
          <w:tcPr>
            <w:tcW w:w="1417" w:type="dxa"/>
            <w:tcBorders>
              <w:top w:val="single" w:sz="4" w:space="0" w:color="auto"/>
              <w:bottom w:val="single" w:sz="4" w:space="0" w:color="auto"/>
            </w:tcBorders>
          </w:tcPr>
          <w:p w14:paraId="206AB75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$9,393</w:t>
            </w:r>
          </w:p>
        </w:tc>
        <w:tc>
          <w:tcPr>
            <w:tcW w:w="1418" w:type="dxa"/>
            <w:tcBorders>
              <w:top w:val="single" w:sz="4" w:space="0" w:color="auto"/>
              <w:bottom w:val="single" w:sz="4" w:space="0" w:color="auto"/>
            </w:tcBorders>
          </w:tcPr>
          <w:p w14:paraId="3907D148"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$11,317</w:t>
            </w:r>
          </w:p>
        </w:tc>
        <w:tc>
          <w:tcPr>
            <w:tcW w:w="1785" w:type="dxa"/>
            <w:tcBorders>
              <w:top w:val="single" w:sz="4" w:space="0" w:color="auto"/>
              <w:left w:val="nil"/>
              <w:bottom w:val="single" w:sz="4" w:space="0" w:color="auto"/>
              <w:right w:val="single" w:sz="4" w:space="0" w:color="auto"/>
            </w:tcBorders>
            <w:shd w:val="clear" w:color="auto" w:fill="auto"/>
            <w:vAlign w:val="bottom"/>
          </w:tcPr>
          <w:p w14:paraId="7BF480B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-$1,924</w:t>
            </w:r>
          </w:p>
        </w:tc>
      </w:tr>
      <w:tr w:rsidR="006C641A" w:rsidRPr="007D1918" w14:paraId="3A55A734" w14:textId="77777777" w:rsidTr="00153384">
        <w:tc>
          <w:tcPr>
            <w:tcW w:w="4282" w:type="dxa"/>
          </w:tcPr>
          <w:p w14:paraId="6777E5E3" w14:textId="77777777" w:rsidR="006C641A" w:rsidRPr="007D1918" w:rsidRDefault="006C641A"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Other hospitalisation (for surgery) costs</w:t>
            </w:r>
          </w:p>
        </w:tc>
        <w:tc>
          <w:tcPr>
            <w:tcW w:w="1417" w:type="dxa"/>
            <w:tcBorders>
              <w:top w:val="single" w:sz="4" w:space="0" w:color="auto"/>
              <w:bottom w:val="single" w:sz="4" w:space="0" w:color="auto"/>
            </w:tcBorders>
          </w:tcPr>
          <w:p w14:paraId="7DBB2C8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418" w:type="dxa"/>
            <w:tcBorders>
              <w:top w:val="single" w:sz="4" w:space="0" w:color="auto"/>
              <w:bottom w:val="single" w:sz="4" w:space="0" w:color="auto"/>
            </w:tcBorders>
          </w:tcPr>
          <w:p w14:paraId="10A8029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785" w:type="dxa"/>
            <w:tcBorders>
              <w:top w:val="single" w:sz="4" w:space="0" w:color="auto"/>
              <w:left w:val="nil"/>
              <w:bottom w:val="single" w:sz="4" w:space="0" w:color="auto"/>
              <w:right w:val="single" w:sz="4" w:space="0" w:color="auto"/>
            </w:tcBorders>
            <w:shd w:val="clear" w:color="auto" w:fill="auto"/>
            <w:vAlign w:val="bottom"/>
          </w:tcPr>
          <w:p w14:paraId="1877787A"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$0</w:t>
            </w:r>
          </w:p>
        </w:tc>
      </w:tr>
      <w:tr w:rsidR="006C641A" w:rsidRPr="007D1918" w14:paraId="3AAFC1EE" w14:textId="77777777" w:rsidTr="00153384">
        <w:tc>
          <w:tcPr>
            <w:tcW w:w="4282" w:type="dxa"/>
            <w:tcBorders>
              <w:top w:val="single" w:sz="4" w:space="0" w:color="auto"/>
              <w:bottom w:val="single" w:sz="4" w:space="0" w:color="auto"/>
              <w:right w:val="single" w:sz="4" w:space="0" w:color="auto"/>
            </w:tcBorders>
          </w:tcPr>
          <w:p w14:paraId="02FC494A" w14:textId="77777777" w:rsidR="006C641A" w:rsidRPr="007D1918" w:rsidRDefault="006C641A" w:rsidP="00153384">
            <w:pPr>
              <w:spacing w:after="40" w:line="240" w:lineRule="auto"/>
              <w:rPr>
                <w:rFonts w:ascii="Arial Narrow" w:hAnsi="Arial Narrow"/>
                <w:b/>
                <w:sz w:val="20"/>
                <w:szCs w:val="20"/>
              </w:rPr>
            </w:pPr>
            <w:r w:rsidRPr="007D1918">
              <w:rPr>
                <w:rFonts w:ascii="Arial Narrow" w:hAnsi="Arial Narrow"/>
                <w:b/>
                <w:sz w:val="20"/>
                <w:szCs w:val="20"/>
              </w:rPr>
              <w:t xml:space="preserve">Total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239455BB"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$47,257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CA9A31B"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$46,751</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bottom"/>
          </w:tcPr>
          <w:p w14:paraId="62E307D1"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$506</w:t>
            </w:r>
          </w:p>
        </w:tc>
      </w:tr>
    </w:tbl>
    <w:p w14:paraId="03AF9B9C" w14:textId="77777777" w:rsidR="006C641A" w:rsidRPr="007D1918" w:rsidRDefault="006C641A" w:rsidP="006C641A">
      <w:pPr>
        <w:pStyle w:val="Tablenotes1"/>
        <w:spacing w:after="360"/>
      </w:pPr>
      <w:r w:rsidRPr="007D1918">
        <w:t>IVIg = intravenous immunoglobulin; PE = plasma exchange</w:t>
      </w:r>
    </w:p>
    <w:p w14:paraId="015B9BA5" w14:textId="1801EE3C" w:rsidR="006C641A" w:rsidRPr="007D1918" w:rsidRDefault="006C641A" w:rsidP="006C641A">
      <w:pPr>
        <w:jc w:val="both"/>
      </w:pPr>
      <w:r w:rsidRPr="007D1918">
        <w:t>Overall, the cost</w:t>
      </w:r>
      <w:r w:rsidR="009925BC" w:rsidRPr="007D1918">
        <w:t xml:space="preserve"> </w:t>
      </w:r>
      <w:r w:rsidRPr="007D1918">
        <w:t xml:space="preserve"> analysis suggests PE may be marginally less expensive than IVIg for pre-treatment prior to surgery in MG patients</w:t>
      </w:r>
      <w:r w:rsidR="000C5850" w:rsidRPr="007D1918">
        <w:t>;</w:t>
      </w:r>
      <w:r w:rsidRPr="007D1918">
        <w:t xml:space="preserve"> </w:t>
      </w:r>
      <w:r w:rsidR="000C5850" w:rsidRPr="007D1918">
        <w:t>however,</w:t>
      </w:r>
      <w:r w:rsidRPr="007D1918">
        <w:t xml:space="preserve"> the difference is small in the broader context of the surgery cost. </w:t>
      </w:r>
    </w:p>
    <w:p w14:paraId="2792C9E2" w14:textId="77777777" w:rsidR="003554CF" w:rsidRPr="007D1918" w:rsidRDefault="003554CF">
      <w:pPr>
        <w:spacing w:after="0" w:line="240" w:lineRule="auto"/>
      </w:pPr>
      <w:r w:rsidRPr="007D1918">
        <w:br w:type="page"/>
      </w:r>
    </w:p>
    <w:p w14:paraId="166D27BD" w14:textId="74FC1F19" w:rsidR="005619FC" w:rsidRPr="007D1918" w:rsidRDefault="005619FC" w:rsidP="005619FC">
      <w:r w:rsidRPr="007D1918">
        <w:lastRenderedPageBreak/>
        <w:t xml:space="preserve">Sensitivity analyses were conducted around IVIg pricing and an alternative PE dosing schedule. These are presented in </w:t>
      </w:r>
      <w:r w:rsidR="00B865E7" w:rsidRPr="007D1918">
        <w:fldChar w:fldCharType="begin"/>
      </w:r>
      <w:r w:rsidR="00B865E7" w:rsidRPr="007D1918">
        <w:instrText xml:space="preserve"> REF _Ref23766707 \h </w:instrText>
      </w:r>
      <w:r w:rsidR="007D1918">
        <w:instrText xml:space="preserve"> \* MERGEFORMAT </w:instrText>
      </w:r>
      <w:r w:rsidR="00B865E7" w:rsidRPr="007D1918">
        <w:fldChar w:fldCharType="separate"/>
      </w:r>
      <w:r w:rsidR="00B865E7" w:rsidRPr="007D1918">
        <w:t xml:space="preserve">Table </w:t>
      </w:r>
      <w:r w:rsidR="00B865E7" w:rsidRPr="007D1918">
        <w:rPr>
          <w:noProof/>
        </w:rPr>
        <w:t>84</w:t>
      </w:r>
      <w:r w:rsidR="00B865E7" w:rsidRPr="007D1918">
        <w:fldChar w:fldCharType="end"/>
      </w:r>
      <w:r w:rsidRPr="007D1918">
        <w:t>, below.</w:t>
      </w:r>
    </w:p>
    <w:p w14:paraId="749A3D59" w14:textId="5E064FA2" w:rsidR="005619FC" w:rsidRPr="007D1918" w:rsidRDefault="005619FC" w:rsidP="005619FC">
      <w:pPr>
        <w:pStyle w:val="Caption"/>
      </w:pPr>
      <w:bookmarkStart w:id="460" w:name="_Ref23766707"/>
      <w:bookmarkStart w:id="461" w:name="_Toc23769571"/>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84</w:t>
      </w:r>
      <w:r w:rsidRPr="007D1918">
        <w:rPr>
          <w:noProof/>
        </w:rPr>
        <w:fldChar w:fldCharType="end"/>
      </w:r>
      <w:bookmarkEnd w:id="460"/>
      <w:r w:rsidRPr="007D1918">
        <w:tab/>
      </w:r>
      <w:r w:rsidR="002F007B" w:rsidRPr="007D1918">
        <w:t>S</w:t>
      </w:r>
      <w:r w:rsidRPr="007D1918">
        <w:t>ensitivity analyses</w:t>
      </w:r>
      <w:r w:rsidR="002F007B" w:rsidRPr="007D1918">
        <w:t xml:space="preserve"> around alternative IVIg pricing and PE dosing in </w:t>
      </w:r>
      <w:r w:rsidRPr="007D1918">
        <w:t>Indication 2</w:t>
      </w:r>
      <w:bookmarkEnd w:id="461"/>
    </w:p>
    <w:tbl>
      <w:tblPr>
        <w:tblStyle w:val="TableGrid1"/>
        <w:tblW w:w="4949"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Caption w:val="Key sensitivity analyses"/>
      </w:tblPr>
      <w:tblGrid>
        <w:gridCol w:w="4395"/>
        <w:gridCol w:w="1511"/>
        <w:gridCol w:w="1511"/>
        <w:gridCol w:w="1511"/>
      </w:tblGrid>
      <w:tr w:rsidR="005619FC" w:rsidRPr="007D1918" w14:paraId="7164105B" w14:textId="77777777" w:rsidTr="00942701">
        <w:trPr>
          <w:cnfStyle w:val="100000000000" w:firstRow="1" w:lastRow="0" w:firstColumn="0" w:lastColumn="0" w:oddVBand="0" w:evenVBand="0" w:oddHBand="0" w:evenHBand="0" w:firstRowFirstColumn="0" w:firstRowLastColumn="0" w:lastRowFirstColumn="0" w:lastRowLastColumn="0"/>
          <w:trHeight w:val="300"/>
          <w:tblHeader/>
        </w:trPr>
        <w:tc>
          <w:tcPr>
            <w:tcW w:w="2462" w:type="pct"/>
            <w:noWrap/>
          </w:tcPr>
          <w:p w14:paraId="5C30684E" w14:textId="77777777" w:rsidR="005619FC" w:rsidRPr="007D1918" w:rsidRDefault="005619FC" w:rsidP="00942701">
            <w:pPr>
              <w:keepNext/>
              <w:spacing w:after="40" w:line="240" w:lineRule="auto"/>
              <w:jc w:val="both"/>
              <w:rPr>
                <w:rFonts w:ascii="Arial Narrow" w:hAnsi="Arial Narrow"/>
                <w:b/>
                <w:sz w:val="20"/>
                <w:szCs w:val="20"/>
              </w:rPr>
            </w:pPr>
          </w:p>
        </w:tc>
        <w:tc>
          <w:tcPr>
            <w:tcW w:w="846" w:type="pct"/>
            <w:noWrap/>
          </w:tcPr>
          <w:p w14:paraId="481E649B"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IVIg cost</w:t>
            </w:r>
          </w:p>
        </w:tc>
        <w:tc>
          <w:tcPr>
            <w:tcW w:w="846" w:type="pct"/>
            <w:noWrap/>
          </w:tcPr>
          <w:p w14:paraId="51067A34"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PE costs</w:t>
            </w:r>
          </w:p>
        </w:tc>
        <w:tc>
          <w:tcPr>
            <w:tcW w:w="846" w:type="pct"/>
            <w:noWrap/>
          </w:tcPr>
          <w:p w14:paraId="008B0C50" w14:textId="77777777" w:rsidR="005619FC" w:rsidRPr="007D1918" w:rsidRDefault="005619FC" w:rsidP="00942701">
            <w:pPr>
              <w:keepNext/>
              <w:spacing w:after="40" w:line="240" w:lineRule="auto"/>
              <w:jc w:val="center"/>
              <w:rPr>
                <w:rFonts w:ascii="Arial Narrow" w:hAnsi="Arial Narrow"/>
                <w:b/>
                <w:sz w:val="20"/>
                <w:szCs w:val="20"/>
              </w:rPr>
            </w:pPr>
            <w:r w:rsidRPr="007D1918">
              <w:rPr>
                <w:rFonts w:ascii="Arial Narrow" w:hAnsi="Arial Narrow"/>
                <w:b/>
                <w:sz w:val="20"/>
                <w:szCs w:val="20"/>
              </w:rPr>
              <w:t>Cost difference</w:t>
            </w:r>
          </w:p>
        </w:tc>
      </w:tr>
      <w:tr w:rsidR="005619FC" w:rsidRPr="007D1918" w14:paraId="4B90CC6B" w14:textId="77777777" w:rsidTr="00942701">
        <w:trPr>
          <w:cnfStyle w:val="100000000000" w:firstRow="1" w:lastRow="0" w:firstColumn="0" w:lastColumn="0" w:oddVBand="0" w:evenVBand="0" w:oddHBand="0" w:evenHBand="0" w:firstRowFirstColumn="0" w:firstRowLastColumn="0" w:lastRowFirstColumn="0" w:lastRowLastColumn="0"/>
          <w:trHeight w:val="300"/>
          <w:tblHeader/>
        </w:trPr>
        <w:tc>
          <w:tcPr>
            <w:tcW w:w="2462" w:type="pct"/>
            <w:noWrap/>
            <w:hideMark/>
          </w:tcPr>
          <w:p w14:paraId="26D47536" w14:textId="77777777" w:rsidR="005619FC" w:rsidRPr="007D1918" w:rsidRDefault="005619FC" w:rsidP="00942701">
            <w:pPr>
              <w:keepNext/>
              <w:spacing w:after="40" w:line="240" w:lineRule="auto"/>
              <w:jc w:val="both"/>
              <w:rPr>
                <w:rFonts w:ascii="Arial Narrow" w:hAnsi="Arial Narrow"/>
                <w:sz w:val="20"/>
                <w:szCs w:val="20"/>
              </w:rPr>
            </w:pPr>
            <w:r w:rsidRPr="007D1918">
              <w:rPr>
                <w:rFonts w:ascii="Arial Narrow" w:hAnsi="Arial Narrow"/>
                <w:sz w:val="20"/>
                <w:szCs w:val="20"/>
              </w:rPr>
              <w:t>Base case analysis</w:t>
            </w:r>
          </w:p>
        </w:tc>
        <w:tc>
          <w:tcPr>
            <w:tcW w:w="846" w:type="pct"/>
            <w:shd w:val="clear" w:color="auto" w:fill="auto"/>
            <w:noWrap/>
            <w:vAlign w:val="bottom"/>
          </w:tcPr>
          <w:p w14:paraId="3FA16B43"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$47,257</w:t>
            </w:r>
          </w:p>
        </w:tc>
        <w:tc>
          <w:tcPr>
            <w:tcW w:w="846" w:type="pct"/>
            <w:shd w:val="clear" w:color="auto" w:fill="auto"/>
            <w:noWrap/>
            <w:vAlign w:val="bottom"/>
          </w:tcPr>
          <w:p w14:paraId="2E9CD098"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$46,750</w:t>
            </w:r>
          </w:p>
        </w:tc>
        <w:tc>
          <w:tcPr>
            <w:tcW w:w="846" w:type="pct"/>
            <w:shd w:val="clear" w:color="auto" w:fill="auto"/>
            <w:noWrap/>
            <w:vAlign w:val="bottom"/>
          </w:tcPr>
          <w:p w14:paraId="50FB163C"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$507</w:t>
            </w:r>
          </w:p>
        </w:tc>
      </w:tr>
      <w:tr w:rsidR="005619FC" w:rsidRPr="007D1918" w14:paraId="7DFD4B69" w14:textId="77777777" w:rsidTr="00942701">
        <w:trPr>
          <w:trHeight w:val="300"/>
        </w:trPr>
        <w:tc>
          <w:tcPr>
            <w:tcW w:w="2462" w:type="pct"/>
            <w:noWrap/>
            <w:hideMark/>
          </w:tcPr>
          <w:p w14:paraId="0CFF0FCC"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 xml:space="preserve">Highest IVIg cost ($140.18/g) </w:t>
            </w:r>
          </w:p>
        </w:tc>
        <w:tc>
          <w:tcPr>
            <w:tcW w:w="846" w:type="pct"/>
            <w:shd w:val="clear" w:color="auto" w:fill="auto"/>
            <w:noWrap/>
            <w:vAlign w:val="bottom"/>
          </w:tcPr>
          <w:p w14:paraId="300DC04E"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$59,701</w:t>
            </w:r>
          </w:p>
        </w:tc>
        <w:tc>
          <w:tcPr>
            <w:tcW w:w="846" w:type="pct"/>
            <w:shd w:val="clear" w:color="auto" w:fill="auto"/>
            <w:noWrap/>
            <w:vAlign w:val="bottom"/>
          </w:tcPr>
          <w:p w14:paraId="1A9736D9"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$46,750</w:t>
            </w:r>
          </w:p>
        </w:tc>
        <w:tc>
          <w:tcPr>
            <w:tcW w:w="846" w:type="pct"/>
            <w:shd w:val="clear" w:color="auto" w:fill="auto"/>
            <w:noWrap/>
            <w:vAlign w:val="bottom"/>
          </w:tcPr>
          <w:p w14:paraId="361FD363"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$12,951</w:t>
            </w:r>
          </w:p>
        </w:tc>
      </w:tr>
      <w:tr w:rsidR="005619FC" w:rsidRPr="007D1918" w14:paraId="52CFEA62" w14:textId="77777777" w:rsidTr="00942701">
        <w:trPr>
          <w:trHeight w:val="300"/>
        </w:trPr>
        <w:tc>
          <w:tcPr>
            <w:tcW w:w="2462" w:type="pct"/>
            <w:noWrap/>
            <w:hideMark/>
          </w:tcPr>
          <w:p w14:paraId="7943022A"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Lowest IVIg cost ($44.94/g)</w:t>
            </w:r>
          </w:p>
        </w:tc>
        <w:tc>
          <w:tcPr>
            <w:tcW w:w="846" w:type="pct"/>
            <w:shd w:val="clear" w:color="auto" w:fill="auto"/>
            <w:noWrap/>
            <w:vAlign w:val="bottom"/>
          </w:tcPr>
          <w:p w14:paraId="1AB6EB63"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$44,844</w:t>
            </w:r>
          </w:p>
        </w:tc>
        <w:tc>
          <w:tcPr>
            <w:tcW w:w="846" w:type="pct"/>
            <w:shd w:val="clear" w:color="auto" w:fill="auto"/>
            <w:noWrap/>
            <w:vAlign w:val="bottom"/>
          </w:tcPr>
          <w:p w14:paraId="7670FE9E"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$46,750</w:t>
            </w:r>
          </w:p>
        </w:tc>
        <w:tc>
          <w:tcPr>
            <w:tcW w:w="846" w:type="pct"/>
            <w:shd w:val="clear" w:color="auto" w:fill="auto"/>
            <w:noWrap/>
            <w:vAlign w:val="bottom"/>
          </w:tcPr>
          <w:p w14:paraId="67E4E271"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-$1,906</w:t>
            </w:r>
          </w:p>
        </w:tc>
      </w:tr>
      <w:tr w:rsidR="005619FC" w:rsidRPr="007D1918" w14:paraId="155A94BB" w14:textId="77777777" w:rsidTr="00942701">
        <w:trPr>
          <w:trHeight w:val="300"/>
        </w:trPr>
        <w:tc>
          <w:tcPr>
            <w:tcW w:w="2462" w:type="pct"/>
            <w:noWrap/>
            <w:hideMark/>
          </w:tcPr>
          <w:p w14:paraId="0D5F8992"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Alternative IVIg cost (weighted historical cost $94.51)</w:t>
            </w:r>
          </w:p>
        </w:tc>
        <w:tc>
          <w:tcPr>
            <w:tcW w:w="846" w:type="pct"/>
            <w:shd w:val="clear" w:color="auto" w:fill="auto"/>
            <w:noWrap/>
            <w:vAlign w:val="bottom"/>
          </w:tcPr>
          <w:p w14:paraId="252D62F5"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$52,577</w:t>
            </w:r>
          </w:p>
        </w:tc>
        <w:tc>
          <w:tcPr>
            <w:tcW w:w="846" w:type="pct"/>
            <w:shd w:val="clear" w:color="auto" w:fill="auto"/>
            <w:noWrap/>
            <w:vAlign w:val="bottom"/>
          </w:tcPr>
          <w:p w14:paraId="593A1E54"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$46,750</w:t>
            </w:r>
          </w:p>
        </w:tc>
        <w:tc>
          <w:tcPr>
            <w:tcW w:w="846" w:type="pct"/>
            <w:shd w:val="clear" w:color="auto" w:fill="auto"/>
            <w:noWrap/>
            <w:vAlign w:val="bottom"/>
          </w:tcPr>
          <w:p w14:paraId="25AA67BD"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$5,827</w:t>
            </w:r>
          </w:p>
        </w:tc>
      </w:tr>
      <w:tr w:rsidR="005619FC" w:rsidRPr="007D1918" w14:paraId="2BB48B1E" w14:textId="77777777" w:rsidTr="00942701">
        <w:trPr>
          <w:trHeight w:val="300"/>
        </w:trPr>
        <w:tc>
          <w:tcPr>
            <w:tcW w:w="2462" w:type="pct"/>
            <w:noWrap/>
          </w:tcPr>
          <w:p w14:paraId="4F087FF5"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Alternative IVIg cost (published price $58.23)</w:t>
            </w:r>
          </w:p>
        </w:tc>
        <w:tc>
          <w:tcPr>
            <w:tcW w:w="846" w:type="pct"/>
            <w:shd w:val="clear" w:color="auto" w:fill="auto"/>
            <w:noWrap/>
            <w:vAlign w:val="bottom"/>
          </w:tcPr>
          <w:p w14:paraId="1421B26C"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$46,917</w:t>
            </w:r>
          </w:p>
        </w:tc>
        <w:tc>
          <w:tcPr>
            <w:tcW w:w="846" w:type="pct"/>
            <w:shd w:val="clear" w:color="auto" w:fill="auto"/>
            <w:noWrap/>
            <w:vAlign w:val="bottom"/>
          </w:tcPr>
          <w:p w14:paraId="6BC69998"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$46,750</w:t>
            </w:r>
          </w:p>
        </w:tc>
        <w:tc>
          <w:tcPr>
            <w:tcW w:w="846" w:type="pct"/>
            <w:tcBorders>
              <w:bottom w:val="single" w:sz="4" w:space="0" w:color="auto"/>
            </w:tcBorders>
            <w:shd w:val="clear" w:color="auto" w:fill="auto"/>
            <w:noWrap/>
            <w:vAlign w:val="bottom"/>
          </w:tcPr>
          <w:p w14:paraId="3CFF5D8C"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$167</w:t>
            </w:r>
          </w:p>
        </w:tc>
      </w:tr>
      <w:tr w:rsidR="005619FC" w:rsidRPr="007D1918" w14:paraId="76FA96FE" w14:textId="77777777" w:rsidTr="00942701">
        <w:trPr>
          <w:trHeight w:val="300"/>
        </w:trPr>
        <w:tc>
          <w:tcPr>
            <w:tcW w:w="2462" w:type="pct"/>
            <w:tcBorders>
              <w:top w:val="single" w:sz="2" w:space="0" w:color="000000"/>
              <w:bottom w:val="single" w:sz="2" w:space="0" w:color="000000"/>
              <w:right w:val="single" w:sz="2" w:space="0" w:color="000000"/>
            </w:tcBorders>
            <w:noWrap/>
          </w:tcPr>
          <w:p w14:paraId="4849CDC6"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IVIg dose administered over 5 days</w:t>
            </w:r>
          </w:p>
        </w:tc>
        <w:tc>
          <w:tcPr>
            <w:tcW w:w="846" w:type="pct"/>
            <w:tcBorders>
              <w:top w:val="single" w:sz="2" w:space="0" w:color="000000"/>
              <w:left w:val="single" w:sz="2" w:space="0" w:color="000000"/>
              <w:bottom w:val="single" w:sz="2" w:space="0" w:color="000000"/>
              <w:right w:val="single" w:sz="2" w:space="0" w:color="000000"/>
            </w:tcBorders>
            <w:shd w:val="clear" w:color="auto" w:fill="auto"/>
            <w:noWrap/>
            <w:vAlign w:val="bottom"/>
          </w:tcPr>
          <w:p w14:paraId="5267F088"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$48,640</w:t>
            </w:r>
          </w:p>
        </w:tc>
        <w:tc>
          <w:tcPr>
            <w:tcW w:w="846" w:type="pct"/>
            <w:tcBorders>
              <w:top w:val="single" w:sz="2" w:space="0" w:color="000000"/>
              <w:left w:val="single" w:sz="2" w:space="0" w:color="000000"/>
              <w:bottom w:val="single" w:sz="2" w:space="0" w:color="000000"/>
              <w:right w:val="single" w:sz="4" w:space="0" w:color="auto"/>
            </w:tcBorders>
            <w:shd w:val="clear" w:color="auto" w:fill="auto"/>
            <w:noWrap/>
            <w:vAlign w:val="bottom"/>
          </w:tcPr>
          <w:p w14:paraId="788375CF"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$46,750</w:t>
            </w:r>
          </w:p>
        </w:tc>
        <w:tc>
          <w:tcPr>
            <w:tcW w:w="84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64B6F52"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$1,890</w:t>
            </w:r>
          </w:p>
        </w:tc>
      </w:tr>
      <w:tr w:rsidR="005619FC" w:rsidRPr="007D1918" w14:paraId="27F18C0C" w14:textId="77777777" w:rsidTr="00942701">
        <w:trPr>
          <w:trHeight w:val="300"/>
        </w:trPr>
        <w:tc>
          <w:tcPr>
            <w:tcW w:w="2462" w:type="pct"/>
            <w:noWrap/>
          </w:tcPr>
          <w:p w14:paraId="067F984C" w14:textId="77777777" w:rsidR="005619FC" w:rsidRPr="007D1918" w:rsidRDefault="005619FC" w:rsidP="00942701">
            <w:pPr>
              <w:spacing w:after="40" w:line="240" w:lineRule="auto"/>
              <w:ind w:left="170"/>
              <w:jc w:val="both"/>
              <w:rPr>
                <w:rFonts w:ascii="Arial Narrow" w:hAnsi="Arial Narrow"/>
                <w:sz w:val="20"/>
                <w:szCs w:val="20"/>
              </w:rPr>
            </w:pPr>
            <w:r w:rsidRPr="007D1918">
              <w:rPr>
                <w:rFonts w:ascii="Arial Narrow" w:hAnsi="Arial Narrow"/>
                <w:sz w:val="20"/>
                <w:szCs w:val="20"/>
              </w:rPr>
              <w:t xml:space="preserve">PE exchanges prior to surgery; 2 </w:t>
            </w:r>
          </w:p>
        </w:tc>
        <w:tc>
          <w:tcPr>
            <w:tcW w:w="846" w:type="pct"/>
            <w:shd w:val="clear" w:color="auto" w:fill="auto"/>
            <w:noWrap/>
            <w:vAlign w:val="bottom"/>
          </w:tcPr>
          <w:p w14:paraId="68023F33"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$47,257</w:t>
            </w:r>
          </w:p>
        </w:tc>
        <w:tc>
          <w:tcPr>
            <w:tcW w:w="846" w:type="pct"/>
            <w:shd w:val="clear" w:color="auto" w:fill="auto"/>
            <w:noWrap/>
            <w:vAlign w:val="bottom"/>
          </w:tcPr>
          <w:p w14:paraId="393F6C15"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$42,001</w:t>
            </w:r>
          </w:p>
        </w:tc>
        <w:tc>
          <w:tcPr>
            <w:tcW w:w="846" w:type="pct"/>
            <w:tcBorders>
              <w:top w:val="single" w:sz="4" w:space="0" w:color="auto"/>
            </w:tcBorders>
            <w:shd w:val="clear" w:color="auto" w:fill="auto"/>
            <w:noWrap/>
            <w:vAlign w:val="bottom"/>
          </w:tcPr>
          <w:p w14:paraId="51223253" w14:textId="77777777" w:rsidR="005619FC" w:rsidRPr="007D1918" w:rsidRDefault="005619FC" w:rsidP="00942701">
            <w:pPr>
              <w:spacing w:after="40" w:line="240" w:lineRule="auto"/>
              <w:jc w:val="right"/>
              <w:rPr>
                <w:rFonts w:ascii="Arial Narrow" w:hAnsi="Arial Narrow"/>
                <w:sz w:val="20"/>
                <w:szCs w:val="20"/>
              </w:rPr>
            </w:pPr>
            <w:r w:rsidRPr="007D1918">
              <w:rPr>
                <w:rFonts w:ascii="Arial Narrow" w:hAnsi="Arial Narrow"/>
                <w:sz w:val="20"/>
                <w:szCs w:val="20"/>
              </w:rPr>
              <w:t>$5,256</w:t>
            </w:r>
          </w:p>
        </w:tc>
      </w:tr>
    </w:tbl>
    <w:p w14:paraId="78965F6E" w14:textId="77777777" w:rsidR="005619FC" w:rsidRPr="007D1918" w:rsidRDefault="005619FC" w:rsidP="005619FC">
      <w:pPr>
        <w:pStyle w:val="Tablenotes1"/>
        <w:spacing w:after="360"/>
      </w:pPr>
      <w:r w:rsidRPr="007D1918">
        <w:t>IVIg = intravenous immunoglobulin; FFP = fresh frozen plasma; PE = plasma exchange</w:t>
      </w:r>
    </w:p>
    <w:p w14:paraId="30479834" w14:textId="54D5FD2C" w:rsidR="00C46C32" w:rsidRPr="007D1918" w:rsidRDefault="00C46C32" w:rsidP="00C46C32">
      <w:r w:rsidRPr="007D1918">
        <w:t xml:space="preserve">Scenario analysis </w:t>
      </w:r>
      <w:r w:rsidR="00E42D66" w:rsidRPr="007D1918">
        <w:t xml:space="preserve">that assumes </w:t>
      </w:r>
      <w:r w:rsidRPr="007D1918">
        <w:t xml:space="preserve">operating time does not differ across pre-treatment arms is presented </w:t>
      </w:r>
      <w:r w:rsidR="00E42D66" w:rsidRPr="007D1918">
        <w:t xml:space="preserve">in  Table 85 </w:t>
      </w:r>
      <w:r w:rsidRPr="007D1918">
        <w:t>below. The incremental cost of IVIg in this scenario is greater.</w:t>
      </w:r>
    </w:p>
    <w:p w14:paraId="1C0DC161" w14:textId="35AE5445" w:rsidR="00C46C32" w:rsidRPr="007D1918" w:rsidRDefault="00C46C32" w:rsidP="00C46C32">
      <w:pPr>
        <w:pStyle w:val="Caption"/>
        <w:keepNext/>
        <w:shd w:val="clear" w:color="auto" w:fill="FFFFFF" w:themeFill="background1"/>
        <w:jc w:val="both"/>
      </w:pPr>
      <w:bookmarkStart w:id="462" w:name="_Toc23769572"/>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85</w:t>
      </w:r>
      <w:r w:rsidRPr="007D1918">
        <w:rPr>
          <w:noProof/>
        </w:rPr>
        <w:fldChar w:fldCharType="end"/>
      </w:r>
      <w:r w:rsidRPr="007D1918">
        <w:t xml:space="preserve"> </w:t>
      </w:r>
      <w:r w:rsidRPr="007D1918">
        <w:tab/>
        <w:t>Scenario analysis Indication 2, assuming no difference in theatre costs</w:t>
      </w:r>
      <w:bookmarkEnd w:id="462"/>
    </w:p>
    <w:tbl>
      <w:tblPr>
        <w:tblStyle w:val="TableGrid2"/>
        <w:tblW w:w="8902"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282"/>
        <w:gridCol w:w="1417"/>
        <w:gridCol w:w="1418"/>
        <w:gridCol w:w="1785"/>
      </w:tblGrid>
      <w:tr w:rsidR="00C46C32" w:rsidRPr="007D1918" w14:paraId="371A6AED" w14:textId="77777777" w:rsidTr="004C068D">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56C0573E" w14:textId="77777777" w:rsidR="00C46C32" w:rsidRPr="007D1918" w:rsidRDefault="00C46C32" w:rsidP="004C068D">
            <w:pPr>
              <w:keepNext/>
              <w:spacing w:after="40" w:line="240" w:lineRule="auto"/>
              <w:jc w:val="both"/>
              <w:rPr>
                <w:rFonts w:ascii="Arial Narrow" w:hAnsi="Arial Narrow"/>
                <w:b/>
                <w:sz w:val="20"/>
                <w:szCs w:val="20"/>
              </w:rPr>
            </w:pPr>
          </w:p>
        </w:tc>
        <w:tc>
          <w:tcPr>
            <w:tcW w:w="1417" w:type="dxa"/>
            <w:tcBorders>
              <w:bottom w:val="single" w:sz="4" w:space="0" w:color="auto"/>
            </w:tcBorders>
          </w:tcPr>
          <w:p w14:paraId="2BDFB76C" w14:textId="77777777" w:rsidR="00C46C32" w:rsidRPr="007D1918" w:rsidRDefault="00C46C32" w:rsidP="004C068D">
            <w:pPr>
              <w:keepNext/>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1418" w:type="dxa"/>
            <w:tcBorders>
              <w:bottom w:val="single" w:sz="4" w:space="0" w:color="auto"/>
            </w:tcBorders>
          </w:tcPr>
          <w:p w14:paraId="408C722A" w14:textId="77777777" w:rsidR="00C46C32" w:rsidRPr="007D1918" w:rsidRDefault="00C46C32" w:rsidP="004C068D">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c>
          <w:tcPr>
            <w:tcW w:w="1785" w:type="dxa"/>
            <w:vMerge w:val="restart"/>
            <w:tcBorders>
              <w:bottom w:val="single" w:sz="4" w:space="0" w:color="auto"/>
            </w:tcBorders>
          </w:tcPr>
          <w:p w14:paraId="67049D7B" w14:textId="77777777" w:rsidR="00C46C32" w:rsidRPr="007D1918" w:rsidRDefault="00C46C32" w:rsidP="004C068D">
            <w:pPr>
              <w:keepNext/>
              <w:spacing w:after="40" w:line="240" w:lineRule="auto"/>
              <w:jc w:val="both"/>
              <w:rPr>
                <w:rFonts w:ascii="Arial Narrow" w:hAnsi="Arial Narrow"/>
                <w:b/>
                <w:sz w:val="20"/>
                <w:szCs w:val="20"/>
              </w:rPr>
            </w:pPr>
            <w:r w:rsidRPr="007D1918">
              <w:rPr>
                <w:rFonts w:ascii="Arial Narrow" w:hAnsi="Arial Narrow"/>
                <w:b/>
                <w:sz w:val="20"/>
                <w:szCs w:val="20"/>
              </w:rPr>
              <w:t>Incremental cost</w:t>
            </w:r>
          </w:p>
        </w:tc>
      </w:tr>
      <w:tr w:rsidR="00C46C32" w:rsidRPr="007D1918" w14:paraId="03194F38" w14:textId="77777777" w:rsidTr="004C068D">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0B84C783" w14:textId="77777777" w:rsidR="00C46C32" w:rsidRPr="007D1918" w:rsidRDefault="00C46C32" w:rsidP="004C068D">
            <w:pPr>
              <w:keepNext/>
              <w:spacing w:after="40" w:line="240" w:lineRule="auto"/>
              <w:jc w:val="both"/>
              <w:rPr>
                <w:rFonts w:ascii="Arial Narrow" w:hAnsi="Arial Narrow"/>
                <w:b/>
                <w:sz w:val="20"/>
                <w:szCs w:val="20"/>
              </w:rPr>
            </w:pPr>
            <w:r w:rsidRPr="007D1918">
              <w:rPr>
                <w:rFonts w:ascii="Arial Narrow" w:hAnsi="Arial Narrow"/>
                <w:b/>
                <w:sz w:val="20"/>
                <w:szCs w:val="20"/>
              </w:rPr>
              <w:t>Resources (disaggregated)</w:t>
            </w:r>
          </w:p>
        </w:tc>
        <w:tc>
          <w:tcPr>
            <w:tcW w:w="1417" w:type="dxa"/>
            <w:tcBorders>
              <w:bottom w:val="single" w:sz="4" w:space="0" w:color="auto"/>
            </w:tcBorders>
          </w:tcPr>
          <w:p w14:paraId="7FE6B604" w14:textId="77777777" w:rsidR="00C46C32" w:rsidRPr="007D1918" w:rsidRDefault="00C46C32" w:rsidP="004C068D">
            <w:pPr>
              <w:keepNext/>
              <w:spacing w:after="40" w:line="240" w:lineRule="auto"/>
              <w:jc w:val="both"/>
              <w:rPr>
                <w:rFonts w:ascii="Arial Narrow" w:hAnsi="Arial Narrow"/>
                <w:sz w:val="20"/>
                <w:szCs w:val="20"/>
              </w:rPr>
            </w:pPr>
            <w:r w:rsidRPr="007D1918">
              <w:rPr>
                <w:rFonts w:ascii="Arial Narrow" w:hAnsi="Arial Narrow"/>
                <w:sz w:val="20"/>
                <w:szCs w:val="20"/>
              </w:rPr>
              <w:t>Total Cost</w:t>
            </w:r>
          </w:p>
        </w:tc>
        <w:tc>
          <w:tcPr>
            <w:tcW w:w="1418" w:type="dxa"/>
            <w:tcBorders>
              <w:bottom w:val="single" w:sz="4" w:space="0" w:color="auto"/>
            </w:tcBorders>
          </w:tcPr>
          <w:p w14:paraId="50E1B7F4" w14:textId="77777777" w:rsidR="00C46C32" w:rsidRPr="007D1918" w:rsidRDefault="00C46C32" w:rsidP="004C068D">
            <w:pPr>
              <w:keepNext/>
              <w:spacing w:after="40" w:line="240" w:lineRule="auto"/>
              <w:jc w:val="both"/>
              <w:rPr>
                <w:rFonts w:ascii="Arial Narrow" w:hAnsi="Arial Narrow"/>
                <w:b/>
                <w:sz w:val="20"/>
                <w:szCs w:val="20"/>
              </w:rPr>
            </w:pPr>
            <w:r w:rsidRPr="007D1918">
              <w:rPr>
                <w:rFonts w:ascii="Arial Narrow" w:hAnsi="Arial Narrow"/>
                <w:sz w:val="20"/>
                <w:szCs w:val="20"/>
              </w:rPr>
              <w:t>Total Cost</w:t>
            </w:r>
          </w:p>
        </w:tc>
        <w:tc>
          <w:tcPr>
            <w:tcW w:w="1785" w:type="dxa"/>
            <w:vMerge/>
            <w:tcBorders>
              <w:bottom w:val="single" w:sz="4" w:space="0" w:color="auto"/>
            </w:tcBorders>
          </w:tcPr>
          <w:p w14:paraId="7E5AF942" w14:textId="77777777" w:rsidR="00C46C32" w:rsidRPr="007D1918" w:rsidRDefault="00C46C32" w:rsidP="004C068D">
            <w:pPr>
              <w:keepNext/>
              <w:spacing w:after="40" w:line="240" w:lineRule="auto"/>
              <w:jc w:val="both"/>
              <w:rPr>
                <w:rFonts w:ascii="Arial Narrow" w:hAnsi="Arial Narrow"/>
                <w:b/>
                <w:sz w:val="20"/>
                <w:szCs w:val="20"/>
              </w:rPr>
            </w:pPr>
          </w:p>
        </w:tc>
      </w:tr>
      <w:tr w:rsidR="00C46C32" w:rsidRPr="007D1918" w14:paraId="416D9F19" w14:textId="77777777" w:rsidTr="004C068D">
        <w:tc>
          <w:tcPr>
            <w:tcW w:w="4282" w:type="dxa"/>
          </w:tcPr>
          <w:p w14:paraId="7D00BCBB" w14:textId="77777777" w:rsidR="00C46C32" w:rsidRPr="007D1918" w:rsidRDefault="00C46C32" w:rsidP="004C068D">
            <w:pPr>
              <w:spacing w:after="40" w:line="240" w:lineRule="auto"/>
              <w:ind w:left="346" w:hanging="141"/>
              <w:jc w:val="both"/>
              <w:rPr>
                <w:rFonts w:ascii="Arial Narrow" w:hAnsi="Arial Narrow"/>
                <w:sz w:val="20"/>
                <w:szCs w:val="20"/>
              </w:rPr>
            </w:pPr>
            <w:r w:rsidRPr="007D1918">
              <w:rPr>
                <w:rFonts w:ascii="Arial Narrow" w:hAnsi="Arial Narrow"/>
                <w:sz w:val="20"/>
                <w:szCs w:val="20"/>
              </w:rPr>
              <w:t>IVIg product (156g)</w:t>
            </w:r>
          </w:p>
        </w:tc>
        <w:tc>
          <w:tcPr>
            <w:tcW w:w="1417" w:type="dxa"/>
            <w:tcBorders>
              <w:top w:val="single" w:sz="4" w:space="0" w:color="auto"/>
              <w:bottom w:val="single" w:sz="4" w:space="0" w:color="auto"/>
            </w:tcBorders>
          </w:tcPr>
          <w:p w14:paraId="20554447"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$9,424</w:t>
            </w:r>
          </w:p>
        </w:tc>
        <w:tc>
          <w:tcPr>
            <w:tcW w:w="1418" w:type="dxa"/>
            <w:tcBorders>
              <w:top w:val="single" w:sz="4" w:space="0" w:color="auto"/>
              <w:bottom w:val="single" w:sz="4" w:space="0" w:color="auto"/>
            </w:tcBorders>
          </w:tcPr>
          <w:p w14:paraId="02292965"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785" w:type="dxa"/>
            <w:tcBorders>
              <w:top w:val="single" w:sz="4" w:space="0" w:color="auto"/>
              <w:left w:val="nil"/>
              <w:bottom w:val="single" w:sz="4" w:space="0" w:color="auto"/>
              <w:right w:val="single" w:sz="4" w:space="0" w:color="auto"/>
            </w:tcBorders>
            <w:shd w:val="clear" w:color="auto" w:fill="auto"/>
            <w:vAlign w:val="bottom"/>
          </w:tcPr>
          <w:p w14:paraId="0025B3C1"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$9,424</w:t>
            </w:r>
          </w:p>
        </w:tc>
      </w:tr>
      <w:tr w:rsidR="00C46C32" w:rsidRPr="007D1918" w14:paraId="4E77D29E" w14:textId="77777777" w:rsidTr="004C068D">
        <w:tc>
          <w:tcPr>
            <w:tcW w:w="4282" w:type="dxa"/>
          </w:tcPr>
          <w:p w14:paraId="257D6476" w14:textId="77777777" w:rsidR="00C46C32" w:rsidRPr="007D1918" w:rsidRDefault="00C46C32" w:rsidP="004C068D">
            <w:pPr>
              <w:spacing w:after="40" w:line="240" w:lineRule="auto"/>
              <w:ind w:left="346" w:hanging="141"/>
              <w:jc w:val="both"/>
              <w:rPr>
                <w:rFonts w:ascii="Arial Narrow" w:hAnsi="Arial Narrow"/>
                <w:sz w:val="20"/>
                <w:szCs w:val="20"/>
              </w:rPr>
            </w:pPr>
            <w:r w:rsidRPr="007D1918">
              <w:rPr>
                <w:rFonts w:ascii="Arial Narrow" w:hAnsi="Arial Narrow"/>
                <w:sz w:val="20"/>
                <w:szCs w:val="20"/>
              </w:rPr>
              <w:t>PE replacement fluid (Albumin 4%)</w:t>
            </w:r>
          </w:p>
        </w:tc>
        <w:tc>
          <w:tcPr>
            <w:tcW w:w="1417" w:type="dxa"/>
            <w:tcBorders>
              <w:top w:val="single" w:sz="4" w:space="0" w:color="auto"/>
              <w:bottom w:val="single" w:sz="4" w:space="0" w:color="auto"/>
            </w:tcBorders>
          </w:tcPr>
          <w:p w14:paraId="5683B90A"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$0</w:t>
            </w:r>
          </w:p>
        </w:tc>
        <w:tc>
          <w:tcPr>
            <w:tcW w:w="1418" w:type="dxa"/>
            <w:tcBorders>
              <w:top w:val="single" w:sz="4" w:space="0" w:color="auto"/>
              <w:bottom w:val="single" w:sz="4" w:space="0" w:color="auto"/>
            </w:tcBorders>
          </w:tcPr>
          <w:p w14:paraId="165E9AFD"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$685</w:t>
            </w:r>
          </w:p>
        </w:tc>
        <w:tc>
          <w:tcPr>
            <w:tcW w:w="1785" w:type="dxa"/>
            <w:tcBorders>
              <w:top w:val="single" w:sz="4" w:space="0" w:color="auto"/>
              <w:left w:val="nil"/>
              <w:bottom w:val="single" w:sz="4" w:space="0" w:color="auto"/>
              <w:right w:val="single" w:sz="4" w:space="0" w:color="auto"/>
            </w:tcBorders>
            <w:shd w:val="clear" w:color="auto" w:fill="auto"/>
            <w:vAlign w:val="bottom"/>
          </w:tcPr>
          <w:p w14:paraId="466C9408"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-$685</w:t>
            </w:r>
          </w:p>
        </w:tc>
      </w:tr>
      <w:tr w:rsidR="00C46C32" w:rsidRPr="007D1918" w14:paraId="7263027D" w14:textId="77777777" w:rsidTr="004C068D">
        <w:tc>
          <w:tcPr>
            <w:tcW w:w="4282" w:type="dxa"/>
          </w:tcPr>
          <w:p w14:paraId="65D7DDD3" w14:textId="77777777" w:rsidR="00C46C32" w:rsidRPr="007D1918" w:rsidRDefault="00C46C32" w:rsidP="004C068D">
            <w:pPr>
              <w:spacing w:after="40" w:line="240" w:lineRule="auto"/>
              <w:ind w:left="346" w:hanging="141"/>
              <w:jc w:val="both"/>
              <w:rPr>
                <w:rFonts w:ascii="Arial Narrow" w:hAnsi="Arial Narrow"/>
                <w:sz w:val="20"/>
                <w:szCs w:val="20"/>
              </w:rPr>
            </w:pPr>
            <w:r w:rsidRPr="007D1918">
              <w:rPr>
                <w:rFonts w:ascii="Arial Narrow" w:hAnsi="Arial Narrow"/>
                <w:sz w:val="20"/>
                <w:szCs w:val="20"/>
              </w:rPr>
              <w:t>All outpatient Tx administration costs (pre-admission)</w:t>
            </w:r>
          </w:p>
        </w:tc>
        <w:tc>
          <w:tcPr>
            <w:tcW w:w="1417" w:type="dxa"/>
            <w:tcBorders>
              <w:top w:val="single" w:sz="4" w:space="0" w:color="auto"/>
              <w:bottom w:val="single" w:sz="4" w:space="0" w:color="auto"/>
            </w:tcBorders>
          </w:tcPr>
          <w:p w14:paraId="2565CD1B"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$922</w:t>
            </w:r>
          </w:p>
        </w:tc>
        <w:tc>
          <w:tcPr>
            <w:tcW w:w="1418" w:type="dxa"/>
            <w:tcBorders>
              <w:top w:val="single" w:sz="4" w:space="0" w:color="auto"/>
              <w:bottom w:val="single" w:sz="4" w:space="0" w:color="auto"/>
            </w:tcBorders>
          </w:tcPr>
          <w:p w14:paraId="4D7A5C66"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$7,231</w:t>
            </w:r>
          </w:p>
        </w:tc>
        <w:tc>
          <w:tcPr>
            <w:tcW w:w="1785" w:type="dxa"/>
            <w:tcBorders>
              <w:top w:val="single" w:sz="4" w:space="0" w:color="auto"/>
              <w:left w:val="nil"/>
              <w:bottom w:val="single" w:sz="4" w:space="0" w:color="auto"/>
              <w:right w:val="single" w:sz="4" w:space="0" w:color="auto"/>
            </w:tcBorders>
            <w:shd w:val="clear" w:color="auto" w:fill="auto"/>
            <w:vAlign w:val="bottom"/>
          </w:tcPr>
          <w:p w14:paraId="6A379BDB"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-$6,309</w:t>
            </w:r>
          </w:p>
        </w:tc>
      </w:tr>
      <w:tr w:rsidR="00C46C32" w:rsidRPr="007D1918" w14:paraId="1BF187D0" w14:textId="77777777" w:rsidTr="004C068D">
        <w:tc>
          <w:tcPr>
            <w:tcW w:w="4282" w:type="dxa"/>
          </w:tcPr>
          <w:p w14:paraId="5B635EC2" w14:textId="77777777" w:rsidR="00C46C32" w:rsidRPr="007D1918" w:rsidRDefault="00C46C32" w:rsidP="004C068D">
            <w:pPr>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Thymectomy Operating Theatre </w:t>
            </w:r>
          </w:p>
        </w:tc>
        <w:tc>
          <w:tcPr>
            <w:tcW w:w="1417" w:type="dxa"/>
            <w:tcBorders>
              <w:top w:val="single" w:sz="4" w:space="0" w:color="auto"/>
              <w:bottom w:val="single" w:sz="4" w:space="0" w:color="auto"/>
            </w:tcBorders>
          </w:tcPr>
          <w:p w14:paraId="0E37214E" w14:textId="1D5D8F75"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$11,317</w:t>
            </w:r>
          </w:p>
        </w:tc>
        <w:tc>
          <w:tcPr>
            <w:tcW w:w="1418" w:type="dxa"/>
            <w:tcBorders>
              <w:top w:val="single" w:sz="4" w:space="0" w:color="auto"/>
              <w:bottom w:val="single" w:sz="4" w:space="0" w:color="auto"/>
            </w:tcBorders>
          </w:tcPr>
          <w:p w14:paraId="7405653B"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$11,317</w:t>
            </w:r>
          </w:p>
        </w:tc>
        <w:tc>
          <w:tcPr>
            <w:tcW w:w="1785" w:type="dxa"/>
            <w:tcBorders>
              <w:top w:val="single" w:sz="4" w:space="0" w:color="auto"/>
              <w:left w:val="nil"/>
              <w:bottom w:val="single" w:sz="4" w:space="0" w:color="auto"/>
              <w:right w:val="single" w:sz="4" w:space="0" w:color="auto"/>
            </w:tcBorders>
            <w:shd w:val="clear" w:color="auto" w:fill="auto"/>
            <w:vAlign w:val="bottom"/>
          </w:tcPr>
          <w:p w14:paraId="0E09759C" w14:textId="0D3F9796"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$0</w:t>
            </w:r>
          </w:p>
        </w:tc>
      </w:tr>
      <w:tr w:rsidR="00C46C32" w:rsidRPr="007D1918" w14:paraId="544A2B94" w14:textId="77777777" w:rsidTr="004C068D">
        <w:tc>
          <w:tcPr>
            <w:tcW w:w="4282" w:type="dxa"/>
          </w:tcPr>
          <w:p w14:paraId="1BF3FB80" w14:textId="77777777" w:rsidR="00C46C32" w:rsidRPr="007D1918" w:rsidRDefault="00C46C32" w:rsidP="004C068D">
            <w:pPr>
              <w:spacing w:after="40" w:line="240" w:lineRule="auto"/>
              <w:ind w:left="346" w:hanging="141"/>
              <w:jc w:val="both"/>
              <w:rPr>
                <w:rFonts w:ascii="Arial Narrow" w:hAnsi="Arial Narrow"/>
                <w:sz w:val="20"/>
                <w:szCs w:val="20"/>
              </w:rPr>
            </w:pPr>
            <w:r w:rsidRPr="007D1918">
              <w:rPr>
                <w:rFonts w:ascii="Arial Narrow" w:hAnsi="Arial Narrow"/>
                <w:sz w:val="20"/>
                <w:szCs w:val="20"/>
              </w:rPr>
              <w:t>Other hospitalisation (for surgery) costs</w:t>
            </w:r>
          </w:p>
        </w:tc>
        <w:tc>
          <w:tcPr>
            <w:tcW w:w="1417" w:type="dxa"/>
            <w:tcBorders>
              <w:top w:val="single" w:sz="4" w:space="0" w:color="auto"/>
              <w:bottom w:val="single" w:sz="4" w:space="0" w:color="auto"/>
            </w:tcBorders>
          </w:tcPr>
          <w:p w14:paraId="7A04152B"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418" w:type="dxa"/>
            <w:tcBorders>
              <w:top w:val="single" w:sz="4" w:space="0" w:color="auto"/>
              <w:bottom w:val="single" w:sz="4" w:space="0" w:color="auto"/>
            </w:tcBorders>
          </w:tcPr>
          <w:p w14:paraId="09AD1141"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$27,518</w:t>
            </w:r>
          </w:p>
        </w:tc>
        <w:tc>
          <w:tcPr>
            <w:tcW w:w="1785" w:type="dxa"/>
            <w:tcBorders>
              <w:top w:val="single" w:sz="4" w:space="0" w:color="auto"/>
              <w:left w:val="nil"/>
              <w:bottom w:val="single" w:sz="4" w:space="0" w:color="auto"/>
              <w:right w:val="single" w:sz="4" w:space="0" w:color="auto"/>
            </w:tcBorders>
            <w:shd w:val="clear" w:color="auto" w:fill="auto"/>
            <w:vAlign w:val="bottom"/>
          </w:tcPr>
          <w:p w14:paraId="4F7B9D30" w14:textId="77777777" w:rsidR="00C46C32" w:rsidRPr="007D1918" w:rsidRDefault="00C46C32" w:rsidP="004C068D">
            <w:pPr>
              <w:spacing w:after="40" w:line="240" w:lineRule="auto"/>
              <w:jc w:val="right"/>
              <w:rPr>
                <w:rFonts w:ascii="Arial Narrow" w:hAnsi="Arial Narrow"/>
                <w:sz w:val="20"/>
                <w:szCs w:val="20"/>
              </w:rPr>
            </w:pPr>
            <w:r w:rsidRPr="007D1918">
              <w:rPr>
                <w:rFonts w:ascii="Arial Narrow" w:hAnsi="Arial Narrow"/>
                <w:sz w:val="20"/>
                <w:szCs w:val="20"/>
              </w:rPr>
              <w:t>$0</w:t>
            </w:r>
          </w:p>
        </w:tc>
      </w:tr>
      <w:tr w:rsidR="00C46C32" w:rsidRPr="007D1918" w14:paraId="105226A4" w14:textId="77777777" w:rsidTr="004C068D">
        <w:tc>
          <w:tcPr>
            <w:tcW w:w="4282" w:type="dxa"/>
            <w:tcBorders>
              <w:top w:val="single" w:sz="4" w:space="0" w:color="auto"/>
              <w:bottom w:val="single" w:sz="4" w:space="0" w:color="auto"/>
              <w:right w:val="single" w:sz="4" w:space="0" w:color="auto"/>
            </w:tcBorders>
          </w:tcPr>
          <w:p w14:paraId="3C76B13F" w14:textId="77777777" w:rsidR="00C46C32" w:rsidRPr="007D1918" w:rsidRDefault="00C46C32" w:rsidP="004C068D">
            <w:pPr>
              <w:spacing w:after="40" w:line="240" w:lineRule="auto"/>
              <w:rPr>
                <w:rFonts w:ascii="Arial Narrow" w:hAnsi="Arial Narrow"/>
                <w:b/>
                <w:sz w:val="20"/>
                <w:szCs w:val="20"/>
              </w:rPr>
            </w:pPr>
            <w:r w:rsidRPr="007D1918">
              <w:rPr>
                <w:rFonts w:ascii="Arial Narrow" w:hAnsi="Arial Narrow"/>
                <w:b/>
                <w:sz w:val="20"/>
                <w:szCs w:val="20"/>
              </w:rPr>
              <w:t xml:space="preserve">Total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bottom"/>
          </w:tcPr>
          <w:p w14:paraId="307A879E" w14:textId="7F6553F3" w:rsidR="00C46C32" w:rsidRPr="007D1918" w:rsidRDefault="00C46C32" w:rsidP="004C068D">
            <w:pPr>
              <w:spacing w:after="40" w:line="240" w:lineRule="auto"/>
              <w:jc w:val="right"/>
              <w:rPr>
                <w:rFonts w:ascii="Arial Narrow" w:hAnsi="Arial Narrow"/>
                <w:b/>
                <w:sz w:val="20"/>
                <w:szCs w:val="20"/>
              </w:rPr>
            </w:pPr>
            <w:r w:rsidRPr="007D1918">
              <w:rPr>
                <w:rFonts w:ascii="Arial Narrow" w:hAnsi="Arial Narrow"/>
                <w:b/>
                <w:sz w:val="20"/>
                <w:szCs w:val="20"/>
              </w:rPr>
              <w:t>$49,181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7B1880C" w14:textId="77777777" w:rsidR="00C46C32" w:rsidRPr="007D1918" w:rsidRDefault="00C46C32" w:rsidP="004C068D">
            <w:pPr>
              <w:spacing w:after="40" w:line="240" w:lineRule="auto"/>
              <w:jc w:val="right"/>
              <w:rPr>
                <w:rFonts w:ascii="Arial Narrow" w:hAnsi="Arial Narrow"/>
                <w:b/>
                <w:sz w:val="20"/>
                <w:szCs w:val="20"/>
              </w:rPr>
            </w:pPr>
            <w:r w:rsidRPr="007D1918">
              <w:rPr>
                <w:rFonts w:ascii="Arial Narrow" w:hAnsi="Arial Narrow"/>
                <w:b/>
                <w:sz w:val="20"/>
                <w:szCs w:val="20"/>
              </w:rPr>
              <w:t>$46,751</w:t>
            </w:r>
          </w:p>
        </w:tc>
        <w:tc>
          <w:tcPr>
            <w:tcW w:w="1785" w:type="dxa"/>
            <w:tcBorders>
              <w:top w:val="single" w:sz="4" w:space="0" w:color="auto"/>
              <w:left w:val="single" w:sz="4" w:space="0" w:color="auto"/>
              <w:bottom w:val="single" w:sz="4" w:space="0" w:color="auto"/>
              <w:right w:val="single" w:sz="4" w:space="0" w:color="auto"/>
            </w:tcBorders>
            <w:shd w:val="clear" w:color="auto" w:fill="auto"/>
            <w:vAlign w:val="bottom"/>
          </w:tcPr>
          <w:p w14:paraId="20BD116C" w14:textId="7B0CDBC5" w:rsidR="00C46C32" w:rsidRPr="007D1918" w:rsidRDefault="00C46C32" w:rsidP="004C068D">
            <w:pPr>
              <w:spacing w:after="40" w:line="240" w:lineRule="auto"/>
              <w:jc w:val="right"/>
              <w:rPr>
                <w:rFonts w:ascii="Arial Narrow" w:hAnsi="Arial Narrow"/>
                <w:b/>
                <w:sz w:val="20"/>
                <w:szCs w:val="20"/>
              </w:rPr>
            </w:pPr>
            <w:r w:rsidRPr="007D1918">
              <w:rPr>
                <w:rFonts w:ascii="Arial Narrow" w:hAnsi="Arial Narrow"/>
                <w:b/>
                <w:sz w:val="20"/>
                <w:szCs w:val="20"/>
              </w:rPr>
              <w:t>$2,430</w:t>
            </w:r>
          </w:p>
        </w:tc>
      </w:tr>
    </w:tbl>
    <w:p w14:paraId="3AA12337" w14:textId="77777777" w:rsidR="00C46C32" w:rsidRPr="007D1918" w:rsidRDefault="00C46C32" w:rsidP="00C46C32">
      <w:pPr>
        <w:pStyle w:val="Tablenotes1"/>
        <w:spacing w:after="360"/>
      </w:pPr>
      <w:r w:rsidRPr="007D1918">
        <w:t>IVIg = intravenous immunoglobulin; PE = plasma exchange</w:t>
      </w:r>
    </w:p>
    <w:p w14:paraId="09541AB9" w14:textId="77777777" w:rsidR="005619FC" w:rsidRPr="007D1918" w:rsidRDefault="005619FC" w:rsidP="006C641A">
      <w:pPr>
        <w:jc w:val="both"/>
      </w:pPr>
    </w:p>
    <w:p w14:paraId="464BDF0D" w14:textId="77777777" w:rsidR="005619FC" w:rsidRPr="007D1918" w:rsidRDefault="005619FC">
      <w:pPr>
        <w:spacing w:after="0" w:line="240" w:lineRule="auto"/>
        <w:rPr>
          <w:b/>
          <w:smallCaps/>
          <w:sz w:val="24"/>
          <w:szCs w:val="24"/>
        </w:rPr>
      </w:pPr>
      <w:bookmarkStart w:id="463" w:name="_Toc15561880"/>
      <w:r w:rsidRPr="007D1918">
        <w:br w:type="page"/>
      </w:r>
    </w:p>
    <w:p w14:paraId="5CFD2083" w14:textId="44CB4CBE" w:rsidR="006C641A" w:rsidRPr="007D1918" w:rsidRDefault="006C641A" w:rsidP="006C641A">
      <w:pPr>
        <w:pStyle w:val="Heading3"/>
      </w:pPr>
      <w:bookmarkStart w:id="464" w:name="_Toc23767005"/>
      <w:r w:rsidRPr="007D1918">
        <w:lastRenderedPageBreak/>
        <w:t>D.5.3</w:t>
      </w:r>
      <w:r w:rsidRPr="007D1918">
        <w:tab/>
      </w:r>
      <w:r w:rsidRPr="007D1918">
        <w:tab/>
        <w:t>Indication 3 Analysis</w:t>
      </w:r>
      <w:bookmarkEnd w:id="463"/>
      <w:bookmarkEnd w:id="464"/>
    </w:p>
    <w:p w14:paraId="24D9B96B" w14:textId="07420416" w:rsidR="00075298" w:rsidRPr="007D1918" w:rsidRDefault="00075298" w:rsidP="00075298">
      <w:pPr>
        <w:jc w:val="both"/>
      </w:pPr>
      <w:r w:rsidRPr="007D1918">
        <w:t xml:space="preserve">Where IVIg is costed at the estimated average maintenance dose, it is more expensive than a low intensity PE regimen (e.g. 4 weekly), but less expensive than intensive weekly </w:t>
      </w:r>
      <w:r w:rsidR="00E42D66" w:rsidRPr="007D1918">
        <w:t>PE</w:t>
      </w:r>
      <w:r w:rsidRPr="007D1918">
        <w:t xml:space="preserve">, as shown in </w:t>
      </w:r>
      <w:r w:rsidRPr="007D1918">
        <w:fldChar w:fldCharType="begin"/>
      </w:r>
      <w:r w:rsidRPr="007D1918">
        <w:instrText xml:space="preserve"> REF _Ref14379554 \h </w:instrText>
      </w:r>
      <w:r w:rsidR="007D1918">
        <w:instrText xml:space="preserve"> \* MERGEFORMAT </w:instrText>
      </w:r>
      <w:r w:rsidRPr="007D1918">
        <w:fldChar w:fldCharType="separate"/>
      </w:r>
      <w:r w:rsidR="00B865E7" w:rsidRPr="007D1918">
        <w:t xml:space="preserve">Table </w:t>
      </w:r>
      <w:r w:rsidR="00B865E7" w:rsidRPr="007D1918">
        <w:rPr>
          <w:noProof/>
        </w:rPr>
        <w:t>86</w:t>
      </w:r>
      <w:r w:rsidRPr="007D1918">
        <w:fldChar w:fldCharType="end"/>
      </w:r>
      <w:r w:rsidRPr="007D1918">
        <w:t>.</w:t>
      </w:r>
    </w:p>
    <w:p w14:paraId="75D53730" w14:textId="591DA942" w:rsidR="006C641A" w:rsidRPr="007D1918" w:rsidRDefault="006C641A" w:rsidP="006C641A">
      <w:pPr>
        <w:jc w:val="both"/>
      </w:pPr>
      <w:r w:rsidRPr="007D1918">
        <w:t xml:space="preserve">In this analysis, IVIg is costed with a loading dose in the first year, and then on an ongoing maintenance basis at either minimal or maximal maintenance usage rates based on dose and dosing interval, as described in D.5 </w:t>
      </w:r>
      <w:r w:rsidRPr="007D1918">
        <w:fldChar w:fldCharType="begin"/>
      </w:r>
      <w:r w:rsidRPr="007D1918">
        <w:instrText xml:space="preserve"> REF _Ref14361584 \h  \* MERGEFORMAT </w:instrText>
      </w:r>
      <w:r w:rsidRPr="007D1918">
        <w:fldChar w:fldCharType="separate"/>
      </w:r>
      <w:r w:rsidR="00B865E7" w:rsidRPr="007D1918">
        <w:t xml:space="preserve">Table </w:t>
      </w:r>
      <w:r w:rsidR="00B865E7" w:rsidRPr="007D1918">
        <w:rPr>
          <w:noProof/>
        </w:rPr>
        <w:t>66</w:t>
      </w:r>
      <w:r w:rsidRPr="007D1918">
        <w:fldChar w:fldCharType="end"/>
      </w:r>
      <w:r w:rsidRPr="007D1918">
        <w:t xml:space="preserve"> and </w:t>
      </w:r>
      <w:r w:rsidRPr="007D1918">
        <w:fldChar w:fldCharType="begin"/>
      </w:r>
      <w:r w:rsidRPr="007D1918">
        <w:instrText xml:space="preserve"> REF _Ref14361612 \h  \* MERGEFORMAT </w:instrText>
      </w:r>
      <w:r w:rsidRPr="007D1918">
        <w:fldChar w:fldCharType="separate"/>
      </w:r>
      <w:r w:rsidR="00B865E7" w:rsidRPr="007D1918">
        <w:t xml:space="preserve">Table </w:t>
      </w:r>
      <w:r w:rsidR="00B865E7" w:rsidRPr="007D1918">
        <w:rPr>
          <w:noProof/>
        </w:rPr>
        <w:t>67</w:t>
      </w:r>
      <w:r w:rsidRPr="007D1918">
        <w:fldChar w:fldCharType="end"/>
      </w:r>
      <w:r w:rsidRPr="007D1918">
        <w:t xml:space="preserve">. Year 2 and beyond only cost maintenance doses (also at minimum or maximum levels). Resource use for PE, surgery and pharmaceutical comparators are applied over the time horizon according to the patterns extrapolated in Section C.3. </w:t>
      </w:r>
      <w:r w:rsidR="009651D0" w:rsidRPr="007D1918">
        <w:t xml:space="preserve">From year 2 onwards, non-fistula IV access costs are repeated at a rate of </w:t>
      </w:r>
      <w:r w:rsidR="00B161A6" w:rsidRPr="007D1918">
        <w:t>33%</w:t>
      </w:r>
      <w:r w:rsidR="009651D0" w:rsidRPr="007D1918">
        <w:t xml:space="preserve"> to account for the routine replacement of these every 3 years on average. </w:t>
      </w:r>
      <w:r w:rsidRPr="007D1918">
        <w:t xml:space="preserve">A summary of the resource use incurred each year is presented in </w:t>
      </w:r>
      <w:r w:rsidRPr="007D1918">
        <w:fldChar w:fldCharType="begin"/>
      </w:r>
      <w:r w:rsidRPr="007D1918">
        <w:instrText xml:space="preserve"> REF _Ref14430339 \h </w:instrText>
      </w:r>
      <w:r w:rsidR="00E07567" w:rsidRPr="007D1918">
        <w:instrText xml:space="preserve"> \* MERGEFORMAT </w:instrText>
      </w:r>
      <w:r w:rsidRPr="007D1918">
        <w:fldChar w:fldCharType="separate"/>
      </w:r>
      <w:r w:rsidR="00B865E7" w:rsidRPr="007D1918">
        <w:rPr>
          <w:rFonts w:eastAsiaTheme="minorHAnsi"/>
          <w:lang w:eastAsia="en-US"/>
        </w:rPr>
        <w:t>Appendix G</w:t>
      </w:r>
      <w:r w:rsidR="00B865E7" w:rsidRPr="007D1918">
        <w:rPr>
          <w:rFonts w:eastAsiaTheme="minorHAnsi"/>
          <w:lang w:eastAsia="en-US"/>
        </w:rPr>
        <w:tab/>
      </w:r>
      <w:r w:rsidR="00B865E7" w:rsidRPr="007D1918">
        <w:t>Economic analysis appendices</w:t>
      </w:r>
      <w:r w:rsidRPr="007D1918">
        <w:fldChar w:fldCharType="end"/>
      </w:r>
      <w:r w:rsidRPr="007D1918">
        <w:t>.</w:t>
      </w:r>
    </w:p>
    <w:p w14:paraId="45E978E6" w14:textId="0AA3792B" w:rsidR="00BD5461" w:rsidRPr="007D1918" w:rsidRDefault="006C641A" w:rsidP="006C641A">
      <w:pPr>
        <w:jc w:val="both"/>
      </w:pPr>
      <w:r w:rsidRPr="007D1918">
        <w:t xml:space="preserve">The overall costs over varying time horizons for IVIg and nominated comparators for Indication 3 are </w:t>
      </w:r>
      <w:r w:rsidR="00BD5461" w:rsidRPr="007D1918">
        <w:t xml:space="preserve">shown, undiscounted and discounted at 5%pa, in </w:t>
      </w:r>
      <w:r w:rsidR="00D67C68" w:rsidRPr="007D1918">
        <w:fldChar w:fldCharType="begin"/>
      </w:r>
      <w:r w:rsidR="00D67C68" w:rsidRPr="007D1918">
        <w:instrText xml:space="preserve"> REF _Ref14379554 \h  \* MERGEFORMAT </w:instrText>
      </w:r>
      <w:r w:rsidR="00D67C68" w:rsidRPr="007D1918">
        <w:fldChar w:fldCharType="separate"/>
      </w:r>
      <w:r w:rsidR="00B865E7" w:rsidRPr="007D1918">
        <w:t xml:space="preserve">Table </w:t>
      </w:r>
      <w:r w:rsidR="00B865E7" w:rsidRPr="007D1918">
        <w:rPr>
          <w:noProof/>
        </w:rPr>
        <w:t>86</w:t>
      </w:r>
      <w:r w:rsidR="00D67C68" w:rsidRPr="007D1918">
        <w:fldChar w:fldCharType="end"/>
      </w:r>
      <w:r w:rsidR="00BD5461" w:rsidRPr="007D1918">
        <w:t xml:space="preserve"> </w:t>
      </w:r>
      <w:r w:rsidR="003554CF" w:rsidRPr="007D1918">
        <w:t>(vs Plasma Exchange)</w:t>
      </w:r>
      <w:r w:rsidR="00075298" w:rsidRPr="007D1918">
        <w:t>,</w:t>
      </w:r>
      <w:r w:rsidR="003554CF" w:rsidRPr="007D1918">
        <w:t xml:space="preserve"> </w:t>
      </w:r>
      <w:r w:rsidR="00075298" w:rsidRPr="007D1918">
        <w:fldChar w:fldCharType="begin"/>
      </w:r>
      <w:r w:rsidR="00075298" w:rsidRPr="007D1918">
        <w:instrText xml:space="preserve"> REF _Ref14379560 \h </w:instrText>
      </w:r>
      <w:r w:rsidR="007D1918">
        <w:instrText xml:space="preserve"> \* MERGEFORMAT </w:instrText>
      </w:r>
      <w:r w:rsidR="00075298" w:rsidRPr="007D1918">
        <w:fldChar w:fldCharType="separate"/>
      </w:r>
      <w:r w:rsidR="00B865E7" w:rsidRPr="007D1918">
        <w:t xml:space="preserve">Table </w:t>
      </w:r>
      <w:r w:rsidR="00B865E7" w:rsidRPr="007D1918">
        <w:rPr>
          <w:noProof/>
        </w:rPr>
        <w:t>88</w:t>
      </w:r>
      <w:r w:rsidR="00075298" w:rsidRPr="007D1918">
        <w:fldChar w:fldCharType="end"/>
      </w:r>
      <w:r w:rsidR="00075298" w:rsidRPr="007D1918">
        <w:t xml:space="preserve"> (surgical and pharmaceutical managements) </w:t>
      </w:r>
      <w:r w:rsidR="00BD5461" w:rsidRPr="007D1918">
        <w:t xml:space="preserve">and </w:t>
      </w:r>
      <w:r w:rsidR="00D67C68" w:rsidRPr="007D1918">
        <w:fldChar w:fldCharType="begin"/>
      </w:r>
      <w:r w:rsidR="00D67C68" w:rsidRPr="007D1918">
        <w:instrText xml:space="preserve"> REF _Ref14379560 \h  \* MERGEFORMAT </w:instrText>
      </w:r>
      <w:r w:rsidR="00D67C68" w:rsidRPr="007D1918">
        <w:fldChar w:fldCharType="separate"/>
      </w:r>
      <w:r w:rsidR="00B865E7" w:rsidRPr="007D1918">
        <w:rPr>
          <w:noProof/>
        </w:rPr>
        <w:t>Table</w:t>
      </w:r>
      <w:r w:rsidR="00B865E7" w:rsidRPr="007D1918">
        <w:t xml:space="preserve"> </w:t>
      </w:r>
      <w:r w:rsidR="00B865E7" w:rsidRPr="007D1918">
        <w:rPr>
          <w:noProof/>
        </w:rPr>
        <w:t>88</w:t>
      </w:r>
      <w:r w:rsidR="00D67C68" w:rsidRPr="007D1918">
        <w:fldChar w:fldCharType="end"/>
      </w:r>
      <w:r w:rsidR="00075298" w:rsidRPr="007D1918">
        <w:t xml:space="preserve"> (IVIg costs with alternative pricing)</w:t>
      </w:r>
      <w:r w:rsidR="00BD5461" w:rsidRPr="007D1918">
        <w:t>.</w:t>
      </w:r>
    </w:p>
    <w:p w14:paraId="28CFE965" w14:textId="60CD74CD" w:rsidR="00BD5461" w:rsidRPr="007D1918" w:rsidRDefault="00637FE8" w:rsidP="00BD5461">
      <w:pPr>
        <w:jc w:val="both"/>
        <w:sectPr w:rsidR="00BD5461" w:rsidRPr="007D1918" w:rsidSect="00945DB8">
          <w:footerReference w:type="even" r:id="rId62"/>
          <w:type w:val="oddPage"/>
          <w:pgSz w:w="11906" w:h="16838"/>
          <w:pgMar w:top="1440" w:right="1440" w:bottom="1440" w:left="1440" w:header="720" w:footer="720" w:gutter="0"/>
          <w:paperSrc w:first="7" w:other="7"/>
          <w:cols w:space="720"/>
        </w:sectPr>
      </w:pPr>
      <w:r w:rsidRPr="007D1918">
        <w:t xml:space="preserve">Low dose IVIg also appears less expensive than low intensity PE, and high dose IVIg </w:t>
      </w:r>
      <w:r w:rsidR="003554CF" w:rsidRPr="007D1918">
        <w:t xml:space="preserve">monthly </w:t>
      </w:r>
      <w:r w:rsidRPr="007D1918">
        <w:t xml:space="preserve">appears less expensive than high </w:t>
      </w:r>
      <w:r w:rsidR="003554CF" w:rsidRPr="007D1918">
        <w:t xml:space="preserve">intensity PE.  </w:t>
      </w:r>
      <w:r w:rsidRPr="007D1918">
        <w:t xml:space="preserve"> </w:t>
      </w:r>
    </w:p>
    <w:p w14:paraId="438FC4EF" w14:textId="591A4657" w:rsidR="006C641A" w:rsidRPr="007D1918" w:rsidRDefault="006C641A" w:rsidP="006C641A">
      <w:pPr>
        <w:pStyle w:val="Caption"/>
        <w:keepNext/>
        <w:jc w:val="both"/>
      </w:pPr>
      <w:bookmarkStart w:id="465" w:name="_Ref14379554"/>
      <w:bookmarkStart w:id="466" w:name="_Toc15561984"/>
      <w:bookmarkStart w:id="467" w:name="_Toc23769573"/>
      <w:bookmarkStart w:id="468" w:name="_Toc13142295"/>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86</w:t>
      </w:r>
      <w:r w:rsidRPr="007D1918">
        <w:rPr>
          <w:noProof/>
        </w:rPr>
        <w:fldChar w:fldCharType="end"/>
      </w:r>
      <w:bookmarkEnd w:id="465"/>
      <w:r w:rsidRPr="007D1918">
        <w:t xml:space="preserve"> </w:t>
      </w:r>
      <w:r w:rsidRPr="007D1918">
        <w:tab/>
        <w:t>Cost comparison for IVIg vs PE over varying time doses and time horizons in Indication 3 (base case – no adverse event costs), undiscounted and discounted.</w:t>
      </w:r>
      <w:bookmarkEnd w:id="466"/>
      <w:bookmarkEnd w:id="467"/>
      <w:r w:rsidRPr="007D1918">
        <w:t xml:space="preserve"> </w:t>
      </w:r>
    </w:p>
    <w:tbl>
      <w:tblPr>
        <w:tblStyle w:val="TableGrid2"/>
        <w:tblW w:w="13495"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1872"/>
        <w:gridCol w:w="4961"/>
        <w:gridCol w:w="1665"/>
        <w:gridCol w:w="1666"/>
        <w:gridCol w:w="1665"/>
        <w:gridCol w:w="1666"/>
      </w:tblGrid>
      <w:tr w:rsidR="006C641A" w:rsidRPr="007D1918" w14:paraId="0F2CB482"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1872" w:type="dxa"/>
            <w:tcBorders>
              <w:bottom w:val="single" w:sz="4" w:space="0" w:color="auto"/>
            </w:tcBorders>
          </w:tcPr>
          <w:p w14:paraId="7D82D640" w14:textId="77777777" w:rsidR="006C641A" w:rsidRPr="007D1918" w:rsidRDefault="006C641A" w:rsidP="00153384">
            <w:pPr>
              <w:keepNext/>
              <w:spacing w:after="40" w:line="240" w:lineRule="auto"/>
              <w:jc w:val="both"/>
              <w:rPr>
                <w:rFonts w:ascii="Arial Narrow" w:hAnsi="Arial Narrow"/>
                <w:b/>
                <w:sz w:val="20"/>
                <w:szCs w:val="20"/>
              </w:rPr>
            </w:pPr>
          </w:p>
        </w:tc>
        <w:tc>
          <w:tcPr>
            <w:tcW w:w="4961" w:type="dxa"/>
            <w:tcBorders>
              <w:bottom w:val="single" w:sz="4" w:space="0" w:color="auto"/>
            </w:tcBorders>
          </w:tcPr>
          <w:p w14:paraId="1F6247F8" w14:textId="77777777" w:rsidR="006C641A" w:rsidRPr="007D1918" w:rsidRDefault="006C641A" w:rsidP="00153384">
            <w:pPr>
              <w:keepNext/>
              <w:spacing w:after="40" w:line="240" w:lineRule="auto"/>
              <w:jc w:val="both"/>
              <w:rPr>
                <w:rFonts w:ascii="Arial Narrow" w:hAnsi="Arial Narrow"/>
                <w:b/>
                <w:sz w:val="20"/>
                <w:szCs w:val="20"/>
              </w:rPr>
            </w:pPr>
          </w:p>
        </w:tc>
        <w:tc>
          <w:tcPr>
            <w:tcW w:w="6662" w:type="dxa"/>
            <w:gridSpan w:val="4"/>
            <w:tcBorders>
              <w:bottom w:val="single" w:sz="4" w:space="0" w:color="auto"/>
            </w:tcBorders>
          </w:tcPr>
          <w:p w14:paraId="186FAC2B"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Total undiscounted costs (including administration + IV access costs)</w:t>
            </w:r>
          </w:p>
        </w:tc>
      </w:tr>
      <w:tr w:rsidR="006C641A" w:rsidRPr="007D1918" w14:paraId="5FF85EBE"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1872" w:type="dxa"/>
            <w:tcBorders>
              <w:bottom w:val="single" w:sz="4" w:space="0" w:color="auto"/>
            </w:tcBorders>
          </w:tcPr>
          <w:p w14:paraId="41158C42" w14:textId="77777777" w:rsidR="006C641A" w:rsidRPr="007D1918" w:rsidRDefault="006C641A" w:rsidP="00153384">
            <w:pPr>
              <w:keepNext/>
              <w:spacing w:after="40" w:line="240" w:lineRule="auto"/>
              <w:jc w:val="both"/>
              <w:rPr>
                <w:rFonts w:ascii="Arial Narrow" w:hAnsi="Arial Narrow"/>
                <w:b/>
                <w:sz w:val="20"/>
                <w:szCs w:val="20"/>
              </w:rPr>
            </w:pPr>
          </w:p>
        </w:tc>
        <w:tc>
          <w:tcPr>
            <w:tcW w:w="4961" w:type="dxa"/>
            <w:tcBorders>
              <w:bottom w:val="single" w:sz="4" w:space="0" w:color="auto"/>
            </w:tcBorders>
          </w:tcPr>
          <w:p w14:paraId="72B2A02F" w14:textId="77777777" w:rsidR="006C641A" w:rsidRPr="007D1918" w:rsidRDefault="006C641A" w:rsidP="00153384">
            <w:pPr>
              <w:keepNext/>
              <w:spacing w:after="40" w:line="240" w:lineRule="auto"/>
              <w:jc w:val="both"/>
              <w:rPr>
                <w:rFonts w:ascii="Arial Narrow" w:hAnsi="Arial Narrow"/>
                <w:b/>
                <w:sz w:val="20"/>
                <w:szCs w:val="20"/>
              </w:rPr>
            </w:pPr>
          </w:p>
        </w:tc>
        <w:tc>
          <w:tcPr>
            <w:tcW w:w="1665" w:type="dxa"/>
            <w:tcBorders>
              <w:bottom w:val="single" w:sz="4" w:space="0" w:color="auto"/>
            </w:tcBorders>
          </w:tcPr>
          <w:p w14:paraId="49B80D9B"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1 year</w:t>
            </w:r>
          </w:p>
        </w:tc>
        <w:tc>
          <w:tcPr>
            <w:tcW w:w="1666" w:type="dxa"/>
            <w:tcBorders>
              <w:bottom w:val="single" w:sz="4" w:space="0" w:color="auto"/>
            </w:tcBorders>
          </w:tcPr>
          <w:p w14:paraId="34EEC7C1"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2 years</w:t>
            </w:r>
          </w:p>
        </w:tc>
        <w:tc>
          <w:tcPr>
            <w:tcW w:w="1665" w:type="dxa"/>
            <w:tcBorders>
              <w:bottom w:val="single" w:sz="4" w:space="0" w:color="auto"/>
            </w:tcBorders>
          </w:tcPr>
          <w:p w14:paraId="477205CA"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5 years</w:t>
            </w:r>
          </w:p>
        </w:tc>
        <w:tc>
          <w:tcPr>
            <w:tcW w:w="1666" w:type="dxa"/>
            <w:tcBorders>
              <w:bottom w:val="single" w:sz="4" w:space="0" w:color="auto"/>
            </w:tcBorders>
          </w:tcPr>
          <w:p w14:paraId="7C54E594"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10 years</w:t>
            </w:r>
          </w:p>
        </w:tc>
      </w:tr>
      <w:tr w:rsidR="006C641A" w:rsidRPr="007D1918" w14:paraId="34BBC92F" w14:textId="77777777" w:rsidTr="00153384">
        <w:tc>
          <w:tcPr>
            <w:tcW w:w="1872" w:type="dxa"/>
            <w:tcBorders>
              <w:bottom w:val="single" w:sz="4" w:space="0" w:color="auto"/>
            </w:tcBorders>
          </w:tcPr>
          <w:p w14:paraId="56578227"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b/>
                <w:sz w:val="20"/>
                <w:szCs w:val="20"/>
              </w:rPr>
              <w:t>IVIg</w:t>
            </w:r>
          </w:p>
        </w:tc>
        <w:tc>
          <w:tcPr>
            <w:tcW w:w="4961" w:type="dxa"/>
            <w:tcBorders>
              <w:bottom w:val="single" w:sz="4" w:space="0" w:color="auto"/>
            </w:tcBorders>
          </w:tcPr>
          <w:p w14:paraId="7628F7EB" w14:textId="77777777" w:rsidR="006C641A" w:rsidRPr="007D1918" w:rsidRDefault="006C641A" w:rsidP="00BA561B">
            <w:pPr>
              <w:spacing w:after="40" w:line="240" w:lineRule="auto"/>
              <w:jc w:val="both"/>
              <w:rPr>
                <w:rFonts w:ascii="Arial Narrow" w:hAnsi="Arial Narrow"/>
                <w:sz w:val="20"/>
                <w:szCs w:val="20"/>
              </w:rPr>
            </w:pPr>
            <w:r w:rsidRPr="007D1918">
              <w:rPr>
                <w:rFonts w:ascii="Arial Narrow" w:hAnsi="Arial Narrow"/>
                <w:sz w:val="20"/>
                <w:szCs w:val="20"/>
              </w:rPr>
              <w:t>NBA data annual dose (base case)</w:t>
            </w:r>
          </w:p>
        </w:tc>
        <w:tc>
          <w:tcPr>
            <w:tcW w:w="1665" w:type="dxa"/>
            <w:tcBorders>
              <w:bottom w:val="single" w:sz="4" w:space="0" w:color="auto"/>
            </w:tcBorders>
            <w:shd w:val="clear" w:color="auto" w:fill="auto"/>
          </w:tcPr>
          <w:p w14:paraId="1CBBE5D7" w14:textId="41DA047C" w:rsidR="006C641A" w:rsidRPr="007D1918" w:rsidRDefault="006C641A" w:rsidP="00C72104">
            <w:pPr>
              <w:spacing w:after="40" w:line="240" w:lineRule="auto"/>
              <w:jc w:val="right"/>
              <w:rPr>
                <w:rFonts w:ascii="Arial Narrow" w:hAnsi="Arial Narrow"/>
                <w:sz w:val="20"/>
                <w:szCs w:val="20"/>
              </w:rPr>
            </w:pPr>
            <w:r w:rsidRPr="007D1918">
              <w:rPr>
                <w:rFonts w:ascii="Arial Narrow" w:hAnsi="Arial Narrow"/>
                <w:sz w:val="20"/>
                <w:szCs w:val="20"/>
              </w:rPr>
              <w:t>$34,</w:t>
            </w:r>
            <w:r w:rsidR="00C72104" w:rsidRPr="007D1918">
              <w:rPr>
                <w:rFonts w:ascii="Arial Narrow" w:hAnsi="Arial Narrow"/>
                <w:sz w:val="20"/>
                <w:szCs w:val="20"/>
              </w:rPr>
              <w:t>516</w:t>
            </w:r>
          </w:p>
        </w:tc>
        <w:tc>
          <w:tcPr>
            <w:tcW w:w="1666" w:type="dxa"/>
            <w:tcBorders>
              <w:top w:val="single" w:sz="4" w:space="0" w:color="auto"/>
              <w:left w:val="nil"/>
              <w:bottom w:val="single" w:sz="4" w:space="0" w:color="auto"/>
              <w:right w:val="single" w:sz="4" w:space="0" w:color="auto"/>
            </w:tcBorders>
            <w:shd w:val="clear" w:color="auto" w:fill="auto"/>
            <w:vAlign w:val="bottom"/>
          </w:tcPr>
          <w:p w14:paraId="6F6D1922" w14:textId="0789FD7C" w:rsidR="006C641A" w:rsidRPr="007D1918" w:rsidRDefault="006C641A" w:rsidP="00C72104">
            <w:pPr>
              <w:spacing w:after="40" w:line="240" w:lineRule="auto"/>
              <w:ind w:firstLine="567"/>
              <w:jc w:val="right"/>
              <w:rPr>
                <w:rFonts w:ascii="Arial Narrow" w:hAnsi="Arial Narrow"/>
                <w:sz w:val="20"/>
                <w:szCs w:val="20"/>
              </w:rPr>
            </w:pPr>
            <w:r w:rsidRPr="007D1918">
              <w:rPr>
                <w:rFonts w:ascii="Arial Narrow" w:hAnsi="Arial Narrow"/>
                <w:sz w:val="20"/>
                <w:szCs w:val="20"/>
              </w:rPr>
              <w:t>$69,</w:t>
            </w:r>
            <w:r w:rsidR="00C72104" w:rsidRPr="007D1918">
              <w:rPr>
                <w:rFonts w:ascii="Arial Narrow" w:hAnsi="Arial Narrow"/>
                <w:sz w:val="20"/>
                <w:szCs w:val="20"/>
              </w:rPr>
              <w:t>032</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bottom"/>
          </w:tcPr>
          <w:p w14:paraId="476A17C0" w14:textId="6866F719" w:rsidR="006C641A" w:rsidRPr="007D1918" w:rsidRDefault="006C641A" w:rsidP="00C72104">
            <w:pPr>
              <w:spacing w:after="40" w:line="240" w:lineRule="auto"/>
              <w:ind w:firstLine="567"/>
              <w:jc w:val="right"/>
              <w:rPr>
                <w:rFonts w:ascii="Arial Narrow" w:hAnsi="Arial Narrow"/>
                <w:sz w:val="20"/>
                <w:szCs w:val="20"/>
              </w:rPr>
            </w:pPr>
            <w:r w:rsidRPr="007D1918">
              <w:rPr>
                <w:rFonts w:ascii="Arial Narrow" w:hAnsi="Arial Narrow"/>
                <w:sz w:val="20"/>
                <w:szCs w:val="20"/>
              </w:rPr>
              <w:t>$17</w:t>
            </w:r>
            <w:r w:rsidR="00C72104" w:rsidRPr="007D1918">
              <w:rPr>
                <w:rFonts w:ascii="Arial Narrow" w:hAnsi="Arial Narrow"/>
                <w:sz w:val="20"/>
                <w:szCs w:val="20"/>
              </w:rPr>
              <w:t>2,581</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bottom"/>
          </w:tcPr>
          <w:p w14:paraId="4C1DF7E4" w14:textId="02B6A2C2" w:rsidR="006C641A" w:rsidRPr="007D1918" w:rsidRDefault="00C72104" w:rsidP="00C72104">
            <w:pPr>
              <w:spacing w:after="40" w:line="240" w:lineRule="auto"/>
              <w:ind w:firstLine="567"/>
              <w:jc w:val="right"/>
              <w:rPr>
                <w:rFonts w:ascii="Arial Narrow" w:hAnsi="Arial Narrow"/>
                <w:sz w:val="20"/>
                <w:szCs w:val="20"/>
              </w:rPr>
            </w:pPr>
            <w:r w:rsidRPr="007D1918">
              <w:rPr>
                <w:rFonts w:ascii="Arial Narrow" w:hAnsi="Arial Narrow"/>
                <w:sz w:val="20"/>
                <w:szCs w:val="20"/>
              </w:rPr>
              <w:t>$345,161</w:t>
            </w:r>
          </w:p>
        </w:tc>
      </w:tr>
      <w:tr w:rsidR="006C641A" w:rsidRPr="007D1918" w14:paraId="12C374AC" w14:textId="77777777" w:rsidTr="00153384">
        <w:tc>
          <w:tcPr>
            <w:tcW w:w="1872" w:type="dxa"/>
          </w:tcPr>
          <w:p w14:paraId="2321E45F" w14:textId="77777777" w:rsidR="006C641A" w:rsidRPr="007D1918" w:rsidRDefault="006C641A" w:rsidP="00153384">
            <w:pPr>
              <w:spacing w:after="40" w:line="240" w:lineRule="auto"/>
              <w:ind w:left="205"/>
              <w:jc w:val="both"/>
              <w:rPr>
                <w:rFonts w:ascii="Arial Narrow" w:hAnsi="Arial Narrow"/>
                <w:sz w:val="20"/>
                <w:szCs w:val="20"/>
              </w:rPr>
            </w:pPr>
          </w:p>
        </w:tc>
        <w:tc>
          <w:tcPr>
            <w:tcW w:w="4961" w:type="dxa"/>
          </w:tcPr>
          <w:p w14:paraId="6642D13F" w14:textId="77777777" w:rsidR="006C641A" w:rsidRPr="007D1918" w:rsidRDefault="006C641A" w:rsidP="00153384">
            <w:pPr>
              <w:spacing w:after="40" w:line="240" w:lineRule="auto"/>
              <w:ind w:left="205"/>
              <w:jc w:val="right"/>
              <w:rPr>
                <w:rFonts w:ascii="Arial Narrow" w:hAnsi="Arial Narrow"/>
                <w:sz w:val="20"/>
                <w:szCs w:val="20"/>
              </w:rPr>
            </w:pPr>
            <w:r w:rsidRPr="007D1918">
              <w:rPr>
                <w:rFonts w:ascii="Arial Narrow" w:hAnsi="Arial Narrow"/>
                <w:sz w:val="20"/>
                <w:szCs w:val="20"/>
              </w:rPr>
              <w:t>minimum dose</w:t>
            </w:r>
          </w:p>
        </w:tc>
        <w:tc>
          <w:tcPr>
            <w:tcW w:w="1665" w:type="dxa"/>
            <w:shd w:val="clear" w:color="auto" w:fill="auto"/>
          </w:tcPr>
          <w:p w14:paraId="2C625BB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$30,055</w:t>
            </w:r>
          </w:p>
        </w:tc>
        <w:tc>
          <w:tcPr>
            <w:tcW w:w="1666" w:type="dxa"/>
            <w:shd w:val="clear" w:color="auto" w:fill="auto"/>
          </w:tcPr>
          <w:p w14:paraId="54646E2A" w14:textId="77777777" w:rsidR="006C641A" w:rsidRPr="007D1918" w:rsidRDefault="006C641A" w:rsidP="00153384">
            <w:pPr>
              <w:spacing w:after="40" w:line="240" w:lineRule="auto"/>
              <w:ind w:firstLine="567"/>
              <w:jc w:val="center"/>
              <w:rPr>
                <w:rFonts w:ascii="Arial Narrow" w:hAnsi="Arial Narrow"/>
                <w:sz w:val="20"/>
                <w:szCs w:val="20"/>
              </w:rPr>
            </w:pPr>
            <w:r w:rsidRPr="007D1918">
              <w:rPr>
                <w:rFonts w:ascii="Arial Narrow" w:hAnsi="Arial Narrow"/>
                <w:sz w:val="20"/>
                <w:szCs w:val="20"/>
              </w:rPr>
              <w:t>$51,819</w:t>
            </w:r>
          </w:p>
        </w:tc>
        <w:tc>
          <w:tcPr>
            <w:tcW w:w="1665" w:type="dxa"/>
            <w:shd w:val="clear" w:color="auto" w:fill="auto"/>
          </w:tcPr>
          <w:p w14:paraId="2BE32B6F" w14:textId="77777777" w:rsidR="006C641A" w:rsidRPr="007D1918" w:rsidRDefault="006C641A" w:rsidP="00153384">
            <w:pPr>
              <w:spacing w:after="40" w:line="240" w:lineRule="auto"/>
              <w:ind w:firstLine="567"/>
              <w:jc w:val="right"/>
              <w:rPr>
                <w:rFonts w:ascii="Arial Narrow" w:hAnsi="Arial Narrow"/>
                <w:sz w:val="20"/>
                <w:szCs w:val="20"/>
              </w:rPr>
            </w:pPr>
            <w:r w:rsidRPr="007D1918">
              <w:rPr>
                <w:rFonts w:ascii="Arial Narrow" w:hAnsi="Arial Narrow"/>
                <w:sz w:val="20"/>
                <w:szCs w:val="20"/>
              </w:rPr>
              <w:t>$117,113</w:t>
            </w:r>
          </w:p>
        </w:tc>
        <w:tc>
          <w:tcPr>
            <w:tcW w:w="1666" w:type="dxa"/>
            <w:shd w:val="clear" w:color="auto" w:fill="auto"/>
          </w:tcPr>
          <w:p w14:paraId="45060390" w14:textId="77777777" w:rsidR="006C641A" w:rsidRPr="007D1918" w:rsidRDefault="006C641A" w:rsidP="00153384">
            <w:pPr>
              <w:spacing w:after="40" w:line="240" w:lineRule="auto"/>
              <w:ind w:firstLine="567"/>
              <w:jc w:val="right"/>
              <w:rPr>
                <w:rFonts w:ascii="Arial Narrow" w:hAnsi="Arial Narrow"/>
                <w:sz w:val="20"/>
                <w:szCs w:val="20"/>
              </w:rPr>
            </w:pPr>
            <w:r w:rsidRPr="007D1918">
              <w:rPr>
                <w:rFonts w:ascii="Arial Narrow" w:hAnsi="Arial Narrow"/>
                <w:sz w:val="20"/>
                <w:szCs w:val="20"/>
              </w:rPr>
              <w:t>$225,936</w:t>
            </w:r>
          </w:p>
        </w:tc>
      </w:tr>
      <w:tr w:rsidR="006C641A" w:rsidRPr="007D1918" w14:paraId="11B95F0B" w14:textId="77777777" w:rsidTr="00153384">
        <w:tc>
          <w:tcPr>
            <w:tcW w:w="1872" w:type="dxa"/>
          </w:tcPr>
          <w:p w14:paraId="6F5F974A" w14:textId="77777777" w:rsidR="006C641A" w:rsidRPr="007D1918" w:rsidRDefault="006C641A" w:rsidP="00153384">
            <w:pPr>
              <w:spacing w:after="40" w:line="240" w:lineRule="auto"/>
              <w:ind w:left="205"/>
              <w:jc w:val="both"/>
              <w:rPr>
                <w:rFonts w:ascii="Arial Narrow" w:hAnsi="Arial Narrow"/>
                <w:sz w:val="20"/>
                <w:szCs w:val="20"/>
              </w:rPr>
            </w:pPr>
          </w:p>
        </w:tc>
        <w:tc>
          <w:tcPr>
            <w:tcW w:w="4961" w:type="dxa"/>
          </w:tcPr>
          <w:p w14:paraId="413BE38D" w14:textId="77777777" w:rsidR="006C641A" w:rsidRPr="007D1918" w:rsidRDefault="006C641A" w:rsidP="00153384">
            <w:pPr>
              <w:spacing w:after="40" w:line="240" w:lineRule="auto"/>
              <w:ind w:left="205"/>
              <w:jc w:val="right"/>
              <w:rPr>
                <w:rFonts w:ascii="Arial Narrow" w:hAnsi="Arial Narrow"/>
                <w:sz w:val="20"/>
                <w:szCs w:val="20"/>
              </w:rPr>
            </w:pPr>
            <w:r w:rsidRPr="007D1918">
              <w:rPr>
                <w:rFonts w:ascii="Arial Narrow" w:hAnsi="Arial Narrow"/>
                <w:sz w:val="20"/>
                <w:szCs w:val="20"/>
              </w:rPr>
              <w:t>maximum dose</w:t>
            </w:r>
          </w:p>
        </w:tc>
        <w:tc>
          <w:tcPr>
            <w:tcW w:w="1665" w:type="dxa"/>
            <w:shd w:val="clear" w:color="auto" w:fill="auto"/>
          </w:tcPr>
          <w:p w14:paraId="319560D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$74,959</w:t>
            </w:r>
          </w:p>
        </w:tc>
        <w:tc>
          <w:tcPr>
            <w:tcW w:w="1666" w:type="dxa"/>
            <w:shd w:val="clear" w:color="auto" w:fill="auto"/>
          </w:tcPr>
          <w:p w14:paraId="4AB07F3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$144,564</w:t>
            </w:r>
          </w:p>
        </w:tc>
        <w:tc>
          <w:tcPr>
            <w:tcW w:w="1665" w:type="dxa"/>
            <w:shd w:val="clear" w:color="auto" w:fill="auto"/>
          </w:tcPr>
          <w:p w14:paraId="700DC89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$353,378</w:t>
            </w:r>
          </w:p>
        </w:tc>
        <w:tc>
          <w:tcPr>
            <w:tcW w:w="1666" w:type="dxa"/>
            <w:shd w:val="clear" w:color="auto" w:fill="auto"/>
          </w:tcPr>
          <w:p w14:paraId="5BD4E74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$701,402</w:t>
            </w:r>
          </w:p>
        </w:tc>
      </w:tr>
      <w:tr w:rsidR="006C641A" w:rsidRPr="007D1918" w14:paraId="409F0A5B" w14:textId="77777777" w:rsidTr="00153384">
        <w:tc>
          <w:tcPr>
            <w:tcW w:w="1872" w:type="dxa"/>
            <w:tcBorders>
              <w:bottom w:val="single" w:sz="4" w:space="0" w:color="auto"/>
            </w:tcBorders>
          </w:tcPr>
          <w:p w14:paraId="0F7FF115"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b/>
                <w:sz w:val="20"/>
                <w:szCs w:val="20"/>
              </w:rPr>
              <w:t>PE</w:t>
            </w:r>
          </w:p>
        </w:tc>
        <w:tc>
          <w:tcPr>
            <w:tcW w:w="4961" w:type="dxa"/>
            <w:tcBorders>
              <w:bottom w:val="single" w:sz="4" w:space="0" w:color="auto"/>
            </w:tcBorders>
          </w:tcPr>
          <w:p w14:paraId="3A505C11"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sz w:val="20"/>
                <w:szCs w:val="20"/>
              </w:rPr>
              <w:t>low intensity (every 8 weeks)</w:t>
            </w:r>
          </w:p>
        </w:tc>
        <w:tc>
          <w:tcPr>
            <w:tcW w:w="1665" w:type="dxa"/>
            <w:tcBorders>
              <w:bottom w:val="single" w:sz="4" w:space="0" w:color="auto"/>
            </w:tcBorders>
            <w:shd w:val="clear" w:color="auto" w:fill="auto"/>
          </w:tcPr>
          <w:p w14:paraId="37E8BCD0" w14:textId="3156C815" w:rsidR="006C641A" w:rsidRPr="007D1918" w:rsidRDefault="00C72104" w:rsidP="00153384">
            <w:pPr>
              <w:spacing w:after="40" w:line="240" w:lineRule="auto"/>
              <w:jc w:val="right"/>
              <w:rPr>
                <w:rFonts w:ascii="Arial Narrow" w:hAnsi="Arial Narrow"/>
                <w:sz w:val="20"/>
                <w:szCs w:val="20"/>
              </w:rPr>
            </w:pPr>
            <w:r w:rsidRPr="007D1918">
              <w:rPr>
                <w:rFonts w:ascii="Arial Narrow" w:hAnsi="Arial Narrow"/>
                <w:sz w:val="20"/>
                <w:szCs w:val="20"/>
              </w:rPr>
              <w:t>$33,362</w:t>
            </w:r>
          </w:p>
        </w:tc>
        <w:tc>
          <w:tcPr>
            <w:tcW w:w="1666" w:type="dxa"/>
            <w:tcBorders>
              <w:bottom w:val="single" w:sz="4" w:space="0" w:color="auto"/>
            </w:tcBorders>
            <w:shd w:val="clear" w:color="auto" w:fill="auto"/>
          </w:tcPr>
          <w:p w14:paraId="76A039B9" w14:textId="0D2F518E" w:rsidR="006C641A" w:rsidRPr="007D1918" w:rsidRDefault="00C72104" w:rsidP="00153384">
            <w:pPr>
              <w:spacing w:after="40" w:line="240" w:lineRule="auto"/>
              <w:jc w:val="right"/>
              <w:rPr>
                <w:rFonts w:ascii="Arial Narrow" w:hAnsi="Arial Narrow"/>
                <w:sz w:val="20"/>
                <w:szCs w:val="20"/>
              </w:rPr>
            </w:pPr>
            <w:r w:rsidRPr="007D1918">
              <w:rPr>
                <w:rFonts w:ascii="Arial Narrow" w:hAnsi="Arial Narrow"/>
                <w:sz w:val="20"/>
                <w:szCs w:val="20"/>
              </w:rPr>
              <w:t>$58,102</w:t>
            </w:r>
          </w:p>
        </w:tc>
        <w:tc>
          <w:tcPr>
            <w:tcW w:w="1665" w:type="dxa"/>
            <w:tcBorders>
              <w:bottom w:val="single" w:sz="4" w:space="0" w:color="auto"/>
            </w:tcBorders>
            <w:shd w:val="clear" w:color="auto" w:fill="auto"/>
          </w:tcPr>
          <w:p w14:paraId="7BD356F4" w14:textId="3F4C8EAA"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$132,321</w:t>
            </w:r>
          </w:p>
        </w:tc>
        <w:tc>
          <w:tcPr>
            <w:tcW w:w="1666" w:type="dxa"/>
            <w:tcBorders>
              <w:bottom w:val="single" w:sz="4" w:space="0" w:color="auto"/>
            </w:tcBorders>
            <w:shd w:val="clear" w:color="auto" w:fill="auto"/>
          </w:tcPr>
          <w:p w14:paraId="75BBCC71" w14:textId="65EE8D0C"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$256,020</w:t>
            </w:r>
          </w:p>
        </w:tc>
      </w:tr>
      <w:tr w:rsidR="006C641A" w:rsidRPr="007D1918" w14:paraId="2CE087E9" w14:textId="77777777" w:rsidTr="00153384">
        <w:tc>
          <w:tcPr>
            <w:tcW w:w="1872" w:type="dxa"/>
          </w:tcPr>
          <w:p w14:paraId="305D0FEA" w14:textId="77777777" w:rsidR="006C641A" w:rsidRPr="007D1918" w:rsidRDefault="006C641A" w:rsidP="00153384">
            <w:pPr>
              <w:spacing w:after="40" w:line="240" w:lineRule="auto"/>
              <w:ind w:firstLine="205"/>
              <w:jc w:val="both"/>
              <w:rPr>
                <w:rFonts w:ascii="Arial Narrow" w:hAnsi="Arial Narrow"/>
                <w:sz w:val="20"/>
                <w:szCs w:val="20"/>
              </w:rPr>
            </w:pPr>
          </w:p>
        </w:tc>
        <w:tc>
          <w:tcPr>
            <w:tcW w:w="4961" w:type="dxa"/>
          </w:tcPr>
          <w:p w14:paraId="7D384917"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sz w:val="20"/>
                <w:szCs w:val="20"/>
              </w:rPr>
              <w:t>high intensity (every 3 weeks)</w:t>
            </w:r>
          </w:p>
        </w:tc>
        <w:tc>
          <w:tcPr>
            <w:tcW w:w="1665" w:type="dxa"/>
            <w:shd w:val="clear" w:color="auto" w:fill="auto"/>
          </w:tcPr>
          <w:p w14:paraId="7358E353" w14:textId="7E21016B"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$100,219</w:t>
            </w:r>
          </w:p>
        </w:tc>
        <w:tc>
          <w:tcPr>
            <w:tcW w:w="1666" w:type="dxa"/>
            <w:shd w:val="clear" w:color="auto" w:fill="auto"/>
          </w:tcPr>
          <w:p w14:paraId="3415DD9D" w14:textId="77F04DD2"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$197,387</w:t>
            </w:r>
          </w:p>
        </w:tc>
        <w:tc>
          <w:tcPr>
            <w:tcW w:w="1665" w:type="dxa"/>
            <w:shd w:val="clear" w:color="auto" w:fill="auto"/>
          </w:tcPr>
          <w:p w14:paraId="45E3B09E" w14:textId="6FD8F721"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$488,890</w:t>
            </w:r>
          </w:p>
        </w:tc>
        <w:tc>
          <w:tcPr>
            <w:tcW w:w="1666" w:type="dxa"/>
            <w:shd w:val="clear" w:color="auto" w:fill="auto"/>
          </w:tcPr>
          <w:p w14:paraId="4AFB7C68" w14:textId="35A945CB"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$974,729</w:t>
            </w:r>
          </w:p>
        </w:tc>
      </w:tr>
      <w:tr w:rsidR="006C641A" w:rsidRPr="007D1918" w14:paraId="4916D5C8" w14:textId="77777777" w:rsidTr="00153384">
        <w:tc>
          <w:tcPr>
            <w:tcW w:w="13495" w:type="dxa"/>
            <w:gridSpan w:val="6"/>
            <w:tcBorders>
              <w:right w:val="single" w:sz="4" w:space="0" w:color="auto"/>
            </w:tcBorders>
          </w:tcPr>
          <w:p w14:paraId="3CCABF3A" w14:textId="77777777" w:rsidR="006C641A" w:rsidRPr="007D1918" w:rsidRDefault="006C641A" w:rsidP="00153384">
            <w:pPr>
              <w:spacing w:after="40" w:line="240" w:lineRule="auto"/>
              <w:rPr>
                <w:rFonts w:ascii="Arial Narrow" w:hAnsi="Arial Narrow"/>
                <w:b/>
                <w:i/>
                <w:sz w:val="20"/>
                <w:szCs w:val="20"/>
              </w:rPr>
            </w:pPr>
            <w:r w:rsidRPr="007D1918">
              <w:rPr>
                <w:rFonts w:ascii="Arial Narrow" w:hAnsi="Arial Narrow"/>
                <w:b/>
                <w:i/>
                <w:sz w:val="20"/>
                <w:szCs w:val="20"/>
              </w:rPr>
              <w:t>Undiscounted Cost Difference IVIg vs PE</w:t>
            </w:r>
          </w:p>
        </w:tc>
      </w:tr>
      <w:tr w:rsidR="006C641A" w:rsidRPr="007D1918" w14:paraId="4E9DB7AF" w14:textId="77777777" w:rsidTr="00152430">
        <w:tc>
          <w:tcPr>
            <w:tcW w:w="1872" w:type="dxa"/>
          </w:tcPr>
          <w:p w14:paraId="0C143EF6" w14:textId="77777777" w:rsidR="006C641A" w:rsidRPr="007D1918" w:rsidRDefault="006C641A" w:rsidP="00153384">
            <w:pPr>
              <w:pStyle w:val="Tabletext1"/>
              <w:rPr>
                <w:b/>
                <w:i/>
              </w:rPr>
            </w:pPr>
          </w:p>
        </w:tc>
        <w:tc>
          <w:tcPr>
            <w:tcW w:w="4961" w:type="dxa"/>
          </w:tcPr>
          <w:p w14:paraId="7FC02D05" w14:textId="77777777" w:rsidR="006C641A" w:rsidRPr="007D1918" w:rsidRDefault="006C641A" w:rsidP="00153384">
            <w:pPr>
              <w:pStyle w:val="Tabletext1"/>
              <w:jc w:val="right"/>
            </w:pPr>
            <w:r w:rsidRPr="007D1918">
              <w:t>IVIg base case – low intensity PE</w:t>
            </w:r>
          </w:p>
        </w:tc>
        <w:tc>
          <w:tcPr>
            <w:tcW w:w="1665" w:type="dxa"/>
            <w:tcBorders>
              <w:top w:val="single" w:sz="4" w:space="0" w:color="auto"/>
              <w:left w:val="nil"/>
              <w:bottom w:val="single" w:sz="4" w:space="0" w:color="auto"/>
              <w:right w:val="single" w:sz="4" w:space="0" w:color="auto"/>
            </w:tcBorders>
            <w:shd w:val="clear" w:color="auto" w:fill="auto"/>
            <w:vAlign w:val="center"/>
          </w:tcPr>
          <w:p w14:paraId="0A8C07DD" w14:textId="32650A88" w:rsidR="006C641A" w:rsidRPr="007D1918" w:rsidRDefault="00BA561B" w:rsidP="00152430">
            <w:pPr>
              <w:pStyle w:val="Tablecontents"/>
              <w:jc w:val="right"/>
              <w:rPr>
                <w:b/>
              </w:rPr>
            </w:pPr>
            <w:r w:rsidRPr="007D1918">
              <w:t>$1,154</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39166441" w14:textId="29C7CAA2" w:rsidR="006C641A" w:rsidRPr="007D1918" w:rsidRDefault="00BA561B" w:rsidP="00152430">
            <w:pPr>
              <w:pStyle w:val="Tablecontents"/>
              <w:jc w:val="right"/>
              <w:rPr>
                <w:b/>
              </w:rPr>
            </w:pPr>
            <w:r w:rsidRPr="007D1918">
              <w:t>$10,930</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2B10E995" w14:textId="7B750FE3" w:rsidR="006C641A" w:rsidRPr="007D1918" w:rsidRDefault="00BA561B" w:rsidP="00152430">
            <w:pPr>
              <w:pStyle w:val="Tablecontents"/>
              <w:jc w:val="right"/>
              <w:rPr>
                <w:b/>
              </w:rPr>
            </w:pPr>
            <w:r w:rsidRPr="007D1918">
              <w:t>$40,260</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42DDB60C" w14:textId="4001AD6C" w:rsidR="006C641A" w:rsidRPr="007D1918" w:rsidRDefault="00BA561B" w:rsidP="00152430">
            <w:pPr>
              <w:pStyle w:val="Tablecontents"/>
              <w:jc w:val="right"/>
              <w:rPr>
                <w:b/>
              </w:rPr>
            </w:pPr>
            <w:r w:rsidRPr="007D1918">
              <w:t>$89,142</w:t>
            </w:r>
          </w:p>
        </w:tc>
      </w:tr>
      <w:tr w:rsidR="006C641A" w:rsidRPr="007D1918" w14:paraId="4CFF84A2" w14:textId="77777777" w:rsidTr="00B20BEC">
        <w:tc>
          <w:tcPr>
            <w:tcW w:w="1872" w:type="dxa"/>
          </w:tcPr>
          <w:p w14:paraId="139C9FCD" w14:textId="77777777" w:rsidR="006C641A" w:rsidRPr="007D1918" w:rsidRDefault="006C641A" w:rsidP="00153384">
            <w:pPr>
              <w:pStyle w:val="Tabletext1"/>
              <w:jc w:val="right"/>
            </w:pPr>
          </w:p>
        </w:tc>
        <w:tc>
          <w:tcPr>
            <w:tcW w:w="4961" w:type="dxa"/>
          </w:tcPr>
          <w:p w14:paraId="7AAB2C2C" w14:textId="77777777" w:rsidR="006C641A" w:rsidRPr="007D1918" w:rsidRDefault="006C641A" w:rsidP="00153384">
            <w:pPr>
              <w:pStyle w:val="Tabletext1"/>
              <w:jc w:val="right"/>
            </w:pPr>
            <w:r w:rsidRPr="007D1918">
              <w:t>IVIg base case – high intensity PE</w:t>
            </w:r>
          </w:p>
        </w:tc>
        <w:tc>
          <w:tcPr>
            <w:tcW w:w="166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3CA96BD" w14:textId="58868F73" w:rsidR="006C641A" w:rsidRPr="007D1918" w:rsidRDefault="00BA561B" w:rsidP="00153384">
            <w:pPr>
              <w:pStyle w:val="Tablecontents"/>
              <w:jc w:val="right"/>
            </w:pPr>
            <w:r w:rsidRPr="007D1918">
              <w:t>-$65,703</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0582C9" w14:textId="4865A0AB" w:rsidR="006C641A" w:rsidRPr="007D1918" w:rsidRDefault="00BA561B" w:rsidP="00153384">
            <w:pPr>
              <w:pStyle w:val="Tablecontents"/>
              <w:jc w:val="right"/>
            </w:pPr>
            <w:r w:rsidRPr="007D1918">
              <w:t>-$128,354</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7746B8" w14:textId="5A8B4C5C" w:rsidR="006C641A" w:rsidRPr="007D1918" w:rsidRDefault="00BA561B" w:rsidP="00153384">
            <w:pPr>
              <w:pStyle w:val="Tablecontents"/>
              <w:jc w:val="right"/>
            </w:pPr>
            <w:r w:rsidRPr="007D1918">
              <w:t>-$316,309</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E0B153" w14:textId="419A3AAD" w:rsidR="006C641A" w:rsidRPr="007D1918" w:rsidRDefault="00BA561B" w:rsidP="00153384">
            <w:pPr>
              <w:pStyle w:val="Tablecontents"/>
              <w:jc w:val="right"/>
            </w:pPr>
            <w:r w:rsidRPr="007D1918">
              <w:t>-$629,568</w:t>
            </w:r>
          </w:p>
        </w:tc>
      </w:tr>
      <w:tr w:rsidR="00B20BEC" w:rsidRPr="007D1918" w14:paraId="649E5642" w14:textId="77777777" w:rsidTr="00B20BEC">
        <w:tc>
          <w:tcPr>
            <w:tcW w:w="1872" w:type="dxa"/>
          </w:tcPr>
          <w:p w14:paraId="01901FA2" w14:textId="77777777" w:rsidR="00B20BEC" w:rsidRPr="007D1918" w:rsidRDefault="00B20BEC" w:rsidP="00B20BEC">
            <w:pPr>
              <w:pStyle w:val="Tabletext1"/>
              <w:jc w:val="right"/>
            </w:pPr>
          </w:p>
        </w:tc>
        <w:tc>
          <w:tcPr>
            <w:tcW w:w="4961" w:type="dxa"/>
          </w:tcPr>
          <w:p w14:paraId="111A4918" w14:textId="77777777" w:rsidR="00B20BEC" w:rsidRPr="007D1918" w:rsidRDefault="00B20BEC" w:rsidP="00B20BEC">
            <w:pPr>
              <w:pStyle w:val="Tabletext1"/>
              <w:jc w:val="right"/>
            </w:pPr>
            <w:r w:rsidRPr="007D1918">
              <w:t>IVIg minimum dose – low intensity PE</w:t>
            </w:r>
          </w:p>
        </w:tc>
        <w:tc>
          <w:tcPr>
            <w:tcW w:w="16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3872DCE3" w14:textId="4E83139B" w:rsidR="00B20BEC" w:rsidRPr="007D1918" w:rsidRDefault="00B20BEC" w:rsidP="00B20BEC">
            <w:pPr>
              <w:pStyle w:val="Tablecontents"/>
              <w:jc w:val="right"/>
            </w:pPr>
            <w:r w:rsidRPr="007D1918">
              <w:t>-$3,308</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990B42A" w14:textId="6916B279" w:rsidR="00B20BEC" w:rsidRPr="007D1918" w:rsidRDefault="00B20BEC" w:rsidP="00B20BEC">
            <w:pPr>
              <w:pStyle w:val="Tablecontents"/>
              <w:jc w:val="right"/>
            </w:pPr>
            <w:r w:rsidRPr="007D1918">
              <w:t>-$6,283</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2F5C7A30" w14:textId="2698D358" w:rsidR="00B20BEC" w:rsidRPr="007D1918" w:rsidRDefault="00B20BEC" w:rsidP="00B20BEC">
            <w:pPr>
              <w:pStyle w:val="Tablecontents"/>
              <w:jc w:val="right"/>
            </w:pPr>
            <w:r w:rsidRPr="007D1918">
              <w:t>-$15,208</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9C84F7E" w14:textId="5D9F5F2F" w:rsidR="00B20BEC" w:rsidRPr="007D1918" w:rsidRDefault="00B20BEC" w:rsidP="00B20BEC">
            <w:pPr>
              <w:pStyle w:val="Tablecontents"/>
              <w:jc w:val="right"/>
            </w:pPr>
            <w:r w:rsidRPr="007D1918">
              <w:t>-$30,084</w:t>
            </w:r>
          </w:p>
        </w:tc>
      </w:tr>
      <w:tr w:rsidR="00B20BEC" w:rsidRPr="007D1918" w14:paraId="043ADF02" w14:textId="77777777" w:rsidTr="00B20BEC">
        <w:tc>
          <w:tcPr>
            <w:tcW w:w="1872" w:type="dxa"/>
          </w:tcPr>
          <w:p w14:paraId="296018BD" w14:textId="77777777" w:rsidR="00B20BEC" w:rsidRPr="007D1918" w:rsidRDefault="00B20BEC" w:rsidP="00B20BEC">
            <w:pPr>
              <w:pStyle w:val="Tabletext1"/>
              <w:jc w:val="right"/>
            </w:pPr>
          </w:p>
        </w:tc>
        <w:tc>
          <w:tcPr>
            <w:tcW w:w="4961" w:type="dxa"/>
          </w:tcPr>
          <w:p w14:paraId="66A1E0AD" w14:textId="77777777" w:rsidR="00B20BEC" w:rsidRPr="007D1918" w:rsidRDefault="00B20BEC" w:rsidP="00B20BEC">
            <w:pPr>
              <w:pStyle w:val="Tabletext1"/>
              <w:jc w:val="right"/>
            </w:pPr>
            <w:r w:rsidRPr="007D1918">
              <w:t>IVIg maximum dose – high intensity PE</w:t>
            </w:r>
          </w:p>
        </w:tc>
        <w:tc>
          <w:tcPr>
            <w:tcW w:w="16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6B353AC4" w14:textId="4F16EE0D" w:rsidR="00B20BEC" w:rsidRPr="007D1918" w:rsidRDefault="00B20BEC" w:rsidP="00B20BEC">
            <w:pPr>
              <w:pStyle w:val="Tablecontents"/>
              <w:jc w:val="right"/>
            </w:pPr>
            <w:r w:rsidRPr="007D1918">
              <w:t>-$25,260</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41C5CF2" w14:textId="31A0864E" w:rsidR="00B20BEC" w:rsidRPr="007D1918" w:rsidRDefault="00B20BEC" w:rsidP="00B20BEC">
            <w:pPr>
              <w:pStyle w:val="Tablecontents"/>
              <w:jc w:val="right"/>
            </w:pPr>
            <w:r w:rsidRPr="007D1918">
              <w:t>-$52,823</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F26B7E8" w14:textId="0C81FBBD" w:rsidR="00B20BEC" w:rsidRPr="007D1918" w:rsidRDefault="00B20BEC" w:rsidP="00B20BEC">
            <w:pPr>
              <w:pStyle w:val="Tablecontents"/>
              <w:jc w:val="right"/>
            </w:pPr>
            <w:r w:rsidRPr="007D1918">
              <w:t>-$135,512</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B6A3333" w14:textId="1BFE1F9D" w:rsidR="00B20BEC" w:rsidRPr="007D1918" w:rsidRDefault="00B20BEC" w:rsidP="00B20BEC">
            <w:pPr>
              <w:pStyle w:val="Tablecontents"/>
              <w:jc w:val="right"/>
            </w:pPr>
            <w:r w:rsidRPr="007D1918">
              <w:t>-$273,327</w:t>
            </w:r>
          </w:p>
        </w:tc>
      </w:tr>
      <w:tr w:rsidR="006C641A" w:rsidRPr="007D1918" w14:paraId="3CBDC584" w14:textId="77777777" w:rsidTr="00B20BEC">
        <w:tc>
          <w:tcPr>
            <w:tcW w:w="1872" w:type="dxa"/>
          </w:tcPr>
          <w:p w14:paraId="6189FB09" w14:textId="77777777" w:rsidR="006C641A" w:rsidRPr="007D1918" w:rsidRDefault="006C641A" w:rsidP="00153384">
            <w:pPr>
              <w:spacing w:after="40" w:line="240" w:lineRule="auto"/>
              <w:jc w:val="both"/>
              <w:rPr>
                <w:rFonts w:ascii="Arial Narrow" w:hAnsi="Arial Narrow"/>
                <w:b/>
                <w:sz w:val="20"/>
                <w:szCs w:val="20"/>
              </w:rPr>
            </w:pPr>
          </w:p>
        </w:tc>
        <w:tc>
          <w:tcPr>
            <w:tcW w:w="4961" w:type="dxa"/>
          </w:tcPr>
          <w:p w14:paraId="057061AA" w14:textId="77777777" w:rsidR="006C641A" w:rsidRPr="007D1918" w:rsidRDefault="006C641A" w:rsidP="00153384">
            <w:pPr>
              <w:spacing w:after="40" w:line="240" w:lineRule="auto"/>
              <w:jc w:val="both"/>
              <w:rPr>
                <w:rFonts w:ascii="Arial Narrow" w:hAnsi="Arial Narrow"/>
                <w:b/>
                <w:sz w:val="20"/>
                <w:szCs w:val="20"/>
              </w:rPr>
            </w:pPr>
          </w:p>
        </w:tc>
        <w:tc>
          <w:tcPr>
            <w:tcW w:w="666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14:paraId="435F5E9F" w14:textId="77777777" w:rsidR="006C641A" w:rsidRPr="007D1918" w:rsidRDefault="006C641A" w:rsidP="00153384">
            <w:pPr>
              <w:spacing w:after="40" w:line="240" w:lineRule="auto"/>
              <w:rPr>
                <w:rFonts w:ascii="Arial Narrow" w:hAnsi="Arial Narrow"/>
                <w:b/>
                <w:sz w:val="20"/>
                <w:szCs w:val="20"/>
              </w:rPr>
            </w:pPr>
            <w:r w:rsidRPr="007D1918">
              <w:rPr>
                <w:rFonts w:ascii="Arial Narrow" w:hAnsi="Arial Narrow"/>
                <w:b/>
                <w:sz w:val="20"/>
                <w:szCs w:val="20"/>
              </w:rPr>
              <w:t>Total discounted costs (discounted at 5% pa)</w:t>
            </w:r>
          </w:p>
        </w:tc>
      </w:tr>
      <w:tr w:rsidR="006C641A" w:rsidRPr="007D1918" w14:paraId="414C117F" w14:textId="77777777" w:rsidTr="00153384">
        <w:tc>
          <w:tcPr>
            <w:tcW w:w="1872" w:type="dxa"/>
            <w:tcBorders>
              <w:bottom w:val="single" w:sz="4" w:space="0" w:color="auto"/>
            </w:tcBorders>
          </w:tcPr>
          <w:p w14:paraId="574F24EE" w14:textId="77777777" w:rsidR="006C641A" w:rsidRPr="007D1918" w:rsidRDefault="006C641A" w:rsidP="00153384">
            <w:pPr>
              <w:spacing w:after="40" w:line="240" w:lineRule="auto"/>
              <w:ind w:firstLine="205"/>
              <w:jc w:val="both"/>
              <w:rPr>
                <w:rFonts w:ascii="Arial Narrow" w:hAnsi="Arial Narrow"/>
                <w:b/>
                <w:sz w:val="20"/>
                <w:szCs w:val="20"/>
              </w:rPr>
            </w:pPr>
          </w:p>
        </w:tc>
        <w:tc>
          <w:tcPr>
            <w:tcW w:w="4961" w:type="dxa"/>
            <w:tcBorders>
              <w:bottom w:val="single" w:sz="4" w:space="0" w:color="auto"/>
            </w:tcBorders>
          </w:tcPr>
          <w:p w14:paraId="12489F59" w14:textId="77777777" w:rsidR="006C641A" w:rsidRPr="007D1918" w:rsidRDefault="006C641A" w:rsidP="00153384">
            <w:pPr>
              <w:spacing w:after="40" w:line="240" w:lineRule="auto"/>
              <w:ind w:firstLine="205"/>
              <w:jc w:val="both"/>
              <w:rPr>
                <w:rFonts w:ascii="Arial Narrow" w:hAnsi="Arial Narrow"/>
                <w:sz w:val="20"/>
                <w:szCs w:val="20"/>
              </w:rPr>
            </w:pPr>
          </w:p>
        </w:tc>
        <w:tc>
          <w:tcPr>
            <w:tcW w:w="1665" w:type="dxa"/>
            <w:tcBorders>
              <w:bottom w:val="single" w:sz="4" w:space="0" w:color="auto"/>
            </w:tcBorders>
          </w:tcPr>
          <w:p w14:paraId="0715C77E"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1 year</w:t>
            </w:r>
          </w:p>
        </w:tc>
        <w:tc>
          <w:tcPr>
            <w:tcW w:w="1666" w:type="dxa"/>
            <w:tcBorders>
              <w:bottom w:val="single" w:sz="4" w:space="0" w:color="auto"/>
            </w:tcBorders>
          </w:tcPr>
          <w:p w14:paraId="6992DC0D"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2 years</w:t>
            </w:r>
          </w:p>
        </w:tc>
        <w:tc>
          <w:tcPr>
            <w:tcW w:w="1665" w:type="dxa"/>
            <w:tcBorders>
              <w:bottom w:val="single" w:sz="4" w:space="0" w:color="auto"/>
            </w:tcBorders>
          </w:tcPr>
          <w:p w14:paraId="4210D02A"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5 years</w:t>
            </w:r>
          </w:p>
        </w:tc>
        <w:tc>
          <w:tcPr>
            <w:tcW w:w="1666" w:type="dxa"/>
            <w:tcBorders>
              <w:bottom w:val="single" w:sz="4" w:space="0" w:color="auto"/>
            </w:tcBorders>
          </w:tcPr>
          <w:p w14:paraId="1A0EB540" w14:textId="77777777" w:rsidR="006C641A" w:rsidRPr="007D1918" w:rsidRDefault="006C641A" w:rsidP="00153384">
            <w:pPr>
              <w:spacing w:after="40" w:line="240" w:lineRule="auto"/>
              <w:jc w:val="right"/>
              <w:rPr>
                <w:rFonts w:ascii="Arial Narrow" w:hAnsi="Arial Narrow"/>
                <w:b/>
                <w:sz w:val="20"/>
                <w:szCs w:val="20"/>
              </w:rPr>
            </w:pPr>
            <w:r w:rsidRPr="007D1918">
              <w:rPr>
                <w:rFonts w:ascii="Arial Narrow" w:hAnsi="Arial Narrow"/>
                <w:b/>
                <w:sz w:val="20"/>
                <w:szCs w:val="20"/>
              </w:rPr>
              <w:t>10 years</w:t>
            </w:r>
          </w:p>
        </w:tc>
      </w:tr>
      <w:tr w:rsidR="006C641A" w:rsidRPr="007D1918" w14:paraId="67828CBE" w14:textId="77777777" w:rsidTr="00153384">
        <w:tc>
          <w:tcPr>
            <w:tcW w:w="1872" w:type="dxa"/>
            <w:tcBorders>
              <w:bottom w:val="single" w:sz="4" w:space="0" w:color="auto"/>
            </w:tcBorders>
          </w:tcPr>
          <w:p w14:paraId="1E480649"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b/>
                <w:sz w:val="20"/>
                <w:szCs w:val="20"/>
              </w:rPr>
              <w:t>IVIg</w:t>
            </w:r>
          </w:p>
        </w:tc>
        <w:tc>
          <w:tcPr>
            <w:tcW w:w="4961" w:type="dxa"/>
            <w:tcBorders>
              <w:bottom w:val="single" w:sz="4" w:space="0" w:color="auto"/>
            </w:tcBorders>
          </w:tcPr>
          <w:p w14:paraId="4C25ED7E" w14:textId="77777777" w:rsidR="006C641A" w:rsidRPr="007D1918" w:rsidRDefault="006C641A" w:rsidP="00BA561B">
            <w:pPr>
              <w:spacing w:after="40" w:line="240" w:lineRule="auto"/>
              <w:jc w:val="both"/>
              <w:rPr>
                <w:rFonts w:ascii="Arial Narrow" w:hAnsi="Arial Narrow"/>
                <w:sz w:val="20"/>
                <w:szCs w:val="20"/>
              </w:rPr>
            </w:pPr>
            <w:r w:rsidRPr="007D1918">
              <w:rPr>
                <w:rFonts w:ascii="Arial Narrow" w:hAnsi="Arial Narrow"/>
                <w:sz w:val="20"/>
                <w:szCs w:val="20"/>
              </w:rPr>
              <w:t>NBA data annual dose</w:t>
            </w:r>
          </w:p>
        </w:tc>
        <w:tc>
          <w:tcPr>
            <w:tcW w:w="1665" w:type="dxa"/>
            <w:tcBorders>
              <w:bottom w:val="single" w:sz="4" w:space="0" w:color="auto"/>
            </w:tcBorders>
          </w:tcPr>
          <w:p w14:paraId="6614E5D8" w14:textId="4FBFC95E" w:rsidR="006C641A" w:rsidRPr="007D1918" w:rsidRDefault="006C641A" w:rsidP="00C72104">
            <w:pPr>
              <w:spacing w:after="40" w:line="240" w:lineRule="auto"/>
              <w:jc w:val="right"/>
              <w:rPr>
                <w:rFonts w:ascii="Arial Narrow" w:hAnsi="Arial Narrow"/>
                <w:sz w:val="20"/>
                <w:szCs w:val="20"/>
              </w:rPr>
            </w:pPr>
            <w:r w:rsidRPr="007D1918">
              <w:rPr>
                <w:rFonts w:ascii="Arial Narrow" w:hAnsi="Arial Narrow"/>
                <w:sz w:val="20"/>
                <w:szCs w:val="20"/>
              </w:rPr>
              <w:t>$34,</w:t>
            </w:r>
            <w:r w:rsidR="00C72104" w:rsidRPr="007D1918">
              <w:rPr>
                <w:rFonts w:ascii="Arial Narrow" w:hAnsi="Arial Narrow"/>
                <w:sz w:val="20"/>
                <w:szCs w:val="20"/>
              </w:rPr>
              <w:t>516</w:t>
            </w:r>
          </w:p>
        </w:tc>
        <w:tc>
          <w:tcPr>
            <w:tcW w:w="1666" w:type="dxa"/>
            <w:tcBorders>
              <w:bottom w:val="single" w:sz="4" w:space="0" w:color="auto"/>
            </w:tcBorders>
          </w:tcPr>
          <w:p w14:paraId="4AC27EF6" w14:textId="06CB55BC" w:rsidR="006C641A" w:rsidRPr="007D1918" w:rsidRDefault="006C641A" w:rsidP="00C72104">
            <w:pPr>
              <w:spacing w:after="40" w:line="240" w:lineRule="auto"/>
              <w:jc w:val="right"/>
              <w:rPr>
                <w:rFonts w:ascii="Arial Narrow" w:hAnsi="Arial Narrow"/>
                <w:sz w:val="20"/>
                <w:szCs w:val="20"/>
              </w:rPr>
            </w:pPr>
            <w:r w:rsidRPr="007D1918">
              <w:rPr>
                <w:rFonts w:ascii="Arial Narrow" w:hAnsi="Arial Narrow"/>
                <w:sz w:val="20"/>
                <w:szCs w:val="20"/>
              </w:rPr>
              <w:t>$67,</w:t>
            </w:r>
            <w:r w:rsidR="00C72104" w:rsidRPr="007D1918">
              <w:rPr>
                <w:rFonts w:ascii="Arial Narrow" w:hAnsi="Arial Narrow"/>
                <w:sz w:val="20"/>
                <w:szCs w:val="20"/>
              </w:rPr>
              <w:t>30</w:t>
            </w:r>
            <w:r w:rsidRPr="007D1918">
              <w:rPr>
                <w:rFonts w:ascii="Arial Narrow" w:hAnsi="Arial Narrow"/>
                <w:sz w:val="20"/>
                <w:szCs w:val="20"/>
              </w:rPr>
              <w:t>6</w:t>
            </w:r>
          </w:p>
        </w:tc>
        <w:tc>
          <w:tcPr>
            <w:tcW w:w="1665" w:type="dxa"/>
            <w:tcBorders>
              <w:bottom w:val="single" w:sz="4" w:space="0" w:color="auto"/>
            </w:tcBorders>
            <w:shd w:val="clear" w:color="auto" w:fill="auto"/>
          </w:tcPr>
          <w:p w14:paraId="228D87FF" w14:textId="6B13B8B9" w:rsidR="006C641A" w:rsidRPr="007D1918" w:rsidRDefault="006C641A" w:rsidP="00C72104">
            <w:pPr>
              <w:spacing w:after="40" w:line="240" w:lineRule="auto"/>
              <w:jc w:val="right"/>
              <w:rPr>
                <w:rFonts w:ascii="Arial Narrow" w:hAnsi="Arial Narrow"/>
                <w:sz w:val="20"/>
                <w:szCs w:val="20"/>
              </w:rPr>
            </w:pPr>
            <w:r w:rsidRPr="007D1918">
              <w:rPr>
                <w:rFonts w:ascii="Arial Narrow" w:hAnsi="Arial Narrow"/>
                <w:sz w:val="20"/>
                <w:szCs w:val="20"/>
              </w:rPr>
              <w:t>$15</w:t>
            </w:r>
            <w:r w:rsidR="00C72104" w:rsidRPr="007D1918">
              <w:rPr>
                <w:rFonts w:ascii="Arial Narrow" w:hAnsi="Arial Narrow"/>
                <w:sz w:val="20"/>
                <w:szCs w:val="20"/>
              </w:rPr>
              <w:t>6</w:t>
            </w:r>
            <w:r w:rsidRPr="007D1918">
              <w:rPr>
                <w:rFonts w:ascii="Arial Narrow" w:hAnsi="Arial Narrow"/>
                <w:sz w:val="20"/>
                <w:szCs w:val="20"/>
              </w:rPr>
              <w:t>,</w:t>
            </w:r>
            <w:r w:rsidR="00C72104" w:rsidRPr="007D1918">
              <w:rPr>
                <w:rFonts w:ascii="Arial Narrow" w:hAnsi="Arial Narrow"/>
                <w:sz w:val="20"/>
                <w:szCs w:val="20"/>
              </w:rPr>
              <w:t>164</w:t>
            </w:r>
          </w:p>
        </w:tc>
        <w:tc>
          <w:tcPr>
            <w:tcW w:w="1666" w:type="dxa"/>
            <w:tcBorders>
              <w:bottom w:val="single" w:sz="4" w:space="0" w:color="auto"/>
            </w:tcBorders>
            <w:shd w:val="clear" w:color="auto" w:fill="auto"/>
          </w:tcPr>
          <w:p w14:paraId="2AA7194E" w14:textId="17F0211B" w:rsidR="006C641A" w:rsidRPr="007D1918" w:rsidRDefault="006C641A" w:rsidP="00C72104">
            <w:pPr>
              <w:spacing w:after="40" w:line="240" w:lineRule="auto"/>
              <w:jc w:val="right"/>
              <w:rPr>
                <w:rFonts w:ascii="Arial Narrow" w:hAnsi="Arial Narrow"/>
                <w:sz w:val="20"/>
                <w:szCs w:val="20"/>
              </w:rPr>
            </w:pPr>
            <w:r w:rsidRPr="007D1918">
              <w:rPr>
                <w:rFonts w:ascii="Arial Narrow" w:hAnsi="Arial Narrow"/>
                <w:sz w:val="20"/>
                <w:szCs w:val="20"/>
              </w:rPr>
              <w:t>$27</w:t>
            </w:r>
            <w:r w:rsidR="00C72104" w:rsidRPr="007D1918">
              <w:rPr>
                <w:rFonts w:ascii="Arial Narrow" w:hAnsi="Arial Narrow"/>
                <w:sz w:val="20"/>
                <w:szCs w:val="20"/>
              </w:rPr>
              <w:t>7</w:t>
            </w:r>
            <w:r w:rsidRPr="007D1918">
              <w:rPr>
                <w:rFonts w:ascii="Arial Narrow" w:hAnsi="Arial Narrow"/>
                <w:sz w:val="20"/>
                <w:szCs w:val="20"/>
              </w:rPr>
              <w:t>,</w:t>
            </w:r>
            <w:r w:rsidR="00C72104" w:rsidRPr="007D1918">
              <w:rPr>
                <w:rFonts w:ascii="Arial Narrow" w:hAnsi="Arial Narrow"/>
                <w:sz w:val="20"/>
                <w:szCs w:val="20"/>
              </w:rPr>
              <w:t>00</w:t>
            </w:r>
            <w:r w:rsidRPr="007D1918">
              <w:rPr>
                <w:rFonts w:ascii="Arial Narrow" w:hAnsi="Arial Narrow"/>
                <w:sz w:val="20"/>
                <w:szCs w:val="20"/>
              </w:rPr>
              <w:t>1</w:t>
            </w:r>
          </w:p>
        </w:tc>
      </w:tr>
      <w:tr w:rsidR="006C641A" w:rsidRPr="007D1918" w14:paraId="5135F403" w14:textId="77777777" w:rsidTr="00153384">
        <w:tc>
          <w:tcPr>
            <w:tcW w:w="1872" w:type="dxa"/>
          </w:tcPr>
          <w:p w14:paraId="165E32D6" w14:textId="77777777" w:rsidR="006C641A" w:rsidRPr="007D1918" w:rsidRDefault="006C641A" w:rsidP="00153384">
            <w:pPr>
              <w:spacing w:after="40" w:line="240" w:lineRule="auto"/>
              <w:jc w:val="both"/>
              <w:rPr>
                <w:rFonts w:ascii="Arial Narrow" w:hAnsi="Arial Narrow"/>
                <w:b/>
                <w:sz w:val="20"/>
                <w:szCs w:val="20"/>
              </w:rPr>
            </w:pPr>
          </w:p>
        </w:tc>
        <w:tc>
          <w:tcPr>
            <w:tcW w:w="4961" w:type="dxa"/>
          </w:tcPr>
          <w:p w14:paraId="36D0FF1B" w14:textId="77777777" w:rsidR="006C641A" w:rsidRPr="007D1918" w:rsidRDefault="006C641A" w:rsidP="00BA561B">
            <w:pPr>
              <w:spacing w:after="40" w:line="240" w:lineRule="auto"/>
              <w:jc w:val="right"/>
              <w:rPr>
                <w:rFonts w:ascii="Arial Narrow" w:hAnsi="Arial Narrow"/>
                <w:b/>
                <w:sz w:val="20"/>
                <w:szCs w:val="20"/>
              </w:rPr>
            </w:pPr>
            <w:r w:rsidRPr="007D1918">
              <w:rPr>
                <w:rFonts w:ascii="Arial Narrow" w:hAnsi="Arial Narrow"/>
                <w:sz w:val="20"/>
                <w:szCs w:val="20"/>
              </w:rPr>
              <w:t>minimum dose</w:t>
            </w:r>
          </w:p>
        </w:tc>
        <w:tc>
          <w:tcPr>
            <w:tcW w:w="1665" w:type="dxa"/>
            <w:tcBorders>
              <w:bottom w:val="single" w:sz="4" w:space="0" w:color="auto"/>
            </w:tcBorders>
            <w:shd w:val="clear" w:color="auto" w:fill="auto"/>
          </w:tcPr>
          <w:p w14:paraId="0AD76D9A"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$30,055</w:t>
            </w:r>
          </w:p>
        </w:tc>
        <w:tc>
          <w:tcPr>
            <w:tcW w:w="1666" w:type="dxa"/>
            <w:shd w:val="clear" w:color="auto" w:fill="auto"/>
          </w:tcPr>
          <w:p w14:paraId="059468A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$50,731</w:t>
            </w:r>
          </w:p>
        </w:tc>
        <w:tc>
          <w:tcPr>
            <w:tcW w:w="1665" w:type="dxa"/>
            <w:shd w:val="clear" w:color="auto" w:fill="auto"/>
          </w:tcPr>
          <w:p w14:paraId="298012AF"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$106,761</w:t>
            </w:r>
          </w:p>
        </w:tc>
        <w:tc>
          <w:tcPr>
            <w:tcW w:w="1666" w:type="dxa"/>
            <w:shd w:val="clear" w:color="auto" w:fill="auto"/>
          </w:tcPr>
          <w:p w14:paraId="31597DA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$182,956</w:t>
            </w:r>
          </w:p>
        </w:tc>
      </w:tr>
      <w:tr w:rsidR="006C641A" w:rsidRPr="007D1918" w14:paraId="4A3599CF" w14:textId="77777777" w:rsidTr="00153384">
        <w:tc>
          <w:tcPr>
            <w:tcW w:w="1872" w:type="dxa"/>
          </w:tcPr>
          <w:p w14:paraId="1DDF0576" w14:textId="77777777" w:rsidR="006C641A" w:rsidRPr="007D1918" w:rsidRDefault="006C641A" w:rsidP="00153384">
            <w:pPr>
              <w:spacing w:after="40" w:line="240" w:lineRule="auto"/>
              <w:ind w:firstLine="205"/>
              <w:jc w:val="both"/>
              <w:rPr>
                <w:rFonts w:ascii="Arial Narrow" w:hAnsi="Arial Narrow"/>
                <w:sz w:val="20"/>
                <w:szCs w:val="20"/>
              </w:rPr>
            </w:pPr>
          </w:p>
        </w:tc>
        <w:tc>
          <w:tcPr>
            <w:tcW w:w="4961" w:type="dxa"/>
          </w:tcPr>
          <w:p w14:paraId="0FE148B3" w14:textId="77777777" w:rsidR="006C641A" w:rsidRPr="007D1918" w:rsidRDefault="006C641A" w:rsidP="00BA561B">
            <w:pPr>
              <w:spacing w:after="40" w:line="240" w:lineRule="auto"/>
              <w:ind w:firstLine="205"/>
              <w:jc w:val="right"/>
              <w:rPr>
                <w:rFonts w:ascii="Arial Narrow" w:hAnsi="Arial Narrow"/>
                <w:sz w:val="20"/>
                <w:szCs w:val="20"/>
              </w:rPr>
            </w:pPr>
            <w:r w:rsidRPr="007D1918">
              <w:rPr>
                <w:rFonts w:ascii="Arial Narrow" w:hAnsi="Arial Narrow"/>
                <w:sz w:val="20"/>
                <w:szCs w:val="20"/>
              </w:rPr>
              <w:t>maximum dose</w:t>
            </w:r>
          </w:p>
        </w:tc>
        <w:tc>
          <w:tcPr>
            <w:tcW w:w="1665" w:type="dxa"/>
            <w:shd w:val="clear" w:color="auto" w:fill="auto"/>
          </w:tcPr>
          <w:p w14:paraId="50AEC3C8"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$74,959</w:t>
            </w:r>
          </w:p>
        </w:tc>
        <w:tc>
          <w:tcPr>
            <w:tcW w:w="1666" w:type="dxa"/>
            <w:tcBorders>
              <w:top w:val="nil"/>
              <w:left w:val="nil"/>
              <w:bottom w:val="single" w:sz="8" w:space="0" w:color="auto"/>
              <w:right w:val="single" w:sz="8" w:space="0" w:color="auto"/>
            </w:tcBorders>
            <w:shd w:val="clear" w:color="auto" w:fill="auto"/>
            <w:vAlign w:val="center"/>
          </w:tcPr>
          <w:p w14:paraId="5B99B7C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$141,083</w:t>
            </w:r>
          </w:p>
        </w:tc>
        <w:tc>
          <w:tcPr>
            <w:tcW w:w="1665" w:type="dxa"/>
            <w:shd w:val="clear" w:color="auto" w:fill="auto"/>
          </w:tcPr>
          <w:p w14:paraId="332D461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$320,273</w:t>
            </w:r>
          </w:p>
        </w:tc>
        <w:tc>
          <w:tcPr>
            <w:tcW w:w="1666" w:type="dxa"/>
            <w:shd w:val="clear" w:color="auto" w:fill="auto"/>
          </w:tcPr>
          <w:p w14:paraId="6AE765B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$563,950</w:t>
            </w:r>
          </w:p>
        </w:tc>
      </w:tr>
      <w:tr w:rsidR="006C641A" w:rsidRPr="007D1918" w14:paraId="62EC3F58" w14:textId="77777777" w:rsidTr="00153384">
        <w:tc>
          <w:tcPr>
            <w:tcW w:w="1872" w:type="dxa"/>
            <w:tcBorders>
              <w:bottom w:val="single" w:sz="4" w:space="0" w:color="auto"/>
            </w:tcBorders>
          </w:tcPr>
          <w:p w14:paraId="055A77F0"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b/>
                <w:sz w:val="20"/>
                <w:szCs w:val="20"/>
              </w:rPr>
              <w:t>PE</w:t>
            </w:r>
          </w:p>
        </w:tc>
        <w:tc>
          <w:tcPr>
            <w:tcW w:w="4961" w:type="dxa"/>
            <w:tcBorders>
              <w:bottom w:val="single" w:sz="4" w:space="0" w:color="auto"/>
            </w:tcBorders>
          </w:tcPr>
          <w:p w14:paraId="7AB7EE94"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sz w:val="20"/>
                <w:szCs w:val="20"/>
              </w:rPr>
              <w:t>low intensity (every 8 weeks)</w:t>
            </w:r>
          </w:p>
        </w:tc>
        <w:tc>
          <w:tcPr>
            <w:tcW w:w="1665" w:type="dxa"/>
            <w:tcBorders>
              <w:bottom w:val="single" w:sz="4" w:space="0" w:color="auto"/>
            </w:tcBorders>
            <w:shd w:val="clear" w:color="auto" w:fill="auto"/>
          </w:tcPr>
          <w:p w14:paraId="7D488D09" w14:textId="6F26D190"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$33,362</w:t>
            </w:r>
          </w:p>
        </w:tc>
        <w:tc>
          <w:tcPr>
            <w:tcW w:w="1666" w:type="dxa"/>
            <w:tcBorders>
              <w:top w:val="nil"/>
              <w:left w:val="nil"/>
              <w:bottom w:val="single" w:sz="8" w:space="0" w:color="auto"/>
              <w:right w:val="single" w:sz="8" w:space="0" w:color="auto"/>
            </w:tcBorders>
            <w:shd w:val="clear" w:color="auto" w:fill="auto"/>
            <w:vAlign w:val="center"/>
          </w:tcPr>
          <w:p w14:paraId="63579A6A" w14:textId="4EE3F999"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$56,865</w:t>
            </w:r>
          </w:p>
        </w:tc>
        <w:tc>
          <w:tcPr>
            <w:tcW w:w="1665" w:type="dxa"/>
            <w:tcBorders>
              <w:bottom w:val="single" w:sz="4" w:space="0" w:color="auto"/>
            </w:tcBorders>
            <w:shd w:val="clear" w:color="auto" w:fill="auto"/>
          </w:tcPr>
          <w:p w14:paraId="32CBAFFF" w14:textId="1129BFDB"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$120,554</w:t>
            </w:r>
          </w:p>
        </w:tc>
        <w:tc>
          <w:tcPr>
            <w:tcW w:w="1666" w:type="dxa"/>
            <w:tcBorders>
              <w:bottom w:val="single" w:sz="4" w:space="0" w:color="auto"/>
            </w:tcBorders>
            <w:shd w:val="clear" w:color="auto" w:fill="auto"/>
          </w:tcPr>
          <w:p w14:paraId="4B2B9B29" w14:textId="34840E7A"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$207,165</w:t>
            </w:r>
          </w:p>
        </w:tc>
      </w:tr>
      <w:tr w:rsidR="006C641A" w:rsidRPr="007D1918" w14:paraId="118DE098" w14:textId="77777777" w:rsidTr="00153384">
        <w:tc>
          <w:tcPr>
            <w:tcW w:w="1872" w:type="dxa"/>
          </w:tcPr>
          <w:p w14:paraId="1C470FCD" w14:textId="77777777" w:rsidR="006C641A" w:rsidRPr="007D1918" w:rsidRDefault="006C641A" w:rsidP="00153384">
            <w:pPr>
              <w:spacing w:after="40" w:line="240" w:lineRule="auto"/>
              <w:ind w:firstLine="205"/>
              <w:jc w:val="both"/>
              <w:rPr>
                <w:rFonts w:ascii="Arial Narrow" w:hAnsi="Arial Narrow"/>
                <w:sz w:val="20"/>
                <w:szCs w:val="20"/>
              </w:rPr>
            </w:pPr>
          </w:p>
        </w:tc>
        <w:tc>
          <w:tcPr>
            <w:tcW w:w="4961" w:type="dxa"/>
          </w:tcPr>
          <w:p w14:paraId="6D35F679"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sz w:val="20"/>
                <w:szCs w:val="20"/>
              </w:rPr>
              <w:t>high intensity (every 3 weeks)</w:t>
            </w:r>
          </w:p>
        </w:tc>
        <w:tc>
          <w:tcPr>
            <w:tcW w:w="1665" w:type="dxa"/>
            <w:shd w:val="clear" w:color="auto" w:fill="auto"/>
          </w:tcPr>
          <w:p w14:paraId="4A3D7957" w14:textId="3DF5E68B"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$100,219</w:t>
            </w:r>
          </w:p>
        </w:tc>
        <w:tc>
          <w:tcPr>
            <w:tcW w:w="1666" w:type="dxa"/>
            <w:tcBorders>
              <w:top w:val="nil"/>
              <w:left w:val="nil"/>
              <w:bottom w:val="single" w:sz="8" w:space="0" w:color="auto"/>
              <w:right w:val="single" w:sz="8" w:space="0" w:color="auto"/>
            </w:tcBorders>
            <w:shd w:val="clear" w:color="auto" w:fill="auto"/>
            <w:vAlign w:val="center"/>
          </w:tcPr>
          <w:p w14:paraId="3364E256" w14:textId="0C87954B"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$192,528</w:t>
            </w:r>
          </w:p>
        </w:tc>
        <w:tc>
          <w:tcPr>
            <w:tcW w:w="1665" w:type="dxa"/>
            <w:shd w:val="clear" w:color="auto" w:fill="auto"/>
          </w:tcPr>
          <w:p w14:paraId="404BCE04" w14:textId="062082DD" w:rsidR="006C641A" w:rsidRPr="007D1918" w:rsidRDefault="00BA561B" w:rsidP="00153384">
            <w:pPr>
              <w:spacing w:after="40" w:line="240" w:lineRule="auto"/>
              <w:jc w:val="right"/>
              <w:rPr>
                <w:rFonts w:ascii="Arial Narrow" w:hAnsi="Arial Narrow"/>
                <w:sz w:val="20"/>
                <w:szCs w:val="20"/>
              </w:rPr>
            </w:pPr>
            <w:r w:rsidRPr="007D1918">
              <w:rPr>
                <w:rFonts w:ascii="Arial Narrow" w:hAnsi="Arial Narrow"/>
                <w:sz w:val="20"/>
                <w:szCs w:val="20"/>
              </w:rPr>
              <w:t>$442,675</w:t>
            </w:r>
          </w:p>
        </w:tc>
        <w:tc>
          <w:tcPr>
            <w:tcW w:w="1666" w:type="dxa"/>
            <w:shd w:val="clear" w:color="auto" w:fill="auto"/>
          </w:tcPr>
          <w:p w14:paraId="372B41F3" w14:textId="1399AD73" w:rsidR="006C641A" w:rsidRPr="007D1918" w:rsidRDefault="00BA561B" w:rsidP="00153384">
            <w:pPr>
              <w:tabs>
                <w:tab w:val="center" w:pos="689"/>
                <w:tab w:val="right" w:pos="1379"/>
              </w:tabs>
              <w:spacing w:after="40" w:line="240" w:lineRule="auto"/>
              <w:jc w:val="right"/>
              <w:rPr>
                <w:rFonts w:ascii="Arial Narrow" w:hAnsi="Arial Narrow"/>
                <w:sz w:val="20"/>
                <w:szCs w:val="20"/>
              </w:rPr>
            </w:pPr>
            <w:r w:rsidRPr="007D1918">
              <w:rPr>
                <w:rFonts w:ascii="Arial Narrow" w:hAnsi="Arial Narrow"/>
                <w:sz w:val="20"/>
                <w:szCs w:val="20"/>
              </w:rPr>
              <w:t>$782,848</w:t>
            </w:r>
          </w:p>
        </w:tc>
      </w:tr>
      <w:tr w:rsidR="006C641A" w:rsidRPr="007D1918" w14:paraId="64E28E31" w14:textId="77777777" w:rsidTr="00153384">
        <w:tc>
          <w:tcPr>
            <w:tcW w:w="13495" w:type="dxa"/>
            <w:gridSpan w:val="6"/>
            <w:tcBorders>
              <w:bottom w:val="single" w:sz="4" w:space="0" w:color="auto"/>
              <w:right w:val="single" w:sz="4" w:space="0" w:color="auto"/>
            </w:tcBorders>
          </w:tcPr>
          <w:p w14:paraId="0AEDEE7B" w14:textId="77777777" w:rsidR="006C641A" w:rsidRPr="007D1918" w:rsidRDefault="006C641A" w:rsidP="00153384">
            <w:pPr>
              <w:spacing w:after="40" w:line="240" w:lineRule="auto"/>
              <w:rPr>
                <w:rFonts w:ascii="Arial Narrow" w:hAnsi="Arial Narrow"/>
                <w:sz w:val="20"/>
                <w:szCs w:val="20"/>
              </w:rPr>
            </w:pPr>
            <w:r w:rsidRPr="007D1918">
              <w:rPr>
                <w:rFonts w:ascii="Arial Narrow" w:hAnsi="Arial Narrow"/>
                <w:b/>
                <w:i/>
                <w:sz w:val="20"/>
                <w:szCs w:val="20"/>
              </w:rPr>
              <w:t>Discounted Cost Difference IVIg vs PE</w:t>
            </w:r>
          </w:p>
        </w:tc>
      </w:tr>
      <w:tr w:rsidR="006C641A" w:rsidRPr="007D1918" w14:paraId="10634CC8" w14:textId="77777777" w:rsidTr="00B20BEC">
        <w:tc>
          <w:tcPr>
            <w:tcW w:w="1872" w:type="dxa"/>
            <w:tcBorders>
              <w:top w:val="single" w:sz="4" w:space="0" w:color="auto"/>
              <w:left w:val="single" w:sz="4" w:space="0" w:color="auto"/>
              <w:bottom w:val="single" w:sz="4" w:space="0" w:color="auto"/>
              <w:right w:val="single" w:sz="4" w:space="0" w:color="auto"/>
            </w:tcBorders>
            <w:vAlign w:val="center"/>
          </w:tcPr>
          <w:p w14:paraId="6275DFC4" w14:textId="77777777" w:rsidR="006C641A" w:rsidRPr="007D1918" w:rsidRDefault="006C641A" w:rsidP="00153384">
            <w:pPr>
              <w:pStyle w:val="Tabletext1"/>
            </w:pPr>
          </w:p>
        </w:tc>
        <w:tc>
          <w:tcPr>
            <w:tcW w:w="4961" w:type="dxa"/>
          </w:tcPr>
          <w:p w14:paraId="5F16469B" w14:textId="77777777" w:rsidR="006C641A" w:rsidRPr="007D1918" w:rsidRDefault="006C641A" w:rsidP="00153384">
            <w:pPr>
              <w:pStyle w:val="Tabletext1"/>
              <w:jc w:val="right"/>
            </w:pPr>
            <w:r w:rsidRPr="007D1918">
              <w:t>IVIg base case – low intensity PE</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749F916E" w14:textId="508273A8" w:rsidR="006C641A" w:rsidRPr="007D1918" w:rsidRDefault="00BA561B" w:rsidP="00153384">
            <w:pPr>
              <w:pStyle w:val="Tabletext1"/>
              <w:jc w:val="right"/>
            </w:pPr>
            <w:r w:rsidRPr="007D1918">
              <w:t>$1,154</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289B2319" w14:textId="614627F7" w:rsidR="006C641A" w:rsidRPr="007D1918" w:rsidRDefault="00BA561B" w:rsidP="00153384">
            <w:pPr>
              <w:pStyle w:val="Tabletext1"/>
              <w:jc w:val="right"/>
            </w:pPr>
            <w:r w:rsidRPr="007D1918">
              <w:t>$10,441</w:t>
            </w:r>
          </w:p>
        </w:tc>
        <w:tc>
          <w:tcPr>
            <w:tcW w:w="1665" w:type="dxa"/>
            <w:tcBorders>
              <w:top w:val="single" w:sz="4" w:space="0" w:color="auto"/>
              <w:left w:val="single" w:sz="4" w:space="0" w:color="auto"/>
              <w:bottom w:val="single" w:sz="4" w:space="0" w:color="auto"/>
              <w:right w:val="single" w:sz="4" w:space="0" w:color="auto"/>
            </w:tcBorders>
            <w:shd w:val="clear" w:color="auto" w:fill="auto"/>
            <w:vAlign w:val="center"/>
          </w:tcPr>
          <w:p w14:paraId="629E2C8E" w14:textId="149CDFED" w:rsidR="006C641A" w:rsidRPr="007D1918" w:rsidRDefault="00BA561B" w:rsidP="00153384">
            <w:pPr>
              <w:pStyle w:val="Tabletext1"/>
              <w:jc w:val="right"/>
            </w:pPr>
            <w:r w:rsidRPr="007D1918">
              <w:t>$35,610</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14:paraId="69201F72" w14:textId="42B516C4" w:rsidR="006C641A" w:rsidRPr="007D1918" w:rsidRDefault="00BA561B" w:rsidP="00153384">
            <w:pPr>
              <w:pStyle w:val="Tabletext1"/>
              <w:jc w:val="right"/>
            </w:pPr>
            <w:r w:rsidRPr="007D1918">
              <w:t>$69,836</w:t>
            </w:r>
          </w:p>
        </w:tc>
      </w:tr>
      <w:tr w:rsidR="006C641A" w:rsidRPr="007D1918" w14:paraId="23C27A85" w14:textId="77777777" w:rsidTr="00B20BEC">
        <w:tc>
          <w:tcPr>
            <w:tcW w:w="1872" w:type="dxa"/>
            <w:tcBorders>
              <w:top w:val="single" w:sz="4" w:space="0" w:color="auto"/>
              <w:left w:val="single" w:sz="4" w:space="0" w:color="auto"/>
              <w:bottom w:val="single" w:sz="4" w:space="0" w:color="auto"/>
              <w:right w:val="single" w:sz="4" w:space="0" w:color="auto"/>
            </w:tcBorders>
            <w:vAlign w:val="center"/>
          </w:tcPr>
          <w:p w14:paraId="4C854B81" w14:textId="77777777" w:rsidR="006C641A" w:rsidRPr="007D1918" w:rsidRDefault="006C641A" w:rsidP="00153384">
            <w:pPr>
              <w:pStyle w:val="Tabletext1"/>
            </w:pPr>
          </w:p>
        </w:tc>
        <w:tc>
          <w:tcPr>
            <w:tcW w:w="4961" w:type="dxa"/>
          </w:tcPr>
          <w:p w14:paraId="30AE6C34" w14:textId="77777777" w:rsidR="006C641A" w:rsidRPr="007D1918" w:rsidRDefault="006C641A" w:rsidP="00153384">
            <w:pPr>
              <w:pStyle w:val="Tabletext1"/>
              <w:jc w:val="right"/>
            </w:pPr>
            <w:r w:rsidRPr="007D1918">
              <w:t>IVIg base case – high intensity PE</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79E6A6" w14:textId="0F405DB5" w:rsidR="006C641A" w:rsidRPr="007D1918" w:rsidRDefault="00BA561B" w:rsidP="00153384">
            <w:pPr>
              <w:pStyle w:val="Tabletext1"/>
              <w:jc w:val="right"/>
            </w:pPr>
            <w:r w:rsidRPr="007D1918">
              <w:t>-$65,703</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924D64" w14:textId="3A1483D0" w:rsidR="006C641A" w:rsidRPr="007D1918" w:rsidRDefault="00BA561B" w:rsidP="00153384">
            <w:pPr>
              <w:pStyle w:val="Tabletext1"/>
              <w:jc w:val="right"/>
            </w:pPr>
            <w:r w:rsidRPr="007D1918">
              <w:t>-$125,222</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FBC10" w14:textId="53BA2A36" w:rsidR="006C641A" w:rsidRPr="007D1918" w:rsidRDefault="00BA561B" w:rsidP="00153384">
            <w:pPr>
              <w:pStyle w:val="Tabletext1"/>
              <w:jc w:val="right"/>
            </w:pPr>
            <w:r w:rsidRPr="007D1918">
              <w:t>-$286,511</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CE7745" w14:textId="639EADEB" w:rsidR="006C641A" w:rsidRPr="007D1918" w:rsidRDefault="00BA561B" w:rsidP="00153384">
            <w:pPr>
              <w:pStyle w:val="Tabletext1"/>
              <w:jc w:val="right"/>
            </w:pPr>
            <w:r w:rsidRPr="007D1918">
              <w:t>-$505,847</w:t>
            </w:r>
          </w:p>
        </w:tc>
      </w:tr>
      <w:tr w:rsidR="00B20BEC" w:rsidRPr="007D1918" w14:paraId="17D7D6B2" w14:textId="77777777" w:rsidTr="00B20BEC">
        <w:tc>
          <w:tcPr>
            <w:tcW w:w="1872" w:type="dxa"/>
            <w:tcBorders>
              <w:top w:val="single" w:sz="4" w:space="0" w:color="auto"/>
              <w:left w:val="single" w:sz="4" w:space="0" w:color="auto"/>
              <w:bottom w:val="single" w:sz="4" w:space="0" w:color="auto"/>
              <w:right w:val="single" w:sz="4" w:space="0" w:color="auto"/>
            </w:tcBorders>
            <w:vAlign w:val="center"/>
          </w:tcPr>
          <w:p w14:paraId="76E2FBE2" w14:textId="77777777" w:rsidR="00B20BEC" w:rsidRPr="007D1918" w:rsidRDefault="00B20BEC" w:rsidP="00B20BEC">
            <w:pPr>
              <w:pStyle w:val="Tabletext1"/>
            </w:pPr>
          </w:p>
        </w:tc>
        <w:tc>
          <w:tcPr>
            <w:tcW w:w="4961" w:type="dxa"/>
          </w:tcPr>
          <w:p w14:paraId="7CE5F673" w14:textId="77777777" w:rsidR="00B20BEC" w:rsidRPr="007D1918" w:rsidRDefault="00B20BEC" w:rsidP="00B20BEC">
            <w:pPr>
              <w:pStyle w:val="Tabletext1"/>
              <w:jc w:val="right"/>
            </w:pPr>
            <w:r w:rsidRPr="007D1918">
              <w:t>IVIg minimum dose – low intensity PE</w:t>
            </w:r>
          </w:p>
        </w:tc>
        <w:tc>
          <w:tcPr>
            <w:tcW w:w="16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1D2C829B" w14:textId="09625686" w:rsidR="00B20BEC" w:rsidRPr="007D1918" w:rsidRDefault="00B20BEC" w:rsidP="00B20BEC">
            <w:pPr>
              <w:pStyle w:val="Tablecontents"/>
              <w:jc w:val="right"/>
            </w:pPr>
            <w:r w:rsidRPr="007D1918">
              <w:t>-$3,308</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F9B2C48" w14:textId="7381D3AB" w:rsidR="00B20BEC" w:rsidRPr="007D1918" w:rsidRDefault="00B20BEC" w:rsidP="00B20BEC">
            <w:pPr>
              <w:pStyle w:val="Tablecontents"/>
              <w:jc w:val="right"/>
            </w:pPr>
            <w:r w:rsidRPr="007D1918">
              <w:t>-$6,134</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0EFE93EF" w14:textId="298E98CC" w:rsidR="00B20BEC" w:rsidRPr="007D1918" w:rsidRDefault="00B20BEC" w:rsidP="00B20BEC">
            <w:pPr>
              <w:pStyle w:val="Tablecontents"/>
              <w:jc w:val="right"/>
            </w:pPr>
            <w:r w:rsidRPr="007D1918">
              <w:t>-$13,793</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577E0021" w14:textId="3B540F75" w:rsidR="00B20BEC" w:rsidRPr="007D1918" w:rsidRDefault="00B20BEC" w:rsidP="00B20BEC">
            <w:pPr>
              <w:pStyle w:val="Tablecontents"/>
              <w:jc w:val="right"/>
            </w:pPr>
            <w:r w:rsidRPr="007D1918">
              <w:t>-$24,209</w:t>
            </w:r>
          </w:p>
        </w:tc>
      </w:tr>
      <w:tr w:rsidR="00B20BEC" w:rsidRPr="007D1918" w14:paraId="486E2384" w14:textId="77777777" w:rsidTr="00B20BEC">
        <w:tc>
          <w:tcPr>
            <w:tcW w:w="1872" w:type="dxa"/>
            <w:tcBorders>
              <w:top w:val="single" w:sz="4" w:space="0" w:color="auto"/>
              <w:left w:val="single" w:sz="4" w:space="0" w:color="auto"/>
              <w:bottom w:val="single" w:sz="4" w:space="0" w:color="auto"/>
              <w:right w:val="single" w:sz="4" w:space="0" w:color="auto"/>
            </w:tcBorders>
            <w:vAlign w:val="center"/>
          </w:tcPr>
          <w:p w14:paraId="4E5422EF" w14:textId="77777777" w:rsidR="00B20BEC" w:rsidRPr="007D1918" w:rsidRDefault="00B20BEC" w:rsidP="00B20BEC">
            <w:pPr>
              <w:pStyle w:val="Tabletext1"/>
            </w:pPr>
          </w:p>
        </w:tc>
        <w:tc>
          <w:tcPr>
            <w:tcW w:w="4961" w:type="dxa"/>
          </w:tcPr>
          <w:p w14:paraId="0CCD147A" w14:textId="77777777" w:rsidR="00B20BEC" w:rsidRPr="007D1918" w:rsidRDefault="00B20BEC" w:rsidP="00B20BEC">
            <w:pPr>
              <w:pStyle w:val="Tabletext1"/>
              <w:jc w:val="right"/>
            </w:pPr>
            <w:r w:rsidRPr="007D1918">
              <w:t>IVIg maximum dose – high intensity PE</w:t>
            </w:r>
          </w:p>
        </w:tc>
        <w:tc>
          <w:tcPr>
            <w:tcW w:w="1665" w:type="dxa"/>
            <w:tcBorders>
              <w:top w:val="single" w:sz="4" w:space="0" w:color="auto"/>
              <w:left w:val="nil"/>
              <w:bottom w:val="single" w:sz="4" w:space="0" w:color="auto"/>
              <w:right w:val="single" w:sz="4" w:space="0" w:color="auto"/>
            </w:tcBorders>
            <w:shd w:val="clear" w:color="auto" w:fill="F2F2F2" w:themeFill="background1" w:themeFillShade="F2"/>
            <w:vAlign w:val="bottom"/>
          </w:tcPr>
          <w:p w14:paraId="32974425" w14:textId="4D43BCD2" w:rsidR="00B20BEC" w:rsidRPr="007D1918" w:rsidRDefault="00B20BEC" w:rsidP="00B20BEC">
            <w:pPr>
              <w:pStyle w:val="Tablecontents"/>
              <w:jc w:val="right"/>
            </w:pPr>
            <w:r w:rsidRPr="007D1918">
              <w:t>-$25,260</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701DFF47" w14:textId="7F353F71" w:rsidR="00B20BEC" w:rsidRPr="007D1918" w:rsidRDefault="00B20BEC" w:rsidP="00B20BEC">
            <w:pPr>
              <w:pStyle w:val="Tablecontents"/>
              <w:jc w:val="right"/>
            </w:pPr>
            <w:r w:rsidRPr="007D1918">
              <w:t>-$51,445</w:t>
            </w:r>
          </w:p>
        </w:tc>
        <w:tc>
          <w:tcPr>
            <w:tcW w:w="16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49D73DB4" w14:textId="14E4DA44" w:rsidR="00B20BEC" w:rsidRPr="007D1918" w:rsidRDefault="00B20BEC" w:rsidP="00B20BEC">
            <w:pPr>
              <w:pStyle w:val="Tablecontents"/>
              <w:jc w:val="right"/>
            </w:pPr>
            <w:r w:rsidRPr="007D1918">
              <w:t>-$122,403</w:t>
            </w:r>
          </w:p>
        </w:tc>
        <w:tc>
          <w:tcPr>
            <w:tcW w:w="166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bottom"/>
          </w:tcPr>
          <w:p w14:paraId="6167066B" w14:textId="5D0E3B2A" w:rsidR="00B20BEC" w:rsidRPr="007D1918" w:rsidRDefault="00B20BEC" w:rsidP="00B20BEC">
            <w:pPr>
              <w:pStyle w:val="Tablecontents"/>
              <w:jc w:val="right"/>
            </w:pPr>
            <w:r w:rsidRPr="007D1918">
              <w:t>-$218,898</w:t>
            </w:r>
          </w:p>
        </w:tc>
      </w:tr>
    </w:tbl>
    <w:p w14:paraId="44556754" w14:textId="77777777" w:rsidR="006C641A" w:rsidRPr="007D1918" w:rsidRDefault="006C641A" w:rsidP="006C641A">
      <w:pPr>
        <w:pStyle w:val="Tablenotes1"/>
      </w:pPr>
      <w:r w:rsidRPr="007D1918">
        <w:t>IVIg = intravenous immunoglobulin; PE = plasma exchange;</w:t>
      </w:r>
    </w:p>
    <w:p w14:paraId="03055818" w14:textId="77777777" w:rsidR="005619FC" w:rsidRPr="007D1918" w:rsidRDefault="006C641A" w:rsidP="005619FC">
      <w:pPr>
        <w:jc w:val="both"/>
        <w:sectPr w:rsidR="005619FC" w:rsidRPr="007D1918" w:rsidSect="00BD5461">
          <w:footerReference w:type="even" r:id="rId63"/>
          <w:type w:val="oddPage"/>
          <w:pgSz w:w="16838" w:h="11906" w:orient="landscape"/>
          <w:pgMar w:top="1440" w:right="1440" w:bottom="1440" w:left="1440" w:header="720" w:footer="720" w:gutter="0"/>
          <w:paperSrc w:first="262" w:other="262"/>
          <w:cols w:space="720"/>
        </w:sectPr>
      </w:pPr>
      <w:r w:rsidRPr="007D1918">
        <w:br w:type="page"/>
      </w:r>
    </w:p>
    <w:p w14:paraId="1599A486" w14:textId="3C6C0A70" w:rsidR="005619FC" w:rsidRPr="007D1918" w:rsidRDefault="005619FC" w:rsidP="005619FC">
      <w:pPr>
        <w:jc w:val="both"/>
      </w:pPr>
      <w:r w:rsidRPr="007D1918">
        <w:lastRenderedPageBreak/>
        <w:t xml:space="preserve">An exploratory analysis including a 0.2% rate of sepsis (based on </w:t>
      </w:r>
      <w:r w:rsidRPr="007D1918">
        <w:fldChar w:fldCharType="begin"/>
      </w:r>
      <w:r w:rsidRPr="007D1918">
        <w:instrText xml:space="preserve"> ADDIN EN.CITE &lt;EndNote&gt;&lt;Cite&gt;&lt;Author&gt;Vucic&lt;/Author&gt;&lt;Year&gt;1998&lt;/Year&gt;&lt;RecNum&gt;36&lt;/RecNum&gt;&lt;DisplayText&gt;(Vucic &amp;amp; Davies 1998)&lt;/DisplayText&gt;&lt;record&gt;&lt;rec-number&gt;36&lt;/rec-number&gt;&lt;foreign-keys&gt;&lt;key app="EN" db-id="2aevrx2slsts5ve9sdavatf125dsx0av2v9d" timestamp="1561528498"&gt;36&lt;/key&gt;&lt;/foreign-keys&gt;&lt;ref-type name="Journal Article"&gt;17&lt;/ref-type&gt;&lt;contributors&gt;&lt;authors&gt;&lt;author&gt;Vucic, S.&lt;/author&gt;&lt;author&gt;Davies, L.&lt;/author&gt;&lt;/authors&gt;&lt;/contributors&gt;&lt;auth-address&gt;Department of Neurology, Royal Prince Alfred Hospital, Sydney, NSW.&lt;/auth-address&gt;&lt;titles&gt;&lt;title&gt;Safety of plasmapheresis in the treatment of neurological disease&lt;/title&gt;&lt;secondary-title&gt;Aust N Z J Med&lt;/secondary-title&gt;&lt;/titles&gt;&lt;periodical&gt;&lt;full-title&gt;Aust N Z J Med&lt;/full-title&gt;&lt;/periodical&gt;&lt;pages&gt;301-5&lt;/pages&gt;&lt;volume&gt;28&lt;/volume&gt;&lt;number&gt;3&lt;/number&gt;&lt;edition&gt;1998/07/23&lt;/edition&gt;&lt;keywords&gt;&lt;keyword&gt;Adult&lt;/keyword&gt;&lt;keyword&gt;Aged&lt;/keyword&gt;&lt;keyword&gt;Aged, 80 and over&lt;/keyword&gt;&lt;keyword&gt;Blood-Borne Pathogens&lt;/keyword&gt;&lt;keyword&gt;Catheterization, Peripheral/instrumentation&lt;/keyword&gt;&lt;keyword&gt;Equipment Failure Analysis&lt;/keyword&gt;&lt;keyword&gt;Female&lt;/keyword&gt;&lt;keyword&gt;Humans&lt;/keyword&gt;&lt;keyword&gt;Male&lt;/keyword&gt;&lt;keyword&gt;Middle Aged&lt;/keyword&gt;&lt;keyword&gt;Nervous System Diseases/ therapy&lt;/keyword&gt;&lt;keyword&gt;New South Wales&lt;/keyword&gt;&lt;keyword&gt;Plasmapheresis/ adverse effects/instrumentation&lt;/keyword&gt;&lt;keyword&gt;Retrospective Studies&lt;/keyword&gt;&lt;keyword&gt;Risk Factors&lt;/keyword&gt;&lt;keyword&gt;Sepsis/etiology&lt;/keyword&gt;&lt;/keywords&gt;&lt;dates&gt;&lt;year&gt;1998&lt;/year&gt;&lt;pub-dates&gt;&lt;date&gt;Jun&lt;/date&gt;&lt;/pub-dates&gt;&lt;/dates&gt;&lt;isbn&gt;0004-8291 (Print)&amp;#xD;0004-8291 (Linking)&lt;/isbn&gt;&lt;accession-num&gt;9673740&lt;/accession-num&gt;&lt;urls&gt;&lt;related-urls&gt;&lt;url&gt;https://onlinelibrary.wiley.com/doi/pdf/10.1111/j.1445-5994.1998.tb01952.x&lt;/url&gt;&lt;/related-urls&gt;&lt;/urls&gt;&lt;remote-database-provider&gt;NLM&lt;/remote-database-provider&gt;&lt;language&gt;eng&lt;/language&gt;&lt;/record&gt;&lt;/Cite&gt;&lt;/EndNote&gt;</w:instrText>
      </w:r>
      <w:r w:rsidRPr="007D1918">
        <w:fldChar w:fldCharType="separate"/>
      </w:r>
      <w:r w:rsidRPr="007D1918">
        <w:rPr>
          <w:noProof/>
        </w:rPr>
        <w:t>(</w:t>
      </w:r>
      <w:hyperlink w:anchor="_ENREF_102" w:tooltip="Vucic, 1998 #36" w:history="1">
        <w:r w:rsidR="007D4948" w:rsidRPr="007D1918">
          <w:rPr>
            <w:noProof/>
          </w:rPr>
          <w:t>Vucic &amp; Davies 1998</w:t>
        </w:r>
      </w:hyperlink>
      <w:r w:rsidRPr="007D1918">
        <w:rPr>
          <w:noProof/>
        </w:rPr>
        <w:t>)</w:t>
      </w:r>
      <w:r w:rsidRPr="007D1918">
        <w:fldChar w:fldCharType="end"/>
      </w:r>
      <w:r w:rsidRPr="007D1918">
        <w:t xml:space="preserve">) has been </w:t>
      </w:r>
      <w:r w:rsidR="00F55909" w:rsidRPr="007D1918">
        <w:t xml:space="preserve">presented in </w:t>
      </w:r>
      <w:r w:rsidR="00F55909" w:rsidRPr="007D1918">
        <w:fldChar w:fldCharType="begin"/>
      </w:r>
      <w:r w:rsidR="00F55909" w:rsidRPr="007D1918">
        <w:instrText xml:space="preserve"> REF _Ref23764917 \h </w:instrText>
      </w:r>
      <w:r w:rsidR="007D1918">
        <w:instrText xml:space="preserve"> \* MERGEFORMAT </w:instrText>
      </w:r>
      <w:r w:rsidR="00F55909" w:rsidRPr="007D1918">
        <w:fldChar w:fldCharType="separate"/>
      </w:r>
      <w:r w:rsidR="00B865E7" w:rsidRPr="007D1918">
        <w:t xml:space="preserve">Table </w:t>
      </w:r>
      <w:r w:rsidR="00B865E7" w:rsidRPr="007D1918">
        <w:rPr>
          <w:noProof/>
        </w:rPr>
        <w:t>87</w:t>
      </w:r>
      <w:r w:rsidR="00F55909" w:rsidRPr="007D1918">
        <w:fldChar w:fldCharType="end"/>
      </w:r>
      <w:r w:rsidR="00F55909" w:rsidRPr="007D1918">
        <w:t xml:space="preserve"> which may be relevant if superior safety was an accepted claim. This analysis only accounts for short-term sepsis effects (not mortality/long-term morbidity) and does not </w:t>
      </w:r>
      <w:r w:rsidRPr="007D1918">
        <w:t>make a substantial difference to the cost comparison. Th</w:t>
      </w:r>
      <w:r w:rsidR="00F55909" w:rsidRPr="007D1918">
        <w:t xml:space="preserve">ese estimates </w:t>
      </w:r>
      <w:r w:rsidRPr="007D1918">
        <w:t xml:space="preserve">should be interpreted caution, as the accuracy and reliability of inputs associated with infection rates, infection utilities and costs are all highly uncertain. The analysis estimates ICERs ranging between ‘dominant’ </w:t>
      </w:r>
      <w:r w:rsidR="00F05CD3" w:rsidRPr="007D1918">
        <w:t>(in all cases where the comparison is vs high intensity PE</w:t>
      </w:r>
      <w:r w:rsidR="00637FE8" w:rsidRPr="007D1918">
        <w:t xml:space="preserve"> or low dose IVIg is compared to low dose PE</w:t>
      </w:r>
      <w:r w:rsidR="00F05CD3" w:rsidRPr="007D1918">
        <w:t xml:space="preserve">), through to </w:t>
      </w:r>
      <w:r w:rsidRPr="007D1918">
        <w:t>$</w:t>
      </w:r>
      <w:r w:rsidR="00F05CD3" w:rsidRPr="007D1918">
        <w:t>18</w:t>
      </w:r>
      <w:r w:rsidRPr="007D1918">
        <w:t xml:space="preserve"> million per QALY</w:t>
      </w:r>
      <w:r w:rsidR="00F05CD3" w:rsidRPr="007D1918">
        <w:t xml:space="preserve"> comparing average NBA doses to low dose PE over the long-term. The broad range of ICERs </w:t>
      </w:r>
      <w:r w:rsidR="00637FE8" w:rsidRPr="007D1918">
        <w:t xml:space="preserve">is consistent with the findings of the cost comparison where cost-savings were demonstrated in all comparisons except average IVIg dosing vs low dose PE. The extreme range in the ICER </w:t>
      </w:r>
      <w:r w:rsidRPr="007D1918">
        <w:t>demonstrat</w:t>
      </w:r>
      <w:r w:rsidR="00F05CD3" w:rsidRPr="007D1918">
        <w:t xml:space="preserve">es </w:t>
      </w:r>
      <w:r w:rsidRPr="007D1918">
        <w:t xml:space="preserve">the </w:t>
      </w:r>
      <w:r w:rsidR="00F05CD3" w:rsidRPr="007D1918">
        <w:t>high sensitivity to relative treatment costs</w:t>
      </w:r>
      <w:r w:rsidR="00637FE8" w:rsidRPr="007D1918">
        <w:t xml:space="preserve"> given outcome differences are minimal,</w:t>
      </w:r>
      <w:r w:rsidR="00F05CD3" w:rsidRPr="007D1918">
        <w:t xml:space="preserve"> and </w:t>
      </w:r>
      <w:r w:rsidR="00637FE8" w:rsidRPr="007D1918">
        <w:t xml:space="preserve">the </w:t>
      </w:r>
      <w:r w:rsidR="00F05CD3" w:rsidRPr="007D1918">
        <w:t>overall uncertainty in the comparison</w:t>
      </w:r>
      <w:r w:rsidRPr="007D1918">
        <w:t xml:space="preserve">. </w:t>
      </w:r>
    </w:p>
    <w:p w14:paraId="424975C8" w14:textId="775FCD13" w:rsidR="005619FC" w:rsidRPr="007D1918" w:rsidRDefault="005619FC" w:rsidP="005619FC">
      <w:pPr>
        <w:pStyle w:val="Caption"/>
      </w:pPr>
      <w:bookmarkStart w:id="469" w:name="_Ref23764917"/>
      <w:bookmarkStart w:id="470" w:name="_Toc23769574"/>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87</w:t>
      </w:r>
      <w:r w:rsidRPr="007D1918">
        <w:rPr>
          <w:noProof/>
        </w:rPr>
        <w:fldChar w:fldCharType="end"/>
      </w:r>
      <w:bookmarkEnd w:id="469"/>
      <w:r w:rsidRPr="007D1918">
        <w:t xml:space="preserve"> </w:t>
      </w:r>
      <w:r w:rsidRPr="007D1918">
        <w:tab/>
        <w:t>Exploratory cost-utility analysis for IVIg vs PE over varying time doses and time horizons, incorporating costs and QALY impacts associated with sepsis in Indication 3, discounted.</w:t>
      </w:r>
      <w:bookmarkEnd w:id="470"/>
      <w:r w:rsidRPr="007D1918">
        <w:t xml:space="preserve"> </w:t>
      </w:r>
    </w:p>
    <w:tbl>
      <w:tblPr>
        <w:tblStyle w:val="TableGrid2"/>
        <w:tblW w:w="9385"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3715"/>
        <w:gridCol w:w="1630"/>
        <w:gridCol w:w="1346"/>
        <w:gridCol w:w="1418"/>
        <w:gridCol w:w="1276"/>
      </w:tblGrid>
      <w:tr w:rsidR="005619FC" w:rsidRPr="007D1918" w14:paraId="2F390758" w14:textId="77777777" w:rsidTr="00BD29C0">
        <w:trPr>
          <w:cnfStyle w:val="100000000000" w:firstRow="1" w:lastRow="0" w:firstColumn="0" w:lastColumn="0" w:oddVBand="0" w:evenVBand="0" w:oddHBand="0" w:evenHBand="0" w:firstRowFirstColumn="0" w:firstRowLastColumn="0" w:lastRowFirstColumn="0" w:lastRowLastColumn="0"/>
          <w:trHeight w:val="298"/>
          <w:tblHeader/>
        </w:trPr>
        <w:tc>
          <w:tcPr>
            <w:tcW w:w="3715" w:type="dxa"/>
          </w:tcPr>
          <w:p w14:paraId="0BF8990C" w14:textId="77777777" w:rsidR="005619FC" w:rsidRPr="007D1918" w:rsidRDefault="005619FC" w:rsidP="00942701">
            <w:pPr>
              <w:keepNext/>
              <w:spacing w:before="120" w:after="40" w:line="240" w:lineRule="auto"/>
              <w:jc w:val="both"/>
              <w:rPr>
                <w:rFonts w:ascii="Arial Narrow" w:hAnsi="Arial Narrow"/>
                <w:b/>
                <w:sz w:val="20"/>
                <w:szCs w:val="20"/>
              </w:rPr>
            </w:pPr>
          </w:p>
        </w:tc>
        <w:tc>
          <w:tcPr>
            <w:tcW w:w="5670" w:type="dxa"/>
            <w:gridSpan w:val="4"/>
            <w:tcBorders>
              <w:top w:val="single" w:sz="4" w:space="0" w:color="auto"/>
              <w:bottom w:val="single" w:sz="4" w:space="0" w:color="auto"/>
            </w:tcBorders>
            <w:vAlign w:val="center"/>
          </w:tcPr>
          <w:p w14:paraId="5B14276A" w14:textId="77777777" w:rsidR="005619FC" w:rsidRPr="007D1918" w:rsidRDefault="005619FC" w:rsidP="00942701">
            <w:pPr>
              <w:keepNext/>
              <w:spacing w:before="120" w:after="40" w:line="240" w:lineRule="auto"/>
              <w:jc w:val="center"/>
              <w:rPr>
                <w:rFonts w:ascii="Arial Narrow" w:hAnsi="Arial Narrow"/>
                <w:b/>
                <w:sz w:val="20"/>
                <w:szCs w:val="20"/>
              </w:rPr>
            </w:pPr>
            <w:r w:rsidRPr="007D1918">
              <w:rPr>
                <w:rFonts w:ascii="Arial Narrow" w:hAnsi="Arial Narrow"/>
                <w:b/>
                <w:sz w:val="20"/>
                <w:szCs w:val="20"/>
              </w:rPr>
              <w:t>Cumulative total discounted (at 5%) values</w:t>
            </w:r>
          </w:p>
        </w:tc>
      </w:tr>
      <w:tr w:rsidR="005619FC" w:rsidRPr="007D1918" w14:paraId="6D3371E3" w14:textId="77777777" w:rsidTr="0098796F">
        <w:trPr>
          <w:trHeight w:val="247"/>
        </w:trPr>
        <w:tc>
          <w:tcPr>
            <w:tcW w:w="3715" w:type="dxa"/>
            <w:vAlign w:val="center"/>
          </w:tcPr>
          <w:p w14:paraId="39DB7BC8" w14:textId="77777777" w:rsidR="005619FC" w:rsidRPr="007D1918" w:rsidRDefault="005619FC" w:rsidP="00942701">
            <w:pPr>
              <w:spacing w:after="40" w:line="240" w:lineRule="auto"/>
              <w:rPr>
                <w:rFonts w:ascii="Arial Narrow" w:hAnsi="Arial Narrow"/>
                <w:b/>
                <w:sz w:val="20"/>
                <w:szCs w:val="20"/>
              </w:rPr>
            </w:pPr>
            <w:r w:rsidRPr="007D1918">
              <w:rPr>
                <w:rFonts w:ascii="Arial Narrow" w:hAnsi="Arial Narrow"/>
                <w:b/>
                <w:sz w:val="20"/>
                <w:szCs w:val="20"/>
              </w:rPr>
              <w:t>IVIg (Australian dose) vs low intensity PE</w:t>
            </w:r>
          </w:p>
        </w:tc>
        <w:tc>
          <w:tcPr>
            <w:tcW w:w="1630" w:type="dxa"/>
            <w:vAlign w:val="center"/>
          </w:tcPr>
          <w:p w14:paraId="34288611" w14:textId="06743297" w:rsidR="005619FC" w:rsidRPr="007D1918" w:rsidRDefault="0098796F" w:rsidP="00942701">
            <w:pPr>
              <w:pStyle w:val="Tablecontents"/>
              <w:jc w:val="right"/>
              <w:rPr>
                <w:b/>
              </w:rPr>
            </w:pPr>
            <w:r w:rsidRPr="007D1918">
              <w:rPr>
                <w:b/>
              </w:rPr>
              <w:t>1 year</w:t>
            </w:r>
          </w:p>
        </w:tc>
        <w:tc>
          <w:tcPr>
            <w:tcW w:w="1346" w:type="dxa"/>
            <w:vAlign w:val="center"/>
          </w:tcPr>
          <w:p w14:paraId="11AC0EEC" w14:textId="1F93D5B6" w:rsidR="005619FC" w:rsidRPr="007D1918" w:rsidRDefault="0098796F" w:rsidP="00942701">
            <w:pPr>
              <w:pStyle w:val="Tablecontents"/>
              <w:jc w:val="right"/>
              <w:rPr>
                <w:b/>
              </w:rPr>
            </w:pPr>
            <w:r w:rsidRPr="007D1918">
              <w:rPr>
                <w:b/>
              </w:rPr>
              <w:t>2 years</w:t>
            </w:r>
          </w:p>
        </w:tc>
        <w:tc>
          <w:tcPr>
            <w:tcW w:w="1418" w:type="dxa"/>
            <w:vAlign w:val="center"/>
          </w:tcPr>
          <w:p w14:paraId="10C537EC" w14:textId="18311F14" w:rsidR="005619FC" w:rsidRPr="007D1918" w:rsidRDefault="0098796F" w:rsidP="00942701">
            <w:pPr>
              <w:pStyle w:val="Tablecontents"/>
              <w:jc w:val="right"/>
              <w:rPr>
                <w:b/>
              </w:rPr>
            </w:pPr>
            <w:r w:rsidRPr="007D1918">
              <w:rPr>
                <w:b/>
              </w:rPr>
              <w:t>5 years</w:t>
            </w:r>
          </w:p>
        </w:tc>
        <w:tc>
          <w:tcPr>
            <w:tcW w:w="1276" w:type="dxa"/>
            <w:vAlign w:val="center"/>
          </w:tcPr>
          <w:p w14:paraId="78FF1772" w14:textId="010F723A" w:rsidR="005619FC" w:rsidRPr="007D1918" w:rsidRDefault="0098796F" w:rsidP="00942701">
            <w:pPr>
              <w:pStyle w:val="Tablecontents"/>
              <w:jc w:val="right"/>
              <w:rPr>
                <w:b/>
              </w:rPr>
            </w:pPr>
            <w:r w:rsidRPr="007D1918">
              <w:rPr>
                <w:b/>
              </w:rPr>
              <w:t>10 years</w:t>
            </w:r>
          </w:p>
        </w:tc>
      </w:tr>
      <w:tr w:rsidR="005619FC" w:rsidRPr="007D1918" w14:paraId="38675AFA" w14:textId="77777777" w:rsidTr="00942701">
        <w:tc>
          <w:tcPr>
            <w:tcW w:w="3715" w:type="dxa"/>
          </w:tcPr>
          <w:p w14:paraId="2609489C" w14:textId="11AD68E2" w:rsidR="005619FC" w:rsidRPr="007D1918" w:rsidRDefault="00F05CD3" w:rsidP="00942701">
            <w:pPr>
              <w:spacing w:after="40" w:line="240" w:lineRule="auto"/>
              <w:rPr>
                <w:rFonts w:ascii="Arial Narrow" w:hAnsi="Arial Narrow"/>
                <w:sz w:val="20"/>
                <w:szCs w:val="20"/>
              </w:rPr>
            </w:pPr>
            <w:r w:rsidRPr="007D1918">
              <w:rPr>
                <w:rFonts w:ascii="Arial Narrow" w:hAnsi="Arial Narrow"/>
                <w:sz w:val="20"/>
                <w:szCs w:val="20"/>
              </w:rPr>
              <w:t>Incremental Costs IVIg – low intensity PE (including sepsis)</w:t>
            </w:r>
          </w:p>
        </w:tc>
        <w:tc>
          <w:tcPr>
            <w:tcW w:w="1630" w:type="dxa"/>
            <w:tcBorders>
              <w:top w:val="single" w:sz="4" w:space="0" w:color="auto"/>
              <w:left w:val="nil"/>
              <w:bottom w:val="single" w:sz="4" w:space="0" w:color="auto"/>
              <w:right w:val="single" w:sz="4" w:space="0" w:color="auto"/>
            </w:tcBorders>
            <w:shd w:val="clear" w:color="auto" w:fill="auto"/>
            <w:vAlign w:val="center"/>
          </w:tcPr>
          <w:p w14:paraId="4D334896" w14:textId="07CD15A4" w:rsidR="005619FC" w:rsidRPr="007D1918" w:rsidRDefault="00F05CD3" w:rsidP="00942701">
            <w:pPr>
              <w:pStyle w:val="Tablecontents"/>
              <w:jc w:val="right"/>
            </w:pPr>
            <w:r w:rsidRPr="007D1918">
              <w:t>$721</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43747A02" w14:textId="0BA1AF59" w:rsidR="005619FC" w:rsidRPr="007D1918" w:rsidRDefault="00F05CD3" w:rsidP="00942701">
            <w:pPr>
              <w:pStyle w:val="Tablecontents"/>
              <w:jc w:val="right"/>
            </w:pPr>
            <w:r w:rsidRPr="007D1918">
              <w:t>$9,695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6797E8F" w14:textId="0AC12B7A" w:rsidR="005619FC" w:rsidRPr="007D1918" w:rsidRDefault="00F05CD3" w:rsidP="00942701">
            <w:pPr>
              <w:pStyle w:val="Tablecontents"/>
              <w:jc w:val="right"/>
            </w:pPr>
            <w:r w:rsidRPr="007D1918">
              <w:t>$34,011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DF91A00" w14:textId="4F059689" w:rsidR="005619FC" w:rsidRPr="007D1918" w:rsidRDefault="00F05CD3" w:rsidP="00942701">
            <w:pPr>
              <w:pStyle w:val="Tablecontents"/>
              <w:jc w:val="right"/>
            </w:pPr>
            <w:r w:rsidRPr="007D1918">
              <w:t>$67,079</w:t>
            </w:r>
          </w:p>
        </w:tc>
      </w:tr>
      <w:tr w:rsidR="005619FC" w:rsidRPr="007D1918" w14:paraId="77E70FA4" w14:textId="77777777" w:rsidTr="00942701">
        <w:tc>
          <w:tcPr>
            <w:tcW w:w="3715" w:type="dxa"/>
          </w:tcPr>
          <w:p w14:paraId="7019EEA7" w14:textId="77777777" w:rsidR="005619FC" w:rsidRPr="007D1918" w:rsidRDefault="005619FC" w:rsidP="00942701">
            <w:pPr>
              <w:spacing w:after="40" w:line="240" w:lineRule="auto"/>
              <w:rPr>
                <w:rFonts w:ascii="Arial Narrow" w:hAnsi="Arial Narrow"/>
                <w:sz w:val="20"/>
                <w:szCs w:val="20"/>
              </w:rPr>
            </w:pPr>
            <w:r w:rsidRPr="007D1918">
              <w:rPr>
                <w:rFonts w:ascii="Arial Narrow" w:hAnsi="Arial Narrow"/>
                <w:sz w:val="20"/>
                <w:szCs w:val="20"/>
              </w:rPr>
              <w:t>Incremental QALYs</w:t>
            </w:r>
          </w:p>
        </w:tc>
        <w:tc>
          <w:tcPr>
            <w:tcW w:w="1630" w:type="dxa"/>
            <w:tcBorders>
              <w:top w:val="single" w:sz="4" w:space="0" w:color="auto"/>
              <w:left w:val="nil"/>
              <w:bottom w:val="single" w:sz="4" w:space="0" w:color="auto"/>
              <w:right w:val="single" w:sz="4" w:space="0" w:color="auto"/>
            </w:tcBorders>
            <w:shd w:val="clear" w:color="auto" w:fill="auto"/>
            <w:vAlign w:val="center"/>
          </w:tcPr>
          <w:p w14:paraId="2DE56199" w14:textId="10838394" w:rsidR="005619FC" w:rsidRPr="007D1918" w:rsidRDefault="00F05CD3" w:rsidP="00942701">
            <w:pPr>
              <w:pStyle w:val="Tablecontents"/>
              <w:jc w:val="right"/>
            </w:pPr>
            <w:r w:rsidRPr="007D1918">
              <w:t>0.00058</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53DDF7D5" w14:textId="6F28552C" w:rsidR="005619FC" w:rsidRPr="007D1918" w:rsidRDefault="00F05CD3" w:rsidP="00942701">
            <w:pPr>
              <w:pStyle w:val="Tablecontents"/>
              <w:jc w:val="right"/>
            </w:pPr>
            <w:r w:rsidRPr="007D1918">
              <w:t>0.00100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5798AA3" w14:textId="6006CAB5" w:rsidR="005619FC" w:rsidRPr="007D1918" w:rsidRDefault="00F05CD3" w:rsidP="00942701">
            <w:pPr>
              <w:pStyle w:val="Tablecontents"/>
              <w:jc w:val="right"/>
            </w:pPr>
            <w:r w:rsidRPr="007D1918">
              <w:t>0.00214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2C8440B" w14:textId="29FBA3EF" w:rsidR="005619FC" w:rsidRPr="007D1918" w:rsidRDefault="00F05CD3" w:rsidP="00942701">
            <w:pPr>
              <w:pStyle w:val="Tablecontents"/>
              <w:jc w:val="right"/>
            </w:pPr>
            <w:r w:rsidRPr="007D1918">
              <w:t>0.00369</w:t>
            </w:r>
          </w:p>
        </w:tc>
      </w:tr>
      <w:tr w:rsidR="005619FC" w:rsidRPr="007D1918" w14:paraId="71BFFF27" w14:textId="77777777" w:rsidTr="00942701">
        <w:tc>
          <w:tcPr>
            <w:tcW w:w="3715" w:type="dxa"/>
          </w:tcPr>
          <w:p w14:paraId="765008E0" w14:textId="77777777" w:rsidR="005619FC" w:rsidRPr="007D1918" w:rsidRDefault="005619FC" w:rsidP="00942701">
            <w:pPr>
              <w:spacing w:after="40" w:line="240" w:lineRule="auto"/>
              <w:rPr>
                <w:rFonts w:ascii="Arial Narrow" w:hAnsi="Arial Narrow"/>
                <w:sz w:val="20"/>
                <w:szCs w:val="20"/>
              </w:rPr>
            </w:pPr>
            <w:r w:rsidRPr="007D1918">
              <w:rPr>
                <w:rFonts w:ascii="Arial Narrow" w:hAnsi="Arial Narrow"/>
                <w:b/>
                <w:sz w:val="20"/>
                <w:szCs w:val="20"/>
              </w:rPr>
              <w:t>ICER ($/QALY)</w:t>
            </w:r>
          </w:p>
        </w:tc>
        <w:tc>
          <w:tcPr>
            <w:tcW w:w="1630" w:type="dxa"/>
            <w:tcBorders>
              <w:top w:val="single" w:sz="4" w:space="0" w:color="auto"/>
              <w:left w:val="nil"/>
              <w:bottom w:val="single" w:sz="4" w:space="0" w:color="auto"/>
              <w:right w:val="single" w:sz="4" w:space="0" w:color="auto"/>
            </w:tcBorders>
            <w:shd w:val="clear" w:color="auto" w:fill="auto"/>
            <w:vAlign w:val="center"/>
          </w:tcPr>
          <w:p w14:paraId="777174C7" w14:textId="06D7D404" w:rsidR="005619FC" w:rsidRPr="007D1918" w:rsidRDefault="00152430" w:rsidP="00942701">
            <w:pPr>
              <w:pStyle w:val="Tablecontents"/>
              <w:jc w:val="right"/>
              <w:rPr>
                <w:b/>
              </w:rPr>
            </w:pPr>
            <w:r w:rsidRPr="007D1918">
              <w:rPr>
                <w:b/>
              </w:rPr>
              <w:t>$1,245,044</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5699FCCA" w14:textId="25A9E17B" w:rsidR="005619FC" w:rsidRPr="007D1918" w:rsidRDefault="00152430" w:rsidP="00942701">
            <w:pPr>
              <w:pStyle w:val="Tablecontents"/>
              <w:jc w:val="right"/>
              <w:rPr>
                <w:b/>
              </w:rPr>
            </w:pPr>
            <w:r w:rsidRPr="007D1918">
              <w:rPr>
                <w:b/>
              </w:rPr>
              <w:t>$9,693,386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C83AD05" w14:textId="130BC766" w:rsidR="005619FC" w:rsidRPr="007D1918" w:rsidRDefault="00152430" w:rsidP="00942701">
            <w:pPr>
              <w:pStyle w:val="Tablecontents"/>
              <w:jc w:val="right"/>
              <w:rPr>
                <w:b/>
              </w:rPr>
            </w:pPr>
            <w:r w:rsidRPr="007D1918">
              <w:rPr>
                <w:b/>
              </w:rPr>
              <w:t>$15,889,120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917847" w14:textId="5F5FD60F" w:rsidR="005619FC" w:rsidRPr="007D1918" w:rsidRDefault="00F05CD3" w:rsidP="00942701">
            <w:pPr>
              <w:pStyle w:val="Tablecontents"/>
              <w:jc w:val="right"/>
              <w:rPr>
                <w:b/>
              </w:rPr>
            </w:pPr>
            <w:r w:rsidRPr="007D1918">
              <w:rPr>
                <w:b/>
              </w:rPr>
              <w:t>$18,171,894</w:t>
            </w:r>
          </w:p>
        </w:tc>
      </w:tr>
      <w:tr w:rsidR="00637FE8" w:rsidRPr="007D1918" w14:paraId="45190A9D" w14:textId="77777777" w:rsidTr="00152430">
        <w:tc>
          <w:tcPr>
            <w:tcW w:w="3715" w:type="dxa"/>
          </w:tcPr>
          <w:p w14:paraId="7678C282" w14:textId="3B055F59" w:rsidR="00637FE8" w:rsidRPr="007D1918" w:rsidRDefault="00637FE8" w:rsidP="00637FE8">
            <w:pPr>
              <w:spacing w:after="40" w:line="240" w:lineRule="auto"/>
              <w:rPr>
                <w:rFonts w:ascii="Arial Narrow" w:hAnsi="Arial Narrow"/>
                <w:b/>
                <w:sz w:val="20"/>
                <w:szCs w:val="20"/>
              </w:rPr>
            </w:pPr>
            <w:r w:rsidRPr="007D1918">
              <w:rPr>
                <w:rFonts w:ascii="Arial Narrow" w:hAnsi="Arial Narrow"/>
                <w:b/>
                <w:sz w:val="20"/>
                <w:szCs w:val="20"/>
              </w:rPr>
              <w:t>IVIg low dose vs low intensity PE</w:t>
            </w:r>
          </w:p>
        </w:tc>
        <w:tc>
          <w:tcPr>
            <w:tcW w:w="1630" w:type="dxa"/>
            <w:tcBorders>
              <w:top w:val="single" w:sz="4" w:space="0" w:color="auto"/>
              <w:left w:val="nil"/>
              <w:bottom w:val="single" w:sz="4" w:space="0" w:color="auto"/>
              <w:right w:val="single" w:sz="4" w:space="0" w:color="auto"/>
            </w:tcBorders>
            <w:shd w:val="clear" w:color="auto" w:fill="auto"/>
            <w:vAlign w:val="center"/>
          </w:tcPr>
          <w:p w14:paraId="11CAF056" w14:textId="63B6373E" w:rsidR="00637FE8" w:rsidRPr="007D1918" w:rsidRDefault="00637FE8" w:rsidP="00637FE8">
            <w:pPr>
              <w:pStyle w:val="Tablecontents"/>
              <w:jc w:val="center"/>
              <w:rPr>
                <w:b/>
              </w:rPr>
            </w:pPr>
            <w:r w:rsidRPr="007D1918">
              <w:rPr>
                <w:b/>
              </w:rPr>
              <w:t>Dominant</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3172D781" w14:textId="60723949" w:rsidR="00637FE8" w:rsidRPr="007D1918" w:rsidRDefault="00637FE8" w:rsidP="00637FE8">
            <w:pPr>
              <w:pStyle w:val="Tablecontents"/>
              <w:jc w:val="center"/>
              <w:rPr>
                <w:b/>
              </w:rPr>
            </w:pPr>
            <w:r w:rsidRPr="007D1918">
              <w:rPr>
                <w:b/>
              </w:rPr>
              <w:t>Dominant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1DC2358D" w14:textId="190C97B7" w:rsidR="00637FE8" w:rsidRPr="007D1918" w:rsidRDefault="00637FE8" w:rsidP="00637FE8">
            <w:pPr>
              <w:pStyle w:val="Tablecontents"/>
              <w:jc w:val="center"/>
              <w:rPr>
                <w:b/>
              </w:rPr>
            </w:pPr>
            <w:r w:rsidRPr="007D1918">
              <w:rPr>
                <w:b/>
              </w:rPr>
              <w:t>Dominant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E8D12DA" w14:textId="1324F411" w:rsidR="00637FE8" w:rsidRPr="007D1918" w:rsidRDefault="00637FE8" w:rsidP="00637FE8">
            <w:pPr>
              <w:pStyle w:val="Tablecontents"/>
              <w:jc w:val="center"/>
              <w:rPr>
                <w:b/>
              </w:rPr>
            </w:pPr>
            <w:r w:rsidRPr="007D1918">
              <w:rPr>
                <w:b/>
              </w:rPr>
              <w:t>Dominant</w:t>
            </w:r>
          </w:p>
        </w:tc>
      </w:tr>
      <w:tr w:rsidR="00637FE8" w:rsidRPr="007D1918" w14:paraId="7183E2DF" w14:textId="77777777" w:rsidTr="00152430">
        <w:tc>
          <w:tcPr>
            <w:tcW w:w="3715" w:type="dxa"/>
          </w:tcPr>
          <w:p w14:paraId="4C5EC568" w14:textId="51492286" w:rsidR="00637FE8" w:rsidRPr="007D1918" w:rsidRDefault="00637FE8" w:rsidP="00637FE8">
            <w:pPr>
              <w:spacing w:after="40" w:line="240" w:lineRule="auto"/>
              <w:rPr>
                <w:rFonts w:ascii="Arial Narrow" w:hAnsi="Arial Narrow"/>
                <w:b/>
                <w:sz w:val="20"/>
                <w:szCs w:val="20"/>
              </w:rPr>
            </w:pPr>
            <w:r w:rsidRPr="007D1918">
              <w:rPr>
                <w:rFonts w:ascii="Arial Narrow" w:hAnsi="Arial Narrow"/>
                <w:b/>
                <w:sz w:val="20"/>
                <w:szCs w:val="20"/>
              </w:rPr>
              <w:t>IVIg (Australian dose) vs high intensity PE</w:t>
            </w:r>
          </w:p>
        </w:tc>
        <w:tc>
          <w:tcPr>
            <w:tcW w:w="1630" w:type="dxa"/>
            <w:tcBorders>
              <w:top w:val="single" w:sz="4" w:space="0" w:color="auto"/>
              <w:left w:val="nil"/>
              <w:bottom w:val="single" w:sz="4" w:space="0" w:color="auto"/>
              <w:right w:val="single" w:sz="4" w:space="0" w:color="auto"/>
            </w:tcBorders>
            <w:shd w:val="clear" w:color="auto" w:fill="auto"/>
            <w:vAlign w:val="center"/>
          </w:tcPr>
          <w:p w14:paraId="6AC80EEE" w14:textId="7DBE49A4" w:rsidR="00637FE8" w:rsidRPr="007D1918" w:rsidRDefault="00637FE8" w:rsidP="00637FE8">
            <w:pPr>
              <w:pStyle w:val="Tablecontents"/>
              <w:jc w:val="center"/>
              <w:rPr>
                <w:b/>
              </w:rPr>
            </w:pPr>
            <w:r w:rsidRPr="007D1918">
              <w:rPr>
                <w:b/>
              </w:rPr>
              <w:t>Dominant</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7F1ACBC" w14:textId="081C060D" w:rsidR="00637FE8" w:rsidRPr="007D1918" w:rsidRDefault="00637FE8" w:rsidP="00637FE8">
            <w:pPr>
              <w:pStyle w:val="Tablecontents"/>
              <w:jc w:val="center"/>
              <w:rPr>
                <w:b/>
              </w:rPr>
            </w:pPr>
            <w:r w:rsidRPr="007D1918">
              <w:rPr>
                <w:b/>
              </w:rPr>
              <w:t>Dominant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2D7C6DE8" w14:textId="3620E2BC" w:rsidR="00637FE8" w:rsidRPr="007D1918" w:rsidRDefault="00637FE8" w:rsidP="00637FE8">
            <w:pPr>
              <w:pStyle w:val="Tablecontents"/>
              <w:jc w:val="center"/>
              <w:rPr>
                <w:b/>
              </w:rPr>
            </w:pPr>
            <w:r w:rsidRPr="007D1918">
              <w:rPr>
                <w:b/>
              </w:rPr>
              <w:t>Dominant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9912D4F" w14:textId="26A7211D" w:rsidR="00637FE8" w:rsidRPr="007D1918" w:rsidRDefault="00637FE8" w:rsidP="00637FE8">
            <w:pPr>
              <w:pStyle w:val="Tablecontents"/>
              <w:jc w:val="center"/>
              <w:rPr>
                <w:b/>
              </w:rPr>
            </w:pPr>
            <w:r w:rsidRPr="007D1918">
              <w:rPr>
                <w:b/>
              </w:rPr>
              <w:t>Dominant</w:t>
            </w:r>
          </w:p>
        </w:tc>
      </w:tr>
      <w:tr w:rsidR="00637FE8" w:rsidRPr="007D1918" w14:paraId="0837EA71" w14:textId="77777777" w:rsidTr="00152430">
        <w:tc>
          <w:tcPr>
            <w:tcW w:w="3715" w:type="dxa"/>
          </w:tcPr>
          <w:p w14:paraId="72A01919" w14:textId="1820C804" w:rsidR="00637FE8" w:rsidRPr="007D1918" w:rsidRDefault="00637FE8" w:rsidP="00637FE8">
            <w:pPr>
              <w:spacing w:after="40" w:line="240" w:lineRule="auto"/>
              <w:rPr>
                <w:b/>
              </w:rPr>
            </w:pPr>
            <w:r w:rsidRPr="007D1918">
              <w:rPr>
                <w:rFonts w:ascii="Arial Narrow" w:hAnsi="Arial Narrow"/>
                <w:b/>
                <w:sz w:val="20"/>
                <w:szCs w:val="20"/>
              </w:rPr>
              <w:t>IVIg high dose vs high intensity PE</w:t>
            </w:r>
          </w:p>
        </w:tc>
        <w:tc>
          <w:tcPr>
            <w:tcW w:w="1630" w:type="dxa"/>
            <w:tcBorders>
              <w:top w:val="single" w:sz="4" w:space="0" w:color="auto"/>
              <w:left w:val="nil"/>
              <w:bottom w:val="single" w:sz="4" w:space="0" w:color="auto"/>
              <w:right w:val="single" w:sz="4" w:space="0" w:color="auto"/>
            </w:tcBorders>
            <w:shd w:val="clear" w:color="auto" w:fill="auto"/>
            <w:vAlign w:val="center"/>
          </w:tcPr>
          <w:p w14:paraId="02EFD5A3" w14:textId="02A20E1C" w:rsidR="00637FE8" w:rsidRPr="007D1918" w:rsidRDefault="00637FE8" w:rsidP="00637FE8">
            <w:pPr>
              <w:pStyle w:val="Tablecontents"/>
              <w:jc w:val="center"/>
              <w:rPr>
                <w:b/>
              </w:rPr>
            </w:pPr>
            <w:r w:rsidRPr="007D1918">
              <w:rPr>
                <w:b/>
              </w:rPr>
              <w:t>Dominant</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45E383F0" w14:textId="1E0406BD" w:rsidR="00637FE8" w:rsidRPr="007D1918" w:rsidRDefault="00637FE8" w:rsidP="00637FE8">
            <w:pPr>
              <w:pStyle w:val="Tablecontents"/>
              <w:jc w:val="center"/>
              <w:rPr>
                <w:b/>
              </w:rPr>
            </w:pPr>
            <w:r w:rsidRPr="007D1918">
              <w:rPr>
                <w:b/>
              </w:rPr>
              <w:t>Dominant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4497118" w14:textId="1B834DD7" w:rsidR="00637FE8" w:rsidRPr="007D1918" w:rsidRDefault="00637FE8" w:rsidP="00637FE8">
            <w:pPr>
              <w:pStyle w:val="Tablecontents"/>
              <w:jc w:val="center"/>
              <w:rPr>
                <w:b/>
              </w:rPr>
            </w:pPr>
            <w:r w:rsidRPr="007D1918">
              <w:rPr>
                <w:b/>
              </w:rPr>
              <w:t>Dominant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848D92" w14:textId="174DFF09" w:rsidR="00637FE8" w:rsidRPr="007D1918" w:rsidRDefault="00637FE8" w:rsidP="00637FE8">
            <w:pPr>
              <w:pStyle w:val="Tablecontents"/>
              <w:jc w:val="center"/>
              <w:rPr>
                <w:b/>
              </w:rPr>
            </w:pPr>
            <w:r w:rsidRPr="007D1918">
              <w:rPr>
                <w:b/>
              </w:rPr>
              <w:t>Dominant</w:t>
            </w:r>
          </w:p>
        </w:tc>
      </w:tr>
    </w:tbl>
    <w:p w14:paraId="6CB90592" w14:textId="77777777" w:rsidR="005619FC" w:rsidRPr="007D1918" w:rsidRDefault="005619FC" w:rsidP="00637FE8">
      <w:pPr>
        <w:pStyle w:val="Tablenotes1"/>
        <w:spacing w:after="360"/>
      </w:pPr>
      <w:r w:rsidRPr="007D1918">
        <w:t>AE = adverse event; ICER = incremental cost-effectiveness ratio; IVIg = intravenous immunoglobulin; PE = plasma exchange; QALY = Quality adjusted life year.</w:t>
      </w:r>
    </w:p>
    <w:p w14:paraId="51AEE3A7" w14:textId="17D93DC9" w:rsidR="005619FC" w:rsidRPr="007D1918" w:rsidRDefault="00F55909" w:rsidP="005619FC">
      <w:pPr>
        <w:spacing w:after="0" w:line="240" w:lineRule="auto"/>
        <w:jc w:val="both"/>
        <w:sectPr w:rsidR="005619FC" w:rsidRPr="007D1918" w:rsidSect="00637FE8">
          <w:type w:val="oddPage"/>
          <w:pgSz w:w="11906" w:h="16838"/>
          <w:pgMar w:top="1440" w:right="1440" w:bottom="1440" w:left="1440" w:header="720" w:footer="720" w:gutter="0"/>
          <w:cols w:space="720"/>
        </w:sectPr>
      </w:pPr>
      <w:r w:rsidRPr="007D1918">
        <w:t xml:space="preserve">The price of </w:t>
      </w:r>
      <w:r w:rsidR="00637FE8" w:rsidRPr="007D1918">
        <w:t xml:space="preserve">non-PE comparators </w:t>
      </w:r>
      <w:r w:rsidRPr="007D1918">
        <w:t xml:space="preserve">over varying time-frames </w:t>
      </w:r>
      <w:r w:rsidR="00637FE8" w:rsidRPr="007D1918">
        <w:t xml:space="preserve">is presented in </w:t>
      </w:r>
      <w:r w:rsidRPr="007D1918">
        <w:fldChar w:fldCharType="begin"/>
      </w:r>
      <w:r w:rsidRPr="007D1918">
        <w:instrText xml:space="preserve"> REF _Ref14379560 \h </w:instrText>
      </w:r>
      <w:r w:rsidR="007D1918">
        <w:instrText xml:space="preserve"> \* MERGEFORMAT </w:instrText>
      </w:r>
      <w:r w:rsidRPr="007D1918">
        <w:fldChar w:fldCharType="separate"/>
      </w:r>
      <w:r w:rsidRPr="007D1918">
        <w:t xml:space="preserve">Table </w:t>
      </w:r>
      <w:r w:rsidRPr="007D1918">
        <w:rPr>
          <w:noProof/>
        </w:rPr>
        <w:t>88</w:t>
      </w:r>
      <w:r w:rsidRPr="007D1918">
        <w:fldChar w:fldCharType="end"/>
      </w:r>
      <w:r w:rsidRPr="007D1918">
        <w:t>.</w:t>
      </w:r>
      <w:r w:rsidR="00637FE8" w:rsidRPr="007D1918">
        <w:t xml:space="preserve"> </w:t>
      </w:r>
    </w:p>
    <w:p w14:paraId="4736620D" w14:textId="40CF23DC" w:rsidR="006C641A" w:rsidRPr="007D1918" w:rsidRDefault="006C641A" w:rsidP="006C641A">
      <w:pPr>
        <w:pStyle w:val="Caption"/>
        <w:keepNext/>
        <w:jc w:val="both"/>
      </w:pPr>
      <w:bookmarkStart w:id="471" w:name="_Ref14379560"/>
      <w:bookmarkStart w:id="472" w:name="_Toc15561985"/>
      <w:bookmarkStart w:id="473" w:name="_Toc23769575"/>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88</w:t>
      </w:r>
      <w:r w:rsidRPr="007D1918">
        <w:rPr>
          <w:noProof/>
        </w:rPr>
        <w:fldChar w:fldCharType="end"/>
      </w:r>
      <w:bookmarkEnd w:id="471"/>
      <w:r w:rsidRPr="007D1918">
        <w:t xml:space="preserve"> </w:t>
      </w:r>
      <w:r w:rsidRPr="007D1918">
        <w:tab/>
        <w:t>Costs of other potential comparators for Indication 3 over varying time horizons (undiscounted and discounted at 5%pa</w:t>
      </w:r>
      <w:bookmarkEnd w:id="472"/>
      <w:bookmarkEnd w:id="473"/>
      <w:r w:rsidRPr="007D1918">
        <w:t xml:space="preserve"> </w:t>
      </w:r>
    </w:p>
    <w:tbl>
      <w:tblPr>
        <w:tblStyle w:val="TableGrid2"/>
        <w:tblW w:w="11794"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140"/>
        <w:gridCol w:w="1913"/>
        <w:gridCol w:w="14"/>
        <w:gridCol w:w="1900"/>
        <w:gridCol w:w="28"/>
        <w:gridCol w:w="1885"/>
        <w:gridCol w:w="43"/>
        <w:gridCol w:w="1871"/>
      </w:tblGrid>
      <w:tr w:rsidR="006C641A" w:rsidRPr="007D1918" w14:paraId="4D7EAF03" w14:textId="77777777" w:rsidTr="00BD29C0">
        <w:trPr>
          <w:cnfStyle w:val="100000000000" w:firstRow="1" w:lastRow="0" w:firstColumn="0" w:lastColumn="0" w:oddVBand="0" w:evenVBand="0" w:oddHBand="0" w:evenHBand="0" w:firstRowFirstColumn="0" w:firstRowLastColumn="0" w:lastRowFirstColumn="0" w:lastRowLastColumn="0"/>
          <w:tblHeader/>
        </w:trPr>
        <w:tc>
          <w:tcPr>
            <w:tcW w:w="11794" w:type="dxa"/>
            <w:gridSpan w:val="8"/>
            <w:tcBorders>
              <w:top w:val="single" w:sz="4" w:space="0" w:color="auto"/>
              <w:bottom w:val="single" w:sz="4" w:space="0" w:color="auto"/>
              <w:right w:val="single" w:sz="4" w:space="0" w:color="auto"/>
            </w:tcBorders>
          </w:tcPr>
          <w:p w14:paraId="0C5C56E8" w14:textId="77777777" w:rsidR="006C641A" w:rsidRPr="007D1918" w:rsidRDefault="006C641A" w:rsidP="00153384">
            <w:pPr>
              <w:spacing w:after="40" w:line="240" w:lineRule="auto"/>
              <w:rPr>
                <w:rFonts w:ascii="Arial Narrow" w:hAnsi="Arial Narrow"/>
                <w:i/>
                <w:sz w:val="20"/>
                <w:szCs w:val="20"/>
              </w:rPr>
            </w:pPr>
            <w:r w:rsidRPr="007D1918">
              <w:rPr>
                <w:rFonts w:ascii="Arial Narrow" w:hAnsi="Arial Narrow"/>
                <w:b/>
                <w:i/>
                <w:sz w:val="20"/>
                <w:szCs w:val="20"/>
              </w:rPr>
              <w:t>Note: The following therapies are not assumed to have equivalent effectiveness:  – cost analysis provided for information purposes only.</w:t>
            </w:r>
          </w:p>
        </w:tc>
      </w:tr>
      <w:tr w:rsidR="006C641A" w:rsidRPr="007D1918" w14:paraId="15B82625"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140" w:type="dxa"/>
            <w:tcBorders>
              <w:bottom w:val="single" w:sz="4" w:space="0" w:color="auto"/>
            </w:tcBorders>
          </w:tcPr>
          <w:p w14:paraId="100CF0CA" w14:textId="77777777" w:rsidR="006C641A" w:rsidRPr="007D1918" w:rsidRDefault="006C641A" w:rsidP="00153384">
            <w:pPr>
              <w:keepNext/>
              <w:spacing w:after="40" w:line="240" w:lineRule="auto"/>
              <w:jc w:val="both"/>
              <w:rPr>
                <w:rFonts w:ascii="Arial Narrow" w:hAnsi="Arial Narrow"/>
                <w:b/>
                <w:sz w:val="20"/>
                <w:szCs w:val="20"/>
              </w:rPr>
            </w:pPr>
          </w:p>
        </w:tc>
        <w:tc>
          <w:tcPr>
            <w:tcW w:w="7654" w:type="dxa"/>
            <w:gridSpan w:val="7"/>
            <w:tcBorders>
              <w:bottom w:val="single" w:sz="4" w:space="0" w:color="auto"/>
            </w:tcBorders>
          </w:tcPr>
          <w:p w14:paraId="5B7E4208" w14:textId="77777777" w:rsidR="006C641A" w:rsidRPr="007D1918" w:rsidRDefault="006C641A" w:rsidP="00153384">
            <w:pPr>
              <w:keepNext/>
              <w:spacing w:after="40" w:line="240" w:lineRule="auto"/>
              <w:jc w:val="both"/>
              <w:rPr>
                <w:rFonts w:ascii="Arial Narrow" w:hAnsi="Arial Narrow"/>
                <w:b/>
                <w:sz w:val="20"/>
                <w:szCs w:val="20"/>
              </w:rPr>
            </w:pPr>
            <w:r w:rsidRPr="007D1918">
              <w:rPr>
                <w:rFonts w:ascii="Arial Narrow" w:hAnsi="Arial Narrow"/>
                <w:b/>
                <w:sz w:val="20"/>
                <w:szCs w:val="20"/>
              </w:rPr>
              <w:t>Total cumulative undiscounted costs over varying time horizons</w:t>
            </w:r>
          </w:p>
        </w:tc>
      </w:tr>
      <w:tr w:rsidR="006C641A" w:rsidRPr="007D1918" w14:paraId="7A330DB2"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140" w:type="dxa"/>
            <w:tcBorders>
              <w:bottom w:val="single" w:sz="4" w:space="0" w:color="auto"/>
            </w:tcBorders>
          </w:tcPr>
          <w:p w14:paraId="549C08DF" w14:textId="77777777" w:rsidR="006C641A" w:rsidRPr="007D1918" w:rsidRDefault="006C641A" w:rsidP="00153384">
            <w:pPr>
              <w:keepNext/>
              <w:spacing w:after="40" w:line="240" w:lineRule="auto"/>
              <w:jc w:val="both"/>
              <w:rPr>
                <w:rFonts w:ascii="Arial Narrow" w:hAnsi="Arial Narrow"/>
                <w:b/>
                <w:sz w:val="20"/>
                <w:szCs w:val="20"/>
              </w:rPr>
            </w:pPr>
          </w:p>
        </w:tc>
        <w:tc>
          <w:tcPr>
            <w:tcW w:w="1913" w:type="dxa"/>
            <w:tcBorders>
              <w:bottom w:val="single" w:sz="4" w:space="0" w:color="auto"/>
            </w:tcBorders>
          </w:tcPr>
          <w:p w14:paraId="010D2C08"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1 year</w:t>
            </w:r>
          </w:p>
        </w:tc>
        <w:tc>
          <w:tcPr>
            <w:tcW w:w="1914" w:type="dxa"/>
            <w:gridSpan w:val="2"/>
            <w:tcBorders>
              <w:bottom w:val="single" w:sz="4" w:space="0" w:color="auto"/>
            </w:tcBorders>
          </w:tcPr>
          <w:p w14:paraId="715EDA49"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2 years</w:t>
            </w:r>
          </w:p>
        </w:tc>
        <w:tc>
          <w:tcPr>
            <w:tcW w:w="1913" w:type="dxa"/>
            <w:gridSpan w:val="2"/>
            <w:tcBorders>
              <w:bottom w:val="single" w:sz="4" w:space="0" w:color="auto"/>
            </w:tcBorders>
          </w:tcPr>
          <w:p w14:paraId="5EE9293D"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5 years</w:t>
            </w:r>
          </w:p>
        </w:tc>
        <w:tc>
          <w:tcPr>
            <w:tcW w:w="1914" w:type="dxa"/>
            <w:gridSpan w:val="2"/>
            <w:tcBorders>
              <w:bottom w:val="single" w:sz="4" w:space="0" w:color="auto"/>
            </w:tcBorders>
          </w:tcPr>
          <w:p w14:paraId="31E0052B" w14:textId="77777777" w:rsidR="006C641A" w:rsidRPr="007D1918" w:rsidRDefault="006C641A"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10 years</w:t>
            </w:r>
          </w:p>
        </w:tc>
      </w:tr>
      <w:tr w:rsidR="006C641A" w:rsidRPr="007D1918" w14:paraId="42E7A8B6" w14:textId="77777777" w:rsidTr="00153384">
        <w:tc>
          <w:tcPr>
            <w:tcW w:w="4140" w:type="dxa"/>
            <w:tcBorders>
              <w:top w:val="single" w:sz="4" w:space="0" w:color="auto"/>
              <w:bottom w:val="single" w:sz="4" w:space="0" w:color="auto"/>
              <w:right w:val="single" w:sz="4" w:space="0" w:color="auto"/>
            </w:tcBorders>
          </w:tcPr>
          <w:p w14:paraId="13A16605" w14:textId="77777777" w:rsidR="006C641A" w:rsidRPr="007D1918" w:rsidRDefault="006C641A" w:rsidP="00153384">
            <w:pPr>
              <w:spacing w:after="40" w:line="240" w:lineRule="auto"/>
              <w:jc w:val="both"/>
              <w:rPr>
                <w:rFonts w:ascii="Arial Narrow" w:hAnsi="Arial Narrow"/>
                <w:b/>
                <w:sz w:val="20"/>
                <w:szCs w:val="20"/>
              </w:rPr>
            </w:pPr>
            <w:r w:rsidRPr="007D1918">
              <w:rPr>
                <w:rFonts w:ascii="Arial Narrow" w:hAnsi="Arial Narrow"/>
                <w:b/>
                <w:sz w:val="20"/>
                <w:szCs w:val="20"/>
              </w:rPr>
              <w:t>Surgery</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bottom"/>
          </w:tcPr>
          <w:p w14:paraId="31D38723" w14:textId="77777777" w:rsidR="006C641A" w:rsidRPr="007D1918" w:rsidRDefault="006C641A" w:rsidP="00153384">
            <w:pPr>
              <w:spacing w:after="40" w:line="240" w:lineRule="auto"/>
              <w:jc w:val="right"/>
              <w:rPr>
                <w:rFonts w:ascii="Arial Narrow" w:hAnsi="Arial Narrow"/>
                <w:sz w:val="20"/>
                <w:szCs w:val="20"/>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AF421D5" w14:textId="77777777" w:rsidR="006C641A" w:rsidRPr="007D1918" w:rsidRDefault="006C641A" w:rsidP="00153384">
            <w:pPr>
              <w:spacing w:after="40" w:line="240" w:lineRule="auto"/>
              <w:jc w:val="right"/>
              <w:rPr>
                <w:rFonts w:ascii="Arial Narrow" w:hAnsi="Arial Narrow"/>
                <w:sz w:val="20"/>
                <w:szCs w:val="20"/>
              </w:rPr>
            </w:pPr>
          </w:p>
        </w:tc>
        <w:tc>
          <w:tcPr>
            <w:tcW w:w="1913"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C2B33C" w14:textId="77777777" w:rsidR="006C641A" w:rsidRPr="007D1918" w:rsidRDefault="006C641A" w:rsidP="00153384">
            <w:pPr>
              <w:spacing w:after="40" w:line="240" w:lineRule="auto"/>
              <w:jc w:val="right"/>
              <w:rPr>
                <w:rFonts w:ascii="Arial Narrow" w:hAnsi="Arial Narrow"/>
                <w:sz w:val="20"/>
                <w:szCs w:val="20"/>
              </w:rPr>
            </w:pP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262C9E2" w14:textId="77777777" w:rsidR="006C641A" w:rsidRPr="007D1918" w:rsidRDefault="006C641A" w:rsidP="00153384">
            <w:pPr>
              <w:spacing w:after="40" w:line="240" w:lineRule="auto"/>
              <w:jc w:val="right"/>
              <w:rPr>
                <w:rFonts w:ascii="Arial Narrow" w:hAnsi="Arial Narrow"/>
                <w:sz w:val="20"/>
                <w:szCs w:val="20"/>
              </w:rPr>
            </w:pPr>
          </w:p>
        </w:tc>
      </w:tr>
      <w:tr w:rsidR="006C641A" w:rsidRPr="007D1918" w14:paraId="634AA213" w14:textId="77777777" w:rsidTr="00153384">
        <w:tc>
          <w:tcPr>
            <w:tcW w:w="4140" w:type="dxa"/>
          </w:tcPr>
          <w:p w14:paraId="4C401E24"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sz w:val="20"/>
                <w:szCs w:val="20"/>
              </w:rPr>
              <w:t>Thymectomy – once per lifetime</w:t>
            </w:r>
          </w:p>
        </w:tc>
        <w:tc>
          <w:tcPr>
            <w:tcW w:w="1913" w:type="dxa"/>
            <w:shd w:val="clear" w:color="auto" w:fill="auto"/>
          </w:tcPr>
          <w:p w14:paraId="52D1249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$47,335</w:t>
            </w:r>
          </w:p>
        </w:tc>
        <w:tc>
          <w:tcPr>
            <w:tcW w:w="1914" w:type="dxa"/>
            <w:gridSpan w:val="2"/>
            <w:shd w:val="clear" w:color="auto" w:fill="auto"/>
          </w:tcPr>
          <w:p w14:paraId="3C769D9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$47,335</w:t>
            </w:r>
          </w:p>
        </w:tc>
        <w:tc>
          <w:tcPr>
            <w:tcW w:w="1913" w:type="dxa"/>
            <w:gridSpan w:val="2"/>
            <w:shd w:val="clear" w:color="auto" w:fill="auto"/>
          </w:tcPr>
          <w:p w14:paraId="2D8760D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$47,335</w:t>
            </w:r>
          </w:p>
        </w:tc>
        <w:tc>
          <w:tcPr>
            <w:tcW w:w="1914" w:type="dxa"/>
            <w:gridSpan w:val="2"/>
            <w:shd w:val="clear" w:color="auto" w:fill="auto"/>
          </w:tcPr>
          <w:p w14:paraId="3D9A4B6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$47,335</w:t>
            </w:r>
          </w:p>
        </w:tc>
      </w:tr>
      <w:tr w:rsidR="006C641A" w:rsidRPr="007D1918" w14:paraId="26311C33" w14:textId="77777777" w:rsidTr="00153384">
        <w:tc>
          <w:tcPr>
            <w:tcW w:w="4140" w:type="dxa"/>
          </w:tcPr>
          <w:p w14:paraId="4138AAF0"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b/>
                <w:sz w:val="20"/>
                <w:szCs w:val="20"/>
              </w:rPr>
              <w:t xml:space="preserve">Other Pharmaceuticals </w:t>
            </w:r>
          </w:p>
        </w:tc>
        <w:tc>
          <w:tcPr>
            <w:tcW w:w="1913" w:type="dxa"/>
            <w:tcBorders>
              <w:bottom w:val="single" w:sz="4" w:space="0" w:color="auto"/>
            </w:tcBorders>
            <w:shd w:val="clear" w:color="auto" w:fill="auto"/>
          </w:tcPr>
          <w:p w14:paraId="36029294" w14:textId="77777777" w:rsidR="006C641A" w:rsidRPr="007D1918" w:rsidRDefault="006C641A" w:rsidP="00153384">
            <w:pPr>
              <w:spacing w:after="40" w:line="240" w:lineRule="auto"/>
              <w:jc w:val="right"/>
              <w:rPr>
                <w:rFonts w:ascii="Arial Narrow" w:hAnsi="Arial Narrow"/>
                <w:sz w:val="20"/>
                <w:szCs w:val="20"/>
              </w:rPr>
            </w:pPr>
          </w:p>
        </w:tc>
        <w:tc>
          <w:tcPr>
            <w:tcW w:w="1914" w:type="dxa"/>
            <w:gridSpan w:val="2"/>
            <w:shd w:val="clear" w:color="auto" w:fill="auto"/>
          </w:tcPr>
          <w:p w14:paraId="1BBE05FE" w14:textId="77777777" w:rsidR="006C641A" w:rsidRPr="007D1918" w:rsidRDefault="006C641A" w:rsidP="00153384">
            <w:pPr>
              <w:spacing w:after="40" w:line="240" w:lineRule="auto"/>
              <w:ind w:firstLine="567"/>
              <w:jc w:val="right"/>
              <w:rPr>
                <w:rFonts w:ascii="Arial Narrow" w:hAnsi="Arial Narrow"/>
                <w:sz w:val="20"/>
                <w:szCs w:val="20"/>
              </w:rPr>
            </w:pPr>
          </w:p>
        </w:tc>
        <w:tc>
          <w:tcPr>
            <w:tcW w:w="1913" w:type="dxa"/>
            <w:gridSpan w:val="2"/>
            <w:shd w:val="clear" w:color="auto" w:fill="auto"/>
          </w:tcPr>
          <w:p w14:paraId="63F8AD06" w14:textId="77777777" w:rsidR="006C641A" w:rsidRPr="007D1918" w:rsidRDefault="006C641A" w:rsidP="00153384">
            <w:pPr>
              <w:spacing w:after="40" w:line="240" w:lineRule="auto"/>
              <w:ind w:firstLine="567"/>
              <w:jc w:val="right"/>
              <w:rPr>
                <w:rFonts w:ascii="Arial Narrow" w:hAnsi="Arial Narrow"/>
                <w:sz w:val="20"/>
                <w:szCs w:val="20"/>
              </w:rPr>
            </w:pPr>
          </w:p>
        </w:tc>
        <w:tc>
          <w:tcPr>
            <w:tcW w:w="1914" w:type="dxa"/>
            <w:gridSpan w:val="2"/>
            <w:shd w:val="clear" w:color="auto" w:fill="auto"/>
          </w:tcPr>
          <w:p w14:paraId="5612B185" w14:textId="77777777" w:rsidR="006C641A" w:rsidRPr="007D1918" w:rsidRDefault="006C641A" w:rsidP="00153384">
            <w:pPr>
              <w:spacing w:after="40" w:line="240" w:lineRule="auto"/>
              <w:ind w:firstLine="567"/>
              <w:jc w:val="right"/>
              <w:rPr>
                <w:rFonts w:ascii="Arial Narrow" w:hAnsi="Arial Narrow"/>
                <w:sz w:val="20"/>
                <w:szCs w:val="20"/>
              </w:rPr>
            </w:pPr>
          </w:p>
        </w:tc>
      </w:tr>
      <w:tr w:rsidR="006C641A" w:rsidRPr="007D1918" w14:paraId="5738079E" w14:textId="77777777" w:rsidTr="00153384">
        <w:tc>
          <w:tcPr>
            <w:tcW w:w="4140" w:type="dxa"/>
            <w:tcBorders>
              <w:top w:val="single" w:sz="4" w:space="0" w:color="auto"/>
              <w:bottom w:val="single" w:sz="4" w:space="0" w:color="auto"/>
              <w:right w:val="single" w:sz="4" w:space="0" w:color="auto"/>
            </w:tcBorders>
          </w:tcPr>
          <w:p w14:paraId="4513A50C" w14:textId="77777777" w:rsidR="006C641A" w:rsidRPr="007D1918" w:rsidRDefault="006C641A" w:rsidP="00153384">
            <w:pPr>
              <w:spacing w:after="40" w:line="240" w:lineRule="auto"/>
              <w:ind w:left="205"/>
              <w:jc w:val="both"/>
              <w:rPr>
                <w:rFonts w:ascii="Arial Narrow" w:hAnsi="Arial Narrow"/>
                <w:sz w:val="20"/>
                <w:szCs w:val="20"/>
              </w:rPr>
            </w:pPr>
            <w:r w:rsidRPr="007D1918">
              <w:rPr>
                <w:rFonts w:ascii="Arial Narrow" w:hAnsi="Arial Narrow"/>
                <w:sz w:val="20"/>
                <w:szCs w:val="20"/>
              </w:rPr>
              <w:t>Prednisolone + Pyridostigmine (P+P)</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1DAF930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$1,241</w:t>
            </w:r>
          </w:p>
        </w:tc>
        <w:tc>
          <w:tcPr>
            <w:tcW w:w="1914" w:type="dxa"/>
            <w:gridSpan w:val="2"/>
            <w:tcBorders>
              <w:top w:val="nil"/>
              <w:left w:val="nil"/>
              <w:bottom w:val="single" w:sz="8" w:space="0" w:color="auto"/>
              <w:right w:val="single" w:sz="8" w:space="0" w:color="auto"/>
            </w:tcBorders>
            <w:shd w:val="clear" w:color="auto" w:fill="auto"/>
            <w:vAlign w:val="center"/>
          </w:tcPr>
          <w:p w14:paraId="73A7587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$2,422</w:t>
            </w:r>
          </w:p>
        </w:tc>
        <w:tc>
          <w:tcPr>
            <w:tcW w:w="1913" w:type="dxa"/>
            <w:gridSpan w:val="2"/>
            <w:tcBorders>
              <w:top w:val="nil"/>
              <w:left w:val="nil"/>
              <w:bottom w:val="single" w:sz="8" w:space="0" w:color="auto"/>
              <w:right w:val="single" w:sz="8" w:space="0" w:color="auto"/>
            </w:tcBorders>
            <w:shd w:val="clear" w:color="auto" w:fill="auto"/>
            <w:vAlign w:val="center"/>
          </w:tcPr>
          <w:p w14:paraId="75F8C109"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color w:val="000000"/>
                <w:sz w:val="20"/>
                <w:szCs w:val="20"/>
              </w:rPr>
              <w:t>$6,205</w:t>
            </w:r>
          </w:p>
        </w:tc>
        <w:tc>
          <w:tcPr>
            <w:tcW w:w="1914" w:type="dxa"/>
            <w:gridSpan w:val="2"/>
            <w:tcBorders>
              <w:top w:val="nil"/>
              <w:left w:val="nil"/>
              <w:bottom w:val="single" w:sz="8" w:space="0" w:color="auto"/>
              <w:right w:val="single" w:sz="8" w:space="0" w:color="auto"/>
            </w:tcBorders>
            <w:shd w:val="clear" w:color="auto" w:fill="auto"/>
            <w:vAlign w:val="center"/>
          </w:tcPr>
          <w:p w14:paraId="63127C5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color w:val="000000"/>
                <w:sz w:val="20"/>
                <w:szCs w:val="20"/>
              </w:rPr>
              <w:t>$12,410</w:t>
            </w:r>
          </w:p>
        </w:tc>
      </w:tr>
      <w:tr w:rsidR="006C641A" w:rsidRPr="007D1918" w14:paraId="00EB806C"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B890A39" w14:textId="77777777" w:rsidR="006C641A" w:rsidRPr="007D1918" w:rsidRDefault="006C641A" w:rsidP="00153384">
            <w:pPr>
              <w:pStyle w:val="Tabletext1"/>
              <w:rPr>
                <w:i/>
              </w:rPr>
            </w:pPr>
            <w:r w:rsidRPr="007D1918">
              <w:rPr>
                <w:color w:val="000000"/>
              </w:rPr>
              <w:t>Mycophenolate mofetil added to (P+P)</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359EDA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$3,308</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BFFA577"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$6,616</w:t>
            </w:r>
          </w:p>
        </w:tc>
        <w:tc>
          <w:tcPr>
            <w:tcW w:w="19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7BB93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$16,540</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A7E78C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$33,080</w:t>
            </w:r>
          </w:p>
        </w:tc>
      </w:tr>
      <w:tr w:rsidR="006C641A" w:rsidRPr="007D1918" w14:paraId="60CEAB25"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65AA6FD2" w14:textId="77777777" w:rsidR="006C641A" w:rsidRPr="007D1918" w:rsidRDefault="006C641A" w:rsidP="00153384">
            <w:pPr>
              <w:spacing w:after="40" w:line="240" w:lineRule="auto"/>
              <w:rPr>
                <w:rFonts w:ascii="Arial Narrow" w:hAnsi="Arial Narrow"/>
                <w:b/>
                <w:sz w:val="20"/>
                <w:szCs w:val="20"/>
              </w:rPr>
            </w:pPr>
            <w:r w:rsidRPr="007D1918">
              <w:rPr>
                <w:rFonts w:ascii="Arial Narrow" w:hAnsi="Arial Narrow"/>
                <w:color w:val="000000"/>
                <w:sz w:val="20"/>
                <w:szCs w:val="20"/>
              </w:rPr>
              <w:t>Azathioprine added to (P+P)</w:t>
            </w:r>
          </w:p>
        </w:tc>
        <w:tc>
          <w:tcPr>
            <w:tcW w:w="1913" w:type="dxa"/>
            <w:tcBorders>
              <w:top w:val="single" w:sz="4" w:space="0" w:color="auto"/>
              <w:left w:val="single" w:sz="4" w:space="0" w:color="auto"/>
              <w:bottom w:val="single" w:sz="4" w:space="0" w:color="auto"/>
              <w:right w:val="single" w:sz="4" w:space="0" w:color="auto"/>
            </w:tcBorders>
            <w:shd w:val="clear" w:color="auto" w:fill="auto"/>
            <w:vAlign w:val="center"/>
          </w:tcPr>
          <w:p w14:paraId="5690BB28"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$1,964</w:t>
            </w:r>
          </w:p>
        </w:tc>
        <w:tc>
          <w:tcPr>
            <w:tcW w:w="1914" w:type="dxa"/>
            <w:gridSpan w:val="2"/>
            <w:tcBorders>
              <w:top w:val="single" w:sz="4" w:space="0" w:color="auto"/>
              <w:left w:val="nil"/>
              <w:bottom w:val="single" w:sz="4" w:space="0" w:color="auto"/>
              <w:right w:val="single" w:sz="4" w:space="0" w:color="auto"/>
            </w:tcBorders>
            <w:shd w:val="clear" w:color="auto" w:fill="auto"/>
            <w:vAlign w:val="bottom"/>
          </w:tcPr>
          <w:p w14:paraId="0968DA1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$3,928</w:t>
            </w:r>
          </w:p>
        </w:tc>
        <w:tc>
          <w:tcPr>
            <w:tcW w:w="1913" w:type="dxa"/>
            <w:gridSpan w:val="2"/>
            <w:tcBorders>
              <w:top w:val="nil"/>
              <w:left w:val="single" w:sz="4" w:space="0" w:color="auto"/>
              <w:bottom w:val="single" w:sz="8" w:space="0" w:color="auto"/>
              <w:right w:val="single" w:sz="8" w:space="0" w:color="auto"/>
            </w:tcBorders>
            <w:shd w:val="clear" w:color="auto" w:fill="auto"/>
            <w:vAlign w:val="center"/>
          </w:tcPr>
          <w:p w14:paraId="1683F8D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color w:val="000000"/>
                <w:sz w:val="20"/>
                <w:szCs w:val="20"/>
              </w:rPr>
              <w:t>$9,820</w:t>
            </w:r>
          </w:p>
        </w:tc>
        <w:tc>
          <w:tcPr>
            <w:tcW w:w="1914" w:type="dxa"/>
            <w:gridSpan w:val="2"/>
            <w:tcBorders>
              <w:top w:val="nil"/>
              <w:left w:val="nil"/>
              <w:bottom w:val="single" w:sz="8" w:space="0" w:color="auto"/>
              <w:right w:val="single" w:sz="8" w:space="0" w:color="auto"/>
            </w:tcBorders>
            <w:shd w:val="clear" w:color="auto" w:fill="auto"/>
            <w:vAlign w:val="center"/>
          </w:tcPr>
          <w:p w14:paraId="5FEEA22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color w:val="000000"/>
                <w:sz w:val="20"/>
                <w:szCs w:val="20"/>
              </w:rPr>
              <w:t>$19,640</w:t>
            </w:r>
          </w:p>
        </w:tc>
      </w:tr>
      <w:tr w:rsidR="006C641A" w:rsidRPr="007D1918" w14:paraId="40A2C4EA"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73889E81" w14:textId="77777777" w:rsidR="006C641A" w:rsidRPr="007D1918" w:rsidRDefault="006C641A" w:rsidP="00153384">
            <w:pPr>
              <w:spacing w:after="40" w:line="240" w:lineRule="auto"/>
              <w:rPr>
                <w:rFonts w:ascii="Arial Narrow" w:hAnsi="Arial Narrow"/>
                <w:sz w:val="20"/>
                <w:szCs w:val="20"/>
              </w:rPr>
            </w:pPr>
            <w:r w:rsidRPr="007D1918">
              <w:rPr>
                <w:rFonts w:ascii="Arial Narrow" w:hAnsi="Arial Narrow"/>
                <w:color w:val="000000"/>
                <w:sz w:val="20"/>
                <w:szCs w:val="20"/>
              </w:rPr>
              <w:t>Methotrexate (+ folic acid) added to (P+P)</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5B35A29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$1,574</w:t>
            </w:r>
          </w:p>
        </w:tc>
        <w:tc>
          <w:tcPr>
            <w:tcW w:w="1914" w:type="dxa"/>
            <w:gridSpan w:val="2"/>
            <w:tcBorders>
              <w:top w:val="single" w:sz="4" w:space="0" w:color="auto"/>
              <w:left w:val="nil"/>
              <w:bottom w:val="single" w:sz="4" w:space="0" w:color="auto"/>
              <w:right w:val="single" w:sz="4" w:space="0" w:color="auto"/>
            </w:tcBorders>
            <w:shd w:val="clear" w:color="auto" w:fill="auto"/>
            <w:vAlign w:val="bottom"/>
          </w:tcPr>
          <w:p w14:paraId="33AA572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$3,148</w:t>
            </w:r>
          </w:p>
        </w:tc>
        <w:tc>
          <w:tcPr>
            <w:tcW w:w="1913" w:type="dxa"/>
            <w:gridSpan w:val="2"/>
            <w:tcBorders>
              <w:top w:val="nil"/>
              <w:left w:val="single" w:sz="4" w:space="0" w:color="auto"/>
              <w:bottom w:val="single" w:sz="4" w:space="0" w:color="auto"/>
              <w:right w:val="single" w:sz="8" w:space="0" w:color="auto"/>
            </w:tcBorders>
            <w:shd w:val="clear" w:color="auto" w:fill="auto"/>
            <w:vAlign w:val="center"/>
          </w:tcPr>
          <w:p w14:paraId="28DDB7FA"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$7,870</w:t>
            </w:r>
          </w:p>
        </w:tc>
        <w:tc>
          <w:tcPr>
            <w:tcW w:w="1914" w:type="dxa"/>
            <w:gridSpan w:val="2"/>
            <w:tcBorders>
              <w:top w:val="nil"/>
              <w:left w:val="nil"/>
              <w:bottom w:val="single" w:sz="4" w:space="0" w:color="auto"/>
              <w:right w:val="single" w:sz="8" w:space="0" w:color="auto"/>
            </w:tcBorders>
            <w:shd w:val="clear" w:color="auto" w:fill="auto"/>
            <w:vAlign w:val="center"/>
          </w:tcPr>
          <w:p w14:paraId="5CE7B8A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$15,740</w:t>
            </w:r>
          </w:p>
        </w:tc>
      </w:tr>
      <w:tr w:rsidR="006C641A" w:rsidRPr="007D1918" w14:paraId="6CBF76CC"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3F692956" w14:textId="77777777" w:rsidR="006C641A" w:rsidRPr="007D1918" w:rsidRDefault="006C641A" w:rsidP="00153384">
            <w:pPr>
              <w:spacing w:after="40" w:line="240" w:lineRule="auto"/>
              <w:rPr>
                <w:rFonts w:ascii="Arial Narrow" w:hAnsi="Arial Narrow"/>
                <w:sz w:val="20"/>
                <w:szCs w:val="20"/>
              </w:rPr>
            </w:pPr>
            <w:r w:rsidRPr="007D1918">
              <w:rPr>
                <w:rFonts w:ascii="Arial Narrow" w:hAnsi="Arial Narrow"/>
                <w:color w:val="000000"/>
                <w:sz w:val="20"/>
                <w:szCs w:val="20"/>
              </w:rPr>
              <w:t>Cyclophosphamide IV then Azathioprine (and P+P)</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4063AA6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$7,283</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8CE2F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$9,247</w:t>
            </w:r>
          </w:p>
        </w:tc>
        <w:tc>
          <w:tcPr>
            <w:tcW w:w="19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9EB3A3A"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$15,139</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025948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$24,959</w:t>
            </w:r>
          </w:p>
        </w:tc>
      </w:tr>
      <w:tr w:rsidR="006C641A" w:rsidRPr="007D1918" w14:paraId="2E83A951"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083D7137" w14:textId="77777777" w:rsidR="006C641A" w:rsidRPr="007D1918" w:rsidRDefault="006C641A" w:rsidP="00153384">
            <w:pPr>
              <w:spacing w:after="40" w:line="240" w:lineRule="auto"/>
              <w:rPr>
                <w:rFonts w:ascii="Arial Narrow" w:hAnsi="Arial Narrow"/>
                <w:b/>
                <w:i/>
                <w:sz w:val="20"/>
                <w:szCs w:val="20"/>
              </w:rPr>
            </w:pPr>
            <w:r w:rsidRPr="007D1918">
              <w:rPr>
                <w:rFonts w:ascii="Arial Narrow" w:hAnsi="Arial Narrow"/>
                <w:color w:val="000000"/>
                <w:sz w:val="20"/>
                <w:szCs w:val="20"/>
              </w:rPr>
              <w:t>Ciclosporin 100mg added to (P+P)</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382CFD4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$9,111</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CA23F"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$18,222</w:t>
            </w:r>
          </w:p>
        </w:tc>
        <w:tc>
          <w:tcPr>
            <w:tcW w:w="19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E9197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$45,555</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398A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$91,110</w:t>
            </w:r>
          </w:p>
        </w:tc>
      </w:tr>
      <w:tr w:rsidR="006C641A" w:rsidRPr="007D1918" w14:paraId="61E327BA"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0C0344D2" w14:textId="77777777" w:rsidR="006C641A" w:rsidRPr="007D1918" w:rsidRDefault="006C641A" w:rsidP="00153384">
            <w:pPr>
              <w:pStyle w:val="Tabletext1"/>
              <w:rPr>
                <w:i/>
              </w:rPr>
            </w:pPr>
            <w:r w:rsidRPr="007D1918">
              <w:rPr>
                <w:color w:val="000000"/>
              </w:rPr>
              <w:t>Rituximab added to (P+P)</w:t>
            </w:r>
          </w:p>
        </w:tc>
        <w:tc>
          <w:tcPr>
            <w:tcW w:w="1913" w:type="dxa"/>
            <w:tcBorders>
              <w:top w:val="single" w:sz="4" w:space="0" w:color="auto"/>
              <w:left w:val="single" w:sz="4" w:space="0" w:color="auto"/>
              <w:bottom w:val="single" w:sz="4" w:space="0" w:color="auto"/>
              <w:right w:val="single" w:sz="4" w:space="0" w:color="auto"/>
            </w:tcBorders>
            <w:shd w:val="clear" w:color="auto" w:fill="auto"/>
          </w:tcPr>
          <w:p w14:paraId="7473EF3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$8,341</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C593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$9,582</w:t>
            </w:r>
          </w:p>
        </w:tc>
        <w:tc>
          <w:tcPr>
            <w:tcW w:w="19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E8273D"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$20,405</w:t>
            </w:r>
          </w:p>
        </w:tc>
        <w:tc>
          <w:tcPr>
            <w:tcW w:w="191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36443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$33,710</w:t>
            </w:r>
          </w:p>
        </w:tc>
      </w:tr>
      <w:tr w:rsidR="006C641A" w:rsidRPr="007D1918" w14:paraId="561C2AA4" w14:textId="77777777" w:rsidTr="00153384">
        <w:tc>
          <w:tcPr>
            <w:tcW w:w="4140" w:type="dxa"/>
            <w:tcBorders>
              <w:top w:val="single" w:sz="4" w:space="0" w:color="auto"/>
              <w:bottom w:val="single" w:sz="4" w:space="0" w:color="auto"/>
              <w:right w:val="single" w:sz="4" w:space="0" w:color="auto"/>
            </w:tcBorders>
          </w:tcPr>
          <w:p w14:paraId="6277E42F" w14:textId="77777777" w:rsidR="006C641A" w:rsidRPr="007D1918" w:rsidRDefault="006C641A" w:rsidP="00153384">
            <w:pPr>
              <w:spacing w:after="40" w:line="240" w:lineRule="auto"/>
              <w:jc w:val="both"/>
              <w:rPr>
                <w:rFonts w:ascii="Arial Narrow" w:hAnsi="Arial Narrow"/>
                <w:b/>
                <w:sz w:val="20"/>
                <w:szCs w:val="20"/>
              </w:rPr>
            </w:pPr>
          </w:p>
        </w:tc>
        <w:tc>
          <w:tcPr>
            <w:tcW w:w="7654" w:type="dxa"/>
            <w:gridSpan w:val="7"/>
            <w:tcBorders>
              <w:top w:val="single" w:sz="4" w:space="0" w:color="auto"/>
              <w:bottom w:val="single" w:sz="4" w:space="0" w:color="auto"/>
              <w:right w:val="single" w:sz="4" w:space="0" w:color="auto"/>
            </w:tcBorders>
          </w:tcPr>
          <w:p w14:paraId="2C79C235" w14:textId="77777777" w:rsidR="006C641A" w:rsidRPr="007D1918" w:rsidRDefault="006C641A" w:rsidP="00153384">
            <w:pPr>
              <w:spacing w:after="40" w:line="240" w:lineRule="auto"/>
              <w:rPr>
                <w:rFonts w:ascii="Arial Narrow" w:hAnsi="Arial Narrow"/>
                <w:sz w:val="20"/>
                <w:szCs w:val="20"/>
              </w:rPr>
            </w:pPr>
            <w:r w:rsidRPr="007D1918">
              <w:rPr>
                <w:rFonts w:ascii="Arial Narrow" w:hAnsi="Arial Narrow"/>
                <w:b/>
                <w:sz w:val="20"/>
                <w:szCs w:val="20"/>
              </w:rPr>
              <w:t>Total cumulative discounted costs over varying time horizons</w:t>
            </w:r>
          </w:p>
        </w:tc>
      </w:tr>
      <w:tr w:rsidR="006C641A" w:rsidRPr="007D1918" w14:paraId="5A945111" w14:textId="77777777" w:rsidTr="00153384">
        <w:tc>
          <w:tcPr>
            <w:tcW w:w="4140" w:type="dxa"/>
            <w:tcBorders>
              <w:top w:val="single" w:sz="4" w:space="0" w:color="auto"/>
              <w:bottom w:val="single" w:sz="4" w:space="0" w:color="auto"/>
              <w:right w:val="single" w:sz="4" w:space="0" w:color="auto"/>
            </w:tcBorders>
          </w:tcPr>
          <w:p w14:paraId="119CC90C" w14:textId="77777777" w:rsidR="006C641A" w:rsidRPr="007D1918" w:rsidRDefault="006C641A" w:rsidP="00153384">
            <w:pPr>
              <w:spacing w:after="40" w:line="240" w:lineRule="auto"/>
              <w:jc w:val="both"/>
              <w:rPr>
                <w:rFonts w:ascii="Arial Narrow" w:hAnsi="Arial Narrow"/>
                <w:b/>
                <w:sz w:val="20"/>
                <w:szCs w:val="20"/>
              </w:rPr>
            </w:pPr>
            <w:r w:rsidRPr="007D1918">
              <w:rPr>
                <w:rFonts w:ascii="Arial Narrow" w:hAnsi="Arial Narrow"/>
                <w:b/>
                <w:sz w:val="20"/>
                <w:szCs w:val="20"/>
              </w:rPr>
              <w:t>Surgery</w:t>
            </w:r>
          </w:p>
        </w:tc>
        <w:tc>
          <w:tcPr>
            <w:tcW w:w="192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46D98150" w14:textId="77777777" w:rsidR="006C641A" w:rsidRPr="007D1918" w:rsidRDefault="006C641A" w:rsidP="00153384">
            <w:pPr>
              <w:spacing w:after="40" w:line="240" w:lineRule="auto"/>
              <w:jc w:val="right"/>
              <w:rPr>
                <w:rFonts w:ascii="Arial Narrow" w:hAnsi="Arial Narrow"/>
                <w:sz w:val="20"/>
                <w:szCs w:val="20"/>
              </w:rPr>
            </w:pP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142BD7F" w14:textId="77777777" w:rsidR="006C641A" w:rsidRPr="007D1918" w:rsidRDefault="006C641A" w:rsidP="00153384">
            <w:pPr>
              <w:spacing w:after="40" w:line="240" w:lineRule="auto"/>
              <w:jc w:val="right"/>
              <w:rPr>
                <w:rFonts w:ascii="Arial Narrow" w:hAnsi="Arial Narrow"/>
                <w:sz w:val="20"/>
                <w:szCs w:val="20"/>
              </w:rPr>
            </w:pP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86C660A" w14:textId="77777777" w:rsidR="006C641A" w:rsidRPr="007D1918" w:rsidRDefault="006C641A" w:rsidP="00153384">
            <w:pPr>
              <w:spacing w:after="40" w:line="240" w:lineRule="auto"/>
              <w:jc w:val="right"/>
              <w:rPr>
                <w:rFonts w:ascii="Arial Narrow" w:hAnsi="Arial Narrow"/>
                <w:sz w:val="20"/>
                <w:szCs w:val="20"/>
              </w:rPr>
            </w:pPr>
          </w:p>
        </w:tc>
        <w:tc>
          <w:tcPr>
            <w:tcW w:w="1871" w:type="dxa"/>
            <w:tcBorders>
              <w:top w:val="single" w:sz="4" w:space="0" w:color="auto"/>
              <w:left w:val="single" w:sz="4" w:space="0" w:color="auto"/>
              <w:bottom w:val="single" w:sz="4" w:space="0" w:color="auto"/>
              <w:right w:val="single" w:sz="4" w:space="0" w:color="auto"/>
            </w:tcBorders>
            <w:shd w:val="clear" w:color="auto" w:fill="auto"/>
            <w:vAlign w:val="bottom"/>
          </w:tcPr>
          <w:p w14:paraId="11934A41" w14:textId="77777777" w:rsidR="006C641A" w:rsidRPr="007D1918" w:rsidRDefault="006C641A" w:rsidP="00153384">
            <w:pPr>
              <w:spacing w:after="40" w:line="240" w:lineRule="auto"/>
              <w:jc w:val="right"/>
              <w:rPr>
                <w:rFonts w:ascii="Arial Narrow" w:hAnsi="Arial Narrow"/>
                <w:sz w:val="20"/>
                <w:szCs w:val="20"/>
              </w:rPr>
            </w:pPr>
          </w:p>
        </w:tc>
      </w:tr>
      <w:tr w:rsidR="006C641A" w:rsidRPr="007D1918" w14:paraId="0B949153" w14:textId="77777777" w:rsidTr="00153384">
        <w:tc>
          <w:tcPr>
            <w:tcW w:w="4140" w:type="dxa"/>
          </w:tcPr>
          <w:p w14:paraId="06F6CE86"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sz w:val="20"/>
                <w:szCs w:val="20"/>
              </w:rPr>
              <w:t>Thymectomy – once per lifetime</w:t>
            </w:r>
          </w:p>
        </w:tc>
        <w:tc>
          <w:tcPr>
            <w:tcW w:w="1927" w:type="dxa"/>
            <w:gridSpan w:val="2"/>
            <w:shd w:val="clear" w:color="auto" w:fill="auto"/>
          </w:tcPr>
          <w:p w14:paraId="455D99E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$47,257</w:t>
            </w:r>
          </w:p>
        </w:tc>
        <w:tc>
          <w:tcPr>
            <w:tcW w:w="1928" w:type="dxa"/>
            <w:gridSpan w:val="2"/>
            <w:shd w:val="clear" w:color="auto" w:fill="auto"/>
          </w:tcPr>
          <w:p w14:paraId="32E55D9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$47,257</w:t>
            </w:r>
          </w:p>
        </w:tc>
        <w:tc>
          <w:tcPr>
            <w:tcW w:w="1928" w:type="dxa"/>
            <w:gridSpan w:val="2"/>
            <w:shd w:val="clear" w:color="auto" w:fill="auto"/>
          </w:tcPr>
          <w:p w14:paraId="2443AE8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$47,257</w:t>
            </w:r>
          </w:p>
        </w:tc>
        <w:tc>
          <w:tcPr>
            <w:tcW w:w="1871" w:type="dxa"/>
            <w:shd w:val="clear" w:color="auto" w:fill="auto"/>
          </w:tcPr>
          <w:p w14:paraId="538AB6D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$47,257</w:t>
            </w:r>
          </w:p>
        </w:tc>
      </w:tr>
      <w:tr w:rsidR="006C641A" w:rsidRPr="007D1918" w14:paraId="727A4FF7" w14:textId="77777777" w:rsidTr="00153384">
        <w:tc>
          <w:tcPr>
            <w:tcW w:w="4140" w:type="dxa"/>
          </w:tcPr>
          <w:p w14:paraId="5D97DA5E" w14:textId="77777777" w:rsidR="006C641A" w:rsidRPr="007D1918" w:rsidRDefault="006C641A" w:rsidP="00153384">
            <w:pPr>
              <w:spacing w:after="40" w:line="240" w:lineRule="auto"/>
              <w:jc w:val="both"/>
              <w:rPr>
                <w:rFonts w:ascii="Arial Narrow" w:hAnsi="Arial Narrow"/>
                <w:b/>
                <w:sz w:val="20"/>
                <w:szCs w:val="20"/>
              </w:rPr>
            </w:pPr>
            <w:r w:rsidRPr="007D1918">
              <w:rPr>
                <w:rFonts w:ascii="Arial Narrow" w:hAnsi="Arial Narrow"/>
                <w:b/>
                <w:sz w:val="20"/>
                <w:szCs w:val="20"/>
              </w:rPr>
              <w:t xml:space="preserve">Other Pharmaceuticals </w:t>
            </w:r>
          </w:p>
        </w:tc>
        <w:tc>
          <w:tcPr>
            <w:tcW w:w="1927" w:type="dxa"/>
            <w:gridSpan w:val="2"/>
            <w:tcBorders>
              <w:bottom w:val="single" w:sz="4" w:space="0" w:color="auto"/>
            </w:tcBorders>
            <w:shd w:val="clear" w:color="auto" w:fill="auto"/>
          </w:tcPr>
          <w:p w14:paraId="25A1315A" w14:textId="77777777" w:rsidR="006C641A" w:rsidRPr="007D1918" w:rsidRDefault="006C641A" w:rsidP="00153384">
            <w:pPr>
              <w:spacing w:after="40" w:line="240" w:lineRule="auto"/>
              <w:jc w:val="right"/>
              <w:rPr>
                <w:rFonts w:ascii="Arial Narrow" w:hAnsi="Arial Narrow"/>
                <w:sz w:val="20"/>
                <w:szCs w:val="20"/>
              </w:rPr>
            </w:pPr>
          </w:p>
        </w:tc>
        <w:tc>
          <w:tcPr>
            <w:tcW w:w="1928" w:type="dxa"/>
            <w:gridSpan w:val="2"/>
            <w:shd w:val="clear" w:color="auto" w:fill="auto"/>
          </w:tcPr>
          <w:p w14:paraId="33EEFE12" w14:textId="77777777" w:rsidR="006C641A" w:rsidRPr="007D1918" w:rsidRDefault="006C641A" w:rsidP="00153384">
            <w:pPr>
              <w:spacing w:after="40" w:line="240" w:lineRule="auto"/>
              <w:jc w:val="right"/>
              <w:rPr>
                <w:rFonts w:ascii="Arial Narrow" w:hAnsi="Arial Narrow"/>
                <w:sz w:val="20"/>
                <w:szCs w:val="20"/>
              </w:rPr>
            </w:pPr>
          </w:p>
        </w:tc>
        <w:tc>
          <w:tcPr>
            <w:tcW w:w="1928" w:type="dxa"/>
            <w:gridSpan w:val="2"/>
            <w:shd w:val="clear" w:color="auto" w:fill="auto"/>
          </w:tcPr>
          <w:p w14:paraId="7295D11A" w14:textId="77777777" w:rsidR="006C641A" w:rsidRPr="007D1918" w:rsidRDefault="006C641A" w:rsidP="00153384">
            <w:pPr>
              <w:spacing w:after="40" w:line="240" w:lineRule="auto"/>
              <w:jc w:val="right"/>
              <w:rPr>
                <w:rFonts w:ascii="Arial Narrow" w:hAnsi="Arial Narrow"/>
                <w:sz w:val="20"/>
                <w:szCs w:val="20"/>
              </w:rPr>
            </w:pPr>
          </w:p>
        </w:tc>
        <w:tc>
          <w:tcPr>
            <w:tcW w:w="1871" w:type="dxa"/>
            <w:shd w:val="clear" w:color="auto" w:fill="auto"/>
          </w:tcPr>
          <w:p w14:paraId="7883C71B" w14:textId="77777777" w:rsidR="006C641A" w:rsidRPr="007D1918" w:rsidRDefault="006C641A" w:rsidP="00153384">
            <w:pPr>
              <w:spacing w:after="40" w:line="240" w:lineRule="auto"/>
              <w:jc w:val="right"/>
              <w:rPr>
                <w:rFonts w:ascii="Arial Narrow" w:hAnsi="Arial Narrow"/>
                <w:sz w:val="20"/>
                <w:szCs w:val="20"/>
              </w:rPr>
            </w:pPr>
          </w:p>
        </w:tc>
      </w:tr>
      <w:tr w:rsidR="006C641A" w:rsidRPr="007D1918" w14:paraId="766F8371" w14:textId="77777777" w:rsidTr="00153384">
        <w:tc>
          <w:tcPr>
            <w:tcW w:w="4140" w:type="dxa"/>
            <w:tcBorders>
              <w:top w:val="single" w:sz="4" w:space="0" w:color="auto"/>
              <w:bottom w:val="single" w:sz="4" w:space="0" w:color="auto"/>
              <w:right w:val="single" w:sz="4" w:space="0" w:color="auto"/>
            </w:tcBorders>
          </w:tcPr>
          <w:p w14:paraId="595AABFE" w14:textId="77777777" w:rsidR="006C641A" w:rsidRPr="007D1918" w:rsidRDefault="006C641A" w:rsidP="00153384">
            <w:pPr>
              <w:spacing w:after="40" w:line="240" w:lineRule="auto"/>
              <w:ind w:firstLine="205"/>
              <w:jc w:val="both"/>
              <w:rPr>
                <w:rFonts w:ascii="Arial Narrow" w:hAnsi="Arial Narrow"/>
                <w:sz w:val="20"/>
                <w:szCs w:val="20"/>
              </w:rPr>
            </w:pPr>
            <w:r w:rsidRPr="007D1918">
              <w:rPr>
                <w:rFonts w:ascii="Arial Narrow" w:hAnsi="Arial Narrow"/>
                <w:sz w:val="20"/>
                <w:szCs w:val="20"/>
              </w:rPr>
              <w:t>Prednisolone + Pyridostigmine (P+P)</w:t>
            </w:r>
          </w:p>
        </w:tc>
        <w:tc>
          <w:tcPr>
            <w:tcW w:w="19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685137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$1,241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3A481D5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$2,420</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B9B328D"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$5,615</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BEF4D27"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$9,959</w:t>
            </w:r>
          </w:p>
        </w:tc>
      </w:tr>
      <w:tr w:rsidR="006C641A" w:rsidRPr="007D1918" w14:paraId="76B88C68"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2F1281AF"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color w:val="000000"/>
                <w:sz w:val="20"/>
                <w:szCs w:val="20"/>
              </w:rPr>
              <w:t>Mycophenolate mofetil added to (P+P)</w:t>
            </w:r>
          </w:p>
        </w:tc>
        <w:tc>
          <w:tcPr>
            <w:tcW w:w="19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05E55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$3,308</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3B775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$6,450</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015D5A7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$14,965</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75631F6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$26,545</w:t>
            </w:r>
          </w:p>
        </w:tc>
      </w:tr>
      <w:tr w:rsidR="006C641A" w:rsidRPr="007D1918" w14:paraId="7ECD34DD"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20EF5D02"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color w:val="000000"/>
                <w:sz w:val="20"/>
                <w:szCs w:val="20"/>
              </w:rPr>
              <w:t>Azathioprine added to (P+P)</w:t>
            </w:r>
          </w:p>
        </w:tc>
        <w:tc>
          <w:tcPr>
            <w:tcW w:w="19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CFC68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$1,964</w:t>
            </w:r>
          </w:p>
        </w:tc>
        <w:tc>
          <w:tcPr>
            <w:tcW w:w="1928" w:type="dxa"/>
            <w:gridSpan w:val="2"/>
            <w:tcBorders>
              <w:top w:val="nil"/>
              <w:left w:val="nil"/>
              <w:bottom w:val="single" w:sz="8" w:space="0" w:color="auto"/>
              <w:right w:val="single" w:sz="8" w:space="0" w:color="auto"/>
            </w:tcBorders>
            <w:shd w:val="clear" w:color="auto" w:fill="auto"/>
            <w:vAlign w:val="center"/>
          </w:tcPr>
          <w:p w14:paraId="52FF2638"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$3,829</w:t>
            </w:r>
          </w:p>
        </w:tc>
        <w:tc>
          <w:tcPr>
            <w:tcW w:w="1928" w:type="dxa"/>
            <w:gridSpan w:val="2"/>
            <w:tcBorders>
              <w:top w:val="single" w:sz="4" w:space="0" w:color="auto"/>
              <w:bottom w:val="single" w:sz="4" w:space="0" w:color="auto"/>
            </w:tcBorders>
            <w:shd w:val="clear" w:color="auto" w:fill="FFFFFF" w:themeFill="background1"/>
          </w:tcPr>
          <w:p w14:paraId="216A06A4"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$8,884</w:t>
            </w:r>
          </w:p>
        </w:tc>
        <w:tc>
          <w:tcPr>
            <w:tcW w:w="1871" w:type="dxa"/>
            <w:tcBorders>
              <w:top w:val="single" w:sz="4" w:space="0" w:color="auto"/>
              <w:bottom w:val="single" w:sz="4" w:space="0" w:color="auto"/>
            </w:tcBorders>
            <w:shd w:val="clear" w:color="auto" w:fill="FFFFFF" w:themeFill="background1"/>
          </w:tcPr>
          <w:p w14:paraId="7B8D825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$15,758</w:t>
            </w:r>
          </w:p>
        </w:tc>
      </w:tr>
      <w:tr w:rsidR="006C641A" w:rsidRPr="007D1918" w14:paraId="1D87C339"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21720197"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color w:val="000000"/>
                <w:sz w:val="20"/>
                <w:szCs w:val="20"/>
              </w:rPr>
              <w:t>Methotrexate (+ folic acid) added to (P+P)</w:t>
            </w:r>
          </w:p>
        </w:tc>
        <w:tc>
          <w:tcPr>
            <w:tcW w:w="19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3C8B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$1,574</w:t>
            </w:r>
          </w:p>
        </w:tc>
        <w:tc>
          <w:tcPr>
            <w:tcW w:w="1928" w:type="dxa"/>
            <w:gridSpan w:val="2"/>
            <w:tcBorders>
              <w:top w:val="nil"/>
              <w:left w:val="nil"/>
              <w:bottom w:val="single" w:sz="4" w:space="0" w:color="auto"/>
              <w:right w:val="single" w:sz="8" w:space="0" w:color="auto"/>
            </w:tcBorders>
            <w:shd w:val="clear" w:color="auto" w:fill="auto"/>
            <w:vAlign w:val="center"/>
          </w:tcPr>
          <w:p w14:paraId="6527B333"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$3,068</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12978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$7,119</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474AD98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$12,628</w:t>
            </w:r>
          </w:p>
        </w:tc>
      </w:tr>
      <w:tr w:rsidR="006C641A" w:rsidRPr="007D1918" w14:paraId="05BB4C09"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7C591781"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color w:val="000000"/>
                <w:sz w:val="20"/>
                <w:szCs w:val="20"/>
              </w:rPr>
              <w:t>Cyclophosphamide IV then Azathioprine (and P+P)</w:t>
            </w:r>
          </w:p>
        </w:tc>
        <w:tc>
          <w:tcPr>
            <w:tcW w:w="192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0E799B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$7,283</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01B47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$9,149</w:t>
            </w:r>
          </w:p>
        </w:tc>
        <w:tc>
          <w:tcPr>
            <w:tcW w:w="192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74F3A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$14,205</w:t>
            </w:r>
          </w:p>
        </w:tc>
        <w:tc>
          <w:tcPr>
            <w:tcW w:w="1871"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5DB50CD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$21,081</w:t>
            </w:r>
          </w:p>
        </w:tc>
      </w:tr>
      <w:tr w:rsidR="006C641A" w:rsidRPr="007D1918" w14:paraId="3C5B4B1B"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7D60AF43"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color w:val="000000"/>
                <w:sz w:val="20"/>
                <w:szCs w:val="20"/>
              </w:rPr>
              <w:t>Ciclosporin 100mg added to (P+P)</w:t>
            </w:r>
          </w:p>
        </w:tc>
        <w:tc>
          <w:tcPr>
            <w:tcW w:w="1927" w:type="dxa"/>
            <w:gridSpan w:val="2"/>
            <w:tcBorders>
              <w:top w:val="single" w:sz="4" w:space="0" w:color="auto"/>
              <w:left w:val="single" w:sz="4" w:space="0" w:color="auto"/>
              <w:bottom w:val="single" w:sz="4" w:space="0" w:color="auto"/>
              <w:right w:val="nil"/>
            </w:tcBorders>
            <w:shd w:val="clear" w:color="auto" w:fill="FFFFFF" w:themeFill="background1"/>
          </w:tcPr>
          <w:p w14:paraId="01308DD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$9,111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EBD0A67"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$17,766</w:t>
            </w:r>
          </w:p>
        </w:tc>
        <w:tc>
          <w:tcPr>
            <w:tcW w:w="1928" w:type="dxa"/>
            <w:gridSpan w:val="2"/>
            <w:tcBorders>
              <w:top w:val="single" w:sz="4" w:space="0" w:color="auto"/>
              <w:bottom w:val="single" w:sz="4" w:space="0" w:color="auto"/>
            </w:tcBorders>
            <w:shd w:val="clear" w:color="auto" w:fill="FFFFFF" w:themeFill="background1"/>
            <w:vAlign w:val="bottom"/>
          </w:tcPr>
          <w:p w14:paraId="7544E0D7"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$41,222</w:t>
            </w:r>
          </w:p>
        </w:tc>
        <w:tc>
          <w:tcPr>
            <w:tcW w:w="1871" w:type="dxa"/>
            <w:tcBorders>
              <w:top w:val="single" w:sz="4" w:space="0" w:color="auto"/>
              <w:bottom w:val="single" w:sz="4" w:space="0" w:color="auto"/>
            </w:tcBorders>
            <w:shd w:val="clear" w:color="auto" w:fill="FFFFFF" w:themeFill="background1"/>
            <w:vAlign w:val="bottom"/>
          </w:tcPr>
          <w:p w14:paraId="6E729216"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$73,118</w:t>
            </w:r>
          </w:p>
        </w:tc>
      </w:tr>
      <w:tr w:rsidR="006C641A" w:rsidRPr="007D1918" w14:paraId="07283F2E" w14:textId="77777777" w:rsidTr="00153384">
        <w:tc>
          <w:tcPr>
            <w:tcW w:w="4140" w:type="dxa"/>
            <w:tcBorders>
              <w:top w:val="single" w:sz="4" w:space="0" w:color="auto"/>
              <w:left w:val="single" w:sz="4" w:space="0" w:color="auto"/>
              <w:bottom w:val="single" w:sz="4" w:space="0" w:color="auto"/>
              <w:right w:val="single" w:sz="4" w:space="0" w:color="auto"/>
            </w:tcBorders>
            <w:shd w:val="clear" w:color="auto" w:fill="auto"/>
            <w:vAlign w:val="center"/>
          </w:tcPr>
          <w:p w14:paraId="155D210E"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color w:val="000000"/>
                <w:sz w:val="20"/>
                <w:szCs w:val="20"/>
              </w:rPr>
              <w:t>Rituximab added to (P+P)</w:t>
            </w:r>
          </w:p>
        </w:tc>
        <w:tc>
          <w:tcPr>
            <w:tcW w:w="1927" w:type="dxa"/>
            <w:gridSpan w:val="2"/>
            <w:tcBorders>
              <w:top w:val="single" w:sz="4" w:space="0" w:color="auto"/>
              <w:left w:val="single" w:sz="4" w:space="0" w:color="auto"/>
              <w:bottom w:val="single" w:sz="4" w:space="0" w:color="auto"/>
              <w:right w:val="nil"/>
            </w:tcBorders>
            <w:shd w:val="clear" w:color="auto" w:fill="FFFFFF" w:themeFill="background1"/>
          </w:tcPr>
          <w:p w14:paraId="30C9CC2F"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$8,341</w:t>
            </w:r>
          </w:p>
        </w:tc>
        <w:tc>
          <w:tcPr>
            <w:tcW w:w="19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AB067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$9,519</w:t>
            </w:r>
          </w:p>
        </w:tc>
        <w:tc>
          <w:tcPr>
            <w:tcW w:w="1928" w:type="dxa"/>
            <w:gridSpan w:val="2"/>
            <w:tcBorders>
              <w:top w:val="single" w:sz="4" w:space="0" w:color="auto"/>
              <w:bottom w:val="single" w:sz="4" w:space="0" w:color="auto"/>
            </w:tcBorders>
            <w:shd w:val="clear" w:color="auto" w:fill="FFFFFF" w:themeFill="background1"/>
            <w:vAlign w:val="bottom"/>
          </w:tcPr>
          <w:p w14:paraId="6423991C"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$18,810</w:t>
            </w:r>
          </w:p>
        </w:tc>
        <w:tc>
          <w:tcPr>
            <w:tcW w:w="1871" w:type="dxa"/>
            <w:tcBorders>
              <w:top w:val="single" w:sz="4" w:space="0" w:color="auto"/>
              <w:bottom w:val="single" w:sz="4" w:space="0" w:color="auto"/>
            </w:tcBorders>
            <w:shd w:val="clear" w:color="auto" w:fill="FFFFFF" w:themeFill="background1"/>
            <w:vAlign w:val="bottom"/>
          </w:tcPr>
          <w:p w14:paraId="44B5A28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$28,119</w:t>
            </w:r>
          </w:p>
        </w:tc>
      </w:tr>
    </w:tbl>
    <w:p w14:paraId="2E0C750B" w14:textId="77777777" w:rsidR="006C641A" w:rsidRPr="007D1918" w:rsidRDefault="006C641A" w:rsidP="006C641A">
      <w:pPr>
        <w:pStyle w:val="Tablenotes1"/>
        <w:spacing w:after="360"/>
      </w:pPr>
      <w:r w:rsidRPr="007D1918">
        <w:t>IVIg = intravenous immunoglobulin; FFP = fresh frozen plasma; PE = plasma exchange; P+P =</w:t>
      </w:r>
      <w:r w:rsidRPr="007D1918">
        <w:rPr>
          <w:sz w:val="20"/>
          <w:szCs w:val="20"/>
        </w:rPr>
        <w:t xml:space="preserve"> Prednisolone + Pyridostigmine</w:t>
      </w:r>
    </w:p>
    <w:p w14:paraId="2EF2FCB7" w14:textId="77777777" w:rsidR="006C641A" w:rsidRPr="007D1918" w:rsidRDefault="006C641A" w:rsidP="006C641A"/>
    <w:p w14:paraId="3AD5CA87" w14:textId="77777777" w:rsidR="006C641A" w:rsidRPr="007D1918" w:rsidRDefault="006C641A" w:rsidP="006C641A">
      <w:pPr>
        <w:spacing w:after="0" w:line="240" w:lineRule="auto"/>
        <w:sectPr w:rsidR="006C641A" w:rsidRPr="007D1918" w:rsidSect="005619FC">
          <w:pgSz w:w="16838" w:h="11906" w:orient="landscape"/>
          <w:pgMar w:top="1440" w:right="1440" w:bottom="1440" w:left="1440" w:header="720" w:footer="720" w:gutter="0"/>
          <w:paperSrc w:first="262" w:other="262"/>
          <w:cols w:space="720"/>
        </w:sectPr>
      </w:pPr>
    </w:p>
    <w:p w14:paraId="6013B31C" w14:textId="1C79297A" w:rsidR="0038442A" w:rsidRPr="007D1918" w:rsidRDefault="006C641A" w:rsidP="006C641A">
      <w:pPr>
        <w:jc w:val="both"/>
      </w:pPr>
      <w:r w:rsidRPr="007D1918">
        <w:lastRenderedPageBreak/>
        <w:t xml:space="preserve">Although surgery is relatively more expensive than all other therapies (other than high dose IVIg) in the initial year of treatment, it is not particularly expensive compared to long-term blood or </w:t>
      </w:r>
      <w:r w:rsidR="0038442A" w:rsidRPr="007D1918">
        <w:t>pharmaceutical treatments.</w:t>
      </w:r>
    </w:p>
    <w:p w14:paraId="49F089D9" w14:textId="04240C5C" w:rsidR="003554CF" w:rsidRPr="007D1918" w:rsidRDefault="003554CF" w:rsidP="003554CF">
      <w:pPr>
        <w:jc w:val="both"/>
      </w:pPr>
      <w:r w:rsidRPr="007D1918">
        <w:t xml:space="preserve">Sensitivity analyses around IVIg costs were conducted on the base case (usage based on NBA data, discounted analysis) to identify the extent to which the total costs associated with IVIg use for maintenance therapy in refractory MG were sensitive to the price for IVIg, over different time horizons. These analyses are presented in </w:t>
      </w:r>
      <w:r w:rsidR="00F55909" w:rsidRPr="007D1918">
        <w:fldChar w:fldCharType="begin"/>
      </w:r>
      <w:r w:rsidR="00F55909" w:rsidRPr="007D1918">
        <w:instrText xml:space="preserve"> REF _Ref23765198 \h </w:instrText>
      </w:r>
      <w:r w:rsidR="007D1918">
        <w:instrText xml:space="preserve"> \* MERGEFORMAT </w:instrText>
      </w:r>
      <w:r w:rsidR="00F55909" w:rsidRPr="007D1918">
        <w:fldChar w:fldCharType="separate"/>
      </w:r>
      <w:r w:rsidR="00B865E7" w:rsidRPr="007D1918">
        <w:t xml:space="preserve">Table </w:t>
      </w:r>
      <w:r w:rsidR="00B865E7" w:rsidRPr="007D1918">
        <w:rPr>
          <w:noProof/>
        </w:rPr>
        <w:t>89</w:t>
      </w:r>
      <w:r w:rsidR="00F55909" w:rsidRPr="007D1918">
        <w:fldChar w:fldCharType="end"/>
      </w:r>
      <w:r w:rsidR="00F55909" w:rsidRPr="007D1918">
        <w:t xml:space="preserve">, </w:t>
      </w:r>
      <w:r w:rsidRPr="007D1918">
        <w:t>below.</w:t>
      </w:r>
    </w:p>
    <w:p w14:paraId="2BE535F5" w14:textId="686159BB" w:rsidR="003554CF" w:rsidRPr="007D1918" w:rsidRDefault="003554CF" w:rsidP="003554CF">
      <w:pPr>
        <w:pStyle w:val="Caption"/>
      </w:pPr>
      <w:bookmarkStart w:id="474" w:name="_Ref23765198"/>
      <w:bookmarkStart w:id="475" w:name="_Toc23769576"/>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89</w:t>
      </w:r>
      <w:r w:rsidRPr="007D1918">
        <w:rPr>
          <w:noProof/>
        </w:rPr>
        <w:fldChar w:fldCharType="end"/>
      </w:r>
      <w:bookmarkEnd w:id="474"/>
      <w:r w:rsidRPr="007D1918">
        <w:tab/>
        <w:t>Indication 3 Sensitivity analyses; IVIg costs with alternate IVIg prices (discounted analysis)</w:t>
      </w:r>
      <w:bookmarkEnd w:id="475"/>
    </w:p>
    <w:tbl>
      <w:tblPr>
        <w:tblStyle w:val="TableGrid1"/>
        <w:tblW w:w="4871" w:type="pct"/>
        <w:tblLayout w:type="fixed"/>
        <w:tblLook w:val="04A0" w:firstRow="1" w:lastRow="0" w:firstColumn="1" w:lastColumn="0" w:noHBand="0" w:noVBand="1"/>
        <w:tblCaption w:val="Key sensitivity analyses"/>
      </w:tblPr>
      <w:tblGrid>
        <w:gridCol w:w="3965"/>
        <w:gridCol w:w="1606"/>
        <w:gridCol w:w="1606"/>
        <w:gridCol w:w="1606"/>
      </w:tblGrid>
      <w:tr w:rsidR="003554CF" w:rsidRPr="007D1918" w14:paraId="33101069" w14:textId="77777777" w:rsidTr="00FD38A8">
        <w:trPr>
          <w:cnfStyle w:val="100000000000" w:firstRow="1" w:lastRow="0" w:firstColumn="0" w:lastColumn="0" w:oddVBand="0" w:evenVBand="0" w:oddHBand="0" w:evenHBand="0" w:firstRowFirstColumn="0" w:firstRowLastColumn="0" w:lastRowFirstColumn="0" w:lastRowLastColumn="0"/>
          <w:trHeight w:val="300"/>
          <w:tblHeader/>
        </w:trPr>
        <w:tc>
          <w:tcPr>
            <w:tcW w:w="2257" w:type="pct"/>
            <w:noWrap/>
          </w:tcPr>
          <w:p w14:paraId="1353AF9B" w14:textId="77777777" w:rsidR="003554CF" w:rsidRPr="007D1918" w:rsidRDefault="003554CF" w:rsidP="00FD38A8">
            <w:pPr>
              <w:keepNext/>
              <w:spacing w:after="40" w:line="240" w:lineRule="auto"/>
              <w:jc w:val="both"/>
              <w:rPr>
                <w:rFonts w:ascii="Arial Narrow" w:hAnsi="Arial Narrow"/>
                <w:b/>
                <w:sz w:val="20"/>
                <w:szCs w:val="20"/>
              </w:rPr>
            </w:pPr>
          </w:p>
        </w:tc>
        <w:tc>
          <w:tcPr>
            <w:tcW w:w="914" w:type="pct"/>
            <w:tcBorders>
              <w:bottom w:val="single" w:sz="4" w:space="0" w:color="auto"/>
            </w:tcBorders>
            <w:noWrap/>
          </w:tcPr>
          <w:p w14:paraId="0C84783F" w14:textId="77777777" w:rsidR="003554CF" w:rsidRPr="007D1918" w:rsidRDefault="003554CF" w:rsidP="00FD38A8">
            <w:pPr>
              <w:keepNext/>
              <w:spacing w:after="40" w:line="240" w:lineRule="auto"/>
              <w:jc w:val="center"/>
              <w:rPr>
                <w:rFonts w:ascii="Arial Narrow" w:hAnsi="Arial Narrow"/>
                <w:b/>
                <w:sz w:val="20"/>
                <w:szCs w:val="20"/>
              </w:rPr>
            </w:pPr>
            <w:r w:rsidRPr="007D1918">
              <w:rPr>
                <w:rFonts w:ascii="Arial Narrow" w:hAnsi="Arial Narrow"/>
                <w:b/>
                <w:sz w:val="20"/>
                <w:szCs w:val="20"/>
              </w:rPr>
              <w:t>1 year</w:t>
            </w:r>
          </w:p>
        </w:tc>
        <w:tc>
          <w:tcPr>
            <w:tcW w:w="914" w:type="pct"/>
            <w:tcBorders>
              <w:bottom w:val="single" w:sz="4" w:space="0" w:color="auto"/>
            </w:tcBorders>
            <w:noWrap/>
          </w:tcPr>
          <w:p w14:paraId="5105BF6F" w14:textId="77777777" w:rsidR="003554CF" w:rsidRPr="007D1918" w:rsidRDefault="003554CF" w:rsidP="00FD38A8">
            <w:pPr>
              <w:keepNext/>
              <w:spacing w:after="40" w:line="240" w:lineRule="auto"/>
              <w:jc w:val="center"/>
              <w:rPr>
                <w:rFonts w:ascii="Arial Narrow" w:hAnsi="Arial Narrow"/>
                <w:b/>
                <w:sz w:val="20"/>
                <w:szCs w:val="20"/>
              </w:rPr>
            </w:pPr>
            <w:r w:rsidRPr="007D1918">
              <w:rPr>
                <w:rFonts w:ascii="Arial Narrow" w:hAnsi="Arial Narrow"/>
                <w:b/>
                <w:sz w:val="20"/>
                <w:szCs w:val="20"/>
              </w:rPr>
              <w:t>5 years</w:t>
            </w:r>
          </w:p>
        </w:tc>
        <w:tc>
          <w:tcPr>
            <w:tcW w:w="914" w:type="pct"/>
            <w:tcBorders>
              <w:bottom w:val="single" w:sz="4" w:space="0" w:color="auto"/>
            </w:tcBorders>
            <w:noWrap/>
          </w:tcPr>
          <w:p w14:paraId="648DE827" w14:textId="77777777" w:rsidR="003554CF" w:rsidRPr="007D1918" w:rsidRDefault="003554CF" w:rsidP="00FD38A8">
            <w:pPr>
              <w:keepNext/>
              <w:spacing w:after="40" w:line="240" w:lineRule="auto"/>
              <w:jc w:val="center"/>
              <w:rPr>
                <w:rFonts w:ascii="Arial Narrow" w:hAnsi="Arial Narrow"/>
                <w:b/>
                <w:sz w:val="20"/>
                <w:szCs w:val="20"/>
              </w:rPr>
            </w:pPr>
            <w:r w:rsidRPr="007D1918">
              <w:rPr>
                <w:rFonts w:ascii="Arial Narrow" w:hAnsi="Arial Narrow"/>
                <w:b/>
                <w:sz w:val="20"/>
                <w:szCs w:val="20"/>
              </w:rPr>
              <w:t>10 years</w:t>
            </w:r>
          </w:p>
        </w:tc>
      </w:tr>
      <w:tr w:rsidR="003554CF" w:rsidRPr="007D1918" w14:paraId="5D8C05E1" w14:textId="77777777" w:rsidTr="00FD38A8">
        <w:trPr>
          <w:cnfStyle w:val="100000000000" w:firstRow="1" w:lastRow="0" w:firstColumn="0" w:lastColumn="0" w:oddVBand="0" w:evenVBand="0" w:oddHBand="0" w:evenHBand="0" w:firstRowFirstColumn="0" w:firstRowLastColumn="0" w:lastRowFirstColumn="0" w:lastRowLastColumn="0"/>
          <w:trHeight w:val="300"/>
          <w:tblHeader/>
        </w:trPr>
        <w:tc>
          <w:tcPr>
            <w:tcW w:w="2257" w:type="pct"/>
            <w:tcBorders>
              <w:bottom w:val="single" w:sz="4" w:space="0" w:color="auto"/>
            </w:tcBorders>
            <w:noWrap/>
            <w:vAlign w:val="center"/>
            <w:hideMark/>
          </w:tcPr>
          <w:p w14:paraId="0A5269BC" w14:textId="77777777" w:rsidR="003554CF" w:rsidRPr="007D1918" w:rsidRDefault="003554CF" w:rsidP="00FD38A8">
            <w:pPr>
              <w:keepNext/>
              <w:spacing w:after="40" w:line="240" w:lineRule="auto"/>
              <w:rPr>
                <w:rFonts w:ascii="Arial Narrow" w:hAnsi="Arial Narrow"/>
                <w:sz w:val="20"/>
                <w:szCs w:val="20"/>
              </w:rPr>
            </w:pPr>
            <w:r w:rsidRPr="007D1918">
              <w:rPr>
                <w:rFonts w:ascii="Arial Narrow" w:hAnsi="Arial Narrow"/>
                <w:sz w:val="20"/>
                <w:szCs w:val="20"/>
              </w:rPr>
              <w:t>Base case (IVIg price $60.41/g)</w:t>
            </w:r>
          </w:p>
        </w:tc>
        <w:tc>
          <w:tcPr>
            <w:tcW w:w="914" w:type="pct"/>
            <w:shd w:val="clear" w:color="auto" w:fill="auto"/>
            <w:noWrap/>
            <w:vAlign w:val="center"/>
          </w:tcPr>
          <w:p w14:paraId="16AEFFC1" w14:textId="77777777" w:rsidR="003554CF" w:rsidRPr="007D1918" w:rsidRDefault="003554CF" w:rsidP="00FD38A8">
            <w:pPr>
              <w:pStyle w:val="Tablecontents"/>
              <w:jc w:val="right"/>
            </w:pPr>
            <w:r w:rsidRPr="007D1918">
              <w:t>$34,793</w:t>
            </w:r>
          </w:p>
        </w:tc>
        <w:tc>
          <w:tcPr>
            <w:tcW w:w="914" w:type="pct"/>
            <w:shd w:val="clear" w:color="auto" w:fill="auto"/>
            <w:noWrap/>
            <w:vAlign w:val="center"/>
          </w:tcPr>
          <w:p w14:paraId="52965A44" w14:textId="77777777" w:rsidR="003554CF" w:rsidRPr="007D1918" w:rsidRDefault="003554CF" w:rsidP="00FD38A8">
            <w:pPr>
              <w:pStyle w:val="Tablecontents"/>
              <w:jc w:val="right"/>
            </w:pPr>
            <w:r w:rsidRPr="007D1918">
              <w:t>$157,416</w:t>
            </w:r>
          </w:p>
        </w:tc>
        <w:tc>
          <w:tcPr>
            <w:tcW w:w="914" w:type="pct"/>
            <w:shd w:val="clear" w:color="auto" w:fill="auto"/>
            <w:noWrap/>
            <w:vAlign w:val="center"/>
          </w:tcPr>
          <w:p w14:paraId="6D11C3A8" w14:textId="77777777" w:rsidR="003554CF" w:rsidRPr="007D1918" w:rsidRDefault="003554CF" w:rsidP="00FD38A8">
            <w:pPr>
              <w:pStyle w:val="Tablecontents"/>
              <w:jc w:val="right"/>
            </w:pPr>
            <w:r w:rsidRPr="007D1918">
              <w:t>$279,221</w:t>
            </w:r>
          </w:p>
        </w:tc>
      </w:tr>
      <w:tr w:rsidR="003554CF" w:rsidRPr="007D1918" w14:paraId="274D67BC" w14:textId="77777777" w:rsidTr="00FD38A8">
        <w:trPr>
          <w:trHeight w:val="300"/>
        </w:trPr>
        <w:tc>
          <w:tcPr>
            <w:tcW w:w="2257" w:type="pct"/>
            <w:tcBorders>
              <w:bottom w:val="single" w:sz="4" w:space="0" w:color="auto"/>
            </w:tcBorders>
            <w:noWrap/>
            <w:vAlign w:val="center"/>
            <w:hideMark/>
          </w:tcPr>
          <w:p w14:paraId="5FCA80B2" w14:textId="77777777" w:rsidR="003554CF" w:rsidRPr="007D1918" w:rsidRDefault="003554CF" w:rsidP="00FD38A8">
            <w:pPr>
              <w:spacing w:after="40" w:line="240" w:lineRule="auto"/>
              <w:ind w:left="170"/>
              <w:rPr>
                <w:rFonts w:ascii="Arial Narrow" w:hAnsi="Arial Narrow"/>
                <w:sz w:val="20"/>
                <w:szCs w:val="20"/>
              </w:rPr>
            </w:pPr>
            <w:r w:rsidRPr="007D1918">
              <w:rPr>
                <w:rFonts w:ascii="Arial Narrow" w:hAnsi="Arial Narrow"/>
                <w:sz w:val="20"/>
                <w:szCs w:val="20"/>
              </w:rPr>
              <w:t xml:space="preserve">Highest IVIg cost ($140.18/g) </w:t>
            </w:r>
          </w:p>
        </w:tc>
        <w:tc>
          <w:tcPr>
            <w:tcW w:w="914" w:type="pct"/>
            <w:tcBorders>
              <w:bottom w:val="single" w:sz="4" w:space="0" w:color="auto"/>
            </w:tcBorders>
            <w:noWrap/>
            <w:vAlign w:val="center"/>
          </w:tcPr>
          <w:p w14:paraId="76B82572" w14:textId="77777777" w:rsidR="003554CF" w:rsidRPr="007D1918" w:rsidRDefault="003554CF" w:rsidP="00FD38A8">
            <w:pPr>
              <w:pStyle w:val="Tablecontents"/>
              <w:jc w:val="right"/>
            </w:pPr>
            <w:r w:rsidRPr="007D1918">
              <w:t>$74,040</w:t>
            </w:r>
          </w:p>
        </w:tc>
        <w:tc>
          <w:tcPr>
            <w:tcW w:w="914" w:type="pct"/>
            <w:tcBorders>
              <w:bottom w:val="single" w:sz="4" w:space="0" w:color="auto"/>
            </w:tcBorders>
            <w:noWrap/>
            <w:vAlign w:val="center"/>
          </w:tcPr>
          <w:p w14:paraId="11817F20" w14:textId="77777777" w:rsidR="003554CF" w:rsidRPr="007D1918" w:rsidRDefault="003554CF" w:rsidP="00FD38A8">
            <w:pPr>
              <w:pStyle w:val="Tablecontents"/>
              <w:jc w:val="right"/>
            </w:pPr>
            <w:r w:rsidRPr="007D1918">
              <w:t>$334,983</w:t>
            </w:r>
          </w:p>
        </w:tc>
        <w:tc>
          <w:tcPr>
            <w:tcW w:w="914" w:type="pct"/>
            <w:tcBorders>
              <w:bottom w:val="single" w:sz="4" w:space="0" w:color="auto"/>
            </w:tcBorders>
            <w:noWrap/>
            <w:vAlign w:val="center"/>
          </w:tcPr>
          <w:p w14:paraId="2FF6BA14" w14:textId="77777777" w:rsidR="003554CF" w:rsidRPr="007D1918" w:rsidRDefault="003554CF" w:rsidP="00FD38A8">
            <w:pPr>
              <w:pStyle w:val="Tablecontents"/>
              <w:jc w:val="right"/>
            </w:pPr>
            <w:r w:rsidRPr="007D1918">
              <w:t>$594,187</w:t>
            </w:r>
          </w:p>
        </w:tc>
      </w:tr>
      <w:tr w:rsidR="003554CF" w:rsidRPr="007D1918" w14:paraId="08102E37" w14:textId="77777777" w:rsidTr="00FD38A8">
        <w:trPr>
          <w:trHeight w:val="300"/>
        </w:trPr>
        <w:tc>
          <w:tcPr>
            <w:tcW w:w="2257" w:type="pct"/>
            <w:tcBorders>
              <w:top w:val="single" w:sz="4" w:space="0" w:color="auto"/>
              <w:bottom w:val="single" w:sz="4" w:space="0" w:color="auto"/>
            </w:tcBorders>
            <w:noWrap/>
            <w:vAlign w:val="center"/>
            <w:hideMark/>
          </w:tcPr>
          <w:p w14:paraId="5F91624C" w14:textId="77777777" w:rsidR="003554CF" w:rsidRPr="007D1918" w:rsidRDefault="003554CF" w:rsidP="00FD38A8">
            <w:pPr>
              <w:spacing w:after="40" w:line="240" w:lineRule="auto"/>
              <w:ind w:left="170"/>
              <w:rPr>
                <w:rFonts w:ascii="Arial Narrow" w:hAnsi="Arial Narrow"/>
                <w:sz w:val="20"/>
                <w:szCs w:val="20"/>
              </w:rPr>
            </w:pPr>
            <w:r w:rsidRPr="007D1918">
              <w:rPr>
                <w:rFonts w:ascii="Arial Narrow" w:hAnsi="Arial Narrow"/>
                <w:sz w:val="20"/>
                <w:szCs w:val="20"/>
              </w:rPr>
              <w:t>Lowest IVIg cost ($44.94/g)</w:t>
            </w:r>
          </w:p>
        </w:tc>
        <w:tc>
          <w:tcPr>
            <w:tcW w:w="914" w:type="pct"/>
            <w:tcBorders>
              <w:top w:val="single" w:sz="4" w:space="0" w:color="auto"/>
              <w:bottom w:val="single" w:sz="4" w:space="0" w:color="auto"/>
            </w:tcBorders>
            <w:noWrap/>
            <w:vAlign w:val="center"/>
          </w:tcPr>
          <w:p w14:paraId="6774F6FE" w14:textId="77777777" w:rsidR="003554CF" w:rsidRPr="007D1918" w:rsidRDefault="003554CF" w:rsidP="00FD38A8">
            <w:pPr>
              <w:pStyle w:val="Tablecontents"/>
              <w:jc w:val="right"/>
            </w:pPr>
            <w:r w:rsidRPr="007D1918">
              <w:t>$27,181</w:t>
            </w:r>
          </w:p>
        </w:tc>
        <w:tc>
          <w:tcPr>
            <w:tcW w:w="914" w:type="pct"/>
            <w:tcBorders>
              <w:top w:val="single" w:sz="4" w:space="0" w:color="auto"/>
              <w:bottom w:val="single" w:sz="4" w:space="0" w:color="auto"/>
            </w:tcBorders>
            <w:noWrap/>
            <w:vAlign w:val="center"/>
          </w:tcPr>
          <w:p w14:paraId="0D345202" w14:textId="77777777" w:rsidR="003554CF" w:rsidRPr="007D1918" w:rsidRDefault="003554CF" w:rsidP="00FD38A8">
            <w:pPr>
              <w:pStyle w:val="Tablecontents"/>
              <w:jc w:val="right"/>
            </w:pPr>
            <w:r w:rsidRPr="007D1918">
              <w:t>$122,979</w:t>
            </w:r>
          </w:p>
        </w:tc>
        <w:tc>
          <w:tcPr>
            <w:tcW w:w="914" w:type="pct"/>
            <w:tcBorders>
              <w:top w:val="single" w:sz="4" w:space="0" w:color="auto"/>
              <w:bottom w:val="single" w:sz="4" w:space="0" w:color="auto"/>
            </w:tcBorders>
            <w:noWrap/>
            <w:vAlign w:val="center"/>
          </w:tcPr>
          <w:p w14:paraId="2B3AC123" w14:textId="77777777" w:rsidR="003554CF" w:rsidRPr="007D1918" w:rsidRDefault="003554CF" w:rsidP="00FD38A8">
            <w:pPr>
              <w:pStyle w:val="Tablecontents"/>
              <w:jc w:val="right"/>
            </w:pPr>
            <w:r w:rsidRPr="007D1918">
              <w:t>$218,138</w:t>
            </w:r>
          </w:p>
        </w:tc>
      </w:tr>
      <w:tr w:rsidR="003554CF" w:rsidRPr="007D1918" w14:paraId="67569E86" w14:textId="77777777" w:rsidTr="00FD38A8">
        <w:trPr>
          <w:trHeight w:val="300"/>
        </w:trPr>
        <w:tc>
          <w:tcPr>
            <w:tcW w:w="2257" w:type="pct"/>
            <w:tcBorders>
              <w:top w:val="single" w:sz="4" w:space="0" w:color="auto"/>
              <w:bottom w:val="single" w:sz="4" w:space="0" w:color="auto"/>
            </w:tcBorders>
            <w:noWrap/>
            <w:vAlign w:val="center"/>
            <w:hideMark/>
          </w:tcPr>
          <w:p w14:paraId="6FC9A6EE" w14:textId="77777777" w:rsidR="003554CF" w:rsidRPr="007D1918" w:rsidRDefault="003554CF" w:rsidP="00FD38A8">
            <w:pPr>
              <w:spacing w:after="40" w:line="240" w:lineRule="auto"/>
              <w:ind w:left="170"/>
              <w:rPr>
                <w:rFonts w:ascii="Arial Narrow" w:hAnsi="Arial Narrow"/>
                <w:sz w:val="20"/>
                <w:szCs w:val="20"/>
              </w:rPr>
            </w:pPr>
            <w:r w:rsidRPr="007D1918">
              <w:rPr>
                <w:rFonts w:ascii="Arial Narrow" w:hAnsi="Arial Narrow"/>
                <w:sz w:val="20"/>
                <w:szCs w:val="20"/>
              </w:rPr>
              <w:t>Weighted historical IVIg cost ($94.51/g)</w:t>
            </w:r>
          </w:p>
        </w:tc>
        <w:tc>
          <w:tcPr>
            <w:tcW w:w="914" w:type="pct"/>
            <w:tcBorders>
              <w:top w:val="single" w:sz="4" w:space="0" w:color="auto"/>
              <w:bottom w:val="single" w:sz="4" w:space="0" w:color="auto"/>
            </w:tcBorders>
            <w:noWrap/>
            <w:vAlign w:val="center"/>
          </w:tcPr>
          <w:p w14:paraId="2615E615" w14:textId="77777777" w:rsidR="003554CF" w:rsidRPr="007D1918" w:rsidRDefault="003554CF" w:rsidP="00FD38A8">
            <w:pPr>
              <w:pStyle w:val="Tablecontents"/>
              <w:jc w:val="right"/>
            </w:pPr>
            <w:r w:rsidRPr="007D1918">
              <w:t>$51,570</w:t>
            </w:r>
          </w:p>
        </w:tc>
        <w:tc>
          <w:tcPr>
            <w:tcW w:w="914" w:type="pct"/>
            <w:tcBorders>
              <w:top w:val="single" w:sz="4" w:space="0" w:color="auto"/>
              <w:bottom w:val="single" w:sz="4" w:space="0" w:color="auto"/>
            </w:tcBorders>
            <w:noWrap/>
            <w:vAlign w:val="center"/>
          </w:tcPr>
          <w:p w14:paraId="31288394" w14:textId="77777777" w:rsidR="003554CF" w:rsidRPr="007D1918" w:rsidRDefault="003554CF" w:rsidP="00FD38A8">
            <w:pPr>
              <w:pStyle w:val="Tablecontents"/>
              <w:jc w:val="right"/>
            </w:pPr>
            <w:r w:rsidRPr="007D1918">
              <w:t>$233,322</w:t>
            </w:r>
          </w:p>
        </w:tc>
        <w:tc>
          <w:tcPr>
            <w:tcW w:w="914" w:type="pct"/>
            <w:tcBorders>
              <w:top w:val="single" w:sz="4" w:space="0" w:color="auto"/>
              <w:bottom w:val="single" w:sz="4" w:space="0" w:color="auto"/>
            </w:tcBorders>
            <w:noWrap/>
            <w:vAlign w:val="center"/>
          </w:tcPr>
          <w:p w14:paraId="7A4C9755" w14:textId="77777777" w:rsidR="003554CF" w:rsidRPr="007D1918" w:rsidRDefault="003554CF" w:rsidP="00FD38A8">
            <w:pPr>
              <w:pStyle w:val="Tablecontents"/>
              <w:jc w:val="right"/>
            </w:pPr>
            <w:r w:rsidRPr="007D1918">
              <w:t>$413,862</w:t>
            </w:r>
          </w:p>
        </w:tc>
      </w:tr>
      <w:tr w:rsidR="003554CF" w:rsidRPr="007D1918" w14:paraId="2E2F49FC" w14:textId="77777777" w:rsidTr="00FD38A8">
        <w:trPr>
          <w:trHeight w:val="300"/>
        </w:trPr>
        <w:tc>
          <w:tcPr>
            <w:tcW w:w="2257" w:type="pct"/>
            <w:tcBorders>
              <w:top w:val="single" w:sz="4" w:space="0" w:color="auto"/>
              <w:bottom w:val="single" w:sz="4" w:space="0" w:color="auto"/>
            </w:tcBorders>
            <w:noWrap/>
            <w:vAlign w:val="center"/>
          </w:tcPr>
          <w:p w14:paraId="010C6442" w14:textId="77777777" w:rsidR="003554CF" w:rsidRPr="007D1918" w:rsidRDefault="003554CF" w:rsidP="00FD38A8">
            <w:pPr>
              <w:spacing w:after="40" w:line="240" w:lineRule="auto"/>
              <w:ind w:left="170"/>
              <w:rPr>
                <w:rFonts w:ascii="Arial Narrow" w:hAnsi="Arial Narrow"/>
                <w:sz w:val="20"/>
                <w:szCs w:val="20"/>
              </w:rPr>
            </w:pPr>
            <w:r w:rsidRPr="007D1918">
              <w:rPr>
                <w:rFonts w:ascii="Arial Narrow" w:hAnsi="Arial Narrow"/>
                <w:sz w:val="20"/>
                <w:szCs w:val="20"/>
              </w:rPr>
              <w:t>Published 2019 IVIg price ($58.23/g)</w:t>
            </w:r>
          </w:p>
        </w:tc>
        <w:tc>
          <w:tcPr>
            <w:tcW w:w="914" w:type="pct"/>
            <w:tcBorders>
              <w:top w:val="single" w:sz="4" w:space="0" w:color="auto"/>
              <w:bottom w:val="single" w:sz="4" w:space="0" w:color="auto"/>
            </w:tcBorders>
            <w:noWrap/>
            <w:vAlign w:val="center"/>
          </w:tcPr>
          <w:p w14:paraId="536EE8D4" w14:textId="77777777" w:rsidR="003554CF" w:rsidRPr="007D1918" w:rsidRDefault="003554CF" w:rsidP="00FD38A8">
            <w:pPr>
              <w:pStyle w:val="Tablecontents"/>
              <w:jc w:val="right"/>
            </w:pPr>
            <w:r w:rsidRPr="007D1918">
              <w:t>$33,720</w:t>
            </w:r>
          </w:p>
        </w:tc>
        <w:tc>
          <w:tcPr>
            <w:tcW w:w="914" w:type="pct"/>
            <w:tcBorders>
              <w:top w:val="single" w:sz="4" w:space="0" w:color="auto"/>
              <w:bottom w:val="single" w:sz="4" w:space="0" w:color="auto"/>
            </w:tcBorders>
            <w:noWrap/>
            <w:vAlign w:val="center"/>
          </w:tcPr>
          <w:p w14:paraId="60E6F757" w14:textId="77777777" w:rsidR="003554CF" w:rsidRPr="007D1918" w:rsidRDefault="003554CF" w:rsidP="00FD38A8">
            <w:pPr>
              <w:pStyle w:val="Tablecontents"/>
              <w:jc w:val="right"/>
            </w:pPr>
            <w:r w:rsidRPr="007D1918">
              <w:t>$152,563</w:t>
            </w:r>
          </w:p>
        </w:tc>
        <w:tc>
          <w:tcPr>
            <w:tcW w:w="914" w:type="pct"/>
            <w:tcBorders>
              <w:top w:val="single" w:sz="4" w:space="0" w:color="auto"/>
              <w:bottom w:val="single" w:sz="4" w:space="0" w:color="auto"/>
            </w:tcBorders>
            <w:noWrap/>
            <w:vAlign w:val="center"/>
          </w:tcPr>
          <w:p w14:paraId="17ABA03F" w14:textId="77777777" w:rsidR="003554CF" w:rsidRPr="007D1918" w:rsidRDefault="003554CF" w:rsidP="00FD38A8">
            <w:pPr>
              <w:pStyle w:val="Tablecontents"/>
              <w:jc w:val="right"/>
            </w:pPr>
            <w:r w:rsidRPr="007D1918">
              <w:t>$270,613</w:t>
            </w:r>
          </w:p>
        </w:tc>
      </w:tr>
    </w:tbl>
    <w:p w14:paraId="67360BC1" w14:textId="77777777" w:rsidR="003554CF" w:rsidRPr="007D1918" w:rsidRDefault="003554CF" w:rsidP="003554CF">
      <w:pPr>
        <w:pStyle w:val="Tablenotes1"/>
        <w:spacing w:after="360"/>
      </w:pPr>
      <w:r w:rsidRPr="007D1918">
        <w:t xml:space="preserve">IVIg = intravenous immunoglobulin; </w:t>
      </w:r>
    </w:p>
    <w:p w14:paraId="7FDA6B6A" w14:textId="0A419C49" w:rsidR="003554CF" w:rsidRPr="007D1918" w:rsidRDefault="003554CF" w:rsidP="006C641A">
      <w:pPr>
        <w:jc w:val="both"/>
      </w:pPr>
      <w:r w:rsidRPr="007D1918">
        <w:t xml:space="preserve">At the highest nominated price of IVIg, the cumulative cost of IVIg per person at the estimated average Australian maintenance dose remain less than the cost of high intensity PE over all time horizons (1-10 years). </w:t>
      </w:r>
    </w:p>
    <w:p w14:paraId="456190E9" w14:textId="3FA48E2F" w:rsidR="003554CF" w:rsidRPr="007D1918" w:rsidRDefault="003554CF" w:rsidP="006C641A">
      <w:pPr>
        <w:jc w:val="both"/>
      </w:pPr>
      <w:r w:rsidRPr="007D1918">
        <w:t>At the lowest nominated price of IVIg, the cumulative cost of IVIg per person at the estimated average Australian maintenance dose becomes less than the cost of low intensity PE over all time horizons (1-10 years).</w:t>
      </w:r>
    </w:p>
    <w:p w14:paraId="153D06E1" w14:textId="4FEB6F65" w:rsidR="00F55909" w:rsidRPr="007D1918" w:rsidRDefault="00F55909" w:rsidP="006C641A">
      <w:pPr>
        <w:jc w:val="both"/>
      </w:pPr>
      <w:r w:rsidRPr="007D1918">
        <w:t>While the alternative immunoglobulin prices make a large difference to the absolute cost differences between immunoglobulin and each of the surgical or pharmaceutical comparators, the direction of the cost difference does not change in any of the comparisons</w:t>
      </w:r>
      <w:r w:rsidR="00D12B32" w:rsidRPr="007D1918">
        <w:t>, with immunoglobulin remaining more costly than pharmaceutical alternatives and only less costly than surgery when considered as a short-term comparison</w:t>
      </w:r>
      <w:r w:rsidRPr="007D1918">
        <w:t>.</w:t>
      </w:r>
    </w:p>
    <w:p w14:paraId="0B1FD39B" w14:textId="77777777" w:rsidR="00A56EE2" w:rsidRPr="007D1918" w:rsidRDefault="00A56EE2" w:rsidP="00A56EE2">
      <w:pPr>
        <w:pStyle w:val="Heading1"/>
        <w:jc w:val="both"/>
      </w:pPr>
      <w:bookmarkStart w:id="476" w:name="_Toc23767006"/>
      <w:bookmarkEnd w:id="437"/>
      <w:bookmarkEnd w:id="468"/>
      <w:r w:rsidRPr="007D1918">
        <w:lastRenderedPageBreak/>
        <w:t>Section E</w:t>
      </w:r>
      <w:r w:rsidRPr="007D1918">
        <w:tab/>
        <w:t>Financial Implications</w:t>
      </w:r>
      <w:bookmarkEnd w:id="476"/>
    </w:p>
    <w:p w14:paraId="5473A9E8" w14:textId="402E4ADA" w:rsidR="006C641A" w:rsidRPr="007D1918" w:rsidRDefault="006C641A" w:rsidP="006C641A">
      <w:pPr>
        <w:jc w:val="both"/>
      </w:pPr>
      <w:bookmarkStart w:id="477" w:name="_Toc214091269"/>
      <w:bookmarkStart w:id="478" w:name="_Toc341796089"/>
      <w:bookmarkStart w:id="479" w:name="_Toc13142297"/>
      <w:bookmarkStart w:id="480" w:name="_Toc379118085"/>
      <w:bookmarkStart w:id="481" w:name="_Toc381796472"/>
      <w:bookmarkStart w:id="482" w:name="_Toc379118089"/>
      <w:bookmarkStart w:id="483" w:name="_Toc381796487"/>
      <w:bookmarkEnd w:id="435"/>
      <w:r w:rsidRPr="007D1918">
        <w:t>A market-based approach has been used to estimate the financial implications of Ig in Myasthenia Gravis, based on current utilisation of Ig products in patients with Myasthenia Gravis.</w:t>
      </w:r>
      <w:r w:rsidR="004C6712" w:rsidRPr="007D1918">
        <w:t xml:space="preserve"> As data available on utilisation were only available for use under the Version 2 Criteria, the impact of transitioning to the Version 3 Criteria </w:t>
      </w:r>
      <w:r w:rsidR="00D84130" w:rsidRPr="007D1918">
        <w:t>could not</w:t>
      </w:r>
      <w:r w:rsidR="004C6712" w:rsidRPr="007D1918">
        <w:t xml:space="preserve"> be captured in the analysis. There is also uncertainty as to whether the trends observed in the past would continue in the future.</w:t>
      </w:r>
    </w:p>
    <w:p w14:paraId="744A1314" w14:textId="77777777" w:rsidR="006C641A" w:rsidRPr="007D1918" w:rsidRDefault="006C641A" w:rsidP="006C641A">
      <w:pPr>
        <w:pStyle w:val="Heading2"/>
        <w:numPr>
          <w:ilvl w:val="4"/>
          <w:numId w:val="11"/>
        </w:numPr>
        <w:jc w:val="both"/>
      </w:pPr>
      <w:bookmarkStart w:id="484" w:name="_Toc15561886"/>
      <w:bookmarkStart w:id="485" w:name="_Toc23767007"/>
      <w:r w:rsidRPr="007D1918">
        <w:t>Justification of the Selection of Sources of Data</w:t>
      </w:r>
      <w:bookmarkEnd w:id="477"/>
      <w:bookmarkEnd w:id="478"/>
      <w:bookmarkEnd w:id="479"/>
      <w:bookmarkEnd w:id="484"/>
      <w:bookmarkEnd w:id="485"/>
    </w:p>
    <w:p w14:paraId="58CAD263" w14:textId="77777777" w:rsidR="006C641A" w:rsidRPr="007D1918" w:rsidRDefault="006C641A" w:rsidP="006C641A">
      <w:pPr>
        <w:jc w:val="both"/>
      </w:pPr>
      <w:r w:rsidRPr="007D1918">
        <w:t>The primary sources of data used in the estimates of the financial impact of Ig in MG are:</w:t>
      </w:r>
    </w:p>
    <w:p w14:paraId="77F5FDFF" w14:textId="6CEADB51" w:rsidR="006C641A" w:rsidRPr="007D1918" w:rsidRDefault="006C641A" w:rsidP="006C641A">
      <w:pPr>
        <w:pStyle w:val="ListParagraph"/>
        <w:numPr>
          <w:ilvl w:val="0"/>
          <w:numId w:val="41"/>
        </w:numPr>
        <w:jc w:val="both"/>
      </w:pPr>
      <w:r w:rsidRPr="007D1918">
        <w:t xml:space="preserve">NBA </w:t>
      </w:r>
      <w:r w:rsidRPr="007D1918">
        <w:fldChar w:fldCharType="begin"/>
      </w:r>
      <w:r w:rsidRPr="007D1918">
        <w:instrText xml:space="preserve"> ADDIN EN.CITE &lt;EndNote&gt;&lt;Cite ExcludeAuth="1"&gt;&lt;Author&gt;National Blood Authority [NBA]&lt;/Author&gt;&lt;Year&gt;2019&lt;/Year&gt;&lt;RecNum&gt;69&lt;/RecNum&gt;&lt;DisplayText&gt;(2019)&lt;/DisplayText&gt;&lt;record&gt;&lt;rec-number&gt;69&lt;/rec-number&gt;&lt;foreign-keys&gt;&lt;key app="EN" db-id="9f05xffxefw2s8evxdixrrs3s5dvxzztw99v" timestamp="1562549829"&gt;69&lt;/key&gt;&lt;/foreign-keys&gt;&lt;ref-type name="Web Page"&gt;12&lt;/ref-type&gt;&lt;contributors&gt;&lt;authors&gt;&lt;author&gt;National Blood Authority [NBA],&lt;/author&gt;&lt;/authors&gt;&lt;/contributors&gt;&lt;titles&gt;&lt;title&gt;Data Analysis and Reporting&lt;/title&gt;&lt;/titles&gt;&lt;dates&gt;&lt;year&gt;2019&lt;/year&gt;&lt;/dates&gt;&lt;pub-location&gt;Canberra&lt;/pub-location&gt;&lt;publisher&gt;National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rsidRPr="007D1918">
        <w:fldChar w:fldCharType="separate"/>
      </w:r>
      <w:r w:rsidRPr="007D1918">
        <w:rPr>
          <w:noProof/>
        </w:rPr>
        <w:t>(</w:t>
      </w:r>
      <w:hyperlink w:anchor="_ENREF_72" w:tooltip="National Blood Authority [NBA], 2019 #69" w:history="1">
        <w:r w:rsidR="007D4948" w:rsidRPr="007D1918">
          <w:rPr>
            <w:noProof/>
          </w:rPr>
          <w:t>2019</w:t>
        </w:r>
      </w:hyperlink>
      <w:r w:rsidRPr="007D1918">
        <w:rPr>
          <w:noProof/>
        </w:rPr>
        <w:t>)</w:t>
      </w:r>
      <w:r w:rsidRPr="007D1918">
        <w:fldChar w:fldCharType="end"/>
      </w:r>
      <w:r w:rsidRPr="007D1918">
        <w:t xml:space="preserve"> National reports on the issue and use of immunoglobulin (Ig), which report the number of patients and Ig use, by indication, from 2011-12 to 2015-16.</w:t>
      </w:r>
    </w:p>
    <w:p w14:paraId="331E1E44" w14:textId="6ACBD342" w:rsidR="006C641A" w:rsidRPr="007D1918" w:rsidRDefault="006C641A" w:rsidP="006C641A">
      <w:pPr>
        <w:pStyle w:val="ListParagraph"/>
        <w:numPr>
          <w:ilvl w:val="0"/>
          <w:numId w:val="41"/>
        </w:numPr>
        <w:jc w:val="both"/>
      </w:pPr>
      <w:r w:rsidRPr="007D1918">
        <w:t xml:space="preserve">The 'HTA Data April2019.xlsx' workbook provided by the </w:t>
      </w:r>
      <w:r w:rsidR="00EF35E0" w:rsidRPr="007D1918">
        <w:t>NBA</w:t>
      </w:r>
      <w:r w:rsidRPr="007D1918">
        <w:t xml:space="preserve"> - which reports use, by indication, for the full financial year 2017-18 and for the 2018-19 partial year to December 31, 2018 (and so reports some use under the </w:t>
      </w:r>
      <w:r w:rsidRPr="007D1918">
        <w:rPr>
          <w:i/>
        </w:rPr>
        <w:t>Criteria V3</w:t>
      </w:r>
      <w:r w:rsidRPr="007D1918">
        <w:t xml:space="preserve">). </w:t>
      </w:r>
    </w:p>
    <w:p w14:paraId="257BEFA5" w14:textId="2581021B" w:rsidR="006C641A" w:rsidRPr="007D1918" w:rsidRDefault="006C641A" w:rsidP="006C641A">
      <w:r w:rsidRPr="007D1918">
        <w:t xml:space="preserve">The full year data available from these sources are summarised in </w:t>
      </w:r>
      <w:r w:rsidRPr="007D1918">
        <w:fldChar w:fldCharType="begin"/>
      </w:r>
      <w:r w:rsidRPr="007D1918">
        <w:instrText xml:space="preserve"> REF _Ref9868003 \h  \* MERGEFORMAT </w:instrText>
      </w:r>
      <w:r w:rsidRPr="007D1918">
        <w:fldChar w:fldCharType="separate"/>
      </w:r>
      <w:r w:rsidR="00B865E7" w:rsidRPr="007D1918">
        <w:t>Table 90</w:t>
      </w:r>
      <w:r w:rsidRPr="007D1918">
        <w:fldChar w:fldCharType="end"/>
      </w:r>
      <w:r w:rsidRPr="007D1918">
        <w:t xml:space="preserve">. </w:t>
      </w:r>
    </w:p>
    <w:p w14:paraId="1EA557B9" w14:textId="7142370B" w:rsidR="006C641A" w:rsidRPr="007D1918" w:rsidRDefault="006C641A" w:rsidP="006C641A">
      <w:pPr>
        <w:pStyle w:val="Caption"/>
      </w:pPr>
      <w:bookmarkStart w:id="486" w:name="_Ref9868003"/>
      <w:bookmarkStart w:id="487" w:name="_Toc13645594"/>
      <w:bookmarkStart w:id="488" w:name="_Toc15561989"/>
      <w:bookmarkStart w:id="489" w:name="_Toc2376957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90</w:t>
      </w:r>
      <w:r w:rsidRPr="007D1918">
        <w:rPr>
          <w:noProof/>
        </w:rPr>
        <w:fldChar w:fldCharType="end"/>
      </w:r>
      <w:bookmarkEnd w:id="486"/>
      <w:r w:rsidRPr="007D1918">
        <w:tab/>
      </w:r>
      <w:bookmarkEnd w:id="487"/>
      <w:r w:rsidRPr="007D1918">
        <w:t>Number of patients and grams issued for MG patients who received Ig, 2011-12 to 2017-18</w:t>
      </w:r>
      <w:bookmarkEnd w:id="488"/>
      <w:bookmarkEnd w:id="489"/>
    </w:p>
    <w:tbl>
      <w:tblPr>
        <w:tblStyle w:val="TableGrid1"/>
        <w:tblW w:w="5000" w:type="pct"/>
        <w:tblLook w:val="04A0" w:firstRow="1" w:lastRow="0" w:firstColumn="1" w:lastColumn="0" w:noHBand="0" w:noVBand="1"/>
        <w:tblCaption w:val="Number of patients who received Ig by indication, 2011-12 to 2017-18"/>
      </w:tblPr>
      <w:tblGrid>
        <w:gridCol w:w="1948"/>
        <w:gridCol w:w="1010"/>
        <w:gridCol w:w="1010"/>
        <w:gridCol w:w="1010"/>
        <w:gridCol w:w="1010"/>
        <w:gridCol w:w="1010"/>
        <w:gridCol w:w="1010"/>
        <w:gridCol w:w="1008"/>
      </w:tblGrid>
      <w:tr w:rsidR="006C641A" w:rsidRPr="007D1918" w14:paraId="2C7F72DF" w14:textId="77777777" w:rsidTr="00153384">
        <w:trPr>
          <w:cnfStyle w:val="100000000000" w:firstRow="1" w:lastRow="0" w:firstColumn="0" w:lastColumn="0" w:oddVBand="0" w:evenVBand="0" w:oddHBand="0" w:evenHBand="0" w:firstRowFirstColumn="0" w:firstRowLastColumn="0" w:lastRowFirstColumn="0" w:lastRowLastColumn="0"/>
          <w:cantSplit/>
          <w:trHeight w:val="300"/>
          <w:tblHeader/>
        </w:trPr>
        <w:tc>
          <w:tcPr>
            <w:tcW w:w="1081" w:type="pct"/>
            <w:noWrap/>
            <w:hideMark/>
          </w:tcPr>
          <w:p w14:paraId="48231253" w14:textId="77777777" w:rsidR="006C641A" w:rsidRPr="007D1918" w:rsidRDefault="006C641A" w:rsidP="00153384">
            <w:pPr>
              <w:keepNext/>
              <w:spacing w:after="40" w:line="240" w:lineRule="auto"/>
              <w:jc w:val="both"/>
              <w:rPr>
                <w:rFonts w:ascii="Arial Narrow" w:hAnsi="Arial Narrow"/>
                <w:b/>
                <w:sz w:val="20"/>
                <w:szCs w:val="20"/>
              </w:rPr>
            </w:pPr>
          </w:p>
        </w:tc>
        <w:tc>
          <w:tcPr>
            <w:tcW w:w="560" w:type="pct"/>
            <w:noWrap/>
            <w:hideMark/>
          </w:tcPr>
          <w:p w14:paraId="0482C3E3" w14:textId="77777777" w:rsidR="006C641A" w:rsidRPr="007D1918" w:rsidRDefault="006C641A" w:rsidP="00153384">
            <w:pPr>
              <w:keepNext/>
              <w:spacing w:after="40" w:line="240" w:lineRule="auto"/>
              <w:jc w:val="center"/>
              <w:rPr>
                <w:rFonts w:ascii="Arial Narrow" w:hAnsi="Arial Narrow" w:cs="Calibri"/>
                <w:b/>
                <w:color w:val="000000"/>
                <w:sz w:val="20"/>
                <w:szCs w:val="20"/>
              </w:rPr>
            </w:pPr>
            <w:r w:rsidRPr="007D1918">
              <w:rPr>
                <w:rFonts w:ascii="Arial Narrow" w:hAnsi="Arial Narrow" w:cs="Calibri"/>
                <w:b/>
                <w:color w:val="000000"/>
                <w:sz w:val="20"/>
                <w:szCs w:val="20"/>
              </w:rPr>
              <w:t>2011-12</w:t>
            </w:r>
          </w:p>
        </w:tc>
        <w:tc>
          <w:tcPr>
            <w:tcW w:w="560" w:type="pct"/>
            <w:noWrap/>
            <w:hideMark/>
          </w:tcPr>
          <w:p w14:paraId="27A184C1" w14:textId="77777777" w:rsidR="006C641A" w:rsidRPr="007D1918" w:rsidRDefault="006C641A" w:rsidP="00153384">
            <w:pPr>
              <w:keepNext/>
              <w:spacing w:after="40" w:line="240" w:lineRule="auto"/>
              <w:jc w:val="center"/>
              <w:rPr>
                <w:rFonts w:ascii="Arial Narrow" w:hAnsi="Arial Narrow" w:cs="Calibri"/>
                <w:b/>
                <w:color w:val="000000"/>
                <w:sz w:val="20"/>
                <w:szCs w:val="20"/>
              </w:rPr>
            </w:pPr>
            <w:r w:rsidRPr="007D1918">
              <w:rPr>
                <w:rFonts w:ascii="Arial Narrow" w:hAnsi="Arial Narrow" w:cs="Calibri"/>
                <w:b/>
                <w:color w:val="000000"/>
                <w:sz w:val="20"/>
                <w:szCs w:val="20"/>
              </w:rPr>
              <w:t>2012-13</w:t>
            </w:r>
          </w:p>
        </w:tc>
        <w:tc>
          <w:tcPr>
            <w:tcW w:w="560" w:type="pct"/>
            <w:noWrap/>
            <w:hideMark/>
          </w:tcPr>
          <w:p w14:paraId="7A6E96CF" w14:textId="77777777" w:rsidR="006C641A" w:rsidRPr="007D1918" w:rsidRDefault="006C641A" w:rsidP="00153384">
            <w:pPr>
              <w:keepNext/>
              <w:spacing w:after="40" w:line="240" w:lineRule="auto"/>
              <w:jc w:val="center"/>
              <w:rPr>
                <w:rFonts w:ascii="Arial Narrow" w:hAnsi="Arial Narrow" w:cs="Calibri"/>
                <w:b/>
                <w:color w:val="000000"/>
                <w:sz w:val="20"/>
                <w:szCs w:val="20"/>
              </w:rPr>
            </w:pPr>
            <w:r w:rsidRPr="007D1918">
              <w:rPr>
                <w:rFonts w:ascii="Arial Narrow" w:hAnsi="Arial Narrow" w:cs="Calibri"/>
                <w:b/>
                <w:color w:val="000000"/>
                <w:sz w:val="20"/>
                <w:szCs w:val="20"/>
              </w:rPr>
              <w:t>2013-14</w:t>
            </w:r>
          </w:p>
        </w:tc>
        <w:tc>
          <w:tcPr>
            <w:tcW w:w="560" w:type="pct"/>
            <w:noWrap/>
            <w:hideMark/>
          </w:tcPr>
          <w:p w14:paraId="7F9C73F6" w14:textId="77777777" w:rsidR="006C641A" w:rsidRPr="007D1918" w:rsidRDefault="006C641A" w:rsidP="00153384">
            <w:pPr>
              <w:keepNext/>
              <w:spacing w:after="40" w:line="240" w:lineRule="auto"/>
              <w:jc w:val="center"/>
              <w:rPr>
                <w:rFonts w:ascii="Arial Narrow" w:hAnsi="Arial Narrow" w:cs="Calibri"/>
                <w:b/>
                <w:color w:val="000000"/>
                <w:sz w:val="20"/>
                <w:szCs w:val="20"/>
              </w:rPr>
            </w:pPr>
            <w:r w:rsidRPr="007D1918">
              <w:rPr>
                <w:rFonts w:ascii="Arial Narrow" w:hAnsi="Arial Narrow" w:cs="Calibri"/>
                <w:b/>
                <w:color w:val="000000"/>
                <w:sz w:val="20"/>
                <w:szCs w:val="20"/>
              </w:rPr>
              <w:t>2014-15</w:t>
            </w:r>
          </w:p>
        </w:tc>
        <w:tc>
          <w:tcPr>
            <w:tcW w:w="560" w:type="pct"/>
            <w:noWrap/>
            <w:hideMark/>
          </w:tcPr>
          <w:p w14:paraId="3019B2CF" w14:textId="77777777" w:rsidR="006C641A" w:rsidRPr="007D1918" w:rsidRDefault="006C641A" w:rsidP="00153384">
            <w:pPr>
              <w:keepNext/>
              <w:spacing w:after="40" w:line="240" w:lineRule="auto"/>
              <w:jc w:val="center"/>
              <w:rPr>
                <w:rFonts w:ascii="Arial Narrow" w:hAnsi="Arial Narrow" w:cs="Calibri"/>
                <w:b/>
                <w:color w:val="000000"/>
                <w:sz w:val="20"/>
                <w:szCs w:val="20"/>
              </w:rPr>
            </w:pPr>
            <w:r w:rsidRPr="007D1918">
              <w:rPr>
                <w:rFonts w:ascii="Arial Narrow" w:hAnsi="Arial Narrow" w:cs="Calibri"/>
                <w:b/>
                <w:color w:val="000000"/>
                <w:sz w:val="20"/>
                <w:szCs w:val="20"/>
              </w:rPr>
              <w:t>2015-16</w:t>
            </w:r>
          </w:p>
        </w:tc>
        <w:tc>
          <w:tcPr>
            <w:tcW w:w="560" w:type="pct"/>
            <w:noWrap/>
            <w:hideMark/>
          </w:tcPr>
          <w:p w14:paraId="64ED6E36" w14:textId="77777777" w:rsidR="006C641A" w:rsidRPr="007D1918" w:rsidRDefault="006C641A" w:rsidP="00153384">
            <w:pPr>
              <w:keepNext/>
              <w:spacing w:after="40" w:line="240" w:lineRule="auto"/>
              <w:jc w:val="center"/>
              <w:rPr>
                <w:rFonts w:ascii="Arial Narrow" w:hAnsi="Arial Narrow" w:cs="Calibri"/>
                <w:b/>
                <w:color w:val="000000"/>
                <w:sz w:val="20"/>
                <w:szCs w:val="20"/>
              </w:rPr>
            </w:pPr>
            <w:r w:rsidRPr="007D1918">
              <w:rPr>
                <w:rFonts w:ascii="Arial Narrow" w:hAnsi="Arial Narrow" w:cs="Calibri"/>
                <w:b/>
                <w:color w:val="000000"/>
                <w:sz w:val="20"/>
                <w:szCs w:val="20"/>
              </w:rPr>
              <w:t>2016-17</w:t>
            </w:r>
          </w:p>
        </w:tc>
        <w:tc>
          <w:tcPr>
            <w:tcW w:w="560" w:type="pct"/>
            <w:noWrap/>
            <w:hideMark/>
          </w:tcPr>
          <w:p w14:paraId="03AA049B" w14:textId="77777777" w:rsidR="006C641A" w:rsidRPr="007D1918" w:rsidRDefault="006C641A" w:rsidP="00153384">
            <w:pPr>
              <w:keepNext/>
              <w:spacing w:after="40" w:line="240" w:lineRule="auto"/>
              <w:jc w:val="center"/>
              <w:rPr>
                <w:rFonts w:ascii="Arial Narrow" w:hAnsi="Arial Narrow" w:cs="Calibri"/>
                <w:b/>
                <w:color w:val="000000"/>
                <w:sz w:val="20"/>
                <w:szCs w:val="20"/>
              </w:rPr>
            </w:pPr>
            <w:r w:rsidRPr="007D1918">
              <w:rPr>
                <w:rFonts w:ascii="Arial Narrow" w:hAnsi="Arial Narrow" w:cs="Calibri"/>
                <w:b/>
                <w:color w:val="000000"/>
                <w:sz w:val="20"/>
                <w:szCs w:val="20"/>
              </w:rPr>
              <w:t>2017-18</w:t>
            </w:r>
          </w:p>
        </w:tc>
      </w:tr>
      <w:tr w:rsidR="006C641A" w:rsidRPr="007D1918" w14:paraId="45858837" w14:textId="77777777" w:rsidTr="00153384">
        <w:trPr>
          <w:cantSplit/>
          <w:trHeight w:val="300"/>
        </w:trPr>
        <w:tc>
          <w:tcPr>
            <w:tcW w:w="1081" w:type="pct"/>
            <w:noWrap/>
            <w:hideMark/>
          </w:tcPr>
          <w:p w14:paraId="30669035"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Number of patients</w:t>
            </w:r>
          </w:p>
        </w:tc>
        <w:tc>
          <w:tcPr>
            <w:tcW w:w="560" w:type="pct"/>
            <w:noWrap/>
            <w:hideMark/>
          </w:tcPr>
          <w:p w14:paraId="69B707C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521</w:t>
            </w:r>
          </w:p>
        </w:tc>
        <w:tc>
          <w:tcPr>
            <w:tcW w:w="560" w:type="pct"/>
            <w:noWrap/>
            <w:hideMark/>
          </w:tcPr>
          <w:p w14:paraId="2DB19AC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609</w:t>
            </w:r>
          </w:p>
        </w:tc>
        <w:tc>
          <w:tcPr>
            <w:tcW w:w="560" w:type="pct"/>
            <w:noWrap/>
            <w:hideMark/>
          </w:tcPr>
          <w:p w14:paraId="118AD2E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670</w:t>
            </w:r>
          </w:p>
        </w:tc>
        <w:tc>
          <w:tcPr>
            <w:tcW w:w="560" w:type="pct"/>
            <w:noWrap/>
            <w:hideMark/>
          </w:tcPr>
          <w:p w14:paraId="15CAAEC2"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747</w:t>
            </w:r>
          </w:p>
        </w:tc>
        <w:tc>
          <w:tcPr>
            <w:tcW w:w="560" w:type="pct"/>
            <w:noWrap/>
            <w:hideMark/>
          </w:tcPr>
          <w:p w14:paraId="1B9F0818"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818</w:t>
            </w:r>
          </w:p>
        </w:tc>
        <w:tc>
          <w:tcPr>
            <w:tcW w:w="560" w:type="pct"/>
            <w:noWrap/>
          </w:tcPr>
          <w:p w14:paraId="3F063C5D"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w:t>
            </w:r>
          </w:p>
        </w:tc>
        <w:tc>
          <w:tcPr>
            <w:tcW w:w="560" w:type="pct"/>
            <w:noWrap/>
            <w:hideMark/>
          </w:tcPr>
          <w:p w14:paraId="6D4685BD"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1,174</w:t>
            </w:r>
          </w:p>
        </w:tc>
      </w:tr>
      <w:tr w:rsidR="006C641A" w:rsidRPr="007D1918" w14:paraId="1FD47FA1" w14:textId="77777777" w:rsidTr="00153384">
        <w:trPr>
          <w:cantSplit/>
          <w:trHeight w:val="300"/>
        </w:trPr>
        <w:tc>
          <w:tcPr>
            <w:tcW w:w="1081" w:type="pct"/>
            <w:noWrap/>
          </w:tcPr>
          <w:p w14:paraId="2EC776D4" w14:textId="77777777" w:rsidR="006C641A" w:rsidRPr="007D1918" w:rsidRDefault="006C641A" w:rsidP="00153384">
            <w:pPr>
              <w:spacing w:after="40" w:line="240" w:lineRule="auto"/>
              <w:jc w:val="both"/>
              <w:rPr>
                <w:rFonts w:ascii="Arial Narrow" w:hAnsi="Arial Narrow"/>
                <w:sz w:val="20"/>
                <w:szCs w:val="20"/>
              </w:rPr>
            </w:pPr>
            <w:r w:rsidRPr="007D1918">
              <w:rPr>
                <w:rFonts w:ascii="Arial Narrow" w:hAnsi="Arial Narrow"/>
                <w:sz w:val="20"/>
                <w:szCs w:val="20"/>
              </w:rPr>
              <w:t>Ig grams issued</w:t>
            </w:r>
          </w:p>
        </w:tc>
        <w:tc>
          <w:tcPr>
            <w:tcW w:w="560" w:type="pct"/>
            <w:noWrap/>
          </w:tcPr>
          <w:p w14:paraId="35267C7B"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231,064</w:t>
            </w:r>
          </w:p>
        </w:tc>
        <w:tc>
          <w:tcPr>
            <w:tcW w:w="560" w:type="pct"/>
            <w:noWrap/>
          </w:tcPr>
          <w:p w14:paraId="20824FE1"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257,966</w:t>
            </w:r>
          </w:p>
        </w:tc>
        <w:tc>
          <w:tcPr>
            <w:tcW w:w="560" w:type="pct"/>
            <w:noWrap/>
          </w:tcPr>
          <w:p w14:paraId="423F325F"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313,940</w:t>
            </w:r>
          </w:p>
        </w:tc>
        <w:tc>
          <w:tcPr>
            <w:tcW w:w="560" w:type="pct"/>
            <w:noWrap/>
          </w:tcPr>
          <w:p w14:paraId="0D7C32DE"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348,336</w:t>
            </w:r>
          </w:p>
        </w:tc>
        <w:tc>
          <w:tcPr>
            <w:tcW w:w="560" w:type="pct"/>
            <w:noWrap/>
          </w:tcPr>
          <w:p w14:paraId="70B825A5"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402,881</w:t>
            </w:r>
          </w:p>
        </w:tc>
        <w:tc>
          <w:tcPr>
            <w:tcW w:w="560" w:type="pct"/>
            <w:noWrap/>
          </w:tcPr>
          <w:p w14:paraId="63891137"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w:t>
            </w:r>
          </w:p>
        </w:tc>
        <w:tc>
          <w:tcPr>
            <w:tcW w:w="560" w:type="pct"/>
            <w:noWrap/>
          </w:tcPr>
          <w:p w14:paraId="1C6668F0" w14:textId="77777777" w:rsidR="006C641A" w:rsidRPr="007D1918" w:rsidRDefault="006C641A" w:rsidP="00153384">
            <w:pPr>
              <w:spacing w:after="40" w:line="240" w:lineRule="auto"/>
              <w:jc w:val="right"/>
              <w:rPr>
                <w:rFonts w:ascii="Arial Narrow" w:hAnsi="Arial Narrow"/>
                <w:sz w:val="20"/>
                <w:szCs w:val="20"/>
              </w:rPr>
            </w:pPr>
            <w:r w:rsidRPr="007D1918">
              <w:rPr>
                <w:rFonts w:ascii="Arial Narrow" w:hAnsi="Arial Narrow"/>
                <w:sz w:val="20"/>
                <w:szCs w:val="20"/>
              </w:rPr>
              <w:t>514,257</w:t>
            </w:r>
          </w:p>
        </w:tc>
      </w:tr>
    </w:tbl>
    <w:p w14:paraId="3630FF0F" w14:textId="77777777" w:rsidR="006C641A" w:rsidRPr="007D1918" w:rsidRDefault="006C641A" w:rsidP="006C641A">
      <w:pPr>
        <w:pStyle w:val="Tablenotes0"/>
        <w:rPr>
          <w:rFonts w:eastAsiaTheme="minorHAnsi"/>
        </w:rPr>
      </w:pPr>
      <w:r w:rsidRPr="007D1918">
        <w:rPr>
          <w:rFonts w:eastAsiaTheme="minorHAnsi"/>
        </w:rPr>
        <w:t>MG = myasthenia gravis; NR = not reported</w:t>
      </w:r>
    </w:p>
    <w:p w14:paraId="10B5A570" w14:textId="79A71896" w:rsidR="006C641A" w:rsidRPr="007D1918" w:rsidRDefault="006C641A" w:rsidP="006C641A">
      <w:pPr>
        <w:pStyle w:val="Tablenotes0"/>
        <w:spacing w:after="360"/>
        <w:rPr>
          <w:rFonts w:eastAsiaTheme="minorHAnsi"/>
        </w:rPr>
      </w:pPr>
      <w:r w:rsidRPr="007D1918">
        <w:rPr>
          <w:rFonts w:eastAsiaTheme="minorHAnsi"/>
        </w:rPr>
        <w:t xml:space="preserve">Source: NBA </w:t>
      </w:r>
      <w:r w:rsidRPr="007D1918">
        <w:rPr>
          <w:rFonts w:eastAsiaTheme="minorHAnsi"/>
        </w:rPr>
        <w:fldChar w:fldCharType="begin"/>
      </w:r>
      <w:r w:rsidRPr="007D1918">
        <w:rPr>
          <w:rFonts w:eastAsiaTheme="minorHAnsi"/>
        </w:rPr>
        <w:instrText xml:space="preserve"> ADDIN EN.CITE &lt;EndNote&gt;&lt;Cite ExcludeAuth="1"&gt;&lt;Author&gt;National Blood Authority [NBA]&lt;/Author&gt;&lt;Year&gt;2019&lt;/Year&gt;&lt;RecNum&gt;69&lt;/RecNum&gt;&lt;DisplayText&gt;(2019)&lt;/DisplayText&gt;&lt;record&gt;&lt;rec-number&gt;69&lt;/rec-number&gt;&lt;foreign-keys&gt;&lt;key app="EN" db-id="9f05xffxefw2s8evxdixrrs3s5dvxzztw99v" timestamp="1562549829"&gt;69&lt;/key&gt;&lt;/foreign-keys&gt;&lt;ref-type name="Web Page"&gt;12&lt;/ref-type&gt;&lt;contributors&gt;&lt;authors&gt;&lt;author&gt;National Blood Authority [NBA],&lt;/author&gt;&lt;/authors&gt;&lt;/contributors&gt;&lt;titles&gt;&lt;title&gt;Data Analysis and Reporting&lt;/title&gt;&lt;/titles&gt;&lt;dates&gt;&lt;year&gt;2019&lt;/year&gt;&lt;/dates&gt;&lt;pub-location&gt;Canberra&lt;/pub-location&gt;&lt;publisher&gt;National Blood Authority &lt;/publisher&gt;&lt;urls&gt;&lt;related-urls&gt;&lt;url&gt;https://www.blood.gov.au/data-analysis-reporting&lt;/url&gt;&lt;/related-urls&gt;&lt;/urls&gt;&lt;/record&gt;&lt;/Cite&gt;&lt;/EndNote&gt;</w:instrText>
      </w:r>
      <w:r w:rsidRPr="007D1918">
        <w:rPr>
          <w:rFonts w:eastAsiaTheme="minorHAnsi"/>
        </w:rPr>
        <w:fldChar w:fldCharType="separate"/>
      </w:r>
      <w:r w:rsidRPr="007D1918">
        <w:rPr>
          <w:rFonts w:eastAsiaTheme="minorHAnsi"/>
          <w:noProof/>
        </w:rPr>
        <w:t>(</w:t>
      </w:r>
      <w:hyperlink w:anchor="_ENREF_72" w:tooltip="National Blood Authority [NBA], 2019 #69" w:history="1">
        <w:r w:rsidR="007D4948" w:rsidRPr="007D1918">
          <w:rPr>
            <w:rFonts w:eastAsiaTheme="minorHAnsi"/>
            <w:noProof/>
          </w:rPr>
          <w:t>2019</w:t>
        </w:r>
      </w:hyperlink>
      <w:r w:rsidRPr="007D1918">
        <w:rPr>
          <w:rFonts w:eastAsiaTheme="minorHAnsi"/>
          <w:noProof/>
        </w:rPr>
        <w:t>)</w:t>
      </w:r>
      <w:r w:rsidRPr="007D1918">
        <w:rPr>
          <w:rFonts w:eastAsiaTheme="minorHAnsi"/>
        </w:rPr>
        <w:fldChar w:fldCharType="end"/>
      </w:r>
      <w:r w:rsidRPr="007D1918">
        <w:rPr>
          <w:rFonts w:eastAsiaTheme="minorHAnsi"/>
        </w:rPr>
        <w:t xml:space="preserve"> National Reports on the issue and use of immunoglobulin (Ig), 2012-13, 2013-14, 20114-15 and 2015-16 and the 'HTA Data April2019.xlsx' workbook provided by the </w:t>
      </w:r>
      <w:r w:rsidR="00EF35E0" w:rsidRPr="007D1918">
        <w:rPr>
          <w:rFonts w:eastAsiaTheme="minorHAnsi"/>
        </w:rPr>
        <w:t>NBA</w:t>
      </w:r>
      <w:r w:rsidRPr="007D1918">
        <w:rPr>
          <w:rFonts w:eastAsiaTheme="minorHAnsi"/>
        </w:rPr>
        <w:t>.</w:t>
      </w:r>
    </w:p>
    <w:p w14:paraId="23987C00" w14:textId="5778B80E" w:rsidR="006C641A" w:rsidRPr="007D1918" w:rsidRDefault="006C641A" w:rsidP="006C641A">
      <w:pPr>
        <w:jc w:val="both"/>
      </w:pPr>
      <w:r w:rsidRPr="007D1918">
        <w:t>The 'HTA Data April2019.xlsx' workbook data for IVIg use in MG collates information across the three MG indications; disaggregated data on total Australian usage and patients, specifically for each of these indications was not available. However disaggregated 2017-18 BloodSTAR</w:t>
      </w:r>
      <w:r w:rsidRPr="007D1918">
        <w:rPr>
          <w:rStyle w:val="FootnoteReference"/>
        </w:rPr>
        <w:footnoteReference w:id="16"/>
      </w:r>
      <w:r w:rsidRPr="007D1918">
        <w:t xml:space="preserve"> data (Worksheet 5), which excludes NSW, reports 820 MG patients receiving IVIg distributed across Indications 1, 2 and 3 in proportions of 17.1%, 2.8% and 80.1%. Applying these proportions to the total 1,174 patients for </w:t>
      </w:r>
      <w:r w:rsidRPr="007D1918">
        <w:lastRenderedPageBreak/>
        <w:t>2017-18 estimates disaggregated patient numbers in Indications 1, 2 and 3 to be 201, 33 and 940 patients, respectively</w:t>
      </w:r>
      <w:r w:rsidR="00D84130" w:rsidRPr="007D1918">
        <w:t>,</w:t>
      </w:r>
      <w:r w:rsidRPr="007D1918">
        <w:t xml:space="preserve"> for the most recent year where data is available.</w:t>
      </w:r>
    </w:p>
    <w:p w14:paraId="2BD9DC53" w14:textId="77777777" w:rsidR="006C641A" w:rsidRPr="007D1918" w:rsidRDefault="006C641A" w:rsidP="006C641A">
      <w:pPr>
        <w:pStyle w:val="Heading2"/>
        <w:numPr>
          <w:ilvl w:val="4"/>
          <w:numId w:val="11"/>
        </w:numPr>
      </w:pPr>
      <w:bookmarkStart w:id="490" w:name="_Toc214091270"/>
      <w:bookmarkStart w:id="491" w:name="_Toc341796094"/>
      <w:bookmarkStart w:id="492" w:name="_Toc15561887"/>
      <w:bookmarkStart w:id="493" w:name="_Toc23767008"/>
      <w:bookmarkStart w:id="494" w:name="_Toc379118300"/>
      <w:bookmarkStart w:id="495" w:name="_Toc381796483"/>
      <w:r w:rsidRPr="007D1918">
        <w:t xml:space="preserve">Use and Costs of </w:t>
      </w:r>
      <w:bookmarkEnd w:id="490"/>
      <w:bookmarkEnd w:id="491"/>
      <w:r w:rsidRPr="007D1918">
        <w:t>IVIg for MG</w:t>
      </w:r>
      <w:bookmarkEnd w:id="492"/>
      <w:bookmarkEnd w:id="493"/>
    </w:p>
    <w:p w14:paraId="5FE62B33" w14:textId="553197DB" w:rsidR="006C641A" w:rsidRPr="007D1918" w:rsidRDefault="006C641A" w:rsidP="006C641A">
      <w:pPr>
        <w:jc w:val="both"/>
      </w:pPr>
      <w:bookmarkStart w:id="496" w:name="_Toc379118301"/>
      <w:bookmarkStart w:id="497" w:name="_Toc381796484"/>
      <w:bookmarkEnd w:id="494"/>
      <w:bookmarkEnd w:id="495"/>
      <w:r w:rsidRPr="007D1918">
        <w:t>While there is inevitably some uncertainty associated with future projections, the current eligible population and their extent of Ig use is well</w:t>
      </w:r>
      <w:r w:rsidR="00D84130" w:rsidRPr="007D1918">
        <w:t xml:space="preserve"> </w:t>
      </w:r>
      <w:r w:rsidRPr="007D1918">
        <w:t>defined in the BloodSTAR database, and a ground-up epidemiological approach to estimating the size of the relevant population is therefore not required.</w:t>
      </w:r>
    </w:p>
    <w:p w14:paraId="1C143592" w14:textId="6DB179C7" w:rsidR="006C641A" w:rsidRPr="007D1918" w:rsidRDefault="00D84130" w:rsidP="006C641A">
      <w:r w:rsidRPr="007D1918">
        <w:fldChar w:fldCharType="begin"/>
      </w:r>
      <w:r w:rsidRPr="007D1918">
        <w:instrText xml:space="preserve"> REF _Ref9868017 \h  \* MERGEFORMAT </w:instrText>
      </w:r>
      <w:r w:rsidRPr="007D1918">
        <w:fldChar w:fldCharType="separate"/>
      </w:r>
      <w:r w:rsidRPr="007D1918">
        <w:t xml:space="preserve">Figure </w:t>
      </w:r>
      <w:r w:rsidRPr="007D1918">
        <w:rPr>
          <w:noProof/>
        </w:rPr>
        <w:t>9</w:t>
      </w:r>
      <w:r w:rsidRPr="007D1918">
        <w:fldChar w:fldCharType="end"/>
      </w:r>
      <w:r w:rsidRPr="007D1918">
        <w:t xml:space="preserve"> presents the p</w:t>
      </w:r>
      <w:r w:rsidR="006C641A" w:rsidRPr="007D1918">
        <w:t xml:space="preserve">atient numbers projected using linear extrapolations fitted to the observed data presented in </w:t>
      </w:r>
      <w:r w:rsidR="006C641A" w:rsidRPr="007D1918">
        <w:fldChar w:fldCharType="begin"/>
      </w:r>
      <w:r w:rsidR="006C641A" w:rsidRPr="007D1918">
        <w:instrText xml:space="preserve"> REF _Ref9868003 \h  \* MERGEFORMAT </w:instrText>
      </w:r>
      <w:r w:rsidR="006C641A" w:rsidRPr="007D1918">
        <w:fldChar w:fldCharType="separate"/>
      </w:r>
      <w:r w:rsidR="00B865E7" w:rsidRPr="007D1918">
        <w:t>Table 90</w:t>
      </w:r>
      <w:r w:rsidR="006C641A" w:rsidRPr="007D1918">
        <w:fldChar w:fldCharType="end"/>
      </w:r>
      <w:r w:rsidR="006C641A" w:rsidRPr="007D1918">
        <w:t xml:space="preserve">. The projected estimated MG patients requesting IVIg are presented in </w:t>
      </w:r>
      <w:r w:rsidR="006C641A" w:rsidRPr="007D1918">
        <w:fldChar w:fldCharType="begin"/>
      </w:r>
      <w:r w:rsidR="006C641A" w:rsidRPr="007D1918">
        <w:instrText xml:space="preserve"> REF _Ref10797587 \h </w:instrText>
      </w:r>
      <w:r w:rsidR="00E07567" w:rsidRPr="007D1918">
        <w:instrText xml:space="preserve"> \* MERGEFORMAT </w:instrText>
      </w:r>
      <w:r w:rsidR="006C641A" w:rsidRPr="007D1918">
        <w:fldChar w:fldCharType="separate"/>
      </w:r>
      <w:r w:rsidR="00B865E7" w:rsidRPr="007D1918">
        <w:t xml:space="preserve">Table </w:t>
      </w:r>
      <w:r w:rsidR="00B865E7" w:rsidRPr="007D1918">
        <w:rPr>
          <w:noProof/>
        </w:rPr>
        <w:t>91</w:t>
      </w:r>
      <w:r w:rsidR="006C641A" w:rsidRPr="007D1918">
        <w:fldChar w:fldCharType="end"/>
      </w:r>
      <w:r w:rsidR="006C641A" w:rsidRPr="007D1918">
        <w:t xml:space="preserve">. </w:t>
      </w:r>
    </w:p>
    <w:p w14:paraId="4E57E70C" w14:textId="23300B61" w:rsidR="006C641A" w:rsidRPr="007D1918" w:rsidRDefault="006C641A" w:rsidP="006C641A">
      <w:pPr>
        <w:pStyle w:val="Caption"/>
        <w:keepNext/>
      </w:pPr>
      <w:bookmarkStart w:id="498" w:name="_Ref9868017"/>
      <w:bookmarkStart w:id="499" w:name="_Toc13645623"/>
      <w:bookmarkStart w:id="500" w:name="_Toc15562023"/>
      <w:bookmarkStart w:id="501" w:name="_Toc23769614"/>
      <w:r w:rsidRPr="007D1918">
        <w:t xml:space="preserve">Figure </w:t>
      </w:r>
      <w:r w:rsidRPr="007D1918">
        <w:rPr>
          <w:noProof/>
        </w:rPr>
        <w:fldChar w:fldCharType="begin"/>
      </w:r>
      <w:r w:rsidRPr="007D1918">
        <w:rPr>
          <w:noProof/>
        </w:rPr>
        <w:instrText xml:space="preserve"> SEQ Figure \* ARABIC </w:instrText>
      </w:r>
      <w:r w:rsidRPr="007D1918">
        <w:rPr>
          <w:noProof/>
        </w:rPr>
        <w:fldChar w:fldCharType="separate"/>
      </w:r>
      <w:r w:rsidR="00B865E7" w:rsidRPr="007D1918">
        <w:rPr>
          <w:noProof/>
        </w:rPr>
        <w:t>9</w:t>
      </w:r>
      <w:r w:rsidRPr="007D1918">
        <w:rPr>
          <w:noProof/>
        </w:rPr>
        <w:fldChar w:fldCharType="end"/>
      </w:r>
      <w:bookmarkEnd w:id="498"/>
      <w:r w:rsidRPr="007D1918">
        <w:tab/>
        <w:t xml:space="preserve">Total MG Patients requiring IVIg; projected patient numbers </w:t>
      </w:r>
      <w:bookmarkEnd w:id="499"/>
      <w:r w:rsidRPr="007D1918">
        <w:t>to 2022-2023</w:t>
      </w:r>
      <w:bookmarkEnd w:id="500"/>
      <w:bookmarkEnd w:id="501"/>
    </w:p>
    <w:p w14:paraId="1D479C5D" w14:textId="77777777" w:rsidR="006C641A" w:rsidRPr="007D1918" w:rsidRDefault="006C641A" w:rsidP="006C641A">
      <w:pPr>
        <w:spacing w:after="0"/>
      </w:pPr>
      <w:r w:rsidRPr="007D1918">
        <w:rPr>
          <w:noProof/>
        </w:rPr>
        <w:drawing>
          <wp:inline distT="0" distB="0" distL="0" distR="0" wp14:anchorId="15C215D3" wp14:editId="76E8F6D3">
            <wp:extent cx="4667250" cy="2805160"/>
            <wp:effectExtent l="0" t="0" r="0" b="0"/>
            <wp:docPr id="3" name="Picture 3" title="Figure 9 Total MG Patients requiring IVIg; projected patient numbers to 2022-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11040" cy="2831479"/>
                    </a:xfrm>
                    <a:prstGeom prst="rect">
                      <a:avLst/>
                    </a:prstGeom>
                    <a:noFill/>
                  </pic:spPr>
                </pic:pic>
              </a:graphicData>
            </a:graphic>
          </wp:inline>
        </w:drawing>
      </w:r>
    </w:p>
    <w:p w14:paraId="5F466FEE" w14:textId="77777777" w:rsidR="006C641A" w:rsidRPr="007D1918" w:rsidRDefault="006C641A" w:rsidP="006C641A">
      <w:pPr>
        <w:pStyle w:val="Tablenotes1"/>
      </w:pPr>
      <w:r w:rsidRPr="007D1918">
        <w:t>MG = myasthenia gravis.</w:t>
      </w:r>
    </w:p>
    <w:p w14:paraId="2C40D6A1" w14:textId="77777777" w:rsidR="006C641A" w:rsidRPr="007D1918" w:rsidRDefault="006C641A" w:rsidP="006C641A">
      <w:pPr>
        <w:pStyle w:val="Tablenotes1"/>
        <w:spacing w:after="360"/>
      </w:pPr>
      <w:r w:rsidRPr="007D1918">
        <w:t>Source: ‘Estimated patient numbers’ worksheet in ‘1566 Financials.xlsx’ workbook.</w:t>
      </w:r>
    </w:p>
    <w:p w14:paraId="4E7697CF" w14:textId="3FE25F24" w:rsidR="006C641A" w:rsidRPr="007D1918" w:rsidRDefault="006C641A" w:rsidP="006C641A">
      <w:pPr>
        <w:pStyle w:val="Caption"/>
        <w:keepNext/>
      </w:pPr>
      <w:bookmarkStart w:id="502" w:name="_Ref10797587"/>
      <w:bookmarkStart w:id="503" w:name="_Toc13645596"/>
      <w:bookmarkStart w:id="504" w:name="_Toc15561990"/>
      <w:bookmarkStart w:id="505" w:name="_Toc23769578"/>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91</w:t>
      </w:r>
      <w:r w:rsidRPr="007D1918">
        <w:rPr>
          <w:noProof/>
        </w:rPr>
        <w:fldChar w:fldCharType="end"/>
      </w:r>
      <w:bookmarkEnd w:id="502"/>
      <w:r w:rsidRPr="007D1918">
        <w:tab/>
        <w:t>Number of MG patients projected to receive Ig by indication, 2019-20 to 2023-24</w:t>
      </w:r>
      <w:bookmarkEnd w:id="503"/>
      <w:bookmarkEnd w:id="504"/>
      <w:bookmarkEnd w:id="505"/>
    </w:p>
    <w:tbl>
      <w:tblPr>
        <w:tblStyle w:val="TableGrid1"/>
        <w:tblW w:w="5000" w:type="pct"/>
        <w:tblLook w:val="04A0" w:firstRow="1" w:lastRow="0" w:firstColumn="1" w:lastColumn="0" w:noHBand="0" w:noVBand="1"/>
        <w:tblCaption w:val="Number of patients projected to receive Ig by indication, 2019-20 to 2023-24"/>
      </w:tblPr>
      <w:tblGrid>
        <w:gridCol w:w="2123"/>
        <w:gridCol w:w="1378"/>
        <w:gridCol w:w="1379"/>
        <w:gridCol w:w="1379"/>
        <w:gridCol w:w="1379"/>
        <w:gridCol w:w="1378"/>
      </w:tblGrid>
      <w:tr w:rsidR="006C641A" w:rsidRPr="007D1918" w14:paraId="49FC0FAB" w14:textId="77777777" w:rsidTr="00153384">
        <w:trPr>
          <w:cnfStyle w:val="100000000000" w:firstRow="1" w:lastRow="0" w:firstColumn="0" w:lastColumn="0" w:oddVBand="0" w:evenVBand="0" w:oddHBand="0" w:evenHBand="0" w:firstRowFirstColumn="0" w:firstRowLastColumn="0" w:lastRowFirstColumn="0" w:lastRowLastColumn="0"/>
          <w:cantSplit/>
          <w:trHeight w:val="300"/>
          <w:tblHeader/>
        </w:trPr>
        <w:tc>
          <w:tcPr>
            <w:tcW w:w="1177" w:type="pct"/>
          </w:tcPr>
          <w:p w14:paraId="36AAB851" w14:textId="77777777" w:rsidR="006C641A" w:rsidRPr="007D1918" w:rsidRDefault="006C641A" w:rsidP="00153384">
            <w:pPr>
              <w:pStyle w:val="TableHeading"/>
            </w:pPr>
          </w:p>
        </w:tc>
        <w:tc>
          <w:tcPr>
            <w:tcW w:w="764" w:type="pct"/>
            <w:tcBorders>
              <w:bottom w:val="single" w:sz="4" w:space="0" w:color="auto"/>
            </w:tcBorders>
            <w:noWrap/>
            <w:hideMark/>
          </w:tcPr>
          <w:p w14:paraId="4E6DC647" w14:textId="77777777" w:rsidR="006C641A" w:rsidRPr="007D1918" w:rsidRDefault="006C641A" w:rsidP="00153384">
            <w:pPr>
              <w:pStyle w:val="TableHeading"/>
              <w:jc w:val="center"/>
            </w:pPr>
            <w:r w:rsidRPr="007D1918">
              <w:t>2019-20</w:t>
            </w:r>
          </w:p>
        </w:tc>
        <w:tc>
          <w:tcPr>
            <w:tcW w:w="765" w:type="pct"/>
            <w:tcBorders>
              <w:bottom w:val="single" w:sz="4" w:space="0" w:color="auto"/>
            </w:tcBorders>
            <w:noWrap/>
            <w:hideMark/>
          </w:tcPr>
          <w:p w14:paraId="645C7D3D" w14:textId="77777777" w:rsidR="006C641A" w:rsidRPr="007D1918" w:rsidRDefault="006C641A" w:rsidP="00153384">
            <w:pPr>
              <w:pStyle w:val="TableHeading"/>
              <w:jc w:val="center"/>
            </w:pPr>
            <w:r w:rsidRPr="007D1918">
              <w:t>2020-21</w:t>
            </w:r>
          </w:p>
        </w:tc>
        <w:tc>
          <w:tcPr>
            <w:tcW w:w="765" w:type="pct"/>
            <w:tcBorders>
              <w:bottom w:val="single" w:sz="4" w:space="0" w:color="auto"/>
            </w:tcBorders>
            <w:noWrap/>
            <w:hideMark/>
          </w:tcPr>
          <w:p w14:paraId="4B3D7922" w14:textId="77777777" w:rsidR="006C641A" w:rsidRPr="007D1918" w:rsidRDefault="006C641A" w:rsidP="00153384">
            <w:pPr>
              <w:pStyle w:val="TableHeading"/>
              <w:jc w:val="center"/>
            </w:pPr>
            <w:r w:rsidRPr="007D1918">
              <w:t>2021-22</w:t>
            </w:r>
          </w:p>
        </w:tc>
        <w:tc>
          <w:tcPr>
            <w:tcW w:w="765" w:type="pct"/>
            <w:tcBorders>
              <w:bottom w:val="single" w:sz="4" w:space="0" w:color="auto"/>
            </w:tcBorders>
            <w:noWrap/>
            <w:hideMark/>
          </w:tcPr>
          <w:p w14:paraId="105CDD61" w14:textId="77777777" w:rsidR="006C641A" w:rsidRPr="007D1918" w:rsidRDefault="006C641A" w:rsidP="00153384">
            <w:pPr>
              <w:pStyle w:val="TableHeading"/>
              <w:jc w:val="center"/>
            </w:pPr>
            <w:r w:rsidRPr="007D1918">
              <w:t>2022-23</w:t>
            </w:r>
          </w:p>
        </w:tc>
        <w:tc>
          <w:tcPr>
            <w:tcW w:w="764" w:type="pct"/>
            <w:tcBorders>
              <w:bottom w:val="single" w:sz="4" w:space="0" w:color="auto"/>
            </w:tcBorders>
            <w:noWrap/>
            <w:hideMark/>
          </w:tcPr>
          <w:p w14:paraId="55A5856A" w14:textId="77777777" w:rsidR="006C641A" w:rsidRPr="007D1918" w:rsidRDefault="006C641A" w:rsidP="00153384">
            <w:pPr>
              <w:pStyle w:val="TableHeading"/>
              <w:jc w:val="center"/>
            </w:pPr>
            <w:r w:rsidRPr="007D1918">
              <w:t>2023-24</w:t>
            </w:r>
          </w:p>
        </w:tc>
      </w:tr>
      <w:tr w:rsidR="006C641A" w:rsidRPr="007D1918" w14:paraId="38248D32" w14:textId="77777777" w:rsidTr="00153384">
        <w:trPr>
          <w:cantSplit/>
          <w:trHeight w:val="300"/>
        </w:trPr>
        <w:tc>
          <w:tcPr>
            <w:tcW w:w="1177" w:type="pct"/>
          </w:tcPr>
          <w:p w14:paraId="65F1FCFE" w14:textId="77777777" w:rsidR="006C641A" w:rsidRPr="007D1918" w:rsidRDefault="006C641A" w:rsidP="00153384">
            <w:pPr>
              <w:pStyle w:val="Tabletext1"/>
              <w:rPr>
                <w:rFonts w:cs="Calibri"/>
                <w:color w:val="000000"/>
              </w:rPr>
            </w:pPr>
            <w:r w:rsidRPr="007D1918">
              <w:t xml:space="preserve">   Indication 1: 17.1%</w:t>
            </w:r>
          </w:p>
        </w:tc>
        <w:tc>
          <w:tcPr>
            <w:tcW w:w="764" w:type="pct"/>
            <w:tcBorders>
              <w:top w:val="single" w:sz="4" w:space="0" w:color="auto"/>
              <w:left w:val="nil"/>
              <w:bottom w:val="single" w:sz="4" w:space="0" w:color="auto"/>
              <w:right w:val="single" w:sz="4" w:space="0" w:color="auto"/>
            </w:tcBorders>
            <w:shd w:val="clear" w:color="auto" w:fill="auto"/>
            <w:noWrap/>
            <w:hideMark/>
          </w:tcPr>
          <w:p w14:paraId="0F838F5E"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223</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451FBCA0"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241</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6D9417CB"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258</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6561C67F"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276</w:t>
            </w:r>
          </w:p>
        </w:tc>
        <w:tc>
          <w:tcPr>
            <w:tcW w:w="764" w:type="pct"/>
            <w:tcBorders>
              <w:top w:val="single" w:sz="4" w:space="0" w:color="auto"/>
              <w:left w:val="single" w:sz="4" w:space="0" w:color="auto"/>
              <w:bottom w:val="single" w:sz="4" w:space="0" w:color="auto"/>
              <w:right w:val="single" w:sz="4" w:space="0" w:color="auto"/>
            </w:tcBorders>
            <w:shd w:val="clear" w:color="auto" w:fill="auto"/>
            <w:noWrap/>
            <w:hideMark/>
          </w:tcPr>
          <w:p w14:paraId="7308EACC"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294</w:t>
            </w:r>
          </w:p>
        </w:tc>
      </w:tr>
      <w:tr w:rsidR="006C641A" w:rsidRPr="007D1918" w14:paraId="69258B02" w14:textId="77777777" w:rsidTr="00153384">
        <w:trPr>
          <w:cantSplit/>
          <w:trHeight w:val="300"/>
        </w:trPr>
        <w:tc>
          <w:tcPr>
            <w:tcW w:w="1177" w:type="pct"/>
          </w:tcPr>
          <w:p w14:paraId="6D497F05" w14:textId="77777777" w:rsidR="006C641A" w:rsidRPr="007D1918" w:rsidRDefault="006C641A" w:rsidP="00153384">
            <w:pPr>
              <w:pStyle w:val="Tabletext1"/>
              <w:rPr>
                <w:rFonts w:cs="Calibri"/>
                <w:color w:val="000000"/>
              </w:rPr>
            </w:pPr>
            <w:r w:rsidRPr="007D1918">
              <w:t xml:space="preserve">   Indication 2: 2.8%</w:t>
            </w:r>
          </w:p>
        </w:tc>
        <w:tc>
          <w:tcPr>
            <w:tcW w:w="764" w:type="pct"/>
            <w:tcBorders>
              <w:top w:val="single" w:sz="4" w:space="0" w:color="auto"/>
              <w:left w:val="nil"/>
              <w:bottom w:val="single" w:sz="4" w:space="0" w:color="auto"/>
              <w:right w:val="single" w:sz="4" w:space="0" w:color="auto"/>
            </w:tcBorders>
            <w:shd w:val="clear" w:color="auto" w:fill="auto"/>
            <w:noWrap/>
            <w:hideMark/>
          </w:tcPr>
          <w:p w14:paraId="379AC413"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37</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4760DE0D"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39</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6A3367B2"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42</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511E02BC"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45</w:t>
            </w:r>
          </w:p>
        </w:tc>
        <w:tc>
          <w:tcPr>
            <w:tcW w:w="764" w:type="pct"/>
            <w:tcBorders>
              <w:top w:val="single" w:sz="4" w:space="0" w:color="auto"/>
              <w:left w:val="single" w:sz="4" w:space="0" w:color="auto"/>
              <w:bottom w:val="single" w:sz="4" w:space="0" w:color="auto"/>
              <w:right w:val="single" w:sz="4" w:space="0" w:color="auto"/>
            </w:tcBorders>
            <w:shd w:val="clear" w:color="auto" w:fill="auto"/>
            <w:noWrap/>
            <w:hideMark/>
          </w:tcPr>
          <w:p w14:paraId="075BD5CB"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48</w:t>
            </w:r>
          </w:p>
        </w:tc>
      </w:tr>
      <w:tr w:rsidR="006C641A" w:rsidRPr="007D1918" w14:paraId="02E68E03" w14:textId="77777777" w:rsidTr="00153384">
        <w:trPr>
          <w:cantSplit/>
          <w:trHeight w:val="300"/>
        </w:trPr>
        <w:tc>
          <w:tcPr>
            <w:tcW w:w="1177" w:type="pct"/>
          </w:tcPr>
          <w:p w14:paraId="6052C9C1" w14:textId="77777777" w:rsidR="006C641A" w:rsidRPr="007D1918" w:rsidRDefault="006C641A" w:rsidP="00153384">
            <w:pPr>
              <w:pStyle w:val="Tabletext1"/>
              <w:rPr>
                <w:rFonts w:cs="Calibri"/>
                <w:color w:val="000000"/>
              </w:rPr>
            </w:pPr>
            <w:r w:rsidRPr="007D1918">
              <w:t xml:space="preserve">   Indication 3: 80.1%</w:t>
            </w:r>
          </w:p>
        </w:tc>
        <w:tc>
          <w:tcPr>
            <w:tcW w:w="764" w:type="pct"/>
            <w:tcBorders>
              <w:top w:val="single" w:sz="4" w:space="0" w:color="auto"/>
              <w:left w:val="nil"/>
              <w:bottom w:val="single" w:sz="4" w:space="0" w:color="auto"/>
              <w:right w:val="single" w:sz="4" w:space="0" w:color="auto"/>
            </w:tcBorders>
            <w:shd w:val="clear" w:color="auto" w:fill="auto"/>
            <w:noWrap/>
            <w:hideMark/>
          </w:tcPr>
          <w:p w14:paraId="6312DEE2"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1,046</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65FD61E9"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1,128</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44A2115E"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1,211</w:t>
            </w:r>
          </w:p>
        </w:tc>
        <w:tc>
          <w:tcPr>
            <w:tcW w:w="765" w:type="pct"/>
            <w:tcBorders>
              <w:top w:val="single" w:sz="4" w:space="0" w:color="auto"/>
              <w:left w:val="single" w:sz="4" w:space="0" w:color="auto"/>
              <w:bottom w:val="single" w:sz="4" w:space="0" w:color="auto"/>
              <w:right w:val="single" w:sz="4" w:space="0" w:color="auto"/>
            </w:tcBorders>
            <w:shd w:val="clear" w:color="auto" w:fill="auto"/>
            <w:noWrap/>
            <w:hideMark/>
          </w:tcPr>
          <w:p w14:paraId="1881284E"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1,293</w:t>
            </w:r>
          </w:p>
        </w:tc>
        <w:tc>
          <w:tcPr>
            <w:tcW w:w="764" w:type="pct"/>
            <w:tcBorders>
              <w:top w:val="single" w:sz="4" w:space="0" w:color="auto"/>
              <w:left w:val="single" w:sz="4" w:space="0" w:color="auto"/>
              <w:bottom w:val="single" w:sz="4" w:space="0" w:color="auto"/>
              <w:right w:val="single" w:sz="4" w:space="0" w:color="auto"/>
            </w:tcBorders>
            <w:shd w:val="clear" w:color="auto" w:fill="auto"/>
            <w:noWrap/>
            <w:hideMark/>
          </w:tcPr>
          <w:p w14:paraId="2DF3F40E" w14:textId="77777777" w:rsidR="006C641A" w:rsidRPr="007D1918" w:rsidRDefault="006C641A" w:rsidP="00153384">
            <w:pPr>
              <w:spacing w:after="40" w:line="240" w:lineRule="auto"/>
              <w:jc w:val="center"/>
              <w:rPr>
                <w:rFonts w:ascii="Arial Narrow" w:hAnsi="Arial Narrow"/>
                <w:sz w:val="20"/>
                <w:szCs w:val="20"/>
              </w:rPr>
            </w:pPr>
            <w:r w:rsidRPr="007D1918">
              <w:rPr>
                <w:rFonts w:ascii="Arial Narrow" w:hAnsi="Arial Narrow"/>
                <w:sz w:val="20"/>
                <w:szCs w:val="20"/>
              </w:rPr>
              <w:t>1,376</w:t>
            </w:r>
          </w:p>
        </w:tc>
      </w:tr>
      <w:tr w:rsidR="006C641A" w:rsidRPr="007D1918" w14:paraId="39869648" w14:textId="77777777" w:rsidTr="00153384">
        <w:trPr>
          <w:trHeight w:val="300"/>
        </w:trPr>
        <w:tc>
          <w:tcPr>
            <w:tcW w:w="1177" w:type="pct"/>
          </w:tcPr>
          <w:p w14:paraId="61E2C328" w14:textId="77777777" w:rsidR="006C641A" w:rsidRPr="007D1918" w:rsidRDefault="006C641A" w:rsidP="00153384">
            <w:pPr>
              <w:pStyle w:val="Tabletext1"/>
              <w:rPr>
                <w:rFonts w:cs="Calibri"/>
                <w:b/>
                <w:color w:val="000000"/>
              </w:rPr>
            </w:pPr>
            <w:r w:rsidRPr="007D1918">
              <w:rPr>
                <w:b/>
              </w:rPr>
              <w:t>MG Total</w:t>
            </w:r>
          </w:p>
        </w:tc>
        <w:tc>
          <w:tcPr>
            <w:tcW w:w="764" w:type="pct"/>
            <w:tcBorders>
              <w:top w:val="single" w:sz="4" w:space="0" w:color="auto"/>
            </w:tcBorders>
            <w:noWrap/>
            <w:hideMark/>
          </w:tcPr>
          <w:p w14:paraId="5365CCF8" w14:textId="77777777" w:rsidR="006C641A" w:rsidRPr="007D1918" w:rsidRDefault="006C641A" w:rsidP="00153384">
            <w:pPr>
              <w:pStyle w:val="Tabletext1"/>
              <w:jc w:val="center"/>
            </w:pPr>
            <w:r w:rsidRPr="007D1918">
              <w:t>1,306</w:t>
            </w:r>
          </w:p>
        </w:tc>
        <w:tc>
          <w:tcPr>
            <w:tcW w:w="765" w:type="pct"/>
            <w:tcBorders>
              <w:top w:val="single" w:sz="4" w:space="0" w:color="auto"/>
            </w:tcBorders>
            <w:noWrap/>
            <w:hideMark/>
          </w:tcPr>
          <w:p w14:paraId="0375251B" w14:textId="77777777" w:rsidR="006C641A" w:rsidRPr="007D1918" w:rsidRDefault="006C641A" w:rsidP="00153384">
            <w:pPr>
              <w:pStyle w:val="Tabletext1"/>
              <w:jc w:val="center"/>
            </w:pPr>
            <w:r w:rsidRPr="007D1918">
              <w:t>1,408</w:t>
            </w:r>
          </w:p>
        </w:tc>
        <w:tc>
          <w:tcPr>
            <w:tcW w:w="765" w:type="pct"/>
            <w:tcBorders>
              <w:top w:val="single" w:sz="4" w:space="0" w:color="auto"/>
            </w:tcBorders>
            <w:noWrap/>
            <w:hideMark/>
          </w:tcPr>
          <w:p w14:paraId="401D3C93" w14:textId="77777777" w:rsidR="006C641A" w:rsidRPr="007D1918" w:rsidRDefault="006C641A" w:rsidP="00153384">
            <w:pPr>
              <w:pStyle w:val="Tabletext1"/>
              <w:jc w:val="center"/>
            </w:pPr>
            <w:r w:rsidRPr="007D1918">
              <w:t>1,511</w:t>
            </w:r>
          </w:p>
        </w:tc>
        <w:tc>
          <w:tcPr>
            <w:tcW w:w="765" w:type="pct"/>
            <w:tcBorders>
              <w:top w:val="single" w:sz="4" w:space="0" w:color="auto"/>
            </w:tcBorders>
            <w:noWrap/>
            <w:hideMark/>
          </w:tcPr>
          <w:p w14:paraId="3CA99CFC" w14:textId="77777777" w:rsidR="006C641A" w:rsidRPr="007D1918" w:rsidRDefault="006C641A" w:rsidP="00153384">
            <w:pPr>
              <w:pStyle w:val="Tabletext1"/>
              <w:jc w:val="center"/>
            </w:pPr>
            <w:r w:rsidRPr="007D1918">
              <w:t>1,614</w:t>
            </w:r>
          </w:p>
        </w:tc>
        <w:tc>
          <w:tcPr>
            <w:tcW w:w="764" w:type="pct"/>
            <w:tcBorders>
              <w:top w:val="single" w:sz="4" w:space="0" w:color="auto"/>
            </w:tcBorders>
            <w:noWrap/>
            <w:hideMark/>
          </w:tcPr>
          <w:p w14:paraId="51F83142" w14:textId="77777777" w:rsidR="006C641A" w:rsidRPr="007D1918" w:rsidRDefault="006C641A" w:rsidP="00153384">
            <w:pPr>
              <w:pStyle w:val="Tabletext1"/>
              <w:jc w:val="center"/>
            </w:pPr>
            <w:r w:rsidRPr="007D1918">
              <w:t>1,717</w:t>
            </w:r>
          </w:p>
        </w:tc>
      </w:tr>
    </w:tbl>
    <w:p w14:paraId="7B4011CF" w14:textId="77777777" w:rsidR="006C641A" w:rsidRPr="007D1918" w:rsidRDefault="006C641A" w:rsidP="006C641A">
      <w:pPr>
        <w:pStyle w:val="Tablenotes1"/>
      </w:pPr>
      <w:r w:rsidRPr="007D1918">
        <w:t>MG = myasthenia gravis.</w:t>
      </w:r>
    </w:p>
    <w:p w14:paraId="63F8213E" w14:textId="77777777" w:rsidR="006C641A" w:rsidRPr="007D1918" w:rsidRDefault="006C641A" w:rsidP="006C641A">
      <w:pPr>
        <w:pStyle w:val="Tablenotes1"/>
      </w:pPr>
      <w:r w:rsidRPr="007D1918">
        <w:t>Source: ‘Estimated patient numbers’ worksheet in ‘1566 Financials.xlsx’ workbook.</w:t>
      </w:r>
    </w:p>
    <w:p w14:paraId="412028DB" w14:textId="77777777" w:rsidR="006C641A" w:rsidRPr="007D1918" w:rsidRDefault="006C641A" w:rsidP="006C641A">
      <w:pPr>
        <w:pStyle w:val="Heading3"/>
      </w:pPr>
      <w:bookmarkStart w:id="506" w:name="_Toc15561888"/>
      <w:bookmarkStart w:id="507" w:name="_Toc23767009"/>
      <w:r w:rsidRPr="007D1918">
        <w:lastRenderedPageBreak/>
        <w:t>Estimated use and cost per patient who receives Ig</w:t>
      </w:r>
      <w:bookmarkEnd w:id="506"/>
      <w:bookmarkEnd w:id="507"/>
    </w:p>
    <w:p w14:paraId="09CC3187" w14:textId="77777777" w:rsidR="006C641A" w:rsidRPr="007D1918" w:rsidRDefault="006C641A" w:rsidP="006C641A">
      <w:pPr>
        <w:pStyle w:val="Heading4"/>
      </w:pPr>
      <w:r w:rsidRPr="007D1918">
        <w:t>Average grams per patient per year</w:t>
      </w:r>
    </w:p>
    <w:p w14:paraId="7994C4F5" w14:textId="4642C63A" w:rsidR="006C641A" w:rsidRPr="007D1918" w:rsidRDefault="006C641A" w:rsidP="006C641A">
      <w:pPr>
        <w:jc w:val="both"/>
      </w:pPr>
      <w:r w:rsidRPr="007D1918">
        <w:t xml:space="preserve">A similar approach is used to estimate Ig use over the projected period, as patient weights and dose may change over time. The projected grams of IVIg use for each indication are presented in </w:t>
      </w:r>
      <w:r w:rsidRPr="007D1918">
        <w:fldChar w:fldCharType="begin"/>
      </w:r>
      <w:r w:rsidRPr="007D1918">
        <w:instrText xml:space="preserve"> REF _Ref12448852 \h  \* MERGEFORMAT </w:instrText>
      </w:r>
      <w:r w:rsidRPr="007D1918">
        <w:fldChar w:fldCharType="separate"/>
      </w:r>
      <w:r w:rsidR="0046554A" w:rsidRPr="007D1918">
        <w:t xml:space="preserve">Table </w:t>
      </w:r>
      <w:r w:rsidR="0046554A" w:rsidRPr="007D1918">
        <w:rPr>
          <w:noProof/>
        </w:rPr>
        <w:t>9</w:t>
      </w:r>
      <w:r w:rsidRPr="007D1918">
        <w:fldChar w:fldCharType="end"/>
      </w:r>
      <w:r w:rsidR="00AA4709" w:rsidRPr="007D1918">
        <w:t>2</w:t>
      </w:r>
      <w:r w:rsidRPr="007D1918">
        <w:t xml:space="preserve">. </w:t>
      </w:r>
    </w:p>
    <w:p w14:paraId="5B54DEB1" w14:textId="22840509" w:rsidR="006C641A" w:rsidRPr="007D1918" w:rsidRDefault="006C641A" w:rsidP="006C641A">
      <w:pPr>
        <w:pStyle w:val="Caption"/>
        <w:keepNext/>
      </w:pPr>
      <w:bookmarkStart w:id="508" w:name="_Toc13645624"/>
      <w:bookmarkStart w:id="509" w:name="_Toc15562024"/>
      <w:bookmarkStart w:id="510" w:name="_Toc23769615"/>
      <w:r w:rsidRPr="007D1918">
        <w:t xml:space="preserve">Figure </w:t>
      </w:r>
      <w:r w:rsidRPr="007D1918">
        <w:rPr>
          <w:noProof/>
        </w:rPr>
        <w:fldChar w:fldCharType="begin"/>
      </w:r>
      <w:r w:rsidRPr="007D1918">
        <w:rPr>
          <w:noProof/>
        </w:rPr>
        <w:instrText xml:space="preserve"> SEQ Figure \* ARABIC </w:instrText>
      </w:r>
      <w:r w:rsidRPr="007D1918">
        <w:rPr>
          <w:noProof/>
        </w:rPr>
        <w:fldChar w:fldCharType="separate"/>
      </w:r>
      <w:r w:rsidR="00B865E7" w:rsidRPr="007D1918">
        <w:rPr>
          <w:noProof/>
        </w:rPr>
        <w:t>10</w:t>
      </w:r>
      <w:r w:rsidRPr="007D1918">
        <w:rPr>
          <w:noProof/>
        </w:rPr>
        <w:fldChar w:fldCharType="end"/>
      </w:r>
      <w:r w:rsidRPr="007D1918">
        <w:tab/>
        <w:t>IVIg for MG, use projections</w:t>
      </w:r>
      <w:bookmarkEnd w:id="508"/>
      <w:r w:rsidRPr="007D1918">
        <w:t xml:space="preserve"> to 2023-24</w:t>
      </w:r>
      <w:bookmarkEnd w:id="509"/>
      <w:bookmarkEnd w:id="510"/>
    </w:p>
    <w:p w14:paraId="61F01785" w14:textId="77777777" w:rsidR="006C641A" w:rsidRPr="007D1918" w:rsidRDefault="006C641A" w:rsidP="006C641A">
      <w:pPr>
        <w:spacing w:after="0" w:line="240" w:lineRule="auto"/>
        <w:contextualSpacing/>
      </w:pPr>
    </w:p>
    <w:p w14:paraId="52C346BF" w14:textId="77777777" w:rsidR="006C641A" w:rsidRPr="007D1918" w:rsidRDefault="006C641A" w:rsidP="006C641A">
      <w:pPr>
        <w:pStyle w:val="Tablenotes1"/>
      </w:pPr>
      <w:r w:rsidRPr="007D1918">
        <w:rPr>
          <w:noProof/>
          <w:lang w:eastAsia="en-AU"/>
        </w:rPr>
        <w:drawing>
          <wp:inline distT="0" distB="0" distL="0" distR="0" wp14:anchorId="174F5545" wp14:editId="7D57B0F6">
            <wp:extent cx="4669790" cy="2804160"/>
            <wp:effectExtent l="0" t="0" r="0" b="0"/>
            <wp:docPr id="2" name="Picture 2" title="Figure 10 IVIg for MG, use projections to 20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9790" cy="2804160"/>
                    </a:xfrm>
                    <a:prstGeom prst="rect">
                      <a:avLst/>
                    </a:prstGeom>
                    <a:noFill/>
                  </pic:spPr>
                </pic:pic>
              </a:graphicData>
            </a:graphic>
          </wp:inline>
        </w:drawing>
      </w:r>
    </w:p>
    <w:p w14:paraId="287DE9C6" w14:textId="77777777" w:rsidR="006C641A" w:rsidRPr="007D1918" w:rsidRDefault="006C641A" w:rsidP="006C641A">
      <w:pPr>
        <w:pStyle w:val="Tablenotes1"/>
      </w:pPr>
      <w:r w:rsidRPr="007D1918">
        <w:t>MG = myasthenia gravis.</w:t>
      </w:r>
    </w:p>
    <w:p w14:paraId="017E2959" w14:textId="77777777" w:rsidR="006C641A" w:rsidRPr="007D1918" w:rsidRDefault="006C641A" w:rsidP="006C641A">
      <w:pPr>
        <w:pStyle w:val="Tablenotes1"/>
        <w:spacing w:after="360"/>
      </w:pPr>
      <w:r w:rsidRPr="007D1918">
        <w:t>Source: ‘Estimated grams issued’ worksheet in ‘1566 Financials.xlsx’ workbook.</w:t>
      </w:r>
    </w:p>
    <w:p w14:paraId="6004FBB2" w14:textId="40FE4C4F" w:rsidR="006C641A" w:rsidRPr="007D1918" w:rsidRDefault="008A555F" w:rsidP="006C641A">
      <w:pPr>
        <w:jc w:val="both"/>
      </w:pPr>
      <w:r w:rsidRPr="007D1918">
        <w:t>D</w:t>
      </w:r>
      <w:r w:rsidR="006C641A" w:rsidRPr="007D1918">
        <w:t>ata was not available</w:t>
      </w:r>
      <w:r w:rsidRPr="007D1918">
        <w:t xml:space="preserve"> to</w:t>
      </w:r>
      <w:r w:rsidR="006C641A" w:rsidRPr="007D1918">
        <w:t xml:space="preserve"> identify the allocation of IVIg in grams specifically associated with each indication. The National Blood Authority recommended assuming usage of IVIg on a ‘grams issued’ basis to be allocated in a split across the MG Indications 1, 2 and 3; in proportions of 9%: 1%: 90%, respectively (as presented in Section D.4).</w:t>
      </w:r>
      <w:r w:rsidR="006C641A" w:rsidRPr="007D1918">
        <w:rPr>
          <w:rStyle w:val="FootnoteReference"/>
        </w:rPr>
        <w:footnoteReference w:id="17"/>
      </w:r>
    </w:p>
    <w:p w14:paraId="3A38B6A1" w14:textId="7817F55E" w:rsidR="006C641A" w:rsidRPr="007D1918" w:rsidRDefault="006C641A" w:rsidP="006C641A">
      <w:pPr>
        <w:pStyle w:val="Caption"/>
        <w:keepNext/>
      </w:pPr>
      <w:bookmarkStart w:id="511" w:name="_Ref12448852"/>
      <w:bookmarkStart w:id="512" w:name="_Toc13645597"/>
      <w:bookmarkStart w:id="513" w:name="_Toc15561991"/>
      <w:bookmarkStart w:id="514" w:name="_Toc23769579"/>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92</w:t>
      </w:r>
      <w:r w:rsidRPr="007D1918">
        <w:rPr>
          <w:noProof/>
        </w:rPr>
        <w:fldChar w:fldCharType="end"/>
      </w:r>
      <w:bookmarkEnd w:id="511"/>
      <w:r w:rsidRPr="007D1918">
        <w:tab/>
        <w:t>Projected number of Ig grams issued by indication, 2019-20 to 2023-24</w:t>
      </w:r>
      <w:bookmarkEnd w:id="512"/>
      <w:bookmarkEnd w:id="513"/>
      <w:bookmarkEnd w:id="514"/>
    </w:p>
    <w:tbl>
      <w:tblPr>
        <w:tblStyle w:val="TableGrid1"/>
        <w:tblW w:w="5000" w:type="pct"/>
        <w:tblLook w:val="04A0" w:firstRow="1" w:lastRow="0" w:firstColumn="1" w:lastColumn="0" w:noHBand="0" w:noVBand="1"/>
        <w:tblCaption w:val="Number of Ig grams issued by indication, 2019-20 to 2023-24"/>
      </w:tblPr>
      <w:tblGrid>
        <w:gridCol w:w="2264"/>
        <w:gridCol w:w="1350"/>
        <w:gridCol w:w="1351"/>
        <w:gridCol w:w="1351"/>
        <w:gridCol w:w="1351"/>
        <w:gridCol w:w="1349"/>
      </w:tblGrid>
      <w:tr w:rsidR="006C641A" w:rsidRPr="007D1918" w14:paraId="7F6BD976" w14:textId="77777777" w:rsidTr="00153384">
        <w:trPr>
          <w:cnfStyle w:val="100000000000" w:firstRow="1" w:lastRow="0" w:firstColumn="0" w:lastColumn="0" w:oddVBand="0" w:evenVBand="0" w:oddHBand="0" w:evenHBand="0" w:firstRowFirstColumn="0" w:firstRowLastColumn="0" w:lastRowFirstColumn="0" w:lastRowLastColumn="0"/>
          <w:cantSplit/>
          <w:trHeight w:val="300"/>
          <w:tblHeader/>
        </w:trPr>
        <w:tc>
          <w:tcPr>
            <w:tcW w:w="1256" w:type="pct"/>
          </w:tcPr>
          <w:p w14:paraId="2CC31110" w14:textId="77777777" w:rsidR="006C641A" w:rsidRPr="007D1918" w:rsidRDefault="006C641A" w:rsidP="00153384">
            <w:pPr>
              <w:pStyle w:val="TableHeading"/>
            </w:pPr>
          </w:p>
        </w:tc>
        <w:tc>
          <w:tcPr>
            <w:tcW w:w="749" w:type="pct"/>
            <w:tcBorders>
              <w:bottom w:val="single" w:sz="4" w:space="0" w:color="auto"/>
            </w:tcBorders>
            <w:noWrap/>
            <w:hideMark/>
          </w:tcPr>
          <w:p w14:paraId="52724CBB" w14:textId="77777777" w:rsidR="006C641A" w:rsidRPr="007D1918" w:rsidRDefault="006C641A" w:rsidP="00153384">
            <w:pPr>
              <w:pStyle w:val="TableHeading"/>
              <w:jc w:val="center"/>
            </w:pPr>
            <w:r w:rsidRPr="007D1918">
              <w:t>2019-20</w:t>
            </w:r>
          </w:p>
        </w:tc>
        <w:tc>
          <w:tcPr>
            <w:tcW w:w="749" w:type="pct"/>
            <w:tcBorders>
              <w:bottom w:val="single" w:sz="4" w:space="0" w:color="auto"/>
            </w:tcBorders>
            <w:noWrap/>
            <w:hideMark/>
          </w:tcPr>
          <w:p w14:paraId="05F68B70" w14:textId="77777777" w:rsidR="006C641A" w:rsidRPr="007D1918" w:rsidRDefault="006C641A" w:rsidP="00153384">
            <w:pPr>
              <w:pStyle w:val="TableHeading"/>
              <w:jc w:val="center"/>
            </w:pPr>
            <w:r w:rsidRPr="007D1918">
              <w:t>2020-21</w:t>
            </w:r>
          </w:p>
        </w:tc>
        <w:tc>
          <w:tcPr>
            <w:tcW w:w="749" w:type="pct"/>
            <w:tcBorders>
              <w:bottom w:val="single" w:sz="4" w:space="0" w:color="auto"/>
            </w:tcBorders>
            <w:noWrap/>
            <w:hideMark/>
          </w:tcPr>
          <w:p w14:paraId="5E4FF192" w14:textId="77777777" w:rsidR="006C641A" w:rsidRPr="007D1918" w:rsidRDefault="006C641A" w:rsidP="00153384">
            <w:pPr>
              <w:pStyle w:val="TableHeading"/>
              <w:jc w:val="center"/>
            </w:pPr>
            <w:r w:rsidRPr="007D1918">
              <w:t>2021-22</w:t>
            </w:r>
          </w:p>
        </w:tc>
        <w:tc>
          <w:tcPr>
            <w:tcW w:w="749" w:type="pct"/>
            <w:tcBorders>
              <w:bottom w:val="single" w:sz="4" w:space="0" w:color="auto"/>
            </w:tcBorders>
            <w:noWrap/>
            <w:hideMark/>
          </w:tcPr>
          <w:p w14:paraId="3BF35C7C" w14:textId="77777777" w:rsidR="006C641A" w:rsidRPr="007D1918" w:rsidRDefault="006C641A" w:rsidP="00153384">
            <w:pPr>
              <w:pStyle w:val="TableHeading"/>
              <w:jc w:val="center"/>
            </w:pPr>
            <w:r w:rsidRPr="007D1918">
              <w:t>2022-23</w:t>
            </w:r>
          </w:p>
        </w:tc>
        <w:tc>
          <w:tcPr>
            <w:tcW w:w="748" w:type="pct"/>
            <w:tcBorders>
              <w:bottom w:val="single" w:sz="4" w:space="0" w:color="auto"/>
            </w:tcBorders>
            <w:noWrap/>
            <w:hideMark/>
          </w:tcPr>
          <w:p w14:paraId="022FD0D9" w14:textId="77777777" w:rsidR="006C641A" w:rsidRPr="007D1918" w:rsidRDefault="006C641A" w:rsidP="00153384">
            <w:pPr>
              <w:pStyle w:val="TableHeading"/>
              <w:jc w:val="center"/>
            </w:pPr>
            <w:r w:rsidRPr="007D1918">
              <w:t>2023-24</w:t>
            </w:r>
          </w:p>
        </w:tc>
      </w:tr>
      <w:tr w:rsidR="006C641A" w:rsidRPr="007D1918" w14:paraId="56BFE88E" w14:textId="77777777" w:rsidTr="00153384">
        <w:trPr>
          <w:cantSplit/>
          <w:trHeight w:val="300"/>
        </w:trPr>
        <w:tc>
          <w:tcPr>
            <w:tcW w:w="1256" w:type="pct"/>
          </w:tcPr>
          <w:p w14:paraId="678292C1" w14:textId="77777777" w:rsidR="006C641A" w:rsidRPr="007D1918" w:rsidRDefault="006C641A" w:rsidP="00153384">
            <w:pPr>
              <w:pStyle w:val="Tabletext1"/>
              <w:rPr>
                <w:rFonts w:cs="Calibri"/>
                <w:color w:val="000000"/>
              </w:rPr>
            </w:pPr>
            <w:r w:rsidRPr="007D1918">
              <w:t xml:space="preserve">   Indication 1: 9% use by g</w:t>
            </w:r>
          </w:p>
        </w:tc>
        <w:tc>
          <w:tcPr>
            <w:tcW w:w="749" w:type="pct"/>
            <w:tcBorders>
              <w:top w:val="single" w:sz="4" w:space="0" w:color="auto"/>
              <w:left w:val="nil"/>
              <w:bottom w:val="single" w:sz="4" w:space="0" w:color="auto"/>
              <w:right w:val="single" w:sz="4" w:space="0" w:color="auto"/>
            </w:tcBorders>
            <w:shd w:val="clear" w:color="auto" w:fill="auto"/>
            <w:noWrap/>
            <w:hideMark/>
          </w:tcPr>
          <w:p w14:paraId="1744F5DE" w14:textId="77777777" w:rsidR="006C641A" w:rsidRPr="007D1918" w:rsidRDefault="006C641A" w:rsidP="00153384">
            <w:pPr>
              <w:pStyle w:val="Tabletext1"/>
              <w:jc w:val="center"/>
              <w:rPr>
                <w:rFonts w:cs="Calibri"/>
                <w:color w:val="000000"/>
              </w:rPr>
            </w:pPr>
            <w:r w:rsidRPr="007D1918">
              <w:t xml:space="preserve"> 53,903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4B9913E0" w14:textId="77777777" w:rsidR="006C641A" w:rsidRPr="007D1918" w:rsidRDefault="006C641A" w:rsidP="00153384">
            <w:pPr>
              <w:pStyle w:val="Tabletext1"/>
              <w:jc w:val="center"/>
              <w:rPr>
                <w:rFonts w:cs="Calibri"/>
                <w:color w:val="000000"/>
              </w:rPr>
            </w:pPr>
            <w:r w:rsidRPr="007D1918">
              <w:t xml:space="preserve"> 58,193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4A9C4421" w14:textId="77777777" w:rsidR="006C641A" w:rsidRPr="007D1918" w:rsidRDefault="006C641A" w:rsidP="00153384">
            <w:pPr>
              <w:pStyle w:val="Tabletext1"/>
              <w:jc w:val="center"/>
              <w:rPr>
                <w:rFonts w:cs="Calibri"/>
                <w:color w:val="000000"/>
              </w:rPr>
            </w:pPr>
            <w:r w:rsidRPr="007D1918">
              <w:t xml:space="preserve"> 62,482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67EE71F7" w14:textId="77777777" w:rsidR="006C641A" w:rsidRPr="007D1918" w:rsidRDefault="006C641A" w:rsidP="00153384">
            <w:pPr>
              <w:pStyle w:val="Tabletext1"/>
              <w:jc w:val="center"/>
              <w:rPr>
                <w:rFonts w:cs="Calibri"/>
                <w:color w:val="000000"/>
              </w:rPr>
            </w:pPr>
            <w:r w:rsidRPr="007D1918">
              <w:t xml:space="preserve"> 66,772 </w:t>
            </w:r>
          </w:p>
        </w:tc>
        <w:tc>
          <w:tcPr>
            <w:tcW w:w="748" w:type="pct"/>
            <w:tcBorders>
              <w:top w:val="single" w:sz="4" w:space="0" w:color="auto"/>
              <w:left w:val="single" w:sz="4" w:space="0" w:color="auto"/>
              <w:bottom w:val="single" w:sz="4" w:space="0" w:color="auto"/>
              <w:right w:val="single" w:sz="4" w:space="0" w:color="auto"/>
            </w:tcBorders>
            <w:shd w:val="clear" w:color="auto" w:fill="auto"/>
            <w:noWrap/>
            <w:hideMark/>
          </w:tcPr>
          <w:p w14:paraId="4196F19D" w14:textId="77777777" w:rsidR="006C641A" w:rsidRPr="007D1918" w:rsidRDefault="006C641A" w:rsidP="00153384">
            <w:pPr>
              <w:pStyle w:val="Tabletext1"/>
              <w:jc w:val="center"/>
              <w:rPr>
                <w:rFonts w:cs="Calibri"/>
                <w:color w:val="000000"/>
              </w:rPr>
            </w:pPr>
            <w:r w:rsidRPr="007D1918">
              <w:t xml:space="preserve"> 71,061 </w:t>
            </w:r>
          </w:p>
        </w:tc>
      </w:tr>
      <w:tr w:rsidR="006C641A" w:rsidRPr="007D1918" w14:paraId="30BDE6BE" w14:textId="77777777" w:rsidTr="00153384">
        <w:trPr>
          <w:cantSplit/>
          <w:trHeight w:val="300"/>
        </w:trPr>
        <w:tc>
          <w:tcPr>
            <w:tcW w:w="1256" w:type="pct"/>
          </w:tcPr>
          <w:p w14:paraId="1B49653B" w14:textId="77777777" w:rsidR="006C641A" w:rsidRPr="007D1918" w:rsidRDefault="006C641A" w:rsidP="00153384">
            <w:pPr>
              <w:pStyle w:val="Tabletext1"/>
              <w:rPr>
                <w:rFonts w:cs="Calibri"/>
                <w:color w:val="000000"/>
              </w:rPr>
            </w:pPr>
            <w:r w:rsidRPr="007D1918">
              <w:t xml:space="preserve">   Indication 2: 1% use by g</w:t>
            </w:r>
          </w:p>
        </w:tc>
        <w:tc>
          <w:tcPr>
            <w:tcW w:w="749" w:type="pct"/>
            <w:tcBorders>
              <w:top w:val="single" w:sz="4" w:space="0" w:color="auto"/>
              <w:left w:val="nil"/>
              <w:bottom w:val="single" w:sz="4" w:space="0" w:color="auto"/>
              <w:right w:val="single" w:sz="4" w:space="0" w:color="auto"/>
            </w:tcBorders>
            <w:shd w:val="clear" w:color="auto" w:fill="auto"/>
            <w:noWrap/>
            <w:hideMark/>
          </w:tcPr>
          <w:p w14:paraId="69BD5382" w14:textId="77777777" w:rsidR="006C641A" w:rsidRPr="007D1918" w:rsidRDefault="006C641A" w:rsidP="00153384">
            <w:pPr>
              <w:pStyle w:val="Tabletext1"/>
              <w:jc w:val="center"/>
              <w:rPr>
                <w:rFonts w:cs="Calibri"/>
                <w:color w:val="000000"/>
              </w:rPr>
            </w:pPr>
            <w:r w:rsidRPr="007D1918">
              <w:t xml:space="preserve"> 5,989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1F39A295" w14:textId="77777777" w:rsidR="006C641A" w:rsidRPr="007D1918" w:rsidRDefault="006C641A" w:rsidP="00153384">
            <w:pPr>
              <w:pStyle w:val="Tabletext1"/>
              <w:jc w:val="center"/>
              <w:rPr>
                <w:rFonts w:cs="Calibri"/>
                <w:color w:val="000000"/>
              </w:rPr>
            </w:pPr>
            <w:r w:rsidRPr="007D1918">
              <w:t xml:space="preserve"> 6,466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011EE761" w14:textId="77777777" w:rsidR="006C641A" w:rsidRPr="007D1918" w:rsidRDefault="006C641A" w:rsidP="00153384">
            <w:pPr>
              <w:pStyle w:val="Tabletext1"/>
              <w:jc w:val="center"/>
              <w:rPr>
                <w:rFonts w:cs="Calibri"/>
                <w:color w:val="000000"/>
              </w:rPr>
            </w:pPr>
            <w:r w:rsidRPr="007D1918">
              <w:t xml:space="preserve"> 6,942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199F1F06" w14:textId="77777777" w:rsidR="006C641A" w:rsidRPr="007D1918" w:rsidRDefault="006C641A" w:rsidP="00153384">
            <w:pPr>
              <w:pStyle w:val="Tabletext1"/>
              <w:jc w:val="center"/>
              <w:rPr>
                <w:rFonts w:cs="Calibri"/>
                <w:color w:val="000000"/>
              </w:rPr>
            </w:pPr>
            <w:r w:rsidRPr="007D1918">
              <w:t xml:space="preserve"> 7,419 </w:t>
            </w:r>
          </w:p>
        </w:tc>
        <w:tc>
          <w:tcPr>
            <w:tcW w:w="748" w:type="pct"/>
            <w:tcBorders>
              <w:top w:val="single" w:sz="4" w:space="0" w:color="auto"/>
              <w:left w:val="single" w:sz="4" w:space="0" w:color="auto"/>
              <w:bottom w:val="single" w:sz="4" w:space="0" w:color="auto"/>
              <w:right w:val="single" w:sz="4" w:space="0" w:color="auto"/>
            </w:tcBorders>
            <w:shd w:val="clear" w:color="auto" w:fill="auto"/>
            <w:noWrap/>
            <w:hideMark/>
          </w:tcPr>
          <w:p w14:paraId="0875F829" w14:textId="77777777" w:rsidR="006C641A" w:rsidRPr="007D1918" w:rsidRDefault="006C641A" w:rsidP="00153384">
            <w:pPr>
              <w:pStyle w:val="Tabletext1"/>
              <w:jc w:val="center"/>
              <w:rPr>
                <w:rFonts w:cs="Calibri"/>
                <w:color w:val="000000"/>
              </w:rPr>
            </w:pPr>
            <w:r w:rsidRPr="007D1918">
              <w:t xml:space="preserve"> 7,896 </w:t>
            </w:r>
          </w:p>
        </w:tc>
      </w:tr>
      <w:tr w:rsidR="006C641A" w:rsidRPr="007D1918" w14:paraId="20334575" w14:textId="77777777" w:rsidTr="00153384">
        <w:trPr>
          <w:cantSplit/>
          <w:trHeight w:val="300"/>
        </w:trPr>
        <w:tc>
          <w:tcPr>
            <w:tcW w:w="1256" w:type="pct"/>
          </w:tcPr>
          <w:p w14:paraId="0049DECE" w14:textId="77777777" w:rsidR="006C641A" w:rsidRPr="007D1918" w:rsidRDefault="006C641A" w:rsidP="00153384">
            <w:pPr>
              <w:pStyle w:val="Tabletext1"/>
              <w:rPr>
                <w:rFonts w:cs="Calibri"/>
                <w:color w:val="000000"/>
              </w:rPr>
            </w:pPr>
            <w:r w:rsidRPr="007D1918">
              <w:t xml:space="preserve">   Indication 3: 90% use by g</w:t>
            </w:r>
          </w:p>
        </w:tc>
        <w:tc>
          <w:tcPr>
            <w:tcW w:w="749" w:type="pct"/>
            <w:tcBorders>
              <w:top w:val="single" w:sz="4" w:space="0" w:color="auto"/>
              <w:left w:val="nil"/>
              <w:bottom w:val="single" w:sz="4" w:space="0" w:color="auto"/>
              <w:right w:val="single" w:sz="4" w:space="0" w:color="auto"/>
            </w:tcBorders>
            <w:shd w:val="clear" w:color="auto" w:fill="auto"/>
            <w:noWrap/>
            <w:hideMark/>
          </w:tcPr>
          <w:p w14:paraId="2CF54384" w14:textId="77777777" w:rsidR="006C641A" w:rsidRPr="007D1918" w:rsidRDefault="006C641A" w:rsidP="00153384">
            <w:pPr>
              <w:pStyle w:val="Tabletext1"/>
              <w:jc w:val="center"/>
              <w:rPr>
                <w:rFonts w:cs="Calibri"/>
                <w:color w:val="000000"/>
              </w:rPr>
            </w:pPr>
            <w:r w:rsidRPr="007D1918">
              <w:t xml:space="preserve"> 539,034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582BE367" w14:textId="77777777" w:rsidR="006C641A" w:rsidRPr="007D1918" w:rsidRDefault="006C641A" w:rsidP="00153384">
            <w:pPr>
              <w:pStyle w:val="Tabletext1"/>
              <w:jc w:val="center"/>
              <w:rPr>
                <w:rFonts w:cs="Calibri"/>
                <w:color w:val="000000"/>
              </w:rPr>
            </w:pPr>
            <w:r w:rsidRPr="007D1918">
              <w:t xml:space="preserve"> 581,928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26BFB8BB" w14:textId="77777777" w:rsidR="006C641A" w:rsidRPr="007D1918" w:rsidRDefault="006C641A" w:rsidP="00153384">
            <w:pPr>
              <w:pStyle w:val="Tabletext1"/>
              <w:jc w:val="center"/>
              <w:rPr>
                <w:rFonts w:cs="Calibri"/>
                <w:color w:val="000000"/>
              </w:rPr>
            </w:pPr>
            <w:r w:rsidRPr="007D1918">
              <w:t xml:space="preserve"> 624,822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241E92AF" w14:textId="77777777" w:rsidR="006C641A" w:rsidRPr="007D1918" w:rsidRDefault="006C641A" w:rsidP="00153384">
            <w:pPr>
              <w:pStyle w:val="Tabletext1"/>
              <w:jc w:val="center"/>
              <w:rPr>
                <w:rFonts w:cs="Calibri"/>
                <w:color w:val="000000"/>
              </w:rPr>
            </w:pPr>
            <w:r w:rsidRPr="007D1918">
              <w:t xml:space="preserve"> 667,716 </w:t>
            </w:r>
          </w:p>
        </w:tc>
        <w:tc>
          <w:tcPr>
            <w:tcW w:w="748" w:type="pct"/>
            <w:tcBorders>
              <w:top w:val="single" w:sz="4" w:space="0" w:color="auto"/>
              <w:left w:val="single" w:sz="4" w:space="0" w:color="auto"/>
              <w:bottom w:val="single" w:sz="4" w:space="0" w:color="auto"/>
              <w:right w:val="single" w:sz="4" w:space="0" w:color="auto"/>
            </w:tcBorders>
            <w:shd w:val="clear" w:color="auto" w:fill="auto"/>
            <w:noWrap/>
            <w:hideMark/>
          </w:tcPr>
          <w:p w14:paraId="43EE189E" w14:textId="77777777" w:rsidR="006C641A" w:rsidRPr="007D1918" w:rsidRDefault="006C641A" w:rsidP="00153384">
            <w:pPr>
              <w:pStyle w:val="Tabletext1"/>
              <w:jc w:val="center"/>
              <w:rPr>
                <w:rFonts w:cs="Calibri"/>
                <w:color w:val="000000"/>
              </w:rPr>
            </w:pPr>
            <w:r w:rsidRPr="007D1918">
              <w:t xml:space="preserve"> 710,610 </w:t>
            </w:r>
          </w:p>
        </w:tc>
      </w:tr>
      <w:tr w:rsidR="006C641A" w:rsidRPr="007D1918" w14:paraId="084020E7" w14:textId="77777777" w:rsidTr="00153384">
        <w:trPr>
          <w:cantSplit/>
          <w:trHeight w:val="300"/>
        </w:trPr>
        <w:tc>
          <w:tcPr>
            <w:tcW w:w="1256" w:type="pct"/>
          </w:tcPr>
          <w:p w14:paraId="69FC6E19" w14:textId="77777777" w:rsidR="006C641A" w:rsidRPr="007D1918" w:rsidRDefault="006C641A" w:rsidP="00153384">
            <w:pPr>
              <w:pStyle w:val="Tabletext1"/>
              <w:rPr>
                <w:rFonts w:cs="Calibri"/>
                <w:color w:val="000000"/>
              </w:rPr>
            </w:pPr>
            <w:r w:rsidRPr="007D1918">
              <w:rPr>
                <w:b/>
              </w:rPr>
              <w:t>MG Total</w:t>
            </w:r>
          </w:p>
        </w:tc>
        <w:tc>
          <w:tcPr>
            <w:tcW w:w="749" w:type="pct"/>
            <w:tcBorders>
              <w:top w:val="single" w:sz="4" w:space="0" w:color="auto"/>
              <w:left w:val="nil"/>
              <w:bottom w:val="single" w:sz="4" w:space="0" w:color="auto"/>
              <w:right w:val="single" w:sz="4" w:space="0" w:color="auto"/>
            </w:tcBorders>
            <w:shd w:val="clear" w:color="auto" w:fill="auto"/>
            <w:noWrap/>
            <w:hideMark/>
          </w:tcPr>
          <w:p w14:paraId="141891B2" w14:textId="77777777" w:rsidR="006C641A" w:rsidRPr="007D1918" w:rsidRDefault="006C641A" w:rsidP="00153384">
            <w:pPr>
              <w:pStyle w:val="Tabletext1"/>
              <w:jc w:val="center"/>
              <w:rPr>
                <w:rFonts w:cs="Calibri"/>
                <w:color w:val="000000"/>
              </w:rPr>
            </w:pPr>
            <w:r w:rsidRPr="007D1918">
              <w:t xml:space="preserve"> 598,927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0D9A20A0" w14:textId="77777777" w:rsidR="006C641A" w:rsidRPr="007D1918" w:rsidRDefault="006C641A" w:rsidP="00153384">
            <w:pPr>
              <w:pStyle w:val="Tabletext1"/>
              <w:jc w:val="center"/>
              <w:rPr>
                <w:rFonts w:cs="Calibri"/>
                <w:color w:val="000000"/>
              </w:rPr>
            </w:pPr>
            <w:r w:rsidRPr="007D1918">
              <w:t xml:space="preserve"> 646,587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6CE24E1F" w14:textId="77777777" w:rsidR="006C641A" w:rsidRPr="007D1918" w:rsidRDefault="006C641A" w:rsidP="00153384">
            <w:pPr>
              <w:pStyle w:val="Tabletext1"/>
              <w:jc w:val="center"/>
              <w:rPr>
                <w:rFonts w:cs="Calibri"/>
                <w:color w:val="000000"/>
              </w:rPr>
            </w:pPr>
            <w:r w:rsidRPr="007D1918">
              <w:t xml:space="preserve"> 694,247 </w:t>
            </w:r>
          </w:p>
        </w:tc>
        <w:tc>
          <w:tcPr>
            <w:tcW w:w="749" w:type="pct"/>
            <w:tcBorders>
              <w:top w:val="single" w:sz="4" w:space="0" w:color="auto"/>
              <w:left w:val="single" w:sz="4" w:space="0" w:color="auto"/>
              <w:bottom w:val="single" w:sz="4" w:space="0" w:color="auto"/>
              <w:right w:val="single" w:sz="4" w:space="0" w:color="auto"/>
            </w:tcBorders>
            <w:shd w:val="clear" w:color="auto" w:fill="auto"/>
            <w:noWrap/>
            <w:hideMark/>
          </w:tcPr>
          <w:p w14:paraId="40DBFDB6" w14:textId="77777777" w:rsidR="006C641A" w:rsidRPr="007D1918" w:rsidRDefault="006C641A" w:rsidP="00153384">
            <w:pPr>
              <w:pStyle w:val="Tabletext1"/>
              <w:jc w:val="center"/>
              <w:rPr>
                <w:rFonts w:cs="Calibri"/>
                <w:color w:val="000000"/>
              </w:rPr>
            </w:pPr>
            <w:r w:rsidRPr="007D1918">
              <w:t xml:space="preserve"> 741,907 </w:t>
            </w:r>
          </w:p>
        </w:tc>
        <w:tc>
          <w:tcPr>
            <w:tcW w:w="748" w:type="pct"/>
            <w:tcBorders>
              <w:top w:val="single" w:sz="4" w:space="0" w:color="auto"/>
              <w:left w:val="single" w:sz="4" w:space="0" w:color="auto"/>
              <w:bottom w:val="single" w:sz="4" w:space="0" w:color="auto"/>
              <w:right w:val="single" w:sz="4" w:space="0" w:color="auto"/>
            </w:tcBorders>
            <w:shd w:val="clear" w:color="auto" w:fill="auto"/>
            <w:noWrap/>
            <w:hideMark/>
          </w:tcPr>
          <w:p w14:paraId="52A11219" w14:textId="77777777" w:rsidR="006C641A" w:rsidRPr="007D1918" w:rsidRDefault="006C641A" w:rsidP="00153384">
            <w:pPr>
              <w:pStyle w:val="Tabletext1"/>
              <w:jc w:val="center"/>
              <w:rPr>
                <w:rFonts w:cs="Calibri"/>
                <w:color w:val="000000"/>
              </w:rPr>
            </w:pPr>
            <w:r w:rsidRPr="007D1918">
              <w:t xml:space="preserve"> 789,567 </w:t>
            </w:r>
          </w:p>
        </w:tc>
      </w:tr>
    </w:tbl>
    <w:p w14:paraId="1F3AECE6" w14:textId="77777777" w:rsidR="006C641A" w:rsidRPr="007D1918" w:rsidRDefault="006C641A" w:rsidP="006C641A">
      <w:pPr>
        <w:pStyle w:val="Tablenotes1"/>
      </w:pPr>
      <w:r w:rsidRPr="007D1918">
        <w:t>MG = myasthenia gravis.</w:t>
      </w:r>
    </w:p>
    <w:p w14:paraId="329F0920" w14:textId="06247E91" w:rsidR="006C641A" w:rsidRPr="007D1918" w:rsidRDefault="006C641A" w:rsidP="006C641A">
      <w:pPr>
        <w:pStyle w:val="Tablenotes1"/>
        <w:spacing w:after="360"/>
      </w:pPr>
      <w:r w:rsidRPr="007D1918">
        <w:t>Source: and ‘Estimated grams issued’ worksheet in ‘</w:t>
      </w:r>
      <w:r w:rsidR="009925BC" w:rsidRPr="007D1918">
        <w:t xml:space="preserve">1566 </w:t>
      </w:r>
      <w:r w:rsidRPr="007D1918">
        <w:t>Financials.xlsx’ workbook.</w:t>
      </w:r>
    </w:p>
    <w:p w14:paraId="1A2DD4BD" w14:textId="5062F867" w:rsidR="006C641A" w:rsidRPr="007D1918" w:rsidRDefault="006C641A" w:rsidP="006C641A">
      <w:pPr>
        <w:jc w:val="both"/>
      </w:pPr>
      <w:r w:rsidRPr="007D1918">
        <w:lastRenderedPageBreak/>
        <w:t>In the available data (FY 2011-12-2015-16 and 2017-18), the average IVIg use (g)/patient for MG has varied year to year and while the overall trend is rising, this has not been particularly consistent or predictable (line of best for R</w:t>
      </w:r>
      <w:r w:rsidRPr="007D1918">
        <w:rPr>
          <w:vertAlign w:val="superscript"/>
        </w:rPr>
        <w:t>2</w:t>
      </w:r>
      <w:r w:rsidRPr="007D1918">
        <w:t xml:space="preserve"> = 0.0696). Projecting use per patient using the projected number of grams issued and the projected patient numbers, the average number of grams of Ig issued per patient for MG is estimated to increase only slightly over the projected period (</w:t>
      </w:r>
      <w:r w:rsidRPr="007D1918">
        <w:fldChar w:fldCharType="begin"/>
      </w:r>
      <w:r w:rsidRPr="007D1918">
        <w:instrText xml:space="preserve"> REF _Ref9933803 \h  \* MERGEFORMAT </w:instrText>
      </w:r>
      <w:r w:rsidRPr="007D1918">
        <w:fldChar w:fldCharType="separate"/>
      </w:r>
      <w:r w:rsidR="00B865E7" w:rsidRPr="007D1918">
        <w:t xml:space="preserve">Table </w:t>
      </w:r>
      <w:r w:rsidR="00B865E7" w:rsidRPr="007D1918">
        <w:rPr>
          <w:noProof/>
        </w:rPr>
        <w:t>93</w:t>
      </w:r>
      <w:r w:rsidRPr="007D1918">
        <w:fldChar w:fldCharType="end"/>
      </w:r>
      <w:r w:rsidRPr="007D1918">
        <w:t xml:space="preserve">). </w:t>
      </w:r>
    </w:p>
    <w:p w14:paraId="6B470E68" w14:textId="68C55170" w:rsidR="006C641A" w:rsidRPr="007D1918" w:rsidRDefault="006C641A" w:rsidP="006C641A">
      <w:pPr>
        <w:pStyle w:val="Caption"/>
        <w:keepNext/>
      </w:pPr>
      <w:bookmarkStart w:id="515" w:name="_Ref9933803"/>
      <w:bookmarkStart w:id="516" w:name="_Toc13645598"/>
      <w:bookmarkStart w:id="517" w:name="_Toc15561992"/>
      <w:bookmarkStart w:id="518" w:name="_Toc23769580"/>
      <w:bookmarkStart w:id="519" w:name="OLE_LINK2"/>
      <w:bookmarkStart w:id="520" w:name="OLE_LINK3"/>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93</w:t>
      </w:r>
      <w:r w:rsidRPr="007D1918">
        <w:rPr>
          <w:noProof/>
        </w:rPr>
        <w:fldChar w:fldCharType="end"/>
      </w:r>
      <w:bookmarkEnd w:id="515"/>
      <w:r w:rsidRPr="007D1918">
        <w:tab/>
        <w:t>Average Ig use (g) per patient per year</w:t>
      </w:r>
      <w:bookmarkEnd w:id="516"/>
      <w:bookmarkEnd w:id="517"/>
      <w:bookmarkEnd w:id="518"/>
    </w:p>
    <w:tbl>
      <w:tblPr>
        <w:tblStyle w:val="TableGrid1"/>
        <w:tblW w:w="5000" w:type="pct"/>
        <w:tblLook w:val="04A0" w:firstRow="1" w:lastRow="0" w:firstColumn="1" w:lastColumn="0" w:noHBand="0" w:noVBand="1"/>
        <w:tblCaption w:val="Average Ig use (g) per patient per year"/>
      </w:tblPr>
      <w:tblGrid>
        <w:gridCol w:w="1840"/>
        <w:gridCol w:w="1196"/>
        <w:gridCol w:w="1196"/>
        <w:gridCol w:w="1196"/>
        <w:gridCol w:w="1196"/>
        <w:gridCol w:w="1196"/>
        <w:gridCol w:w="1196"/>
      </w:tblGrid>
      <w:tr w:rsidR="006C641A" w:rsidRPr="007D1918" w14:paraId="599A0387" w14:textId="77777777" w:rsidTr="00153384">
        <w:trPr>
          <w:cnfStyle w:val="100000000000" w:firstRow="1" w:lastRow="0" w:firstColumn="0" w:lastColumn="0" w:oddVBand="0" w:evenVBand="0" w:oddHBand="0" w:evenHBand="0" w:firstRowFirstColumn="0" w:firstRowLastColumn="0" w:lastRowFirstColumn="0" w:lastRowLastColumn="0"/>
          <w:cantSplit/>
          <w:trHeight w:val="300"/>
          <w:tblHeader/>
        </w:trPr>
        <w:tc>
          <w:tcPr>
            <w:tcW w:w="1020" w:type="pct"/>
          </w:tcPr>
          <w:p w14:paraId="20008B04" w14:textId="77777777" w:rsidR="006C641A" w:rsidRPr="007D1918" w:rsidRDefault="006C641A" w:rsidP="00153384">
            <w:pPr>
              <w:pStyle w:val="TableHeading"/>
            </w:pPr>
          </w:p>
        </w:tc>
        <w:tc>
          <w:tcPr>
            <w:tcW w:w="663" w:type="pct"/>
            <w:tcBorders>
              <w:bottom w:val="single" w:sz="4" w:space="0" w:color="auto"/>
            </w:tcBorders>
            <w:noWrap/>
          </w:tcPr>
          <w:p w14:paraId="4FE1ED32" w14:textId="77777777" w:rsidR="006C641A" w:rsidRPr="007D1918" w:rsidRDefault="006C641A" w:rsidP="00153384">
            <w:pPr>
              <w:pStyle w:val="TableHeading"/>
              <w:jc w:val="center"/>
            </w:pPr>
            <w:r w:rsidRPr="007D1918">
              <w:t>Av 2011-18*</w:t>
            </w:r>
          </w:p>
          <w:p w14:paraId="295581B7" w14:textId="77777777" w:rsidR="006C641A" w:rsidRPr="007D1918" w:rsidRDefault="006C641A" w:rsidP="00153384">
            <w:pPr>
              <w:pStyle w:val="TableHeading"/>
              <w:jc w:val="center"/>
            </w:pPr>
            <w:r w:rsidRPr="007D1918">
              <w:t>[observed]</w:t>
            </w:r>
          </w:p>
        </w:tc>
        <w:tc>
          <w:tcPr>
            <w:tcW w:w="663" w:type="pct"/>
            <w:tcBorders>
              <w:bottom w:val="single" w:sz="4" w:space="0" w:color="auto"/>
            </w:tcBorders>
            <w:noWrap/>
          </w:tcPr>
          <w:p w14:paraId="505E0832" w14:textId="77777777" w:rsidR="006C641A" w:rsidRPr="007D1918" w:rsidRDefault="006C641A" w:rsidP="00153384">
            <w:pPr>
              <w:pStyle w:val="TableHeading"/>
              <w:jc w:val="center"/>
            </w:pPr>
            <w:r w:rsidRPr="007D1918">
              <w:t>2019-20</w:t>
            </w:r>
          </w:p>
        </w:tc>
        <w:tc>
          <w:tcPr>
            <w:tcW w:w="663" w:type="pct"/>
            <w:tcBorders>
              <w:bottom w:val="single" w:sz="4" w:space="0" w:color="auto"/>
            </w:tcBorders>
            <w:noWrap/>
          </w:tcPr>
          <w:p w14:paraId="426D4147" w14:textId="77777777" w:rsidR="006C641A" w:rsidRPr="007D1918" w:rsidRDefault="006C641A" w:rsidP="00153384">
            <w:pPr>
              <w:pStyle w:val="TableHeading"/>
              <w:jc w:val="center"/>
            </w:pPr>
            <w:r w:rsidRPr="007D1918">
              <w:t>2020-21</w:t>
            </w:r>
          </w:p>
        </w:tc>
        <w:tc>
          <w:tcPr>
            <w:tcW w:w="663" w:type="pct"/>
            <w:tcBorders>
              <w:bottom w:val="single" w:sz="4" w:space="0" w:color="auto"/>
            </w:tcBorders>
            <w:noWrap/>
          </w:tcPr>
          <w:p w14:paraId="746E15D5" w14:textId="77777777" w:rsidR="006C641A" w:rsidRPr="007D1918" w:rsidRDefault="006C641A" w:rsidP="00153384">
            <w:pPr>
              <w:pStyle w:val="TableHeading"/>
              <w:jc w:val="center"/>
            </w:pPr>
            <w:r w:rsidRPr="007D1918">
              <w:t>2021-22</w:t>
            </w:r>
          </w:p>
        </w:tc>
        <w:tc>
          <w:tcPr>
            <w:tcW w:w="663" w:type="pct"/>
            <w:tcBorders>
              <w:bottom w:val="single" w:sz="4" w:space="0" w:color="auto"/>
            </w:tcBorders>
            <w:noWrap/>
          </w:tcPr>
          <w:p w14:paraId="3E4892CD" w14:textId="77777777" w:rsidR="006C641A" w:rsidRPr="007D1918" w:rsidRDefault="006C641A" w:rsidP="00153384">
            <w:pPr>
              <w:pStyle w:val="TableHeading"/>
              <w:jc w:val="center"/>
            </w:pPr>
            <w:r w:rsidRPr="007D1918">
              <w:t>2022-23</w:t>
            </w:r>
          </w:p>
        </w:tc>
        <w:tc>
          <w:tcPr>
            <w:tcW w:w="663" w:type="pct"/>
            <w:tcBorders>
              <w:bottom w:val="single" w:sz="4" w:space="0" w:color="auto"/>
            </w:tcBorders>
          </w:tcPr>
          <w:p w14:paraId="01349739" w14:textId="77777777" w:rsidR="006C641A" w:rsidRPr="007D1918" w:rsidRDefault="006C641A" w:rsidP="00153384">
            <w:pPr>
              <w:pStyle w:val="TableHeading"/>
              <w:jc w:val="center"/>
            </w:pPr>
            <w:r w:rsidRPr="007D1918">
              <w:t>2023-24</w:t>
            </w:r>
          </w:p>
        </w:tc>
      </w:tr>
      <w:tr w:rsidR="006C641A" w:rsidRPr="007D1918" w14:paraId="4E12AF0B" w14:textId="77777777" w:rsidTr="00153384">
        <w:trPr>
          <w:cantSplit/>
          <w:trHeight w:val="300"/>
        </w:trPr>
        <w:tc>
          <w:tcPr>
            <w:tcW w:w="1020" w:type="pct"/>
          </w:tcPr>
          <w:p w14:paraId="04863720" w14:textId="77777777" w:rsidR="006C641A" w:rsidRPr="007D1918" w:rsidRDefault="006C641A" w:rsidP="00153384">
            <w:pPr>
              <w:pStyle w:val="Tabletext1"/>
              <w:rPr>
                <w:rFonts w:cs="Calibri"/>
                <w:color w:val="000000"/>
              </w:rPr>
            </w:pPr>
            <w:r w:rsidRPr="007D1918">
              <w:t>MG</w:t>
            </w:r>
          </w:p>
        </w:tc>
        <w:tc>
          <w:tcPr>
            <w:tcW w:w="663" w:type="pct"/>
            <w:tcBorders>
              <w:top w:val="single" w:sz="4" w:space="0" w:color="auto"/>
              <w:bottom w:val="single" w:sz="4" w:space="0" w:color="auto"/>
              <w:right w:val="single" w:sz="4" w:space="0" w:color="auto"/>
            </w:tcBorders>
            <w:noWrap/>
          </w:tcPr>
          <w:p w14:paraId="2BFD86D7" w14:textId="77777777" w:rsidR="006C641A" w:rsidRPr="007D1918" w:rsidRDefault="006C641A" w:rsidP="00153384">
            <w:pPr>
              <w:pStyle w:val="Tabletext1"/>
              <w:jc w:val="center"/>
              <w:rPr>
                <w:rFonts w:cs="Calibri"/>
                <w:color w:val="000000"/>
              </w:rPr>
            </w:pPr>
            <w:r w:rsidRPr="007D1918">
              <w:t>455</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382AB322" w14:textId="77777777" w:rsidR="006C641A" w:rsidRPr="007D1918" w:rsidRDefault="006C641A" w:rsidP="00153384">
            <w:pPr>
              <w:pStyle w:val="Tabletext1"/>
              <w:jc w:val="center"/>
              <w:rPr>
                <w:rFonts w:cs="Calibri"/>
                <w:color w:val="000000"/>
              </w:rPr>
            </w:pPr>
            <w:r w:rsidRPr="007D1918">
              <w:t xml:space="preserve">459 </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5926EEB3" w14:textId="77777777" w:rsidR="006C641A" w:rsidRPr="007D1918" w:rsidRDefault="006C641A" w:rsidP="00153384">
            <w:pPr>
              <w:pStyle w:val="Tabletext1"/>
              <w:jc w:val="center"/>
              <w:rPr>
                <w:rFonts w:cs="Calibri"/>
                <w:color w:val="000000"/>
              </w:rPr>
            </w:pPr>
            <w:r w:rsidRPr="007D1918">
              <w:t xml:space="preserve">459 </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45A03094" w14:textId="77777777" w:rsidR="006C641A" w:rsidRPr="007D1918" w:rsidRDefault="006C641A" w:rsidP="00153384">
            <w:pPr>
              <w:pStyle w:val="Tabletext1"/>
              <w:jc w:val="center"/>
              <w:rPr>
                <w:rFonts w:cs="Calibri"/>
                <w:color w:val="000000"/>
              </w:rPr>
            </w:pPr>
            <w:r w:rsidRPr="007D1918">
              <w:t xml:space="preserve">459 </w:t>
            </w:r>
          </w:p>
        </w:tc>
        <w:tc>
          <w:tcPr>
            <w:tcW w:w="663" w:type="pct"/>
            <w:tcBorders>
              <w:top w:val="single" w:sz="4" w:space="0" w:color="auto"/>
              <w:left w:val="single" w:sz="4" w:space="0" w:color="auto"/>
              <w:bottom w:val="single" w:sz="4" w:space="0" w:color="auto"/>
              <w:right w:val="single" w:sz="4" w:space="0" w:color="auto"/>
            </w:tcBorders>
            <w:shd w:val="clear" w:color="auto" w:fill="auto"/>
            <w:noWrap/>
          </w:tcPr>
          <w:p w14:paraId="2D7478A8" w14:textId="77777777" w:rsidR="006C641A" w:rsidRPr="007D1918" w:rsidRDefault="006C641A" w:rsidP="00153384">
            <w:pPr>
              <w:pStyle w:val="Tabletext1"/>
              <w:jc w:val="center"/>
              <w:rPr>
                <w:rFonts w:cs="Calibri"/>
                <w:color w:val="000000"/>
              </w:rPr>
            </w:pPr>
            <w:r w:rsidRPr="007D1918">
              <w:t xml:space="preserve">460 </w:t>
            </w:r>
          </w:p>
        </w:tc>
        <w:tc>
          <w:tcPr>
            <w:tcW w:w="663" w:type="pct"/>
            <w:tcBorders>
              <w:top w:val="single" w:sz="4" w:space="0" w:color="auto"/>
              <w:left w:val="single" w:sz="4" w:space="0" w:color="auto"/>
              <w:bottom w:val="single" w:sz="4" w:space="0" w:color="auto"/>
              <w:right w:val="single" w:sz="4" w:space="0" w:color="auto"/>
            </w:tcBorders>
            <w:shd w:val="clear" w:color="auto" w:fill="auto"/>
          </w:tcPr>
          <w:p w14:paraId="6845852B" w14:textId="77777777" w:rsidR="006C641A" w:rsidRPr="007D1918" w:rsidRDefault="006C641A" w:rsidP="00153384">
            <w:pPr>
              <w:pStyle w:val="Tabletext1"/>
              <w:jc w:val="center"/>
            </w:pPr>
            <w:r w:rsidRPr="007D1918">
              <w:t xml:space="preserve">460 </w:t>
            </w:r>
          </w:p>
        </w:tc>
      </w:tr>
    </w:tbl>
    <w:p w14:paraId="3DD20C77" w14:textId="77777777" w:rsidR="006C641A" w:rsidRPr="007D1918" w:rsidRDefault="006C641A" w:rsidP="006C641A">
      <w:pPr>
        <w:pStyle w:val="Tablenotes1"/>
      </w:pPr>
      <w:r w:rsidRPr="007D1918">
        <w:t>MG = myasthenia gravis.</w:t>
      </w:r>
    </w:p>
    <w:p w14:paraId="3E351868" w14:textId="77777777" w:rsidR="006C641A" w:rsidRPr="007D1918" w:rsidRDefault="006C641A" w:rsidP="006C641A">
      <w:pPr>
        <w:pStyle w:val="Tablenotes1"/>
        <w:spacing w:after="360"/>
      </w:pPr>
      <w:r w:rsidRPr="007D1918">
        <w:t>Source: ‘Section E1 tables’ worksheet in ‘1566 Financials.xlsx’ workbook.</w:t>
      </w:r>
    </w:p>
    <w:p w14:paraId="15F62C32" w14:textId="77777777" w:rsidR="006C641A" w:rsidRPr="007D1918" w:rsidRDefault="006C641A" w:rsidP="006C641A">
      <w:pPr>
        <w:jc w:val="both"/>
      </w:pPr>
      <w:r w:rsidRPr="007D1918">
        <w:t>This may be an underestimate as projections of ‘IVIg use per patient’ show a more rapidly rising trend, but this not consistent with data year on year and is not particularly well correlated (R</w:t>
      </w:r>
      <w:r w:rsidRPr="007D1918">
        <w:rPr>
          <w:vertAlign w:val="superscript"/>
        </w:rPr>
        <w:t>2</w:t>
      </w:r>
      <w:r w:rsidRPr="007D1918">
        <w:t xml:space="preserve"> = 0.07), therefore is not use for the following analysis.</w:t>
      </w:r>
    </w:p>
    <w:p w14:paraId="200A288C" w14:textId="77777777" w:rsidR="006C641A" w:rsidRPr="007D1918" w:rsidRDefault="006C641A" w:rsidP="006C641A">
      <w:pPr>
        <w:jc w:val="both"/>
      </w:pPr>
    </w:p>
    <w:bookmarkEnd w:id="519"/>
    <w:bookmarkEnd w:id="520"/>
    <w:p w14:paraId="40C2470B" w14:textId="77777777" w:rsidR="006C641A" w:rsidRPr="007D1918" w:rsidRDefault="006C641A" w:rsidP="006C641A">
      <w:pPr>
        <w:pStyle w:val="Heading4"/>
      </w:pPr>
      <w:r w:rsidRPr="007D1918">
        <w:t>Average cost per gram of Ig</w:t>
      </w:r>
    </w:p>
    <w:p w14:paraId="782C5612" w14:textId="77777777" w:rsidR="006C641A" w:rsidRPr="007D1918" w:rsidRDefault="006C641A" w:rsidP="006C641A">
      <w:r w:rsidRPr="007D1918">
        <w:t>The base case financial estimates will assume the cost per gram of Ig of $60.41 (see Section D.4.2). As per Section D, sensitivity analyses will be conducted assuming:</w:t>
      </w:r>
    </w:p>
    <w:p w14:paraId="57EEF204" w14:textId="77777777" w:rsidR="006C641A" w:rsidRPr="007D1918" w:rsidRDefault="006C641A" w:rsidP="006C641A">
      <w:pPr>
        <w:pStyle w:val="ListParagraph"/>
        <w:numPr>
          <w:ilvl w:val="0"/>
          <w:numId w:val="43"/>
        </w:numPr>
        <w:ind w:left="1077"/>
        <w:jc w:val="both"/>
      </w:pPr>
      <w:r w:rsidRPr="007D1918">
        <w:t>The highest cost of Ig (i.e. domestic Ig including plasma, $140.18)</w:t>
      </w:r>
    </w:p>
    <w:p w14:paraId="04C75880" w14:textId="77777777" w:rsidR="006C641A" w:rsidRPr="007D1918" w:rsidRDefault="006C641A" w:rsidP="006C641A">
      <w:pPr>
        <w:pStyle w:val="ListParagraph"/>
        <w:numPr>
          <w:ilvl w:val="0"/>
          <w:numId w:val="43"/>
        </w:numPr>
        <w:ind w:left="1077"/>
        <w:jc w:val="both"/>
      </w:pPr>
      <w:r w:rsidRPr="007D1918">
        <w:t>The lowest cost of Ig (i.e. imported IVIg, $44.94)</w:t>
      </w:r>
    </w:p>
    <w:p w14:paraId="6E9AE031" w14:textId="77777777" w:rsidR="006C641A" w:rsidRPr="007D1918" w:rsidRDefault="006C641A" w:rsidP="006C641A">
      <w:pPr>
        <w:pStyle w:val="ListParagraph"/>
        <w:numPr>
          <w:ilvl w:val="0"/>
          <w:numId w:val="43"/>
        </w:numPr>
        <w:ind w:left="1077"/>
        <w:jc w:val="both"/>
      </w:pPr>
      <w:r w:rsidRPr="007D1918">
        <w:t>Average cost of Ig, weighted across all indications, $94.51</w:t>
      </w:r>
    </w:p>
    <w:p w14:paraId="5C34B1F1" w14:textId="0D1B6548" w:rsidR="00D62E2F" w:rsidRPr="007D1918" w:rsidRDefault="00D62E2F" w:rsidP="006C641A">
      <w:pPr>
        <w:pStyle w:val="ListParagraph"/>
        <w:numPr>
          <w:ilvl w:val="0"/>
          <w:numId w:val="43"/>
        </w:numPr>
        <w:ind w:left="1077"/>
        <w:jc w:val="both"/>
      </w:pPr>
      <w:r w:rsidRPr="007D1918">
        <w:t xml:space="preserve">The weighted average cost of Ig </w:t>
      </w:r>
      <w:r w:rsidR="001533D9" w:rsidRPr="007D1918">
        <w:t xml:space="preserve">(mixed of domestic and imported product) </w:t>
      </w:r>
      <w:r w:rsidRPr="007D1918">
        <w:t>used for MG in Aust</w:t>
      </w:r>
      <w:r w:rsidR="001533D9" w:rsidRPr="007D1918">
        <w:t>ralia which is $68.75, based on the ‘HTA Data April2019.xlsx' workbook</w:t>
      </w:r>
    </w:p>
    <w:p w14:paraId="4697B2C2" w14:textId="77777777" w:rsidR="006C641A" w:rsidRPr="007D1918" w:rsidRDefault="006C641A" w:rsidP="006C641A">
      <w:r w:rsidRPr="007D1918">
        <w:t>Prices per gram are assumed to remain constant over the projected period.</w:t>
      </w:r>
    </w:p>
    <w:p w14:paraId="44B1992A" w14:textId="77777777" w:rsidR="006C641A" w:rsidRPr="007D1918" w:rsidRDefault="006C641A" w:rsidP="006C641A"/>
    <w:p w14:paraId="6C4DAE2E" w14:textId="77777777" w:rsidR="006C641A" w:rsidRPr="007D1918" w:rsidRDefault="006C641A" w:rsidP="006C641A">
      <w:pPr>
        <w:pStyle w:val="Heading4"/>
      </w:pPr>
      <w:r w:rsidRPr="007D1918">
        <w:t>Estimated cost of Ig</w:t>
      </w:r>
    </w:p>
    <w:p w14:paraId="7B201750" w14:textId="48D953A8" w:rsidR="006C641A" w:rsidRPr="007D1918" w:rsidRDefault="006C641A" w:rsidP="006C641A">
      <w:r w:rsidRPr="007D1918">
        <w:t xml:space="preserve">Projected costs across the MG indications are presented in </w:t>
      </w:r>
      <w:r w:rsidRPr="007D1918">
        <w:fldChar w:fldCharType="begin"/>
      </w:r>
      <w:r w:rsidRPr="007D1918">
        <w:instrText xml:space="preserve"> REF _Ref9939196 \h </w:instrText>
      </w:r>
      <w:r w:rsidR="00E07567" w:rsidRPr="007D1918">
        <w:instrText xml:space="preserve"> \* MERGEFORMAT </w:instrText>
      </w:r>
      <w:r w:rsidRPr="007D1918">
        <w:fldChar w:fldCharType="separate"/>
      </w:r>
      <w:r w:rsidR="00B865E7" w:rsidRPr="007D1918">
        <w:t xml:space="preserve">Table </w:t>
      </w:r>
      <w:r w:rsidR="00B865E7" w:rsidRPr="007D1918">
        <w:rPr>
          <w:noProof/>
        </w:rPr>
        <w:t>94</w:t>
      </w:r>
      <w:r w:rsidRPr="007D1918">
        <w:fldChar w:fldCharType="end"/>
      </w:r>
      <w:r w:rsidRPr="007D1918">
        <w:t>.</w:t>
      </w:r>
    </w:p>
    <w:p w14:paraId="192B5AF7" w14:textId="6D83CA2E" w:rsidR="006C641A" w:rsidRPr="007D1918" w:rsidRDefault="006C641A" w:rsidP="006C641A">
      <w:pPr>
        <w:pStyle w:val="Caption"/>
        <w:keepNext/>
        <w:keepLines/>
      </w:pPr>
      <w:bookmarkStart w:id="521" w:name="_Ref9939196"/>
      <w:bookmarkStart w:id="522" w:name="_Toc13645599"/>
      <w:bookmarkStart w:id="523" w:name="_Toc15561993"/>
      <w:bookmarkStart w:id="524" w:name="_Toc23769581"/>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94</w:t>
      </w:r>
      <w:r w:rsidRPr="007D1918">
        <w:rPr>
          <w:noProof/>
        </w:rPr>
        <w:fldChar w:fldCharType="end"/>
      </w:r>
      <w:bookmarkEnd w:id="521"/>
      <w:r w:rsidRPr="007D1918">
        <w:tab/>
        <w:t>Cost of Ig for MG, 2019-20 to 2023-24</w:t>
      </w:r>
      <w:bookmarkEnd w:id="522"/>
      <w:bookmarkEnd w:id="523"/>
      <w:bookmarkEnd w:id="524"/>
    </w:p>
    <w:tbl>
      <w:tblPr>
        <w:tblStyle w:val="TableGrid1"/>
        <w:tblW w:w="5000" w:type="pct"/>
        <w:tblLayout w:type="fixed"/>
        <w:tblLook w:val="04A0" w:firstRow="1" w:lastRow="0" w:firstColumn="1" w:lastColumn="0" w:noHBand="0" w:noVBand="1"/>
        <w:tblCaption w:val="Cost of Ig for acquired hypogammaglobulinaemia, 2019-20 to 2023-24"/>
      </w:tblPr>
      <w:tblGrid>
        <w:gridCol w:w="2829"/>
        <w:gridCol w:w="1237"/>
        <w:gridCol w:w="1237"/>
        <w:gridCol w:w="1237"/>
        <w:gridCol w:w="1237"/>
        <w:gridCol w:w="1239"/>
      </w:tblGrid>
      <w:tr w:rsidR="006C641A" w:rsidRPr="007D1918" w14:paraId="5A047885" w14:textId="77777777" w:rsidTr="00153384">
        <w:trPr>
          <w:cnfStyle w:val="100000000000" w:firstRow="1" w:lastRow="0" w:firstColumn="0" w:lastColumn="0" w:oddVBand="0" w:evenVBand="0" w:oddHBand="0" w:evenHBand="0" w:firstRowFirstColumn="0" w:firstRowLastColumn="0" w:lastRowFirstColumn="0" w:lastRowLastColumn="0"/>
          <w:cantSplit/>
          <w:trHeight w:val="300"/>
          <w:tblHeader/>
        </w:trPr>
        <w:tc>
          <w:tcPr>
            <w:tcW w:w="1569" w:type="pct"/>
            <w:noWrap/>
            <w:hideMark/>
          </w:tcPr>
          <w:p w14:paraId="2F4D75CC" w14:textId="77777777" w:rsidR="006C641A" w:rsidRPr="007D1918" w:rsidRDefault="006C641A" w:rsidP="00153384">
            <w:pPr>
              <w:pStyle w:val="TableHeading"/>
              <w:keepLines/>
            </w:pPr>
          </w:p>
        </w:tc>
        <w:tc>
          <w:tcPr>
            <w:tcW w:w="686" w:type="pct"/>
            <w:noWrap/>
            <w:hideMark/>
          </w:tcPr>
          <w:p w14:paraId="49ACD233" w14:textId="77777777" w:rsidR="006C641A" w:rsidRPr="007D1918" w:rsidRDefault="006C641A" w:rsidP="00153384">
            <w:pPr>
              <w:pStyle w:val="TableHeading"/>
              <w:keepLines/>
              <w:jc w:val="center"/>
            </w:pPr>
            <w:r w:rsidRPr="007D1918">
              <w:t>2019-20</w:t>
            </w:r>
          </w:p>
        </w:tc>
        <w:tc>
          <w:tcPr>
            <w:tcW w:w="686" w:type="pct"/>
            <w:noWrap/>
            <w:hideMark/>
          </w:tcPr>
          <w:p w14:paraId="0608C61F" w14:textId="77777777" w:rsidR="006C641A" w:rsidRPr="007D1918" w:rsidRDefault="006C641A" w:rsidP="00153384">
            <w:pPr>
              <w:pStyle w:val="TableHeading"/>
              <w:keepLines/>
              <w:jc w:val="center"/>
            </w:pPr>
            <w:r w:rsidRPr="007D1918">
              <w:t>2020-21</w:t>
            </w:r>
          </w:p>
        </w:tc>
        <w:tc>
          <w:tcPr>
            <w:tcW w:w="686" w:type="pct"/>
            <w:noWrap/>
            <w:hideMark/>
          </w:tcPr>
          <w:p w14:paraId="19A553B4" w14:textId="77777777" w:rsidR="006C641A" w:rsidRPr="007D1918" w:rsidRDefault="006C641A" w:rsidP="00153384">
            <w:pPr>
              <w:pStyle w:val="TableHeading"/>
              <w:keepLines/>
              <w:jc w:val="center"/>
            </w:pPr>
            <w:r w:rsidRPr="007D1918">
              <w:t>2021-22</w:t>
            </w:r>
          </w:p>
        </w:tc>
        <w:tc>
          <w:tcPr>
            <w:tcW w:w="686" w:type="pct"/>
            <w:noWrap/>
            <w:hideMark/>
          </w:tcPr>
          <w:p w14:paraId="7688DBF5" w14:textId="77777777" w:rsidR="006C641A" w:rsidRPr="007D1918" w:rsidRDefault="006C641A" w:rsidP="00153384">
            <w:pPr>
              <w:pStyle w:val="TableHeading"/>
              <w:keepLines/>
              <w:jc w:val="center"/>
            </w:pPr>
            <w:r w:rsidRPr="007D1918">
              <w:t>2022-23</w:t>
            </w:r>
          </w:p>
        </w:tc>
        <w:tc>
          <w:tcPr>
            <w:tcW w:w="687" w:type="pct"/>
            <w:noWrap/>
            <w:hideMark/>
          </w:tcPr>
          <w:p w14:paraId="7B6B2F5A" w14:textId="77777777" w:rsidR="006C641A" w:rsidRPr="007D1918" w:rsidRDefault="006C641A" w:rsidP="00153384">
            <w:pPr>
              <w:pStyle w:val="TableHeading"/>
              <w:keepLines/>
              <w:jc w:val="center"/>
            </w:pPr>
            <w:r w:rsidRPr="007D1918">
              <w:t>2023-24</w:t>
            </w:r>
          </w:p>
        </w:tc>
      </w:tr>
      <w:tr w:rsidR="006C641A" w:rsidRPr="007D1918" w14:paraId="578077F0"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789064A6" w14:textId="77777777" w:rsidR="006C641A" w:rsidRPr="007D1918" w:rsidRDefault="006C641A" w:rsidP="00153384">
            <w:pPr>
              <w:pStyle w:val="Tabletext1"/>
              <w:keepNext/>
              <w:keepLines/>
            </w:pPr>
            <w:r w:rsidRPr="007D1918">
              <w:rPr>
                <w:color w:val="000000"/>
              </w:rPr>
              <w:t>Cost per gram of Ig</w:t>
            </w:r>
          </w:p>
        </w:tc>
        <w:tc>
          <w:tcPr>
            <w:tcW w:w="686" w:type="pct"/>
            <w:noWrap/>
            <w:hideMark/>
          </w:tcPr>
          <w:p w14:paraId="56722871" w14:textId="77777777" w:rsidR="006C641A" w:rsidRPr="007D1918" w:rsidRDefault="006C641A" w:rsidP="00153384">
            <w:pPr>
              <w:pStyle w:val="Tabletext1"/>
              <w:keepNext/>
              <w:keepLines/>
              <w:jc w:val="right"/>
            </w:pPr>
            <w:r w:rsidRPr="007D1918">
              <w:t>$60.41</w:t>
            </w:r>
          </w:p>
        </w:tc>
        <w:tc>
          <w:tcPr>
            <w:tcW w:w="686" w:type="pct"/>
            <w:noWrap/>
            <w:hideMark/>
          </w:tcPr>
          <w:p w14:paraId="748665DE" w14:textId="77777777" w:rsidR="006C641A" w:rsidRPr="007D1918" w:rsidRDefault="006C641A" w:rsidP="00153384">
            <w:pPr>
              <w:pStyle w:val="Tabletext1"/>
              <w:keepNext/>
              <w:keepLines/>
              <w:jc w:val="right"/>
            </w:pPr>
          </w:p>
        </w:tc>
        <w:tc>
          <w:tcPr>
            <w:tcW w:w="686" w:type="pct"/>
            <w:noWrap/>
            <w:hideMark/>
          </w:tcPr>
          <w:p w14:paraId="62FEE849" w14:textId="77777777" w:rsidR="006C641A" w:rsidRPr="007D1918" w:rsidRDefault="006C641A" w:rsidP="00153384">
            <w:pPr>
              <w:pStyle w:val="Tabletext1"/>
              <w:keepNext/>
              <w:keepLines/>
              <w:jc w:val="right"/>
            </w:pPr>
          </w:p>
        </w:tc>
        <w:tc>
          <w:tcPr>
            <w:tcW w:w="686" w:type="pct"/>
            <w:noWrap/>
            <w:hideMark/>
          </w:tcPr>
          <w:p w14:paraId="6822356C" w14:textId="77777777" w:rsidR="006C641A" w:rsidRPr="007D1918" w:rsidRDefault="006C641A" w:rsidP="00153384">
            <w:pPr>
              <w:pStyle w:val="Tabletext1"/>
              <w:keepNext/>
              <w:keepLines/>
              <w:jc w:val="right"/>
            </w:pPr>
          </w:p>
        </w:tc>
        <w:tc>
          <w:tcPr>
            <w:tcW w:w="687" w:type="pct"/>
            <w:noWrap/>
            <w:hideMark/>
          </w:tcPr>
          <w:p w14:paraId="03686893" w14:textId="77777777" w:rsidR="006C641A" w:rsidRPr="007D1918" w:rsidRDefault="006C641A" w:rsidP="00153384">
            <w:pPr>
              <w:pStyle w:val="Tabletext1"/>
              <w:keepNext/>
              <w:keepLines/>
              <w:jc w:val="right"/>
            </w:pPr>
          </w:p>
        </w:tc>
      </w:tr>
      <w:tr w:rsidR="006C641A" w:rsidRPr="007D1918" w14:paraId="3D9B6564"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7686164A" w14:textId="77777777" w:rsidR="006C641A" w:rsidRPr="007D1918" w:rsidRDefault="006C641A" w:rsidP="00153384">
            <w:pPr>
              <w:pStyle w:val="Tabletext1"/>
              <w:keepNext/>
              <w:keepLines/>
            </w:pPr>
            <w:r w:rsidRPr="007D1918">
              <w:rPr>
                <w:color w:val="000000"/>
              </w:rPr>
              <w:t>No. Indication 1 patients</w:t>
            </w:r>
          </w:p>
        </w:tc>
        <w:tc>
          <w:tcPr>
            <w:tcW w:w="686" w:type="pct"/>
            <w:tcBorders>
              <w:top w:val="nil"/>
              <w:left w:val="nil"/>
              <w:bottom w:val="single" w:sz="8" w:space="0" w:color="auto"/>
              <w:right w:val="single" w:sz="8" w:space="0" w:color="auto"/>
            </w:tcBorders>
            <w:shd w:val="clear" w:color="auto" w:fill="auto"/>
            <w:noWrap/>
            <w:vAlign w:val="center"/>
            <w:hideMark/>
          </w:tcPr>
          <w:p w14:paraId="11120880" w14:textId="77777777" w:rsidR="006C641A" w:rsidRPr="007D1918" w:rsidRDefault="006C641A" w:rsidP="00153384">
            <w:pPr>
              <w:pStyle w:val="Tabletext1"/>
              <w:keepNext/>
              <w:keepLines/>
              <w:jc w:val="right"/>
            </w:pPr>
            <w:r w:rsidRPr="007D1918">
              <w:rPr>
                <w:color w:val="000000"/>
              </w:rPr>
              <w:t>223</w:t>
            </w:r>
          </w:p>
        </w:tc>
        <w:tc>
          <w:tcPr>
            <w:tcW w:w="686" w:type="pct"/>
            <w:tcBorders>
              <w:top w:val="nil"/>
              <w:left w:val="nil"/>
              <w:bottom w:val="single" w:sz="8" w:space="0" w:color="auto"/>
              <w:right w:val="single" w:sz="8" w:space="0" w:color="auto"/>
            </w:tcBorders>
            <w:shd w:val="clear" w:color="auto" w:fill="auto"/>
            <w:noWrap/>
            <w:vAlign w:val="center"/>
            <w:hideMark/>
          </w:tcPr>
          <w:p w14:paraId="7BDCD476" w14:textId="77777777" w:rsidR="006C641A" w:rsidRPr="007D1918" w:rsidRDefault="006C641A" w:rsidP="00153384">
            <w:pPr>
              <w:pStyle w:val="Tabletext1"/>
              <w:keepNext/>
              <w:keepLines/>
              <w:jc w:val="right"/>
            </w:pPr>
            <w:r w:rsidRPr="007D1918">
              <w:rPr>
                <w:color w:val="000000"/>
              </w:rPr>
              <w:t>241</w:t>
            </w:r>
          </w:p>
        </w:tc>
        <w:tc>
          <w:tcPr>
            <w:tcW w:w="686" w:type="pct"/>
            <w:tcBorders>
              <w:top w:val="nil"/>
              <w:left w:val="nil"/>
              <w:bottom w:val="single" w:sz="8" w:space="0" w:color="auto"/>
              <w:right w:val="single" w:sz="8" w:space="0" w:color="auto"/>
            </w:tcBorders>
            <w:shd w:val="clear" w:color="auto" w:fill="auto"/>
            <w:noWrap/>
            <w:vAlign w:val="center"/>
            <w:hideMark/>
          </w:tcPr>
          <w:p w14:paraId="61CFBB63" w14:textId="77777777" w:rsidR="006C641A" w:rsidRPr="007D1918" w:rsidRDefault="006C641A" w:rsidP="00153384">
            <w:pPr>
              <w:pStyle w:val="Tabletext1"/>
              <w:keepNext/>
              <w:keepLines/>
              <w:jc w:val="right"/>
            </w:pPr>
            <w:r w:rsidRPr="007D1918">
              <w:rPr>
                <w:color w:val="000000"/>
              </w:rPr>
              <w:t>258</w:t>
            </w:r>
          </w:p>
        </w:tc>
        <w:tc>
          <w:tcPr>
            <w:tcW w:w="686" w:type="pct"/>
            <w:tcBorders>
              <w:top w:val="nil"/>
              <w:left w:val="nil"/>
              <w:bottom w:val="single" w:sz="8" w:space="0" w:color="auto"/>
              <w:right w:val="single" w:sz="8" w:space="0" w:color="auto"/>
            </w:tcBorders>
            <w:shd w:val="clear" w:color="auto" w:fill="auto"/>
            <w:noWrap/>
            <w:vAlign w:val="center"/>
            <w:hideMark/>
          </w:tcPr>
          <w:p w14:paraId="79549D01" w14:textId="77777777" w:rsidR="006C641A" w:rsidRPr="007D1918" w:rsidRDefault="006C641A" w:rsidP="00153384">
            <w:pPr>
              <w:pStyle w:val="Tabletext1"/>
              <w:keepNext/>
              <w:keepLines/>
              <w:jc w:val="right"/>
            </w:pPr>
            <w:r w:rsidRPr="007D1918">
              <w:rPr>
                <w:color w:val="000000"/>
              </w:rPr>
              <w:t>276</w:t>
            </w:r>
          </w:p>
        </w:tc>
        <w:tc>
          <w:tcPr>
            <w:tcW w:w="687" w:type="pct"/>
            <w:tcBorders>
              <w:top w:val="nil"/>
              <w:left w:val="nil"/>
              <w:bottom w:val="single" w:sz="8" w:space="0" w:color="auto"/>
              <w:right w:val="single" w:sz="8" w:space="0" w:color="auto"/>
            </w:tcBorders>
            <w:shd w:val="clear" w:color="auto" w:fill="auto"/>
            <w:noWrap/>
            <w:vAlign w:val="center"/>
            <w:hideMark/>
          </w:tcPr>
          <w:p w14:paraId="3E18199D" w14:textId="77777777" w:rsidR="006C641A" w:rsidRPr="007D1918" w:rsidRDefault="006C641A" w:rsidP="00153384">
            <w:pPr>
              <w:pStyle w:val="Tabletext1"/>
              <w:keepNext/>
              <w:keepLines/>
              <w:jc w:val="right"/>
            </w:pPr>
            <w:r w:rsidRPr="007D1918">
              <w:rPr>
                <w:color w:val="000000"/>
              </w:rPr>
              <w:t>294</w:t>
            </w:r>
          </w:p>
        </w:tc>
      </w:tr>
      <w:tr w:rsidR="006C641A" w:rsidRPr="007D1918" w14:paraId="2F9E1D71"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0D8D8080" w14:textId="77777777" w:rsidR="006C641A" w:rsidRPr="007D1918" w:rsidRDefault="006C641A" w:rsidP="00153384">
            <w:pPr>
              <w:pStyle w:val="Tabletext1"/>
              <w:keepNext/>
              <w:keepLines/>
            </w:pPr>
            <w:r w:rsidRPr="007D1918">
              <w:rPr>
                <w:color w:val="000000"/>
              </w:rPr>
              <w:t>Ig grams issued for Indication 1</w:t>
            </w:r>
          </w:p>
        </w:tc>
        <w:tc>
          <w:tcPr>
            <w:tcW w:w="686" w:type="pct"/>
            <w:tcBorders>
              <w:top w:val="nil"/>
              <w:left w:val="nil"/>
              <w:bottom w:val="single" w:sz="8" w:space="0" w:color="auto"/>
              <w:right w:val="single" w:sz="8" w:space="0" w:color="auto"/>
            </w:tcBorders>
            <w:shd w:val="clear" w:color="auto" w:fill="auto"/>
            <w:noWrap/>
            <w:vAlign w:val="center"/>
            <w:hideMark/>
          </w:tcPr>
          <w:p w14:paraId="088779CF" w14:textId="77777777" w:rsidR="006C641A" w:rsidRPr="007D1918" w:rsidRDefault="006C641A" w:rsidP="00153384">
            <w:pPr>
              <w:pStyle w:val="Tabletext1"/>
              <w:keepNext/>
              <w:keepLines/>
              <w:jc w:val="right"/>
            </w:pPr>
            <w:r w:rsidRPr="007D1918">
              <w:rPr>
                <w:color w:val="000000"/>
              </w:rPr>
              <w:t>53,903</w:t>
            </w:r>
          </w:p>
        </w:tc>
        <w:tc>
          <w:tcPr>
            <w:tcW w:w="686" w:type="pct"/>
            <w:tcBorders>
              <w:top w:val="nil"/>
              <w:left w:val="nil"/>
              <w:bottom w:val="single" w:sz="8" w:space="0" w:color="auto"/>
              <w:right w:val="single" w:sz="8" w:space="0" w:color="auto"/>
            </w:tcBorders>
            <w:shd w:val="clear" w:color="auto" w:fill="auto"/>
            <w:noWrap/>
            <w:vAlign w:val="center"/>
            <w:hideMark/>
          </w:tcPr>
          <w:p w14:paraId="50589C5E" w14:textId="77777777" w:rsidR="006C641A" w:rsidRPr="007D1918" w:rsidRDefault="006C641A" w:rsidP="00153384">
            <w:pPr>
              <w:pStyle w:val="Tabletext1"/>
              <w:keepNext/>
              <w:keepLines/>
              <w:jc w:val="right"/>
            </w:pPr>
            <w:r w:rsidRPr="007D1918">
              <w:rPr>
                <w:color w:val="000000"/>
              </w:rPr>
              <w:t>58,193</w:t>
            </w:r>
          </w:p>
        </w:tc>
        <w:tc>
          <w:tcPr>
            <w:tcW w:w="686" w:type="pct"/>
            <w:tcBorders>
              <w:top w:val="nil"/>
              <w:left w:val="nil"/>
              <w:bottom w:val="single" w:sz="8" w:space="0" w:color="auto"/>
              <w:right w:val="single" w:sz="8" w:space="0" w:color="auto"/>
            </w:tcBorders>
            <w:shd w:val="clear" w:color="auto" w:fill="auto"/>
            <w:noWrap/>
            <w:vAlign w:val="center"/>
            <w:hideMark/>
          </w:tcPr>
          <w:p w14:paraId="72739564" w14:textId="77777777" w:rsidR="006C641A" w:rsidRPr="007D1918" w:rsidRDefault="006C641A" w:rsidP="00153384">
            <w:pPr>
              <w:pStyle w:val="Tabletext1"/>
              <w:keepNext/>
              <w:keepLines/>
              <w:jc w:val="right"/>
            </w:pPr>
            <w:r w:rsidRPr="007D1918">
              <w:rPr>
                <w:color w:val="000000"/>
              </w:rPr>
              <w:t>62,482</w:t>
            </w:r>
          </w:p>
        </w:tc>
        <w:tc>
          <w:tcPr>
            <w:tcW w:w="686" w:type="pct"/>
            <w:tcBorders>
              <w:top w:val="nil"/>
              <w:left w:val="nil"/>
              <w:bottom w:val="single" w:sz="8" w:space="0" w:color="auto"/>
              <w:right w:val="single" w:sz="8" w:space="0" w:color="auto"/>
            </w:tcBorders>
            <w:shd w:val="clear" w:color="auto" w:fill="auto"/>
            <w:noWrap/>
            <w:vAlign w:val="center"/>
            <w:hideMark/>
          </w:tcPr>
          <w:p w14:paraId="573715F6" w14:textId="77777777" w:rsidR="006C641A" w:rsidRPr="007D1918" w:rsidRDefault="006C641A" w:rsidP="00153384">
            <w:pPr>
              <w:pStyle w:val="Tabletext1"/>
              <w:keepNext/>
              <w:keepLines/>
              <w:jc w:val="right"/>
            </w:pPr>
            <w:r w:rsidRPr="007D1918">
              <w:rPr>
                <w:color w:val="000000"/>
              </w:rPr>
              <w:t>66,772</w:t>
            </w:r>
          </w:p>
        </w:tc>
        <w:tc>
          <w:tcPr>
            <w:tcW w:w="687" w:type="pct"/>
            <w:tcBorders>
              <w:top w:val="nil"/>
              <w:left w:val="nil"/>
              <w:bottom w:val="single" w:sz="8" w:space="0" w:color="auto"/>
              <w:right w:val="single" w:sz="8" w:space="0" w:color="auto"/>
            </w:tcBorders>
            <w:shd w:val="clear" w:color="auto" w:fill="auto"/>
            <w:noWrap/>
            <w:vAlign w:val="center"/>
            <w:hideMark/>
          </w:tcPr>
          <w:p w14:paraId="77526949" w14:textId="77777777" w:rsidR="006C641A" w:rsidRPr="007D1918" w:rsidRDefault="006C641A" w:rsidP="00153384">
            <w:pPr>
              <w:pStyle w:val="Tabletext1"/>
              <w:keepNext/>
              <w:keepLines/>
              <w:jc w:val="right"/>
            </w:pPr>
            <w:r w:rsidRPr="007D1918">
              <w:rPr>
                <w:color w:val="000000"/>
              </w:rPr>
              <w:t>71,061</w:t>
            </w:r>
          </w:p>
        </w:tc>
      </w:tr>
      <w:tr w:rsidR="006C641A" w:rsidRPr="007D1918" w14:paraId="3194201F" w14:textId="77777777" w:rsidTr="00153384">
        <w:trPr>
          <w:cantSplit/>
          <w:trHeight w:val="300"/>
        </w:trPr>
        <w:tc>
          <w:tcPr>
            <w:tcW w:w="1569" w:type="pct"/>
            <w:tcBorders>
              <w:top w:val="nil"/>
              <w:left w:val="single" w:sz="8" w:space="0" w:color="auto"/>
              <w:bottom w:val="double" w:sz="6" w:space="0" w:color="auto"/>
              <w:right w:val="single" w:sz="8" w:space="0" w:color="auto"/>
            </w:tcBorders>
            <w:shd w:val="clear" w:color="auto" w:fill="auto"/>
            <w:noWrap/>
            <w:vAlign w:val="center"/>
            <w:hideMark/>
          </w:tcPr>
          <w:p w14:paraId="5FDC3EB5" w14:textId="77777777" w:rsidR="006C641A" w:rsidRPr="007D1918" w:rsidRDefault="006C641A" w:rsidP="00153384">
            <w:pPr>
              <w:pStyle w:val="Tabletext1"/>
              <w:keepNext/>
              <w:keepLines/>
            </w:pPr>
            <w:r w:rsidRPr="007D1918">
              <w:rPr>
                <w:color w:val="000000"/>
              </w:rPr>
              <w:t>Cost of Ig for Indication 1</w:t>
            </w:r>
          </w:p>
        </w:tc>
        <w:tc>
          <w:tcPr>
            <w:tcW w:w="686" w:type="pct"/>
            <w:tcBorders>
              <w:top w:val="nil"/>
              <w:left w:val="nil"/>
              <w:bottom w:val="double" w:sz="6" w:space="0" w:color="auto"/>
              <w:right w:val="single" w:sz="8" w:space="0" w:color="auto"/>
            </w:tcBorders>
            <w:shd w:val="clear" w:color="auto" w:fill="auto"/>
            <w:noWrap/>
            <w:vAlign w:val="center"/>
            <w:hideMark/>
          </w:tcPr>
          <w:p w14:paraId="1F5E8A9C" w14:textId="77777777" w:rsidR="006C641A" w:rsidRPr="007D1918" w:rsidRDefault="006C641A" w:rsidP="00153384">
            <w:pPr>
              <w:pStyle w:val="Tabletext1"/>
              <w:keepNext/>
              <w:keepLines/>
              <w:jc w:val="right"/>
            </w:pPr>
            <w:r w:rsidRPr="007D1918">
              <w:rPr>
                <w:color w:val="000000"/>
              </w:rPr>
              <w:t>$3,256,280</w:t>
            </w:r>
          </w:p>
        </w:tc>
        <w:tc>
          <w:tcPr>
            <w:tcW w:w="686" w:type="pct"/>
            <w:tcBorders>
              <w:top w:val="nil"/>
              <w:left w:val="nil"/>
              <w:bottom w:val="double" w:sz="6" w:space="0" w:color="auto"/>
              <w:right w:val="single" w:sz="8" w:space="0" w:color="auto"/>
            </w:tcBorders>
            <w:shd w:val="clear" w:color="auto" w:fill="auto"/>
            <w:noWrap/>
            <w:vAlign w:val="center"/>
            <w:hideMark/>
          </w:tcPr>
          <w:p w14:paraId="08F848E2" w14:textId="77777777" w:rsidR="006C641A" w:rsidRPr="007D1918" w:rsidRDefault="006C641A" w:rsidP="00153384">
            <w:pPr>
              <w:pStyle w:val="Tabletext1"/>
              <w:keepNext/>
              <w:keepLines/>
              <w:jc w:val="right"/>
            </w:pPr>
            <w:r w:rsidRPr="007D1918">
              <w:rPr>
                <w:color w:val="000000"/>
              </w:rPr>
              <w:t>$3,515,439</w:t>
            </w:r>
          </w:p>
        </w:tc>
        <w:tc>
          <w:tcPr>
            <w:tcW w:w="686" w:type="pct"/>
            <w:tcBorders>
              <w:top w:val="nil"/>
              <w:left w:val="nil"/>
              <w:bottom w:val="double" w:sz="6" w:space="0" w:color="auto"/>
              <w:right w:val="single" w:sz="8" w:space="0" w:color="auto"/>
            </w:tcBorders>
            <w:shd w:val="clear" w:color="auto" w:fill="auto"/>
            <w:noWrap/>
            <w:vAlign w:val="center"/>
            <w:hideMark/>
          </w:tcPr>
          <w:p w14:paraId="3810C125" w14:textId="77777777" w:rsidR="006C641A" w:rsidRPr="007D1918" w:rsidRDefault="006C641A" w:rsidP="00153384">
            <w:pPr>
              <w:pStyle w:val="Tabletext1"/>
              <w:keepNext/>
              <w:keepLines/>
              <w:jc w:val="right"/>
            </w:pPr>
            <w:r w:rsidRPr="007D1918">
              <w:rPr>
                <w:color w:val="000000"/>
              </w:rPr>
              <w:t>$3,774,538</w:t>
            </w:r>
          </w:p>
        </w:tc>
        <w:tc>
          <w:tcPr>
            <w:tcW w:w="686" w:type="pct"/>
            <w:tcBorders>
              <w:top w:val="nil"/>
              <w:left w:val="nil"/>
              <w:bottom w:val="double" w:sz="6" w:space="0" w:color="auto"/>
              <w:right w:val="single" w:sz="8" w:space="0" w:color="auto"/>
            </w:tcBorders>
            <w:shd w:val="clear" w:color="auto" w:fill="auto"/>
            <w:noWrap/>
            <w:vAlign w:val="center"/>
            <w:hideMark/>
          </w:tcPr>
          <w:p w14:paraId="75CE875F" w14:textId="77777777" w:rsidR="006C641A" w:rsidRPr="007D1918" w:rsidRDefault="006C641A" w:rsidP="00153384">
            <w:pPr>
              <w:pStyle w:val="Tabletext1"/>
              <w:keepNext/>
              <w:keepLines/>
              <w:jc w:val="right"/>
            </w:pPr>
            <w:r w:rsidRPr="007D1918">
              <w:rPr>
                <w:color w:val="000000"/>
              </w:rPr>
              <w:t>$4,033,697</w:t>
            </w:r>
          </w:p>
        </w:tc>
        <w:tc>
          <w:tcPr>
            <w:tcW w:w="687" w:type="pct"/>
            <w:tcBorders>
              <w:top w:val="nil"/>
              <w:left w:val="nil"/>
              <w:bottom w:val="double" w:sz="6" w:space="0" w:color="auto"/>
              <w:right w:val="single" w:sz="8" w:space="0" w:color="auto"/>
            </w:tcBorders>
            <w:shd w:val="clear" w:color="auto" w:fill="auto"/>
            <w:noWrap/>
            <w:vAlign w:val="center"/>
            <w:hideMark/>
          </w:tcPr>
          <w:p w14:paraId="0F2C4D0A" w14:textId="77777777" w:rsidR="006C641A" w:rsidRPr="007D1918" w:rsidRDefault="006C641A" w:rsidP="00153384">
            <w:pPr>
              <w:pStyle w:val="Tabletext1"/>
              <w:keepNext/>
              <w:keepLines/>
              <w:jc w:val="right"/>
            </w:pPr>
            <w:r w:rsidRPr="007D1918">
              <w:rPr>
                <w:color w:val="000000"/>
              </w:rPr>
              <w:t>$4,292,795</w:t>
            </w:r>
          </w:p>
        </w:tc>
      </w:tr>
      <w:tr w:rsidR="006C641A" w:rsidRPr="007D1918" w14:paraId="44E85C15"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1AA1148A" w14:textId="77777777" w:rsidR="006C641A" w:rsidRPr="007D1918" w:rsidRDefault="006C641A" w:rsidP="00153384">
            <w:pPr>
              <w:pStyle w:val="Tabletext1"/>
              <w:keepNext/>
              <w:keepLines/>
            </w:pPr>
            <w:r w:rsidRPr="007D1918">
              <w:rPr>
                <w:color w:val="000000"/>
              </w:rPr>
              <w:t>No. Indication 2 patients</w:t>
            </w:r>
          </w:p>
        </w:tc>
        <w:tc>
          <w:tcPr>
            <w:tcW w:w="686" w:type="pct"/>
            <w:tcBorders>
              <w:top w:val="nil"/>
              <w:left w:val="nil"/>
              <w:bottom w:val="single" w:sz="8" w:space="0" w:color="auto"/>
              <w:right w:val="single" w:sz="8" w:space="0" w:color="auto"/>
            </w:tcBorders>
            <w:shd w:val="clear" w:color="auto" w:fill="auto"/>
            <w:noWrap/>
            <w:vAlign w:val="center"/>
            <w:hideMark/>
          </w:tcPr>
          <w:p w14:paraId="309DAC5A" w14:textId="77777777" w:rsidR="006C641A" w:rsidRPr="007D1918" w:rsidRDefault="006C641A" w:rsidP="00153384">
            <w:pPr>
              <w:pStyle w:val="Tabletext1"/>
              <w:keepNext/>
              <w:keepLines/>
              <w:jc w:val="right"/>
            </w:pPr>
            <w:r w:rsidRPr="007D1918">
              <w:rPr>
                <w:color w:val="000000"/>
              </w:rPr>
              <w:t>37</w:t>
            </w:r>
          </w:p>
        </w:tc>
        <w:tc>
          <w:tcPr>
            <w:tcW w:w="686" w:type="pct"/>
            <w:tcBorders>
              <w:top w:val="nil"/>
              <w:left w:val="nil"/>
              <w:bottom w:val="single" w:sz="8" w:space="0" w:color="auto"/>
              <w:right w:val="single" w:sz="8" w:space="0" w:color="auto"/>
            </w:tcBorders>
            <w:shd w:val="clear" w:color="auto" w:fill="auto"/>
            <w:noWrap/>
            <w:vAlign w:val="center"/>
            <w:hideMark/>
          </w:tcPr>
          <w:p w14:paraId="2BE9D7B5" w14:textId="77777777" w:rsidR="006C641A" w:rsidRPr="007D1918" w:rsidRDefault="006C641A" w:rsidP="00153384">
            <w:pPr>
              <w:pStyle w:val="Tabletext1"/>
              <w:keepNext/>
              <w:keepLines/>
              <w:jc w:val="right"/>
            </w:pPr>
            <w:r w:rsidRPr="007D1918">
              <w:rPr>
                <w:color w:val="000000"/>
              </w:rPr>
              <w:t>39</w:t>
            </w:r>
          </w:p>
        </w:tc>
        <w:tc>
          <w:tcPr>
            <w:tcW w:w="686" w:type="pct"/>
            <w:tcBorders>
              <w:top w:val="nil"/>
              <w:left w:val="nil"/>
              <w:bottom w:val="single" w:sz="8" w:space="0" w:color="auto"/>
              <w:right w:val="single" w:sz="8" w:space="0" w:color="auto"/>
            </w:tcBorders>
            <w:shd w:val="clear" w:color="auto" w:fill="auto"/>
            <w:noWrap/>
            <w:vAlign w:val="center"/>
            <w:hideMark/>
          </w:tcPr>
          <w:p w14:paraId="4504FA85" w14:textId="77777777" w:rsidR="006C641A" w:rsidRPr="007D1918" w:rsidRDefault="006C641A" w:rsidP="00153384">
            <w:pPr>
              <w:pStyle w:val="Tabletext1"/>
              <w:keepNext/>
              <w:keepLines/>
              <w:jc w:val="right"/>
            </w:pPr>
            <w:r w:rsidRPr="007D1918">
              <w:rPr>
                <w:color w:val="000000"/>
              </w:rPr>
              <w:t>42</w:t>
            </w:r>
          </w:p>
        </w:tc>
        <w:tc>
          <w:tcPr>
            <w:tcW w:w="686" w:type="pct"/>
            <w:tcBorders>
              <w:top w:val="nil"/>
              <w:left w:val="nil"/>
              <w:bottom w:val="single" w:sz="8" w:space="0" w:color="auto"/>
              <w:right w:val="single" w:sz="8" w:space="0" w:color="auto"/>
            </w:tcBorders>
            <w:shd w:val="clear" w:color="auto" w:fill="auto"/>
            <w:noWrap/>
            <w:vAlign w:val="center"/>
            <w:hideMark/>
          </w:tcPr>
          <w:p w14:paraId="6B0B89E5" w14:textId="77777777" w:rsidR="006C641A" w:rsidRPr="007D1918" w:rsidRDefault="006C641A" w:rsidP="00153384">
            <w:pPr>
              <w:pStyle w:val="Tabletext1"/>
              <w:keepNext/>
              <w:keepLines/>
              <w:jc w:val="right"/>
            </w:pPr>
            <w:r w:rsidRPr="007D1918">
              <w:rPr>
                <w:color w:val="000000"/>
              </w:rPr>
              <w:t>45</w:t>
            </w:r>
          </w:p>
        </w:tc>
        <w:tc>
          <w:tcPr>
            <w:tcW w:w="687" w:type="pct"/>
            <w:tcBorders>
              <w:top w:val="nil"/>
              <w:left w:val="nil"/>
              <w:bottom w:val="single" w:sz="8" w:space="0" w:color="auto"/>
              <w:right w:val="single" w:sz="8" w:space="0" w:color="auto"/>
            </w:tcBorders>
            <w:shd w:val="clear" w:color="auto" w:fill="auto"/>
            <w:noWrap/>
            <w:vAlign w:val="center"/>
            <w:hideMark/>
          </w:tcPr>
          <w:p w14:paraId="34B5FE45" w14:textId="77777777" w:rsidR="006C641A" w:rsidRPr="007D1918" w:rsidRDefault="006C641A" w:rsidP="00153384">
            <w:pPr>
              <w:pStyle w:val="Tabletext1"/>
              <w:keepNext/>
              <w:keepLines/>
              <w:jc w:val="right"/>
            </w:pPr>
            <w:r w:rsidRPr="007D1918">
              <w:rPr>
                <w:color w:val="000000"/>
              </w:rPr>
              <w:t>48</w:t>
            </w:r>
          </w:p>
        </w:tc>
      </w:tr>
      <w:tr w:rsidR="006C641A" w:rsidRPr="007D1918" w14:paraId="61C7B3F7"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21216241" w14:textId="77777777" w:rsidR="006C641A" w:rsidRPr="007D1918" w:rsidRDefault="006C641A" w:rsidP="00153384">
            <w:pPr>
              <w:pStyle w:val="Tabletext1"/>
              <w:keepNext/>
              <w:keepLines/>
            </w:pPr>
            <w:r w:rsidRPr="007D1918">
              <w:rPr>
                <w:color w:val="000000"/>
              </w:rPr>
              <w:t>Ig grams issued for Indication 2</w:t>
            </w:r>
          </w:p>
        </w:tc>
        <w:tc>
          <w:tcPr>
            <w:tcW w:w="686" w:type="pct"/>
            <w:tcBorders>
              <w:top w:val="nil"/>
              <w:left w:val="nil"/>
              <w:bottom w:val="single" w:sz="8" w:space="0" w:color="auto"/>
              <w:right w:val="single" w:sz="8" w:space="0" w:color="auto"/>
            </w:tcBorders>
            <w:shd w:val="clear" w:color="auto" w:fill="auto"/>
            <w:noWrap/>
            <w:vAlign w:val="center"/>
            <w:hideMark/>
          </w:tcPr>
          <w:p w14:paraId="18C31C2D" w14:textId="77777777" w:rsidR="006C641A" w:rsidRPr="007D1918" w:rsidRDefault="006C641A" w:rsidP="00153384">
            <w:pPr>
              <w:pStyle w:val="Tabletext1"/>
              <w:keepNext/>
              <w:keepLines/>
              <w:jc w:val="right"/>
            </w:pPr>
            <w:r w:rsidRPr="007D1918">
              <w:rPr>
                <w:color w:val="000000"/>
              </w:rPr>
              <w:t>5,989</w:t>
            </w:r>
          </w:p>
        </w:tc>
        <w:tc>
          <w:tcPr>
            <w:tcW w:w="686" w:type="pct"/>
            <w:tcBorders>
              <w:top w:val="nil"/>
              <w:left w:val="nil"/>
              <w:bottom w:val="single" w:sz="8" w:space="0" w:color="auto"/>
              <w:right w:val="single" w:sz="8" w:space="0" w:color="auto"/>
            </w:tcBorders>
            <w:shd w:val="clear" w:color="auto" w:fill="auto"/>
            <w:noWrap/>
            <w:vAlign w:val="center"/>
            <w:hideMark/>
          </w:tcPr>
          <w:p w14:paraId="101CA58B" w14:textId="77777777" w:rsidR="006C641A" w:rsidRPr="007D1918" w:rsidRDefault="006C641A" w:rsidP="00153384">
            <w:pPr>
              <w:pStyle w:val="Tabletext1"/>
              <w:keepNext/>
              <w:keepLines/>
              <w:jc w:val="right"/>
            </w:pPr>
            <w:r w:rsidRPr="007D1918">
              <w:rPr>
                <w:color w:val="000000"/>
              </w:rPr>
              <w:t>6,466</w:t>
            </w:r>
          </w:p>
        </w:tc>
        <w:tc>
          <w:tcPr>
            <w:tcW w:w="686" w:type="pct"/>
            <w:tcBorders>
              <w:top w:val="nil"/>
              <w:left w:val="nil"/>
              <w:bottom w:val="single" w:sz="8" w:space="0" w:color="auto"/>
              <w:right w:val="single" w:sz="8" w:space="0" w:color="auto"/>
            </w:tcBorders>
            <w:shd w:val="clear" w:color="auto" w:fill="auto"/>
            <w:noWrap/>
            <w:vAlign w:val="center"/>
            <w:hideMark/>
          </w:tcPr>
          <w:p w14:paraId="36078C01" w14:textId="77777777" w:rsidR="006C641A" w:rsidRPr="007D1918" w:rsidRDefault="006C641A" w:rsidP="00153384">
            <w:pPr>
              <w:pStyle w:val="Tabletext1"/>
              <w:keepNext/>
              <w:keepLines/>
              <w:jc w:val="right"/>
            </w:pPr>
            <w:r w:rsidRPr="007D1918">
              <w:rPr>
                <w:color w:val="000000"/>
              </w:rPr>
              <w:t>6,942</w:t>
            </w:r>
          </w:p>
        </w:tc>
        <w:tc>
          <w:tcPr>
            <w:tcW w:w="686" w:type="pct"/>
            <w:tcBorders>
              <w:top w:val="nil"/>
              <w:left w:val="nil"/>
              <w:bottom w:val="single" w:sz="8" w:space="0" w:color="auto"/>
              <w:right w:val="single" w:sz="8" w:space="0" w:color="auto"/>
            </w:tcBorders>
            <w:shd w:val="clear" w:color="auto" w:fill="auto"/>
            <w:noWrap/>
            <w:vAlign w:val="center"/>
            <w:hideMark/>
          </w:tcPr>
          <w:p w14:paraId="5A92D947" w14:textId="77777777" w:rsidR="006C641A" w:rsidRPr="007D1918" w:rsidRDefault="006C641A" w:rsidP="00153384">
            <w:pPr>
              <w:pStyle w:val="Tabletext1"/>
              <w:keepNext/>
              <w:keepLines/>
              <w:jc w:val="right"/>
            </w:pPr>
            <w:r w:rsidRPr="007D1918">
              <w:rPr>
                <w:color w:val="000000"/>
              </w:rPr>
              <w:t>7,419</w:t>
            </w:r>
          </w:p>
        </w:tc>
        <w:tc>
          <w:tcPr>
            <w:tcW w:w="687" w:type="pct"/>
            <w:tcBorders>
              <w:top w:val="nil"/>
              <w:left w:val="nil"/>
              <w:bottom w:val="single" w:sz="8" w:space="0" w:color="auto"/>
              <w:right w:val="single" w:sz="8" w:space="0" w:color="auto"/>
            </w:tcBorders>
            <w:shd w:val="clear" w:color="auto" w:fill="auto"/>
            <w:noWrap/>
            <w:vAlign w:val="center"/>
            <w:hideMark/>
          </w:tcPr>
          <w:p w14:paraId="4EA66D9B" w14:textId="77777777" w:rsidR="006C641A" w:rsidRPr="007D1918" w:rsidRDefault="006C641A" w:rsidP="00153384">
            <w:pPr>
              <w:pStyle w:val="Tabletext1"/>
              <w:keepNext/>
              <w:keepLines/>
              <w:jc w:val="right"/>
            </w:pPr>
            <w:r w:rsidRPr="007D1918">
              <w:rPr>
                <w:color w:val="000000"/>
              </w:rPr>
              <w:t>7,896</w:t>
            </w:r>
          </w:p>
        </w:tc>
      </w:tr>
      <w:tr w:rsidR="006C641A" w:rsidRPr="007D1918" w14:paraId="55557365" w14:textId="77777777" w:rsidTr="00153384">
        <w:trPr>
          <w:cantSplit/>
          <w:trHeight w:val="300"/>
        </w:trPr>
        <w:tc>
          <w:tcPr>
            <w:tcW w:w="1569" w:type="pct"/>
            <w:tcBorders>
              <w:top w:val="nil"/>
              <w:left w:val="single" w:sz="8" w:space="0" w:color="auto"/>
              <w:bottom w:val="double" w:sz="6" w:space="0" w:color="auto"/>
              <w:right w:val="single" w:sz="8" w:space="0" w:color="auto"/>
            </w:tcBorders>
            <w:shd w:val="clear" w:color="auto" w:fill="auto"/>
            <w:noWrap/>
            <w:vAlign w:val="center"/>
            <w:hideMark/>
          </w:tcPr>
          <w:p w14:paraId="454FF0B5" w14:textId="77777777" w:rsidR="006C641A" w:rsidRPr="007D1918" w:rsidRDefault="006C641A" w:rsidP="00153384">
            <w:pPr>
              <w:pStyle w:val="Tabletext1"/>
              <w:keepNext/>
              <w:keepLines/>
            </w:pPr>
            <w:r w:rsidRPr="007D1918">
              <w:rPr>
                <w:color w:val="000000"/>
              </w:rPr>
              <w:t>Cost of Ig for Indication 2</w:t>
            </w:r>
          </w:p>
        </w:tc>
        <w:tc>
          <w:tcPr>
            <w:tcW w:w="686" w:type="pct"/>
            <w:tcBorders>
              <w:top w:val="nil"/>
              <w:left w:val="nil"/>
              <w:bottom w:val="double" w:sz="6" w:space="0" w:color="auto"/>
              <w:right w:val="single" w:sz="8" w:space="0" w:color="auto"/>
            </w:tcBorders>
            <w:shd w:val="clear" w:color="auto" w:fill="auto"/>
            <w:noWrap/>
            <w:vAlign w:val="center"/>
            <w:hideMark/>
          </w:tcPr>
          <w:p w14:paraId="26D231C3" w14:textId="77777777" w:rsidR="006C641A" w:rsidRPr="007D1918" w:rsidRDefault="006C641A" w:rsidP="00153384">
            <w:pPr>
              <w:pStyle w:val="Tabletext1"/>
              <w:keepNext/>
              <w:keepLines/>
              <w:jc w:val="right"/>
            </w:pPr>
            <w:r w:rsidRPr="007D1918">
              <w:rPr>
                <w:color w:val="000000"/>
              </w:rPr>
              <w:t>$361,795</w:t>
            </w:r>
          </w:p>
        </w:tc>
        <w:tc>
          <w:tcPr>
            <w:tcW w:w="686" w:type="pct"/>
            <w:tcBorders>
              <w:top w:val="nil"/>
              <w:left w:val="nil"/>
              <w:bottom w:val="double" w:sz="6" w:space="0" w:color="auto"/>
              <w:right w:val="single" w:sz="8" w:space="0" w:color="auto"/>
            </w:tcBorders>
            <w:shd w:val="clear" w:color="auto" w:fill="auto"/>
            <w:noWrap/>
            <w:vAlign w:val="center"/>
            <w:hideMark/>
          </w:tcPr>
          <w:p w14:paraId="68CBCFCB" w14:textId="77777777" w:rsidR="006C641A" w:rsidRPr="007D1918" w:rsidRDefault="006C641A" w:rsidP="00153384">
            <w:pPr>
              <w:pStyle w:val="Tabletext1"/>
              <w:keepNext/>
              <w:keepLines/>
              <w:jc w:val="right"/>
            </w:pPr>
            <w:r w:rsidRPr="007D1918">
              <w:rPr>
                <w:color w:val="000000"/>
              </w:rPr>
              <w:t>$390,611</w:t>
            </w:r>
          </w:p>
        </w:tc>
        <w:tc>
          <w:tcPr>
            <w:tcW w:w="686" w:type="pct"/>
            <w:tcBorders>
              <w:top w:val="nil"/>
              <w:left w:val="nil"/>
              <w:bottom w:val="double" w:sz="6" w:space="0" w:color="auto"/>
              <w:right w:val="single" w:sz="8" w:space="0" w:color="auto"/>
            </w:tcBorders>
            <w:shd w:val="clear" w:color="auto" w:fill="auto"/>
            <w:noWrap/>
            <w:vAlign w:val="center"/>
            <w:hideMark/>
          </w:tcPr>
          <w:p w14:paraId="6DEF834C" w14:textId="77777777" w:rsidR="006C641A" w:rsidRPr="007D1918" w:rsidRDefault="006C641A" w:rsidP="00153384">
            <w:pPr>
              <w:pStyle w:val="Tabletext1"/>
              <w:keepNext/>
              <w:keepLines/>
              <w:jc w:val="right"/>
            </w:pPr>
            <w:r w:rsidRPr="007D1918">
              <w:rPr>
                <w:color w:val="000000"/>
              </w:rPr>
              <w:t>$419,366</w:t>
            </w:r>
          </w:p>
        </w:tc>
        <w:tc>
          <w:tcPr>
            <w:tcW w:w="686" w:type="pct"/>
            <w:tcBorders>
              <w:top w:val="nil"/>
              <w:left w:val="nil"/>
              <w:bottom w:val="double" w:sz="6" w:space="0" w:color="auto"/>
              <w:right w:val="single" w:sz="8" w:space="0" w:color="auto"/>
            </w:tcBorders>
            <w:shd w:val="clear" w:color="auto" w:fill="auto"/>
            <w:noWrap/>
            <w:vAlign w:val="center"/>
            <w:hideMark/>
          </w:tcPr>
          <w:p w14:paraId="188CF1AC" w14:textId="77777777" w:rsidR="006C641A" w:rsidRPr="007D1918" w:rsidRDefault="006C641A" w:rsidP="00153384">
            <w:pPr>
              <w:pStyle w:val="Tabletext1"/>
              <w:keepNext/>
              <w:keepLines/>
              <w:jc w:val="right"/>
            </w:pPr>
            <w:r w:rsidRPr="007D1918">
              <w:rPr>
                <w:color w:val="000000"/>
              </w:rPr>
              <w:t>$448,182</w:t>
            </w:r>
          </w:p>
        </w:tc>
        <w:tc>
          <w:tcPr>
            <w:tcW w:w="687" w:type="pct"/>
            <w:tcBorders>
              <w:top w:val="nil"/>
              <w:left w:val="nil"/>
              <w:bottom w:val="double" w:sz="6" w:space="0" w:color="auto"/>
              <w:right w:val="single" w:sz="8" w:space="0" w:color="auto"/>
            </w:tcBorders>
            <w:shd w:val="clear" w:color="auto" w:fill="auto"/>
            <w:noWrap/>
            <w:vAlign w:val="center"/>
            <w:hideMark/>
          </w:tcPr>
          <w:p w14:paraId="72201F16" w14:textId="77777777" w:rsidR="006C641A" w:rsidRPr="007D1918" w:rsidRDefault="006C641A" w:rsidP="00153384">
            <w:pPr>
              <w:pStyle w:val="Tabletext1"/>
              <w:keepNext/>
              <w:keepLines/>
              <w:jc w:val="right"/>
            </w:pPr>
            <w:r w:rsidRPr="007D1918">
              <w:rPr>
                <w:color w:val="000000"/>
              </w:rPr>
              <w:t>$476,997</w:t>
            </w:r>
          </w:p>
        </w:tc>
      </w:tr>
      <w:tr w:rsidR="006C641A" w:rsidRPr="007D1918" w14:paraId="6AC97332"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4A38D2D1" w14:textId="77777777" w:rsidR="006C641A" w:rsidRPr="007D1918" w:rsidRDefault="006C641A" w:rsidP="00153384">
            <w:pPr>
              <w:pStyle w:val="Tabletext1"/>
              <w:keepNext/>
              <w:keepLines/>
            </w:pPr>
            <w:r w:rsidRPr="007D1918">
              <w:rPr>
                <w:color w:val="000000"/>
              </w:rPr>
              <w:t>No. Indication 3 patients</w:t>
            </w:r>
          </w:p>
        </w:tc>
        <w:tc>
          <w:tcPr>
            <w:tcW w:w="686" w:type="pct"/>
            <w:tcBorders>
              <w:top w:val="nil"/>
              <w:left w:val="nil"/>
              <w:bottom w:val="single" w:sz="8" w:space="0" w:color="auto"/>
              <w:right w:val="single" w:sz="8" w:space="0" w:color="auto"/>
            </w:tcBorders>
            <w:shd w:val="clear" w:color="auto" w:fill="auto"/>
            <w:noWrap/>
            <w:vAlign w:val="center"/>
            <w:hideMark/>
          </w:tcPr>
          <w:p w14:paraId="00FC6FB3" w14:textId="77777777" w:rsidR="006C641A" w:rsidRPr="007D1918" w:rsidRDefault="006C641A" w:rsidP="00153384">
            <w:pPr>
              <w:pStyle w:val="Tabletext1"/>
              <w:keepNext/>
              <w:keepLines/>
              <w:jc w:val="right"/>
            </w:pPr>
            <w:r w:rsidRPr="007D1918">
              <w:rPr>
                <w:color w:val="000000"/>
              </w:rPr>
              <w:t>1,046</w:t>
            </w:r>
          </w:p>
        </w:tc>
        <w:tc>
          <w:tcPr>
            <w:tcW w:w="686" w:type="pct"/>
            <w:tcBorders>
              <w:top w:val="nil"/>
              <w:left w:val="nil"/>
              <w:bottom w:val="single" w:sz="8" w:space="0" w:color="auto"/>
              <w:right w:val="single" w:sz="8" w:space="0" w:color="auto"/>
            </w:tcBorders>
            <w:shd w:val="clear" w:color="auto" w:fill="auto"/>
            <w:noWrap/>
            <w:vAlign w:val="center"/>
            <w:hideMark/>
          </w:tcPr>
          <w:p w14:paraId="6F55DC59" w14:textId="77777777" w:rsidR="006C641A" w:rsidRPr="007D1918" w:rsidRDefault="006C641A" w:rsidP="00153384">
            <w:pPr>
              <w:pStyle w:val="Tabletext1"/>
              <w:keepNext/>
              <w:keepLines/>
              <w:jc w:val="right"/>
            </w:pPr>
            <w:r w:rsidRPr="007D1918">
              <w:rPr>
                <w:color w:val="000000"/>
              </w:rPr>
              <w:t>1,128</w:t>
            </w:r>
          </w:p>
        </w:tc>
        <w:tc>
          <w:tcPr>
            <w:tcW w:w="686" w:type="pct"/>
            <w:tcBorders>
              <w:top w:val="nil"/>
              <w:left w:val="nil"/>
              <w:bottom w:val="single" w:sz="8" w:space="0" w:color="auto"/>
              <w:right w:val="single" w:sz="8" w:space="0" w:color="auto"/>
            </w:tcBorders>
            <w:shd w:val="clear" w:color="auto" w:fill="auto"/>
            <w:noWrap/>
            <w:vAlign w:val="center"/>
            <w:hideMark/>
          </w:tcPr>
          <w:p w14:paraId="4BF3369F" w14:textId="77777777" w:rsidR="006C641A" w:rsidRPr="007D1918" w:rsidRDefault="006C641A" w:rsidP="00153384">
            <w:pPr>
              <w:pStyle w:val="Tabletext1"/>
              <w:keepNext/>
              <w:keepLines/>
              <w:jc w:val="right"/>
            </w:pPr>
            <w:r w:rsidRPr="007D1918">
              <w:rPr>
                <w:color w:val="000000"/>
              </w:rPr>
              <w:t>1,211</w:t>
            </w:r>
          </w:p>
        </w:tc>
        <w:tc>
          <w:tcPr>
            <w:tcW w:w="686" w:type="pct"/>
            <w:tcBorders>
              <w:top w:val="nil"/>
              <w:left w:val="nil"/>
              <w:bottom w:val="single" w:sz="8" w:space="0" w:color="auto"/>
              <w:right w:val="single" w:sz="8" w:space="0" w:color="auto"/>
            </w:tcBorders>
            <w:shd w:val="clear" w:color="auto" w:fill="auto"/>
            <w:noWrap/>
            <w:vAlign w:val="center"/>
            <w:hideMark/>
          </w:tcPr>
          <w:p w14:paraId="4C83538B" w14:textId="77777777" w:rsidR="006C641A" w:rsidRPr="007D1918" w:rsidRDefault="006C641A" w:rsidP="00153384">
            <w:pPr>
              <w:pStyle w:val="Tabletext1"/>
              <w:keepNext/>
              <w:keepLines/>
              <w:jc w:val="right"/>
            </w:pPr>
            <w:r w:rsidRPr="007D1918">
              <w:rPr>
                <w:color w:val="000000"/>
              </w:rPr>
              <w:t>1,293</w:t>
            </w:r>
          </w:p>
        </w:tc>
        <w:tc>
          <w:tcPr>
            <w:tcW w:w="687" w:type="pct"/>
            <w:tcBorders>
              <w:top w:val="nil"/>
              <w:left w:val="nil"/>
              <w:bottom w:val="single" w:sz="8" w:space="0" w:color="auto"/>
              <w:right w:val="single" w:sz="8" w:space="0" w:color="auto"/>
            </w:tcBorders>
            <w:shd w:val="clear" w:color="auto" w:fill="auto"/>
            <w:noWrap/>
            <w:vAlign w:val="center"/>
            <w:hideMark/>
          </w:tcPr>
          <w:p w14:paraId="6528D6E8" w14:textId="77777777" w:rsidR="006C641A" w:rsidRPr="007D1918" w:rsidRDefault="006C641A" w:rsidP="00153384">
            <w:pPr>
              <w:pStyle w:val="Tabletext1"/>
              <w:keepNext/>
              <w:keepLines/>
              <w:jc w:val="right"/>
            </w:pPr>
            <w:r w:rsidRPr="007D1918">
              <w:rPr>
                <w:color w:val="000000"/>
              </w:rPr>
              <w:t>1,376</w:t>
            </w:r>
          </w:p>
        </w:tc>
      </w:tr>
      <w:tr w:rsidR="006C641A" w:rsidRPr="007D1918" w14:paraId="260ADF14"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4D553B1A" w14:textId="77777777" w:rsidR="006C641A" w:rsidRPr="007D1918" w:rsidRDefault="006C641A" w:rsidP="00153384">
            <w:pPr>
              <w:pStyle w:val="Tabletext1"/>
              <w:keepNext/>
              <w:keepLines/>
            </w:pPr>
            <w:r w:rsidRPr="007D1918">
              <w:rPr>
                <w:color w:val="000000"/>
              </w:rPr>
              <w:t>Ig grams issued for Indication 3</w:t>
            </w:r>
          </w:p>
        </w:tc>
        <w:tc>
          <w:tcPr>
            <w:tcW w:w="686" w:type="pct"/>
            <w:tcBorders>
              <w:top w:val="nil"/>
              <w:left w:val="nil"/>
              <w:bottom w:val="single" w:sz="8" w:space="0" w:color="auto"/>
              <w:right w:val="single" w:sz="8" w:space="0" w:color="auto"/>
            </w:tcBorders>
            <w:shd w:val="clear" w:color="auto" w:fill="auto"/>
            <w:noWrap/>
            <w:vAlign w:val="center"/>
            <w:hideMark/>
          </w:tcPr>
          <w:p w14:paraId="59C92AB0" w14:textId="77777777" w:rsidR="006C641A" w:rsidRPr="007D1918" w:rsidRDefault="006C641A" w:rsidP="00153384">
            <w:pPr>
              <w:pStyle w:val="Tabletext1"/>
              <w:keepNext/>
              <w:keepLines/>
              <w:jc w:val="right"/>
            </w:pPr>
            <w:r w:rsidRPr="007D1918">
              <w:rPr>
                <w:color w:val="000000"/>
              </w:rPr>
              <w:t>539,034</w:t>
            </w:r>
          </w:p>
        </w:tc>
        <w:tc>
          <w:tcPr>
            <w:tcW w:w="686" w:type="pct"/>
            <w:tcBorders>
              <w:top w:val="nil"/>
              <w:left w:val="nil"/>
              <w:bottom w:val="single" w:sz="8" w:space="0" w:color="auto"/>
              <w:right w:val="single" w:sz="8" w:space="0" w:color="auto"/>
            </w:tcBorders>
            <w:shd w:val="clear" w:color="auto" w:fill="auto"/>
            <w:noWrap/>
            <w:vAlign w:val="center"/>
            <w:hideMark/>
          </w:tcPr>
          <w:p w14:paraId="15777E67" w14:textId="77777777" w:rsidR="006C641A" w:rsidRPr="007D1918" w:rsidRDefault="006C641A" w:rsidP="00153384">
            <w:pPr>
              <w:pStyle w:val="Tabletext1"/>
              <w:keepNext/>
              <w:keepLines/>
              <w:jc w:val="right"/>
            </w:pPr>
            <w:r w:rsidRPr="007D1918">
              <w:rPr>
                <w:color w:val="000000"/>
              </w:rPr>
              <w:t>581,928</w:t>
            </w:r>
          </w:p>
        </w:tc>
        <w:tc>
          <w:tcPr>
            <w:tcW w:w="686" w:type="pct"/>
            <w:tcBorders>
              <w:top w:val="nil"/>
              <w:left w:val="nil"/>
              <w:bottom w:val="single" w:sz="8" w:space="0" w:color="auto"/>
              <w:right w:val="single" w:sz="8" w:space="0" w:color="auto"/>
            </w:tcBorders>
            <w:shd w:val="clear" w:color="auto" w:fill="auto"/>
            <w:noWrap/>
            <w:vAlign w:val="center"/>
            <w:hideMark/>
          </w:tcPr>
          <w:p w14:paraId="2438EE71" w14:textId="77777777" w:rsidR="006C641A" w:rsidRPr="007D1918" w:rsidRDefault="006C641A" w:rsidP="00153384">
            <w:pPr>
              <w:pStyle w:val="Tabletext1"/>
              <w:keepNext/>
              <w:keepLines/>
              <w:jc w:val="right"/>
            </w:pPr>
            <w:r w:rsidRPr="007D1918">
              <w:rPr>
                <w:color w:val="000000"/>
              </w:rPr>
              <w:t>624,822</w:t>
            </w:r>
          </w:p>
        </w:tc>
        <w:tc>
          <w:tcPr>
            <w:tcW w:w="686" w:type="pct"/>
            <w:tcBorders>
              <w:top w:val="nil"/>
              <w:left w:val="nil"/>
              <w:bottom w:val="single" w:sz="8" w:space="0" w:color="auto"/>
              <w:right w:val="single" w:sz="8" w:space="0" w:color="auto"/>
            </w:tcBorders>
            <w:shd w:val="clear" w:color="auto" w:fill="auto"/>
            <w:noWrap/>
            <w:vAlign w:val="center"/>
            <w:hideMark/>
          </w:tcPr>
          <w:p w14:paraId="3720214B" w14:textId="77777777" w:rsidR="006C641A" w:rsidRPr="007D1918" w:rsidRDefault="006C641A" w:rsidP="00153384">
            <w:pPr>
              <w:pStyle w:val="Tabletext1"/>
              <w:keepNext/>
              <w:keepLines/>
              <w:jc w:val="right"/>
            </w:pPr>
            <w:r w:rsidRPr="007D1918">
              <w:rPr>
                <w:color w:val="000000"/>
              </w:rPr>
              <w:t>667,716</w:t>
            </w:r>
          </w:p>
        </w:tc>
        <w:tc>
          <w:tcPr>
            <w:tcW w:w="687" w:type="pct"/>
            <w:tcBorders>
              <w:top w:val="nil"/>
              <w:left w:val="nil"/>
              <w:bottom w:val="single" w:sz="8" w:space="0" w:color="auto"/>
              <w:right w:val="single" w:sz="8" w:space="0" w:color="auto"/>
            </w:tcBorders>
            <w:shd w:val="clear" w:color="auto" w:fill="auto"/>
            <w:noWrap/>
            <w:vAlign w:val="center"/>
            <w:hideMark/>
          </w:tcPr>
          <w:p w14:paraId="66AA1595" w14:textId="77777777" w:rsidR="006C641A" w:rsidRPr="007D1918" w:rsidRDefault="006C641A" w:rsidP="00153384">
            <w:pPr>
              <w:pStyle w:val="Tabletext1"/>
              <w:keepNext/>
              <w:keepLines/>
              <w:jc w:val="right"/>
            </w:pPr>
            <w:r w:rsidRPr="007D1918">
              <w:rPr>
                <w:color w:val="000000"/>
              </w:rPr>
              <w:t>710,610</w:t>
            </w:r>
          </w:p>
        </w:tc>
      </w:tr>
      <w:tr w:rsidR="006C641A" w:rsidRPr="007D1918" w14:paraId="0E952668" w14:textId="77777777" w:rsidTr="00153384">
        <w:trPr>
          <w:cantSplit/>
          <w:trHeight w:val="300"/>
        </w:trPr>
        <w:tc>
          <w:tcPr>
            <w:tcW w:w="1569" w:type="pct"/>
            <w:tcBorders>
              <w:top w:val="nil"/>
              <w:left w:val="single" w:sz="8" w:space="0" w:color="auto"/>
              <w:bottom w:val="double" w:sz="6" w:space="0" w:color="auto"/>
              <w:right w:val="single" w:sz="8" w:space="0" w:color="auto"/>
            </w:tcBorders>
            <w:shd w:val="clear" w:color="auto" w:fill="auto"/>
            <w:noWrap/>
            <w:vAlign w:val="center"/>
            <w:hideMark/>
          </w:tcPr>
          <w:p w14:paraId="0A1CD5F7" w14:textId="77777777" w:rsidR="006C641A" w:rsidRPr="007D1918" w:rsidRDefault="006C641A" w:rsidP="00153384">
            <w:pPr>
              <w:pStyle w:val="Tabletext1"/>
              <w:keepNext/>
              <w:keepLines/>
            </w:pPr>
            <w:r w:rsidRPr="007D1918">
              <w:rPr>
                <w:color w:val="000000"/>
              </w:rPr>
              <w:t>Cost of Ig for Indication 3</w:t>
            </w:r>
          </w:p>
        </w:tc>
        <w:tc>
          <w:tcPr>
            <w:tcW w:w="686" w:type="pct"/>
            <w:tcBorders>
              <w:top w:val="nil"/>
              <w:left w:val="nil"/>
              <w:bottom w:val="double" w:sz="6" w:space="0" w:color="auto"/>
              <w:right w:val="single" w:sz="8" w:space="0" w:color="auto"/>
            </w:tcBorders>
            <w:shd w:val="clear" w:color="auto" w:fill="auto"/>
            <w:noWrap/>
            <w:vAlign w:val="center"/>
            <w:hideMark/>
          </w:tcPr>
          <w:p w14:paraId="0F491417" w14:textId="77777777" w:rsidR="006C641A" w:rsidRPr="007D1918" w:rsidRDefault="006C641A" w:rsidP="00153384">
            <w:pPr>
              <w:pStyle w:val="Tabletext1"/>
              <w:keepNext/>
              <w:keepLines/>
              <w:jc w:val="right"/>
            </w:pPr>
            <w:r w:rsidRPr="007D1918">
              <w:rPr>
                <w:color w:val="000000"/>
              </w:rPr>
              <w:t>$32,563,044</w:t>
            </w:r>
          </w:p>
        </w:tc>
        <w:tc>
          <w:tcPr>
            <w:tcW w:w="686" w:type="pct"/>
            <w:tcBorders>
              <w:top w:val="nil"/>
              <w:left w:val="nil"/>
              <w:bottom w:val="double" w:sz="6" w:space="0" w:color="auto"/>
              <w:right w:val="single" w:sz="8" w:space="0" w:color="auto"/>
            </w:tcBorders>
            <w:shd w:val="clear" w:color="auto" w:fill="auto"/>
            <w:noWrap/>
            <w:vAlign w:val="center"/>
            <w:hideMark/>
          </w:tcPr>
          <w:p w14:paraId="0194620B" w14:textId="77777777" w:rsidR="006C641A" w:rsidRPr="007D1918" w:rsidRDefault="006C641A" w:rsidP="00153384">
            <w:pPr>
              <w:pStyle w:val="Tabletext1"/>
              <w:keepNext/>
              <w:keepLines/>
              <w:jc w:val="right"/>
            </w:pPr>
            <w:r w:rsidRPr="007D1918">
              <w:rPr>
                <w:color w:val="000000"/>
              </w:rPr>
              <w:t>$35,154,270</w:t>
            </w:r>
          </w:p>
        </w:tc>
        <w:tc>
          <w:tcPr>
            <w:tcW w:w="686" w:type="pct"/>
            <w:tcBorders>
              <w:top w:val="nil"/>
              <w:left w:val="nil"/>
              <w:bottom w:val="double" w:sz="6" w:space="0" w:color="auto"/>
              <w:right w:val="single" w:sz="8" w:space="0" w:color="auto"/>
            </w:tcBorders>
            <w:shd w:val="clear" w:color="auto" w:fill="auto"/>
            <w:noWrap/>
            <w:vAlign w:val="center"/>
            <w:hideMark/>
          </w:tcPr>
          <w:p w14:paraId="3481EF80" w14:textId="77777777" w:rsidR="006C641A" w:rsidRPr="007D1918" w:rsidRDefault="006C641A" w:rsidP="00153384">
            <w:pPr>
              <w:pStyle w:val="Tabletext1"/>
              <w:keepNext/>
              <w:keepLines/>
              <w:jc w:val="right"/>
            </w:pPr>
            <w:r w:rsidRPr="007D1918">
              <w:rPr>
                <w:color w:val="000000"/>
              </w:rPr>
              <w:t>$37,745,497</w:t>
            </w:r>
          </w:p>
        </w:tc>
        <w:tc>
          <w:tcPr>
            <w:tcW w:w="686" w:type="pct"/>
            <w:tcBorders>
              <w:top w:val="nil"/>
              <w:left w:val="nil"/>
              <w:bottom w:val="double" w:sz="6" w:space="0" w:color="auto"/>
              <w:right w:val="single" w:sz="8" w:space="0" w:color="auto"/>
            </w:tcBorders>
            <w:shd w:val="clear" w:color="auto" w:fill="auto"/>
            <w:noWrap/>
            <w:vAlign w:val="center"/>
            <w:hideMark/>
          </w:tcPr>
          <w:p w14:paraId="77CDE17B" w14:textId="77777777" w:rsidR="006C641A" w:rsidRPr="007D1918" w:rsidRDefault="006C641A" w:rsidP="00153384">
            <w:pPr>
              <w:pStyle w:val="Tabletext1"/>
              <w:keepNext/>
              <w:keepLines/>
              <w:jc w:val="right"/>
            </w:pPr>
            <w:r w:rsidRPr="007D1918">
              <w:rPr>
                <w:color w:val="000000"/>
              </w:rPr>
              <w:t>$40,336,724</w:t>
            </w:r>
          </w:p>
        </w:tc>
        <w:tc>
          <w:tcPr>
            <w:tcW w:w="687" w:type="pct"/>
            <w:tcBorders>
              <w:top w:val="nil"/>
              <w:left w:val="nil"/>
              <w:bottom w:val="double" w:sz="6" w:space="0" w:color="auto"/>
              <w:right w:val="single" w:sz="8" w:space="0" w:color="auto"/>
            </w:tcBorders>
            <w:shd w:val="clear" w:color="auto" w:fill="auto"/>
            <w:noWrap/>
            <w:vAlign w:val="center"/>
            <w:hideMark/>
          </w:tcPr>
          <w:p w14:paraId="30502B2D" w14:textId="77777777" w:rsidR="006C641A" w:rsidRPr="007D1918" w:rsidRDefault="006C641A" w:rsidP="00153384">
            <w:pPr>
              <w:pStyle w:val="Tabletext1"/>
              <w:keepNext/>
              <w:keepLines/>
              <w:jc w:val="right"/>
            </w:pPr>
            <w:r w:rsidRPr="007D1918">
              <w:rPr>
                <w:color w:val="000000"/>
              </w:rPr>
              <w:t>$42,927,950</w:t>
            </w:r>
          </w:p>
        </w:tc>
      </w:tr>
      <w:tr w:rsidR="006C641A" w:rsidRPr="007D1918" w14:paraId="327E3592"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0AEF1B15" w14:textId="77777777" w:rsidR="006C641A" w:rsidRPr="007D1918" w:rsidRDefault="006C641A" w:rsidP="00153384">
            <w:pPr>
              <w:pStyle w:val="Tabletext1"/>
              <w:keepNext/>
              <w:keepLines/>
            </w:pPr>
            <w:r w:rsidRPr="007D1918">
              <w:rPr>
                <w:b/>
                <w:bCs/>
                <w:color w:val="000000"/>
              </w:rPr>
              <w:t>Total number of patients</w:t>
            </w:r>
          </w:p>
        </w:tc>
        <w:tc>
          <w:tcPr>
            <w:tcW w:w="686" w:type="pct"/>
            <w:tcBorders>
              <w:top w:val="nil"/>
              <w:left w:val="nil"/>
              <w:bottom w:val="single" w:sz="8" w:space="0" w:color="auto"/>
              <w:right w:val="single" w:sz="8" w:space="0" w:color="auto"/>
            </w:tcBorders>
            <w:shd w:val="clear" w:color="auto" w:fill="auto"/>
            <w:noWrap/>
            <w:vAlign w:val="center"/>
            <w:hideMark/>
          </w:tcPr>
          <w:p w14:paraId="11EEAA0E" w14:textId="77777777" w:rsidR="006C641A" w:rsidRPr="007D1918" w:rsidRDefault="006C641A" w:rsidP="00153384">
            <w:pPr>
              <w:pStyle w:val="Tabletext1"/>
              <w:keepNext/>
              <w:keepLines/>
              <w:jc w:val="right"/>
            </w:pPr>
            <w:r w:rsidRPr="007D1918">
              <w:rPr>
                <w:b/>
                <w:bCs/>
                <w:color w:val="000000"/>
              </w:rPr>
              <w:t>1,306</w:t>
            </w:r>
          </w:p>
        </w:tc>
        <w:tc>
          <w:tcPr>
            <w:tcW w:w="686" w:type="pct"/>
            <w:tcBorders>
              <w:top w:val="nil"/>
              <w:left w:val="nil"/>
              <w:bottom w:val="single" w:sz="8" w:space="0" w:color="auto"/>
              <w:right w:val="single" w:sz="8" w:space="0" w:color="auto"/>
            </w:tcBorders>
            <w:shd w:val="clear" w:color="auto" w:fill="auto"/>
            <w:noWrap/>
            <w:vAlign w:val="center"/>
            <w:hideMark/>
          </w:tcPr>
          <w:p w14:paraId="0BFEA21F" w14:textId="77777777" w:rsidR="006C641A" w:rsidRPr="007D1918" w:rsidRDefault="006C641A" w:rsidP="00153384">
            <w:pPr>
              <w:pStyle w:val="Tabletext1"/>
              <w:keepNext/>
              <w:keepLines/>
              <w:jc w:val="right"/>
            </w:pPr>
            <w:r w:rsidRPr="007D1918">
              <w:rPr>
                <w:b/>
                <w:bCs/>
                <w:color w:val="000000"/>
              </w:rPr>
              <w:t>1,408</w:t>
            </w:r>
          </w:p>
        </w:tc>
        <w:tc>
          <w:tcPr>
            <w:tcW w:w="686" w:type="pct"/>
            <w:tcBorders>
              <w:top w:val="nil"/>
              <w:left w:val="nil"/>
              <w:bottom w:val="single" w:sz="8" w:space="0" w:color="auto"/>
              <w:right w:val="single" w:sz="8" w:space="0" w:color="auto"/>
            </w:tcBorders>
            <w:shd w:val="clear" w:color="auto" w:fill="auto"/>
            <w:noWrap/>
            <w:vAlign w:val="center"/>
            <w:hideMark/>
          </w:tcPr>
          <w:p w14:paraId="429E3A3B" w14:textId="77777777" w:rsidR="006C641A" w:rsidRPr="007D1918" w:rsidRDefault="006C641A" w:rsidP="00153384">
            <w:pPr>
              <w:pStyle w:val="Tabletext1"/>
              <w:keepNext/>
              <w:keepLines/>
              <w:jc w:val="right"/>
            </w:pPr>
            <w:r w:rsidRPr="007D1918">
              <w:rPr>
                <w:b/>
                <w:bCs/>
                <w:color w:val="000000"/>
              </w:rPr>
              <w:t>1,511</w:t>
            </w:r>
          </w:p>
        </w:tc>
        <w:tc>
          <w:tcPr>
            <w:tcW w:w="686" w:type="pct"/>
            <w:tcBorders>
              <w:top w:val="nil"/>
              <w:left w:val="nil"/>
              <w:bottom w:val="single" w:sz="8" w:space="0" w:color="auto"/>
              <w:right w:val="single" w:sz="8" w:space="0" w:color="auto"/>
            </w:tcBorders>
            <w:shd w:val="clear" w:color="auto" w:fill="auto"/>
            <w:noWrap/>
            <w:vAlign w:val="center"/>
            <w:hideMark/>
          </w:tcPr>
          <w:p w14:paraId="4B2CC166" w14:textId="77777777" w:rsidR="006C641A" w:rsidRPr="007D1918" w:rsidRDefault="006C641A" w:rsidP="00153384">
            <w:pPr>
              <w:pStyle w:val="Tabletext1"/>
              <w:keepNext/>
              <w:keepLines/>
              <w:jc w:val="right"/>
            </w:pPr>
            <w:r w:rsidRPr="007D1918">
              <w:rPr>
                <w:b/>
                <w:bCs/>
                <w:color w:val="000000"/>
              </w:rPr>
              <w:t>1,614</w:t>
            </w:r>
          </w:p>
        </w:tc>
        <w:tc>
          <w:tcPr>
            <w:tcW w:w="687" w:type="pct"/>
            <w:tcBorders>
              <w:top w:val="nil"/>
              <w:left w:val="nil"/>
              <w:bottom w:val="single" w:sz="8" w:space="0" w:color="auto"/>
              <w:right w:val="single" w:sz="8" w:space="0" w:color="auto"/>
            </w:tcBorders>
            <w:shd w:val="clear" w:color="auto" w:fill="auto"/>
            <w:noWrap/>
            <w:vAlign w:val="center"/>
            <w:hideMark/>
          </w:tcPr>
          <w:p w14:paraId="0F044957" w14:textId="77777777" w:rsidR="006C641A" w:rsidRPr="007D1918" w:rsidRDefault="006C641A" w:rsidP="00153384">
            <w:pPr>
              <w:pStyle w:val="Tabletext1"/>
              <w:keepNext/>
              <w:keepLines/>
              <w:jc w:val="right"/>
            </w:pPr>
            <w:r w:rsidRPr="007D1918">
              <w:rPr>
                <w:b/>
                <w:bCs/>
                <w:color w:val="000000"/>
              </w:rPr>
              <w:t>1,718</w:t>
            </w:r>
          </w:p>
        </w:tc>
      </w:tr>
      <w:tr w:rsidR="006C641A" w:rsidRPr="007D1918" w14:paraId="6842962C"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2ED9E6E6" w14:textId="77777777" w:rsidR="006C641A" w:rsidRPr="007D1918" w:rsidRDefault="006C641A" w:rsidP="00153384">
            <w:pPr>
              <w:pStyle w:val="Tabletext1"/>
              <w:keepNext/>
              <w:keepLines/>
            </w:pPr>
            <w:r w:rsidRPr="007D1918">
              <w:rPr>
                <w:b/>
                <w:bCs/>
                <w:color w:val="000000"/>
              </w:rPr>
              <w:t>Total number of Ig grams issued</w:t>
            </w:r>
          </w:p>
        </w:tc>
        <w:tc>
          <w:tcPr>
            <w:tcW w:w="686" w:type="pct"/>
            <w:tcBorders>
              <w:top w:val="nil"/>
              <w:left w:val="nil"/>
              <w:bottom w:val="single" w:sz="8" w:space="0" w:color="auto"/>
              <w:right w:val="single" w:sz="8" w:space="0" w:color="auto"/>
            </w:tcBorders>
            <w:shd w:val="clear" w:color="auto" w:fill="auto"/>
            <w:noWrap/>
            <w:vAlign w:val="center"/>
            <w:hideMark/>
          </w:tcPr>
          <w:p w14:paraId="787BDC9E" w14:textId="77777777" w:rsidR="006C641A" w:rsidRPr="007D1918" w:rsidRDefault="006C641A" w:rsidP="00153384">
            <w:pPr>
              <w:pStyle w:val="Tabletext1"/>
              <w:keepNext/>
              <w:keepLines/>
              <w:jc w:val="right"/>
            </w:pPr>
            <w:r w:rsidRPr="007D1918">
              <w:rPr>
                <w:b/>
                <w:bCs/>
                <w:color w:val="000000"/>
              </w:rPr>
              <w:t>598,926</w:t>
            </w:r>
          </w:p>
        </w:tc>
        <w:tc>
          <w:tcPr>
            <w:tcW w:w="686" w:type="pct"/>
            <w:tcBorders>
              <w:top w:val="nil"/>
              <w:left w:val="nil"/>
              <w:bottom w:val="single" w:sz="8" w:space="0" w:color="auto"/>
              <w:right w:val="single" w:sz="8" w:space="0" w:color="auto"/>
            </w:tcBorders>
            <w:shd w:val="clear" w:color="auto" w:fill="auto"/>
            <w:noWrap/>
            <w:vAlign w:val="center"/>
            <w:hideMark/>
          </w:tcPr>
          <w:p w14:paraId="42CB9C26" w14:textId="77777777" w:rsidR="006C641A" w:rsidRPr="007D1918" w:rsidRDefault="006C641A" w:rsidP="00153384">
            <w:pPr>
              <w:pStyle w:val="Tabletext1"/>
              <w:keepNext/>
              <w:keepLines/>
              <w:jc w:val="right"/>
            </w:pPr>
            <w:r w:rsidRPr="007D1918">
              <w:rPr>
                <w:b/>
                <w:bCs/>
                <w:color w:val="000000"/>
              </w:rPr>
              <w:t>646,587</w:t>
            </w:r>
          </w:p>
        </w:tc>
        <w:tc>
          <w:tcPr>
            <w:tcW w:w="686" w:type="pct"/>
            <w:tcBorders>
              <w:top w:val="nil"/>
              <w:left w:val="nil"/>
              <w:bottom w:val="single" w:sz="8" w:space="0" w:color="auto"/>
              <w:right w:val="single" w:sz="8" w:space="0" w:color="auto"/>
            </w:tcBorders>
            <w:shd w:val="clear" w:color="auto" w:fill="auto"/>
            <w:noWrap/>
            <w:vAlign w:val="center"/>
            <w:hideMark/>
          </w:tcPr>
          <w:p w14:paraId="1832364C" w14:textId="77777777" w:rsidR="006C641A" w:rsidRPr="007D1918" w:rsidRDefault="006C641A" w:rsidP="00153384">
            <w:pPr>
              <w:pStyle w:val="Tabletext1"/>
              <w:keepNext/>
              <w:keepLines/>
              <w:jc w:val="right"/>
            </w:pPr>
            <w:r w:rsidRPr="007D1918">
              <w:rPr>
                <w:b/>
                <w:bCs/>
                <w:color w:val="000000"/>
              </w:rPr>
              <w:t>694,246</w:t>
            </w:r>
          </w:p>
        </w:tc>
        <w:tc>
          <w:tcPr>
            <w:tcW w:w="686" w:type="pct"/>
            <w:tcBorders>
              <w:top w:val="nil"/>
              <w:left w:val="nil"/>
              <w:bottom w:val="single" w:sz="8" w:space="0" w:color="auto"/>
              <w:right w:val="single" w:sz="8" w:space="0" w:color="auto"/>
            </w:tcBorders>
            <w:shd w:val="clear" w:color="auto" w:fill="auto"/>
            <w:noWrap/>
            <w:vAlign w:val="center"/>
            <w:hideMark/>
          </w:tcPr>
          <w:p w14:paraId="5959C8F1" w14:textId="77777777" w:rsidR="006C641A" w:rsidRPr="007D1918" w:rsidRDefault="006C641A" w:rsidP="00153384">
            <w:pPr>
              <w:pStyle w:val="Tabletext1"/>
              <w:keepNext/>
              <w:keepLines/>
              <w:jc w:val="right"/>
            </w:pPr>
            <w:r w:rsidRPr="007D1918">
              <w:rPr>
                <w:b/>
                <w:bCs/>
                <w:color w:val="000000"/>
              </w:rPr>
              <w:t>741,907</w:t>
            </w:r>
          </w:p>
        </w:tc>
        <w:tc>
          <w:tcPr>
            <w:tcW w:w="687" w:type="pct"/>
            <w:tcBorders>
              <w:top w:val="nil"/>
              <w:left w:val="nil"/>
              <w:bottom w:val="single" w:sz="8" w:space="0" w:color="auto"/>
              <w:right w:val="single" w:sz="8" w:space="0" w:color="auto"/>
            </w:tcBorders>
            <w:shd w:val="clear" w:color="auto" w:fill="auto"/>
            <w:noWrap/>
            <w:vAlign w:val="center"/>
            <w:hideMark/>
          </w:tcPr>
          <w:p w14:paraId="647E9C64" w14:textId="77777777" w:rsidR="006C641A" w:rsidRPr="007D1918" w:rsidRDefault="006C641A" w:rsidP="00153384">
            <w:pPr>
              <w:pStyle w:val="Tabletext1"/>
              <w:keepNext/>
              <w:keepLines/>
              <w:jc w:val="right"/>
            </w:pPr>
            <w:r w:rsidRPr="007D1918">
              <w:rPr>
                <w:b/>
                <w:bCs/>
                <w:color w:val="000000"/>
              </w:rPr>
              <w:t>789,567</w:t>
            </w:r>
          </w:p>
        </w:tc>
      </w:tr>
      <w:tr w:rsidR="006C641A" w:rsidRPr="007D1918" w14:paraId="2F697A67"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5D87FAC3" w14:textId="77777777" w:rsidR="006C641A" w:rsidRPr="007D1918" w:rsidRDefault="006C641A" w:rsidP="00153384">
            <w:pPr>
              <w:pStyle w:val="Tabletext1"/>
              <w:keepNext/>
              <w:keepLines/>
            </w:pPr>
            <w:r w:rsidRPr="007D1918">
              <w:rPr>
                <w:b/>
                <w:bCs/>
                <w:color w:val="000000"/>
              </w:rPr>
              <w:t>Total cost of Ig</w:t>
            </w:r>
          </w:p>
        </w:tc>
        <w:tc>
          <w:tcPr>
            <w:tcW w:w="686" w:type="pct"/>
            <w:tcBorders>
              <w:top w:val="nil"/>
              <w:left w:val="nil"/>
              <w:bottom w:val="single" w:sz="8" w:space="0" w:color="auto"/>
              <w:right w:val="single" w:sz="8" w:space="0" w:color="auto"/>
            </w:tcBorders>
            <w:shd w:val="clear" w:color="auto" w:fill="auto"/>
            <w:noWrap/>
            <w:vAlign w:val="center"/>
            <w:hideMark/>
          </w:tcPr>
          <w:p w14:paraId="44ABF071" w14:textId="77777777" w:rsidR="006C641A" w:rsidRPr="007D1918" w:rsidRDefault="006C641A" w:rsidP="00153384">
            <w:pPr>
              <w:pStyle w:val="Tabletext1"/>
              <w:keepNext/>
              <w:keepLines/>
              <w:jc w:val="right"/>
            </w:pPr>
            <w:r w:rsidRPr="007D1918">
              <w:rPr>
                <w:b/>
                <w:bCs/>
                <w:color w:val="000000"/>
              </w:rPr>
              <w:t>$36,181,120</w:t>
            </w:r>
          </w:p>
        </w:tc>
        <w:tc>
          <w:tcPr>
            <w:tcW w:w="686" w:type="pct"/>
            <w:tcBorders>
              <w:top w:val="nil"/>
              <w:left w:val="nil"/>
              <w:bottom w:val="single" w:sz="8" w:space="0" w:color="auto"/>
              <w:right w:val="single" w:sz="8" w:space="0" w:color="auto"/>
            </w:tcBorders>
            <w:shd w:val="clear" w:color="auto" w:fill="auto"/>
            <w:noWrap/>
            <w:vAlign w:val="center"/>
            <w:hideMark/>
          </w:tcPr>
          <w:p w14:paraId="13340495" w14:textId="77777777" w:rsidR="006C641A" w:rsidRPr="007D1918" w:rsidRDefault="006C641A" w:rsidP="00153384">
            <w:pPr>
              <w:pStyle w:val="Tabletext1"/>
              <w:keepNext/>
              <w:keepLines/>
              <w:jc w:val="right"/>
            </w:pPr>
            <w:r w:rsidRPr="007D1918">
              <w:rPr>
                <w:b/>
                <w:bCs/>
                <w:color w:val="000000"/>
              </w:rPr>
              <w:t>$39,060,321</w:t>
            </w:r>
          </w:p>
        </w:tc>
        <w:tc>
          <w:tcPr>
            <w:tcW w:w="686" w:type="pct"/>
            <w:tcBorders>
              <w:top w:val="nil"/>
              <w:left w:val="nil"/>
              <w:bottom w:val="single" w:sz="8" w:space="0" w:color="auto"/>
              <w:right w:val="single" w:sz="8" w:space="0" w:color="auto"/>
            </w:tcBorders>
            <w:shd w:val="clear" w:color="auto" w:fill="auto"/>
            <w:noWrap/>
            <w:vAlign w:val="center"/>
            <w:hideMark/>
          </w:tcPr>
          <w:p w14:paraId="4DA08053" w14:textId="77777777" w:rsidR="006C641A" w:rsidRPr="007D1918" w:rsidRDefault="006C641A" w:rsidP="00153384">
            <w:pPr>
              <w:pStyle w:val="Tabletext1"/>
              <w:keepNext/>
              <w:keepLines/>
              <w:jc w:val="right"/>
            </w:pPr>
            <w:r w:rsidRPr="007D1918">
              <w:rPr>
                <w:b/>
                <w:bCs/>
                <w:color w:val="000000"/>
              </w:rPr>
              <w:t>$41,939,401</w:t>
            </w:r>
          </w:p>
        </w:tc>
        <w:tc>
          <w:tcPr>
            <w:tcW w:w="686" w:type="pct"/>
            <w:tcBorders>
              <w:top w:val="nil"/>
              <w:left w:val="nil"/>
              <w:bottom w:val="single" w:sz="8" w:space="0" w:color="auto"/>
              <w:right w:val="single" w:sz="8" w:space="0" w:color="auto"/>
            </w:tcBorders>
            <w:shd w:val="clear" w:color="auto" w:fill="auto"/>
            <w:noWrap/>
            <w:vAlign w:val="center"/>
            <w:hideMark/>
          </w:tcPr>
          <w:p w14:paraId="2167D2D6" w14:textId="77777777" w:rsidR="006C641A" w:rsidRPr="007D1918" w:rsidRDefault="006C641A" w:rsidP="00153384">
            <w:pPr>
              <w:pStyle w:val="Tabletext1"/>
              <w:keepNext/>
              <w:keepLines/>
              <w:jc w:val="right"/>
            </w:pPr>
            <w:r w:rsidRPr="007D1918">
              <w:rPr>
                <w:b/>
                <w:bCs/>
                <w:color w:val="000000"/>
              </w:rPr>
              <w:t>$44,818,602</w:t>
            </w:r>
          </w:p>
        </w:tc>
        <w:tc>
          <w:tcPr>
            <w:tcW w:w="687" w:type="pct"/>
            <w:tcBorders>
              <w:top w:val="nil"/>
              <w:left w:val="nil"/>
              <w:bottom w:val="single" w:sz="8" w:space="0" w:color="auto"/>
              <w:right w:val="single" w:sz="8" w:space="0" w:color="auto"/>
            </w:tcBorders>
            <w:shd w:val="clear" w:color="auto" w:fill="auto"/>
            <w:noWrap/>
            <w:vAlign w:val="center"/>
            <w:hideMark/>
          </w:tcPr>
          <w:p w14:paraId="271017B0" w14:textId="77777777" w:rsidR="006C641A" w:rsidRPr="007D1918" w:rsidRDefault="006C641A" w:rsidP="00153384">
            <w:pPr>
              <w:pStyle w:val="Tabletext1"/>
              <w:keepNext/>
              <w:keepLines/>
              <w:jc w:val="right"/>
            </w:pPr>
            <w:r w:rsidRPr="007D1918">
              <w:rPr>
                <w:b/>
                <w:bCs/>
                <w:color w:val="000000"/>
              </w:rPr>
              <w:t>$47,697,742</w:t>
            </w:r>
          </w:p>
        </w:tc>
      </w:tr>
      <w:tr w:rsidR="006C641A" w:rsidRPr="007D1918" w14:paraId="6615DD2A"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7C89957C" w14:textId="77777777" w:rsidR="006C641A" w:rsidRPr="007D1918" w:rsidRDefault="006C641A" w:rsidP="00153384">
            <w:pPr>
              <w:pStyle w:val="Tabletext1"/>
              <w:keepNext/>
              <w:keepLines/>
            </w:pPr>
            <w:r w:rsidRPr="007D1918">
              <w:rPr>
                <w:color w:val="000000"/>
              </w:rPr>
              <w:t>Cost of Ig to the Commonwealth</w:t>
            </w:r>
            <w:r w:rsidRPr="007D1918">
              <w:rPr>
                <w:color w:val="000000"/>
                <w:vertAlign w:val="superscript"/>
              </w:rPr>
              <w:t>a</w:t>
            </w:r>
          </w:p>
        </w:tc>
        <w:tc>
          <w:tcPr>
            <w:tcW w:w="686" w:type="pct"/>
            <w:tcBorders>
              <w:top w:val="nil"/>
              <w:left w:val="nil"/>
              <w:bottom w:val="single" w:sz="8" w:space="0" w:color="auto"/>
              <w:right w:val="single" w:sz="8" w:space="0" w:color="auto"/>
            </w:tcBorders>
            <w:shd w:val="clear" w:color="auto" w:fill="auto"/>
            <w:noWrap/>
            <w:vAlign w:val="center"/>
            <w:hideMark/>
          </w:tcPr>
          <w:p w14:paraId="4538AE9B" w14:textId="77777777" w:rsidR="006C641A" w:rsidRPr="007D1918" w:rsidRDefault="006C641A" w:rsidP="00153384">
            <w:pPr>
              <w:pStyle w:val="Tabletext1"/>
              <w:keepNext/>
              <w:keepLines/>
              <w:jc w:val="right"/>
            </w:pPr>
            <w:r w:rsidRPr="007D1918">
              <w:rPr>
                <w:color w:val="000000"/>
              </w:rPr>
              <w:t>$22,794,105</w:t>
            </w:r>
          </w:p>
        </w:tc>
        <w:tc>
          <w:tcPr>
            <w:tcW w:w="686" w:type="pct"/>
            <w:tcBorders>
              <w:top w:val="nil"/>
              <w:left w:val="nil"/>
              <w:bottom w:val="single" w:sz="8" w:space="0" w:color="auto"/>
              <w:right w:val="single" w:sz="8" w:space="0" w:color="auto"/>
            </w:tcBorders>
            <w:shd w:val="clear" w:color="auto" w:fill="auto"/>
            <w:noWrap/>
            <w:vAlign w:val="center"/>
            <w:hideMark/>
          </w:tcPr>
          <w:p w14:paraId="2A8F5431" w14:textId="77777777" w:rsidR="006C641A" w:rsidRPr="007D1918" w:rsidRDefault="006C641A" w:rsidP="00153384">
            <w:pPr>
              <w:pStyle w:val="Tabletext1"/>
              <w:keepNext/>
              <w:keepLines/>
              <w:jc w:val="right"/>
            </w:pPr>
            <w:r w:rsidRPr="007D1918">
              <w:rPr>
                <w:color w:val="000000"/>
              </w:rPr>
              <w:t>$24,608,002</w:t>
            </w:r>
          </w:p>
        </w:tc>
        <w:tc>
          <w:tcPr>
            <w:tcW w:w="686" w:type="pct"/>
            <w:tcBorders>
              <w:top w:val="nil"/>
              <w:left w:val="nil"/>
              <w:bottom w:val="single" w:sz="8" w:space="0" w:color="auto"/>
              <w:right w:val="single" w:sz="8" w:space="0" w:color="auto"/>
            </w:tcBorders>
            <w:shd w:val="clear" w:color="auto" w:fill="auto"/>
            <w:noWrap/>
            <w:vAlign w:val="center"/>
            <w:hideMark/>
          </w:tcPr>
          <w:p w14:paraId="579D9425" w14:textId="77777777" w:rsidR="006C641A" w:rsidRPr="007D1918" w:rsidRDefault="006C641A" w:rsidP="00153384">
            <w:pPr>
              <w:pStyle w:val="Tabletext1"/>
              <w:keepNext/>
              <w:keepLines/>
              <w:jc w:val="right"/>
            </w:pPr>
            <w:r w:rsidRPr="007D1918">
              <w:rPr>
                <w:color w:val="000000"/>
              </w:rPr>
              <w:t>$26,421,823</w:t>
            </w:r>
          </w:p>
        </w:tc>
        <w:tc>
          <w:tcPr>
            <w:tcW w:w="686" w:type="pct"/>
            <w:tcBorders>
              <w:top w:val="nil"/>
              <w:left w:val="nil"/>
              <w:bottom w:val="single" w:sz="8" w:space="0" w:color="auto"/>
              <w:right w:val="single" w:sz="8" w:space="0" w:color="auto"/>
            </w:tcBorders>
            <w:shd w:val="clear" w:color="auto" w:fill="auto"/>
            <w:noWrap/>
            <w:vAlign w:val="center"/>
            <w:hideMark/>
          </w:tcPr>
          <w:p w14:paraId="5349400F" w14:textId="77777777" w:rsidR="006C641A" w:rsidRPr="007D1918" w:rsidRDefault="006C641A" w:rsidP="00153384">
            <w:pPr>
              <w:pStyle w:val="Tabletext1"/>
              <w:keepNext/>
              <w:keepLines/>
              <w:jc w:val="right"/>
            </w:pPr>
            <w:r w:rsidRPr="007D1918">
              <w:rPr>
                <w:color w:val="000000"/>
              </w:rPr>
              <w:t>$28,235,719</w:t>
            </w:r>
          </w:p>
        </w:tc>
        <w:tc>
          <w:tcPr>
            <w:tcW w:w="687" w:type="pct"/>
            <w:tcBorders>
              <w:top w:val="nil"/>
              <w:left w:val="nil"/>
              <w:bottom w:val="single" w:sz="8" w:space="0" w:color="auto"/>
              <w:right w:val="single" w:sz="8" w:space="0" w:color="auto"/>
            </w:tcBorders>
            <w:shd w:val="clear" w:color="auto" w:fill="auto"/>
            <w:noWrap/>
            <w:vAlign w:val="center"/>
            <w:hideMark/>
          </w:tcPr>
          <w:p w14:paraId="3C2B5983" w14:textId="77777777" w:rsidR="006C641A" w:rsidRPr="007D1918" w:rsidRDefault="006C641A" w:rsidP="00153384">
            <w:pPr>
              <w:pStyle w:val="Tabletext1"/>
              <w:keepNext/>
              <w:keepLines/>
              <w:jc w:val="right"/>
            </w:pPr>
            <w:r w:rsidRPr="007D1918">
              <w:rPr>
                <w:color w:val="000000"/>
              </w:rPr>
              <w:t>$30,049,578</w:t>
            </w:r>
          </w:p>
        </w:tc>
      </w:tr>
      <w:tr w:rsidR="006C641A" w:rsidRPr="007D1918" w14:paraId="2FD4AD3A" w14:textId="77777777" w:rsidTr="00153384">
        <w:trPr>
          <w:cantSplit/>
          <w:trHeight w:val="300"/>
        </w:trPr>
        <w:tc>
          <w:tcPr>
            <w:tcW w:w="1569" w:type="pct"/>
            <w:tcBorders>
              <w:top w:val="nil"/>
              <w:left w:val="single" w:sz="8" w:space="0" w:color="auto"/>
              <w:bottom w:val="single" w:sz="8" w:space="0" w:color="auto"/>
              <w:right w:val="single" w:sz="8" w:space="0" w:color="auto"/>
            </w:tcBorders>
            <w:shd w:val="clear" w:color="auto" w:fill="auto"/>
            <w:noWrap/>
            <w:vAlign w:val="center"/>
            <w:hideMark/>
          </w:tcPr>
          <w:p w14:paraId="6FD287A5" w14:textId="77777777" w:rsidR="006C641A" w:rsidRPr="007D1918" w:rsidRDefault="006C641A" w:rsidP="00153384">
            <w:pPr>
              <w:pStyle w:val="Tabletext1"/>
              <w:keepNext/>
              <w:keepLines/>
            </w:pPr>
            <w:r w:rsidRPr="007D1918">
              <w:rPr>
                <w:color w:val="000000"/>
              </w:rPr>
              <w:t>Cost of Ig to the States</w:t>
            </w:r>
            <w:r w:rsidRPr="007D1918">
              <w:rPr>
                <w:color w:val="000000"/>
                <w:vertAlign w:val="superscript"/>
              </w:rPr>
              <w:t>a</w:t>
            </w:r>
          </w:p>
        </w:tc>
        <w:tc>
          <w:tcPr>
            <w:tcW w:w="686" w:type="pct"/>
            <w:tcBorders>
              <w:top w:val="nil"/>
              <w:left w:val="nil"/>
              <w:bottom w:val="single" w:sz="8" w:space="0" w:color="auto"/>
              <w:right w:val="single" w:sz="8" w:space="0" w:color="auto"/>
            </w:tcBorders>
            <w:shd w:val="clear" w:color="auto" w:fill="auto"/>
            <w:noWrap/>
            <w:vAlign w:val="center"/>
            <w:hideMark/>
          </w:tcPr>
          <w:p w14:paraId="7AAABAA7" w14:textId="77777777" w:rsidR="006C641A" w:rsidRPr="007D1918" w:rsidRDefault="006C641A" w:rsidP="00153384">
            <w:pPr>
              <w:pStyle w:val="Tabletext1"/>
              <w:keepNext/>
              <w:keepLines/>
              <w:jc w:val="right"/>
            </w:pPr>
            <w:r w:rsidRPr="007D1918">
              <w:rPr>
                <w:color w:val="000000"/>
              </w:rPr>
              <w:t>$13,387,014</w:t>
            </w:r>
          </w:p>
        </w:tc>
        <w:tc>
          <w:tcPr>
            <w:tcW w:w="686" w:type="pct"/>
            <w:tcBorders>
              <w:top w:val="nil"/>
              <w:left w:val="nil"/>
              <w:bottom w:val="single" w:sz="8" w:space="0" w:color="auto"/>
              <w:right w:val="single" w:sz="8" w:space="0" w:color="auto"/>
            </w:tcBorders>
            <w:shd w:val="clear" w:color="auto" w:fill="auto"/>
            <w:noWrap/>
            <w:vAlign w:val="center"/>
            <w:hideMark/>
          </w:tcPr>
          <w:p w14:paraId="02C7804C" w14:textId="77777777" w:rsidR="006C641A" w:rsidRPr="007D1918" w:rsidRDefault="006C641A" w:rsidP="00153384">
            <w:pPr>
              <w:pStyle w:val="Tabletext1"/>
              <w:keepNext/>
              <w:keepLines/>
              <w:jc w:val="right"/>
            </w:pPr>
            <w:r w:rsidRPr="007D1918">
              <w:rPr>
                <w:color w:val="000000"/>
              </w:rPr>
              <w:t>$14,452,319</w:t>
            </w:r>
          </w:p>
        </w:tc>
        <w:tc>
          <w:tcPr>
            <w:tcW w:w="686" w:type="pct"/>
            <w:tcBorders>
              <w:top w:val="nil"/>
              <w:left w:val="nil"/>
              <w:bottom w:val="single" w:sz="8" w:space="0" w:color="auto"/>
              <w:right w:val="single" w:sz="8" w:space="0" w:color="auto"/>
            </w:tcBorders>
            <w:shd w:val="clear" w:color="auto" w:fill="auto"/>
            <w:noWrap/>
            <w:vAlign w:val="center"/>
            <w:hideMark/>
          </w:tcPr>
          <w:p w14:paraId="3A919F2E" w14:textId="77777777" w:rsidR="006C641A" w:rsidRPr="007D1918" w:rsidRDefault="006C641A" w:rsidP="00153384">
            <w:pPr>
              <w:pStyle w:val="Tabletext1"/>
              <w:keepNext/>
              <w:keepLines/>
              <w:jc w:val="right"/>
            </w:pPr>
            <w:r w:rsidRPr="007D1918">
              <w:rPr>
                <w:color w:val="000000"/>
              </w:rPr>
              <w:t>$15,517,578</w:t>
            </w:r>
          </w:p>
        </w:tc>
        <w:tc>
          <w:tcPr>
            <w:tcW w:w="686" w:type="pct"/>
            <w:tcBorders>
              <w:top w:val="nil"/>
              <w:left w:val="nil"/>
              <w:bottom w:val="single" w:sz="8" w:space="0" w:color="auto"/>
              <w:right w:val="single" w:sz="8" w:space="0" w:color="auto"/>
            </w:tcBorders>
            <w:shd w:val="clear" w:color="auto" w:fill="auto"/>
            <w:noWrap/>
            <w:vAlign w:val="center"/>
            <w:hideMark/>
          </w:tcPr>
          <w:p w14:paraId="7F946AB2" w14:textId="77777777" w:rsidR="006C641A" w:rsidRPr="007D1918" w:rsidRDefault="006C641A" w:rsidP="00153384">
            <w:pPr>
              <w:pStyle w:val="Tabletext1"/>
              <w:keepNext/>
              <w:keepLines/>
              <w:jc w:val="right"/>
            </w:pPr>
            <w:r w:rsidRPr="007D1918">
              <w:rPr>
                <w:color w:val="000000"/>
              </w:rPr>
              <w:t>$16,582,883</w:t>
            </w:r>
          </w:p>
        </w:tc>
        <w:tc>
          <w:tcPr>
            <w:tcW w:w="687" w:type="pct"/>
            <w:tcBorders>
              <w:top w:val="nil"/>
              <w:left w:val="nil"/>
              <w:bottom w:val="single" w:sz="8" w:space="0" w:color="auto"/>
              <w:right w:val="single" w:sz="8" w:space="0" w:color="auto"/>
            </w:tcBorders>
            <w:shd w:val="clear" w:color="auto" w:fill="auto"/>
            <w:noWrap/>
            <w:vAlign w:val="center"/>
            <w:hideMark/>
          </w:tcPr>
          <w:p w14:paraId="7BCE2E57" w14:textId="77777777" w:rsidR="006C641A" w:rsidRPr="007D1918" w:rsidRDefault="006C641A" w:rsidP="00153384">
            <w:pPr>
              <w:pStyle w:val="Tabletext1"/>
              <w:keepNext/>
              <w:keepLines/>
              <w:jc w:val="right"/>
            </w:pPr>
            <w:r w:rsidRPr="007D1918">
              <w:rPr>
                <w:color w:val="000000"/>
              </w:rPr>
              <w:t>$17,648,165</w:t>
            </w:r>
          </w:p>
        </w:tc>
      </w:tr>
    </w:tbl>
    <w:p w14:paraId="0D065A06" w14:textId="77777777" w:rsidR="006C641A" w:rsidRPr="007D1918" w:rsidRDefault="006C641A" w:rsidP="006C641A">
      <w:pPr>
        <w:pStyle w:val="Tablenotes1"/>
        <w:keepNext/>
        <w:keepLines/>
      </w:pPr>
      <w:r w:rsidRPr="007D1918">
        <w:t>Ig = Immunoglobulin; MG = myasthenia gravis</w:t>
      </w:r>
    </w:p>
    <w:p w14:paraId="47B84463" w14:textId="77777777" w:rsidR="006C641A" w:rsidRPr="007D1918" w:rsidRDefault="006C641A" w:rsidP="006C641A">
      <w:pPr>
        <w:pStyle w:val="Tablenotes1"/>
        <w:keepNext/>
        <w:keepLines/>
        <w:spacing w:after="360"/>
      </w:pPr>
      <w:r w:rsidRPr="007D1918">
        <w:rPr>
          <w:vertAlign w:val="superscript"/>
        </w:rPr>
        <w:t>a</w:t>
      </w:r>
      <w:r w:rsidRPr="007D1918">
        <w:t xml:space="preserve"> Under the National Blood Agreement, products are funded 63% by the Commonwealth and 37% by the states and territories.</w:t>
      </w:r>
    </w:p>
    <w:p w14:paraId="03246A40" w14:textId="77777777" w:rsidR="006C641A" w:rsidRPr="007D1918" w:rsidRDefault="006C641A" w:rsidP="006C641A">
      <w:pPr>
        <w:pStyle w:val="Tablenotes1"/>
        <w:keepNext/>
        <w:keepLines/>
        <w:spacing w:after="360"/>
      </w:pPr>
    </w:p>
    <w:p w14:paraId="270CDC63" w14:textId="77777777" w:rsidR="006C641A" w:rsidRPr="007D1918" w:rsidRDefault="006C641A" w:rsidP="006C641A">
      <w:pPr>
        <w:pStyle w:val="Heading2"/>
        <w:numPr>
          <w:ilvl w:val="4"/>
          <w:numId w:val="11"/>
        </w:numPr>
      </w:pPr>
      <w:bookmarkStart w:id="525" w:name="_Toc15561889"/>
      <w:bookmarkStart w:id="526" w:name="_Toc23767010"/>
      <w:r w:rsidRPr="007D1918">
        <w:t>Changes in Use and Cost of</w:t>
      </w:r>
      <w:bookmarkEnd w:id="496"/>
      <w:bookmarkEnd w:id="497"/>
      <w:r w:rsidRPr="007D1918">
        <w:t xml:space="preserve"> Other Medical Services</w:t>
      </w:r>
      <w:bookmarkEnd w:id="525"/>
      <w:bookmarkEnd w:id="526"/>
      <w:r w:rsidRPr="007D1918">
        <w:t xml:space="preserve"> </w:t>
      </w:r>
    </w:p>
    <w:p w14:paraId="336F9237" w14:textId="77777777" w:rsidR="006C641A" w:rsidRPr="007D1918" w:rsidRDefault="006C641A" w:rsidP="006C641A">
      <w:pPr>
        <w:jc w:val="both"/>
      </w:pPr>
      <w:bookmarkStart w:id="527" w:name="_Toc379118302"/>
      <w:bookmarkStart w:id="528" w:name="_Toc381796485"/>
      <w:r w:rsidRPr="007D1918">
        <w:t>Use of Ig for MG is currently provided only as an intravenous administration and therefore in some cases there are additional healthcare services and costs associated with administration.</w:t>
      </w:r>
    </w:p>
    <w:p w14:paraId="5A492710" w14:textId="77777777" w:rsidR="006C641A" w:rsidRPr="007D1918" w:rsidRDefault="006C641A" w:rsidP="006C641A">
      <w:pPr>
        <w:jc w:val="both"/>
      </w:pPr>
      <w:r w:rsidRPr="007D1918">
        <w:t>No additional administration costs are assumed for Indication 1 patients as these patients are hospital inpatients, already occupying a hospital bed and receiving medical and nursing care. However patients utilising IVIg for Indications 2 and 3 do require hospitalisation outpatient/day stay services for IVIg administration and this is a direct additional cost associated with therapy. As in Section D.4, IVIg admiministration costs are estimated assuming the infusion is provided in a hospital outpatient setting, under the service cateqory of 10.13 (minor medical procedures), which includes infusions. The NWAU calculator 2019-20 (IHPA)</w:t>
      </w:r>
      <w:r w:rsidRPr="007D1918">
        <w:rPr>
          <w:rStyle w:val="FootnoteReference"/>
        </w:rPr>
        <w:footnoteReference w:id="18"/>
      </w:r>
      <w:r w:rsidRPr="007D1918">
        <w:t xml:space="preserve"> estimated cost of this service is $461 per episode.</w:t>
      </w:r>
    </w:p>
    <w:p w14:paraId="436C7DE9" w14:textId="0B98EF89" w:rsidR="006C641A" w:rsidRPr="007D1918" w:rsidRDefault="006C641A" w:rsidP="006C641A">
      <w:pPr>
        <w:jc w:val="both"/>
      </w:pPr>
      <w:r w:rsidRPr="007D1918">
        <w:t xml:space="preserve">The additional healthcare costs associated with IVIg administration are estimated in </w:t>
      </w:r>
      <w:r w:rsidRPr="007D1918">
        <w:fldChar w:fldCharType="begin"/>
      </w:r>
      <w:r w:rsidRPr="007D1918">
        <w:instrText xml:space="preserve"> REF _Ref14358280 \h </w:instrText>
      </w:r>
      <w:r w:rsidR="00E07567" w:rsidRPr="007D1918">
        <w:instrText xml:space="preserve"> \* MERGEFORMAT </w:instrText>
      </w:r>
      <w:r w:rsidRPr="007D1918">
        <w:fldChar w:fldCharType="separate"/>
      </w:r>
      <w:r w:rsidR="00B865E7" w:rsidRPr="007D1918">
        <w:t xml:space="preserve">Table </w:t>
      </w:r>
      <w:r w:rsidR="00B865E7" w:rsidRPr="007D1918">
        <w:rPr>
          <w:noProof/>
        </w:rPr>
        <w:t>95</w:t>
      </w:r>
      <w:r w:rsidRPr="007D1918">
        <w:fldChar w:fldCharType="end"/>
      </w:r>
      <w:r w:rsidRPr="007D1918">
        <w:t>.</w:t>
      </w:r>
    </w:p>
    <w:p w14:paraId="3427191B" w14:textId="3C361F5E" w:rsidR="006C641A" w:rsidRPr="007D1918" w:rsidRDefault="006C641A" w:rsidP="006C641A">
      <w:pPr>
        <w:pStyle w:val="Caption"/>
        <w:keepNext/>
        <w:keepLines/>
      </w:pPr>
      <w:bookmarkStart w:id="529" w:name="_Ref14358280"/>
      <w:bookmarkStart w:id="530" w:name="_Toc15561994"/>
      <w:bookmarkStart w:id="531" w:name="_Toc23769582"/>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95</w:t>
      </w:r>
      <w:r w:rsidRPr="007D1918">
        <w:rPr>
          <w:noProof/>
        </w:rPr>
        <w:fldChar w:fldCharType="end"/>
      </w:r>
      <w:bookmarkEnd w:id="529"/>
      <w:r w:rsidRPr="007D1918">
        <w:tab/>
        <w:t>Additional costs associated with IVIg use (administration costs) for Indications 2 and 3</w:t>
      </w:r>
      <w:bookmarkEnd w:id="530"/>
      <w:bookmarkEnd w:id="531"/>
      <w:r w:rsidRPr="007D1918">
        <w:t xml:space="preserve"> </w:t>
      </w:r>
    </w:p>
    <w:tbl>
      <w:tblPr>
        <w:tblStyle w:val="TableGrid1"/>
        <w:tblW w:w="5000" w:type="pct"/>
        <w:tblLayout w:type="fixed"/>
        <w:tblLook w:val="04A0" w:firstRow="1" w:lastRow="0" w:firstColumn="1" w:lastColumn="0" w:noHBand="0" w:noVBand="1"/>
        <w:tblCaption w:val="Cost offsets due to a reduction in infections"/>
      </w:tblPr>
      <w:tblGrid>
        <w:gridCol w:w="2829"/>
        <w:gridCol w:w="1237"/>
        <w:gridCol w:w="1237"/>
        <w:gridCol w:w="1237"/>
        <w:gridCol w:w="1237"/>
        <w:gridCol w:w="1239"/>
      </w:tblGrid>
      <w:tr w:rsidR="006C641A" w:rsidRPr="007D1918" w14:paraId="118E313D" w14:textId="77777777" w:rsidTr="00153384">
        <w:trPr>
          <w:cnfStyle w:val="100000000000" w:firstRow="1" w:lastRow="0" w:firstColumn="0" w:lastColumn="0" w:oddVBand="0" w:evenVBand="0" w:oddHBand="0" w:evenHBand="0" w:firstRowFirstColumn="0" w:firstRowLastColumn="0" w:lastRowFirstColumn="0" w:lastRowLastColumn="0"/>
          <w:trHeight w:val="300"/>
          <w:tblHeader/>
        </w:trPr>
        <w:tc>
          <w:tcPr>
            <w:tcW w:w="1569" w:type="pct"/>
            <w:noWrap/>
          </w:tcPr>
          <w:p w14:paraId="5AFAE2E5" w14:textId="77777777" w:rsidR="006C641A" w:rsidRPr="007D1918" w:rsidRDefault="006C641A" w:rsidP="00153384">
            <w:pPr>
              <w:pStyle w:val="TableHeading"/>
              <w:keepLines/>
              <w:jc w:val="center"/>
            </w:pPr>
          </w:p>
        </w:tc>
        <w:tc>
          <w:tcPr>
            <w:tcW w:w="686" w:type="pct"/>
            <w:noWrap/>
          </w:tcPr>
          <w:p w14:paraId="65DF4CF9" w14:textId="77777777" w:rsidR="006C641A" w:rsidRPr="007D1918" w:rsidRDefault="006C641A" w:rsidP="00153384">
            <w:pPr>
              <w:pStyle w:val="TableHeading"/>
              <w:keepLines/>
              <w:jc w:val="center"/>
            </w:pPr>
            <w:r w:rsidRPr="007D1918">
              <w:t>2019-20</w:t>
            </w:r>
          </w:p>
        </w:tc>
        <w:tc>
          <w:tcPr>
            <w:tcW w:w="686" w:type="pct"/>
            <w:noWrap/>
          </w:tcPr>
          <w:p w14:paraId="4298C7DF" w14:textId="77777777" w:rsidR="006C641A" w:rsidRPr="007D1918" w:rsidRDefault="006C641A" w:rsidP="00153384">
            <w:pPr>
              <w:pStyle w:val="TableHeading"/>
              <w:keepLines/>
              <w:jc w:val="center"/>
            </w:pPr>
            <w:r w:rsidRPr="007D1918">
              <w:t>2020-21</w:t>
            </w:r>
          </w:p>
        </w:tc>
        <w:tc>
          <w:tcPr>
            <w:tcW w:w="686" w:type="pct"/>
            <w:noWrap/>
          </w:tcPr>
          <w:p w14:paraId="7A388090" w14:textId="77777777" w:rsidR="006C641A" w:rsidRPr="007D1918" w:rsidRDefault="006C641A" w:rsidP="00153384">
            <w:pPr>
              <w:pStyle w:val="TableHeading"/>
              <w:keepLines/>
              <w:jc w:val="center"/>
              <w:rPr>
                <w:rFonts w:ascii="Times New Roman" w:hAnsi="Times New Roman" w:cs="Times New Roman"/>
              </w:rPr>
            </w:pPr>
            <w:r w:rsidRPr="007D1918">
              <w:t>2021-22</w:t>
            </w:r>
          </w:p>
        </w:tc>
        <w:tc>
          <w:tcPr>
            <w:tcW w:w="686" w:type="pct"/>
            <w:noWrap/>
          </w:tcPr>
          <w:p w14:paraId="64A90A3F" w14:textId="77777777" w:rsidR="006C641A" w:rsidRPr="007D1918" w:rsidRDefault="006C641A" w:rsidP="00153384">
            <w:pPr>
              <w:pStyle w:val="TableHeading"/>
              <w:keepLines/>
              <w:jc w:val="center"/>
              <w:rPr>
                <w:rFonts w:ascii="Times New Roman" w:hAnsi="Times New Roman" w:cs="Times New Roman"/>
              </w:rPr>
            </w:pPr>
            <w:r w:rsidRPr="007D1918">
              <w:t>2022-23</w:t>
            </w:r>
          </w:p>
        </w:tc>
        <w:tc>
          <w:tcPr>
            <w:tcW w:w="687" w:type="pct"/>
            <w:noWrap/>
          </w:tcPr>
          <w:p w14:paraId="43FB0F7E" w14:textId="77777777" w:rsidR="006C641A" w:rsidRPr="007D1918" w:rsidRDefault="006C641A" w:rsidP="00153384">
            <w:pPr>
              <w:pStyle w:val="TableHeading"/>
              <w:keepLines/>
              <w:jc w:val="center"/>
              <w:rPr>
                <w:rFonts w:ascii="Times New Roman" w:hAnsi="Times New Roman" w:cs="Times New Roman"/>
              </w:rPr>
            </w:pPr>
            <w:r w:rsidRPr="007D1918">
              <w:t>2023-24</w:t>
            </w:r>
          </w:p>
        </w:tc>
      </w:tr>
      <w:tr w:rsidR="006C641A" w:rsidRPr="007D1918" w14:paraId="0E5B5DDE" w14:textId="77777777" w:rsidTr="00153384">
        <w:trPr>
          <w:trHeight w:val="300"/>
        </w:trPr>
        <w:tc>
          <w:tcPr>
            <w:tcW w:w="1569" w:type="pct"/>
            <w:tcBorders>
              <w:top w:val="nil"/>
              <w:left w:val="single" w:sz="4" w:space="0" w:color="auto"/>
              <w:bottom w:val="single" w:sz="4" w:space="0" w:color="auto"/>
              <w:right w:val="single" w:sz="4" w:space="0" w:color="auto"/>
            </w:tcBorders>
            <w:shd w:val="clear" w:color="auto" w:fill="auto"/>
            <w:noWrap/>
            <w:vAlign w:val="center"/>
          </w:tcPr>
          <w:p w14:paraId="1703AA2F" w14:textId="77777777" w:rsidR="006C641A" w:rsidRPr="007D1918" w:rsidRDefault="006C641A" w:rsidP="00153384">
            <w:pPr>
              <w:pStyle w:val="Tabletext1"/>
              <w:keepNext/>
              <w:keepLines/>
              <w:rPr>
                <w:b/>
              </w:rPr>
            </w:pPr>
            <w:r w:rsidRPr="007D1918">
              <w:rPr>
                <w:b/>
                <w:color w:val="000000"/>
              </w:rPr>
              <w:t xml:space="preserve">Indication 2 patients </w:t>
            </w:r>
          </w:p>
        </w:tc>
        <w:tc>
          <w:tcPr>
            <w:tcW w:w="686" w:type="pct"/>
            <w:tcBorders>
              <w:top w:val="nil"/>
              <w:left w:val="single" w:sz="4" w:space="0" w:color="auto"/>
              <w:bottom w:val="single" w:sz="4" w:space="0" w:color="auto"/>
              <w:right w:val="single" w:sz="4" w:space="0" w:color="auto"/>
            </w:tcBorders>
            <w:shd w:val="clear" w:color="auto" w:fill="auto"/>
            <w:noWrap/>
            <w:vAlign w:val="center"/>
          </w:tcPr>
          <w:p w14:paraId="02A48952" w14:textId="77777777" w:rsidR="006C641A" w:rsidRPr="007D1918" w:rsidRDefault="006C641A" w:rsidP="00153384">
            <w:pPr>
              <w:pStyle w:val="Tabletext1"/>
              <w:keepNext/>
              <w:keepLines/>
              <w:jc w:val="right"/>
            </w:pPr>
            <w:r w:rsidRPr="007D1918">
              <w:rPr>
                <w:color w:val="000000"/>
              </w:rPr>
              <w:t>37</w:t>
            </w:r>
          </w:p>
        </w:tc>
        <w:tc>
          <w:tcPr>
            <w:tcW w:w="686" w:type="pct"/>
            <w:tcBorders>
              <w:top w:val="nil"/>
              <w:left w:val="nil"/>
              <w:bottom w:val="single" w:sz="4" w:space="0" w:color="auto"/>
              <w:right w:val="single" w:sz="4" w:space="0" w:color="auto"/>
            </w:tcBorders>
            <w:shd w:val="clear" w:color="auto" w:fill="auto"/>
            <w:noWrap/>
          </w:tcPr>
          <w:p w14:paraId="7D34C3C3" w14:textId="77777777" w:rsidR="006C641A" w:rsidRPr="007D1918" w:rsidRDefault="006C641A" w:rsidP="00153384">
            <w:pPr>
              <w:pStyle w:val="Tabletext1"/>
              <w:keepNext/>
              <w:keepLines/>
              <w:jc w:val="right"/>
            </w:pPr>
            <w:r w:rsidRPr="007D1918">
              <w:rPr>
                <w:color w:val="000000"/>
              </w:rPr>
              <w:t>39</w:t>
            </w:r>
          </w:p>
        </w:tc>
        <w:tc>
          <w:tcPr>
            <w:tcW w:w="686" w:type="pct"/>
            <w:tcBorders>
              <w:top w:val="nil"/>
              <w:left w:val="nil"/>
              <w:bottom w:val="single" w:sz="4" w:space="0" w:color="auto"/>
              <w:right w:val="single" w:sz="4" w:space="0" w:color="auto"/>
            </w:tcBorders>
            <w:shd w:val="clear" w:color="auto" w:fill="auto"/>
            <w:noWrap/>
          </w:tcPr>
          <w:p w14:paraId="6C46F9CA" w14:textId="77777777" w:rsidR="006C641A" w:rsidRPr="007D1918" w:rsidRDefault="006C641A" w:rsidP="00153384">
            <w:pPr>
              <w:pStyle w:val="Tabletext1"/>
              <w:keepNext/>
              <w:keepLines/>
              <w:jc w:val="right"/>
            </w:pPr>
            <w:r w:rsidRPr="007D1918">
              <w:rPr>
                <w:color w:val="000000"/>
              </w:rPr>
              <w:t>42</w:t>
            </w:r>
          </w:p>
        </w:tc>
        <w:tc>
          <w:tcPr>
            <w:tcW w:w="686" w:type="pct"/>
            <w:tcBorders>
              <w:top w:val="nil"/>
              <w:left w:val="nil"/>
              <w:bottom w:val="single" w:sz="4" w:space="0" w:color="auto"/>
              <w:right w:val="single" w:sz="4" w:space="0" w:color="auto"/>
            </w:tcBorders>
            <w:shd w:val="clear" w:color="auto" w:fill="auto"/>
            <w:noWrap/>
          </w:tcPr>
          <w:p w14:paraId="79E9A527" w14:textId="77777777" w:rsidR="006C641A" w:rsidRPr="007D1918" w:rsidRDefault="006C641A" w:rsidP="00153384">
            <w:pPr>
              <w:pStyle w:val="Tabletext1"/>
              <w:keepNext/>
              <w:keepLines/>
              <w:jc w:val="right"/>
            </w:pPr>
            <w:r w:rsidRPr="007D1918">
              <w:rPr>
                <w:color w:val="000000"/>
              </w:rPr>
              <w:t>45</w:t>
            </w:r>
          </w:p>
        </w:tc>
        <w:tc>
          <w:tcPr>
            <w:tcW w:w="687" w:type="pct"/>
            <w:tcBorders>
              <w:top w:val="nil"/>
              <w:left w:val="nil"/>
              <w:bottom w:val="single" w:sz="4" w:space="0" w:color="auto"/>
              <w:right w:val="single" w:sz="4" w:space="0" w:color="auto"/>
            </w:tcBorders>
            <w:shd w:val="clear" w:color="auto" w:fill="auto"/>
            <w:noWrap/>
          </w:tcPr>
          <w:p w14:paraId="1371C33B" w14:textId="77777777" w:rsidR="006C641A" w:rsidRPr="007D1918" w:rsidRDefault="006C641A" w:rsidP="00153384">
            <w:pPr>
              <w:pStyle w:val="Tabletext1"/>
              <w:keepNext/>
              <w:keepLines/>
              <w:jc w:val="right"/>
            </w:pPr>
            <w:r w:rsidRPr="007D1918">
              <w:rPr>
                <w:color w:val="000000"/>
              </w:rPr>
              <w:t>48</w:t>
            </w:r>
          </w:p>
        </w:tc>
      </w:tr>
      <w:tr w:rsidR="006C641A" w:rsidRPr="007D1918" w14:paraId="191E0C91" w14:textId="77777777" w:rsidTr="00153384">
        <w:trPr>
          <w:trHeight w:val="300"/>
        </w:trPr>
        <w:tc>
          <w:tcPr>
            <w:tcW w:w="1569" w:type="pct"/>
            <w:tcBorders>
              <w:top w:val="nil"/>
              <w:left w:val="single" w:sz="4" w:space="0" w:color="auto"/>
              <w:bottom w:val="single" w:sz="4" w:space="0" w:color="auto"/>
              <w:right w:val="single" w:sz="4" w:space="0" w:color="auto"/>
            </w:tcBorders>
            <w:shd w:val="clear" w:color="auto" w:fill="auto"/>
            <w:noWrap/>
            <w:vAlign w:val="center"/>
            <w:hideMark/>
          </w:tcPr>
          <w:p w14:paraId="622CC04C" w14:textId="77777777" w:rsidR="006C641A" w:rsidRPr="007D1918" w:rsidRDefault="006C641A" w:rsidP="00153384">
            <w:pPr>
              <w:pStyle w:val="Tabletext1"/>
              <w:keepNext/>
              <w:keepLines/>
            </w:pPr>
            <w:r w:rsidRPr="007D1918">
              <w:rPr>
                <w:color w:val="000000"/>
              </w:rPr>
              <w:t>Annual number of IVIg administrations (@ 2 per patient)</w:t>
            </w:r>
          </w:p>
        </w:tc>
        <w:tc>
          <w:tcPr>
            <w:tcW w:w="686" w:type="pct"/>
            <w:tcBorders>
              <w:top w:val="nil"/>
              <w:left w:val="single" w:sz="4" w:space="0" w:color="auto"/>
              <w:bottom w:val="single" w:sz="4" w:space="0" w:color="auto"/>
              <w:right w:val="single" w:sz="4" w:space="0" w:color="auto"/>
            </w:tcBorders>
            <w:shd w:val="clear" w:color="auto" w:fill="auto"/>
            <w:noWrap/>
            <w:vAlign w:val="center"/>
            <w:hideMark/>
          </w:tcPr>
          <w:p w14:paraId="69DA1BB8" w14:textId="77777777" w:rsidR="006C641A" w:rsidRPr="007D1918" w:rsidRDefault="006C641A" w:rsidP="00153384">
            <w:pPr>
              <w:pStyle w:val="Tabletext1"/>
              <w:keepNext/>
              <w:keepLines/>
              <w:jc w:val="right"/>
            </w:pPr>
            <w:r w:rsidRPr="007D1918">
              <w:rPr>
                <w:color w:val="000000"/>
              </w:rPr>
              <w:t>74</w:t>
            </w:r>
          </w:p>
        </w:tc>
        <w:tc>
          <w:tcPr>
            <w:tcW w:w="686" w:type="pct"/>
            <w:tcBorders>
              <w:top w:val="nil"/>
              <w:left w:val="nil"/>
              <w:bottom w:val="single" w:sz="4" w:space="0" w:color="auto"/>
              <w:right w:val="single" w:sz="4" w:space="0" w:color="auto"/>
            </w:tcBorders>
            <w:shd w:val="clear" w:color="auto" w:fill="auto"/>
            <w:noWrap/>
            <w:vAlign w:val="center"/>
            <w:hideMark/>
          </w:tcPr>
          <w:p w14:paraId="6F664233" w14:textId="77777777" w:rsidR="006C641A" w:rsidRPr="007D1918" w:rsidRDefault="006C641A" w:rsidP="00153384">
            <w:pPr>
              <w:pStyle w:val="Tabletext1"/>
              <w:keepNext/>
              <w:keepLines/>
              <w:jc w:val="right"/>
            </w:pPr>
            <w:r w:rsidRPr="007D1918">
              <w:rPr>
                <w:color w:val="000000"/>
              </w:rPr>
              <w:t>78</w:t>
            </w:r>
          </w:p>
        </w:tc>
        <w:tc>
          <w:tcPr>
            <w:tcW w:w="686" w:type="pct"/>
            <w:tcBorders>
              <w:top w:val="nil"/>
              <w:left w:val="nil"/>
              <w:bottom w:val="single" w:sz="4" w:space="0" w:color="auto"/>
              <w:right w:val="single" w:sz="4" w:space="0" w:color="auto"/>
            </w:tcBorders>
            <w:shd w:val="clear" w:color="auto" w:fill="auto"/>
            <w:noWrap/>
            <w:vAlign w:val="center"/>
            <w:hideMark/>
          </w:tcPr>
          <w:p w14:paraId="41068EFF" w14:textId="77777777" w:rsidR="006C641A" w:rsidRPr="007D1918" w:rsidRDefault="006C641A" w:rsidP="00153384">
            <w:pPr>
              <w:pStyle w:val="Tabletext1"/>
              <w:keepNext/>
              <w:keepLines/>
              <w:jc w:val="right"/>
            </w:pPr>
            <w:r w:rsidRPr="007D1918">
              <w:rPr>
                <w:color w:val="000000"/>
              </w:rPr>
              <w:t>84</w:t>
            </w:r>
          </w:p>
        </w:tc>
        <w:tc>
          <w:tcPr>
            <w:tcW w:w="686" w:type="pct"/>
            <w:tcBorders>
              <w:top w:val="nil"/>
              <w:left w:val="nil"/>
              <w:bottom w:val="single" w:sz="4" w:space="0" w:color="auto"/>
              <w:right w:val="single" w:sz="4" w:space="0" w:color="auto"/>
            </w:tcBorders>
            <w:shd w:val="clear" w:color="auto" w:fill="auto"/>
            <w:noWrap/>
            <w:vAlign w:val="center"/>
            <w:hideMark/>
          </w:tcPr>
          <w:p w14:paraId="33A898D7" w14:textId="77777777" w:rsidR="006C641A" w:rsidRPr="007D1918" w:rsidRDefault="006C641A" w:rsidP="00153384">
            <w:pPr>
              <w:pStyle w:val="Tabletext1"/>
              <w:keepNext/>
              <w:keepLines/>
              <w:jc w:val="right"/>
            </w:pPr>
            <w:r w:rsidRPr="007D1918">
              <w:rPr>
                <w:color w:val="000000"/>
              </w:rPr>
              <w:t>90</w:t>
            </w:r>
          </w:p>
        </w:tc>
        <w:tc>
          <w:tcPr>
            <w:tcW w:w="687" w:type="pct"/>
            <w:tcBorders>
              <w:top w:val="nil"/>
              <w:left w:val="nil"/>
              <w:bottom w:val="single" w:sz="4" w:space="0" w:color="auto"/>
              <w:right w:val="single" w:sz="4" w:space="0" w:color="auto"/>
            </w:tcBorders>
            <w:shd w:val="clear" w:color="auto" w:fill="auto"/>
            <w:noWrap/>
            <w:vAlign w:val="center"/>
            <w:hideMark/>
          </w:tcPr>
          <w:p w14:paraId="65FC3F87" w14:textId="77777777" w:rsidR="006C641A" w:rsidRPr="007D1918" w:rsidRDefault="006C641A" w:rsidP="00153384">
            <w:pPr>
              <w:pStyle w:val="Tabletext1"/>
              <w:keepNext/>
              <w:keepLines/>
              <w:jc w:val="right"/>
            </w:pPr>
            <w:r w:rsidRPr="007D1918">
              <w:rPr>
                <w:color w:val="000000"/>
              </w:rPr>
              <w:t>96</w:t>
            </w:r>
          </w:p>
        </w:tc>
      </w:tr>
      <w:tr w:rsidR="006C641A" w:rsidRPr="007D1918" w14:paraId="38D06F77" w14:textId="77777777" w:rsidTr="00153384">
        <w:trPr>
          <w:trHeight w:val="300"/>
        </w:trPr>
        <w:tc>
          <w:tcPr>
            <w:tcW w:w="1569" w:type="pct"/>
            <w:tcBorders>
              <w:top w:val="nil"/>
              <w:left w:val="single" w:sz="4" w:space="0" w:color="auto"/>
              <w:bottom w:val="single" w:sz="4" w:space="0" w:color="auto"/>
              <w:right w:val="single" w:sz="4" w:space="0" w:color="auto"/>
            </w:tcBorders>
            <w:shd w:val="clear" w:color="auto" w:fill="auto"/>
            <w:noWrap/>
            <w:vAlign w:val="center"/>
          </w:tcPr>
          <w:p w14:paraId="30D4C715" w14:textId="77777777" w:rsidR="006C641A" w:rsidRPr="007D1918" w:rsidRDefault="006C641A" w:rsidP="00153384">
            <w:pPr>
              <w:pStyle w:val="Tabletext1"/>
              <w:keepNext/>
              <w:keepLines/>
              <w:rPr>
                <w:color w:val="000000"/>
              </w:rPr>
            </w:pPr>
            <w:r w:rsidRPr="007D1918">
              <w:rPr>
                <w:color w:val="000000"/>
              </w:rPr>
              <w:t>Administration costs (@ $461 per administration)</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63124" w14:textId="77777777" w:rsidR="006C641A" w:rsidRPr="007D1918" w:rsidRDefault="006C641A" w:rsidP="00153384">
            <w:pPr>
              <w:pStyle w:val="Tabletext1"/>
              <w:keepNext/>
              <w:keepLines/>
              <w:jc w:val="right"/>
              <w:rPr>
                <w:color w:val="000000"/>
              </w:rPr>
            </w:pPr>
            <w:r w:rsidRPr="007D1918">
              <w:rPr>
                <w:color w:val="000000"/>
              </w:rPr>
              <w:t>$34,114</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32F81AFB" w14:textId="77777777" w:rsidR="006C641A" w:rsidRPr="007D1918" w:rsidRDefault="006C641A" w:rsidP="00153384">
            <w:pPr>
              <w:pStyle w:val="Tabletext1"/>
              <w:keepNext/>
              <w:keepLines/>
              <w:jc w:val="right"/>
              <w:rPr>
                <w:color w:val="000000"/>
              </w:rPr>
            </w:pPr>
            <w:r w:rsidRPr="007D1918">
              <w:rPr>
                <w:color w:val="000000"/>
              </w:rPr>
              <w:t>$35,958</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732FCE0C" w14:textId="77777777" w:rsidR="006C641A" w:rsidRPr="007D1918" w:rsidRDefault="006C641A" w:rsidP="00153384">
            <w:pPr>
              <w:pStyle w:val="Tabletext1"/>
              <w:keepNext/>
              <w:keepLines/>
              <w:jc w:val="right"/>
              <w:rPr>
                <w:color w:val="000000"/>
              </w:rPr>
            </w:pPr>
            <w:r w:rsidRPr="007D1918">
              <w:rPr>
                <w:color w:val="000000"/>
              </w:rPr>
              <w:t>$38,724</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0C008B6A" w14:textId="77777777" w:rsidR="006C641A" w:rsidRPr="007D1918" w:rsidRDefault="006C641A" w:rsidP="00153384">
            <w:pPr>
              <w:pStyle w:val="Tabletext1"/>
              <w:keepNext/>
              <w:keepLines/>
              <w:jc w:val="right"/>
              <w:rPr>
                <w:color w:val="000000"/>
              </w:rPr>
            </w:pPr>
            <w:r w:rsidRPr="007D1918">
              <w:rPr>
                <w:color w:val="000000"/>
              </w:rPr>
              <w:t>$41,490</w:t>
            </w:r>
          </w:p>
        </w:tc>
        <w:tc>
          <w:tcPr>
            <w:tcW w:w="687" w:type="pct"/>
            <w:tcBorders>
              <w:top w:val="single" w:sz="4" w:space="0" w:color="auto"/>
              <w:left w:val="nil"/>
              <w:bottom w:val="single" w:sz="4" w:space="0" w:color="auto"/>
              <w:right w:val="single" w:sz="4" w:space="0" w:color="auto"/>
            </w:tcBorders>
            <w:shd w:val="clear" w:color="auto" w:fill="auto"/>
            <w:noWrap/>
            <w:vAlign w:val="center"/>
          </w:tcPr>
          <w:p w14:paraId="0BF10819" w14:textId="77777777" w:rsidR="006C641A" w:rsidRPr="007D1918" w:rsidRDefault="006C641A" w:rsidP="00153384">
            <w:pPr>
              <w:pStyle w:val="Tabletext1"/>
              <w:keepNext/>
              <w:keepLines/>
              <w:jc w:val="right"/>
              <w:rPr>
                <w:color w:val="000000"/>
              </w:rPr>
            </w:pPr>
            <w:r w:rsidRPr="007D1918">
              <w:rPr>
                <w:color w:val="000000"/>
              </w:rPr>
              <w:t>$44,256</w:t>
            </w:r>
          </w:p>
        </w:tc>
      </w:tr>
      <w:tr w:rsidR="006C641A" w:rsidRPr="007D1918" w14:paraId="4B8F31AF" w14:textId="77777777" w:rsidTr="00153384">
        <w:trPr>
          <w:trHeight w:val="300"/>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0ED8A" w14:textId="77777777" w:rsidR="006C641A" w:rsidRPr="007D1918" w:rsidRDefault="006C641A" w:rsidP="00153384">
            <w:pPr>
              <w:pStyle w:val="Tabletext1"/>
              <w:keepNext/>
              <w:keepLines/>
              <w:rPr>
                <w:b/>
              </w:rPr>
            </w:pPr>
            <w:r w:rsidRPr="007D1918">
              <w:rPr>
                <w:b/>
                <w:color w:val="000000"/>
              </w:rPr>
              <w:t xml:space="preserve">Indication 3 patients </w:t>
            </w:r>
          </w:p>
        </w:tc>
        <w:tc>
          <w:tcPr>
            <w:tcW w:w="686" w:type="pct"/>
            <w:tcBorders>
              <w:top w:val="nil"/>
              <w:left w:val="nil"/>
              <w:bottom w:val="single" w:sz="8" w:space="0" w:color="auto"/>
              <w:right w:val="single" w:sz="8" w:space="0" w:color="auto"/>
            </w:tcBorders>
            <w:shd w:val="clear" w:color="auto" w:fill="auto"/>
            <w:noWrap/>
            <w:vAlign w:val="center"/>
            <w:hideMark/>
          </w:tcPr>
          <w:p w14:paraId="4EB5A1A5" w14:textId="77777777" w:rsidR="006C641A" w:rsidRPr="007D1918" w:rsidRDefault="006C641A" w:rsidP="00153384">
            <w:pPr>
              <w:pStyle w:val="Tabletext1"/>
              <w:keepNext/>
              <w:keepLines/>
              <w:jc w:val="right"/>
            </w:pPr>
            <w:r w:rsidRPr="007D1918">
              <w:rPr>
                <w:color w:val="000000"/>
              </w:rPr>
              <w:t>1,046</w:t>
            </w:r>
          </w:p>
        </w:tc>
        <w:tc>
          <w:tcPr>
            <w:tcW w:w="686" w:type="pct"/>
            <w:tcBorders>
              <w:top w:val="nil"/>
              <w:left w:val="nil"/>
              <w:bottom w:val="single" w:sz="8" w:space="0" w:color="auto"/>
              <w:right w:val="single" w:sz="8" w:space="0" w:color="auto"/>
            </w:tcBorders>
            <w:shd w:val="clear" w:color="auto" w:fill="auto"/>
            <w:noWrap/>
            <w:vAlign w:val="center"/>
            <w:hideMark/>
          </w:tcPr>
          <w:p w14:paraId="290720F7" w14:textId="77777777" w:rsidR="006C641A" w:rsidRPr="007D1918" w:rsidRDefault="006C641A" w:rsidP="00153384">
            <w:pPr>
              <w:pStyle w:val="Tabletext1"/>
              <w:keepNext/>
              <w:keepLines/>
              <w:jc w:val="right"/>
            </w:pPr>
            <w:r w:rsidRPr="007D1918">
              <w:rPr>
                <w:color w:val="000000"/>
              </w:rPr>
              <w:t>1,128</w:t>
            </w:r>
          </w:p>
        </w:tc>
        <w:tc>
          <w:tcPr>
            <w:tcW w:w="686" w:type="pct"/>
            <w:tcBorders>
              <w:top w:val="nil"/>
              <w:left w:val="nil"/>
              <w:bottom w:val="single" w:sz="8" w:space="0" w:color="auto"/>
              <w:right w:val="single" w:sz="8" w:space="0" w:color="auto"/>
            </w:tcBorders>
            <w:shd w:val="clear" w:color="auto" w:fill="auto"/>
            <w:noWrap/>
            <w:vAlign w:val="center"/>
            <w:hideMark/>
          </w:tcPr>
          <w:p w14:paraId="11887E66" w14:textId="77777777" w:rsidR="006C641A" w:rsidRPr="007D1918" w:rsidRDefault="006C641A" w:rsidP="00153384">
            <w:pPr>
              <w:pStyle w:val="Tabletext1"/>
              <w:keepNext/>
              <w:keepLines/>
              <w:jc w:val="right"/>
            </w:pPr>
            <w:r w:rsidRPr="007D1918">
              <w:rPr>
                <w:color w:val="000000"/>
              </w:rPr>
              <w:t>1,211</w:t>
            </w:r>
          </w:p>
        </w:tc>
        <w:tc>
          <w:tcPr>
            <w:tcW w:w="686" w:type="pct"/>
            <w:tcBorders>
              <w:top w:val="nil"/>
              <w:left w:val="nil"/>
              <w:bottom w:val="single" w:sz="8" w:space="0" w:color="auto"/>
              <w:right w:val="single" w:sz="8" w:space="0" w:color="auto"/>
            </w:tcBorders>
            <w:shd w:val="clear" w:color="auto" w:fill="auto"/>
            <w:noWrap/>
            <w:vAlign w:val="center"/>
            <w:hideMark/>
          </w:tcPr>
          <w:p w14:paraId="3C65BA4A" w14:textId="77777777" w:rsidR="006C641A" w:rsidRPr="007D1918" w:rsidRDefault="006C641A" w:rsidP="00153384">
            <w:pPr>
              <w:pStyle w:val="Tabletext1"/>
              <w:keepNext/>
              <w:keepLines/>
              <w:jc w:val="right"/>
            </w:pPr>
            <w:r w:rsidRPr="007D1918">
              <w:rPr>
                <w:color w:val="000000"/>
              </w:rPr>
              <w:t>1,293</w:t>
            </w:r>
          </w:p>
        </w:tc>
        <w:tc>
          <w:tcPr>
            <w:tcW w:w="687" w:type="pct"/>
            <w:tcBorders>
              <w:top w:val="nil"/>
              <w:left w:val="nil"/>
              <w:bottom w:val="single" w:sz="8" w:space="0" w:color="auto"/>
              <w:right w:val="single" w:sz="8" w:space="0" w:color="auto"/>
            </w:tcBorders>
            <w:shd w:val="clear" w:color="auto" w:fill="auto"/>
            <w:noWrap/>
            <w:vAlign w:val="center"/>
            <w:hideMark/>
          </w:tcPr>
          <w:p w14:paraId="25A87B4E" w14:textId="77777777" w:rsidR="006C641A" w:rsidRPr="007D1918" w:rsidRDefault="006C641A" w:rsidP="00153384">
            <w:pPr>
              <w:pStyle w:val="Tabletext1"/>
              <w:keepNext/>
              <w:keepLines/>
              <w:jc w:val="right"/>
            </w:pPr>
            <w:r w:rsidRPr="007D1918">
              <w:rPr>
                <w:color w:val="000000"/>
              </w:rPr>
              <w:t>1,376</w:t>
            </w:r>
          </w:p>
        </w:tc>
      </w:tr>
      <w:tr w:rsidR="006C641A" w:rsidRPr="007D1918" w14:paraId="38B534CA" w14:textId="77777777" w:rsidTr="00153384">
        <w:trPr>
          <w:trHeight w:val="300"/>
        </w:trPr>
        <w:tc>
          <w:tcPr>
            <w:tcW w:w="1569" w:type="pct"/>
            <w:tcBorders>
              <w:top w:val="nil"/>
              <w:left w:val="single" w:sz="4" w:space="0" w:color="auto"/>
              <w:bottom w:val="single" w:sz="4" w:space="0" w:color="auto"/>
              <w:right w:val="single" w:sz="4" w:space="0" w:color="auto"/>
            </w:tcBorders>
            <w:shd w:val="clear" w:color="auto" w:fill="auto"/>
            <w:noWrap/>
            <w:vAlign w:val="center"/>
          </w:tcPr>
          <w:p w14:paraId="4F71D1F4" w14:textId="77777777" w:rsidR="006C641A" w:rsidRPr="007D1918" w:rsidRDefault="006C641A" w:rsidP="00153384">
            <w:pPr>
              <w:pStyle w:val="Tabletext1"/>
              <w:keepNext/>
              <w:keepLines/>
            </w:pPr>
            <w:r w:rsidRPr="007D1918">
              <w:rPr>
                <w:color w:val="000000"/>
              </w:rPr>
              <w:t>Annual number of IVIg administrations (@ 11 per patient)</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904D23" w14:textId="2380D3EA" w:rsidR="006C641A" w:rsidRPr="007D1918" w:rsidRDefault="006C641A" w:rsidP="00B4779E">
            <w:pPr>
              <w:pStyle w:val="Tabletext1"/>
              <w:keepNext/>
              <w:keepLines/>
              <w:ind w:left="176"/>
              <w:jc w:val="center"/>
            </w:pPr>
            <w:r w:rsidRPr="007D1918">
              <w:rPr>
                <w:color w:val="000000"/>
              </w:rPr>
              <w:t>11,506</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26EC2D34" w14:textId="73B2D279" w:rsidR="006C641A" w:rsidRPr="007D1918" w:rsidRDefault="006C641A" w:rsidP="00B4779E">
            <w:pPr>
              <w:pStyle w:val="Tabletext1"/>
              <w:keepNext/>
              <w:keepLines/>
              <w:jc w:val="center"/>
            </w:pPr>
            <w:r w:rsidRPr="007D1918">
              <w:rPr>
                <w:color w:val="000000"/>
              </w:rPr>
              <w:t>12,408</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4D8EF689" w14:textId="628FFC72" w:rsidR="006C641A" w:rsidRPr="007D1918" w:rsidRDefault="006C641A" w:rsidP="00B4779E">
            <w:pPr>
              <w:pStyle w:val="Tabletext1"/>
              <w:keepNext/>
              <w:keepLines/>
              <w:jc w:val="center"/>
            </w:pPr>
            <w:r w:rsidRPr="007D1918">
              <w:rPr>
                <w:color w:val="000000"/>
              </w:rPr>
              <w:t xml:space="preserve">13,321 </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0094CD06" w14:textId="0BDE064C" w:rsidR="006C641A" w:rsidRPr="007D1918" w:rsidRDefault="006C641A" w:rsidP="00B4779E">
            <w:pPr>
              <w:pStyle w:val="Tabletext1"/>
              <w:keepNext/>
              <w:keepLines/>
              <w:jc w:val="center"/>
            </w:pPr>
            <w:r w:rsidRPr="007D1918">
              <w:rPr>
                <w:color w:val="000000"/>
              </w:rPr>
              <w:t>14,223</w:t>
            </w:r>
          </w:p>
        </w:tc>
        <w:tc>
          <w:tcPr>
            <w:tcW w:w="687" w:type="pct"/>
            <w:tcBorders>
              <w:top w:val="single" w:sz="4" w:space="0" w:color="auto"/>
              <w:left w:val="nil"/>
              <w:bottom w:val="single" w:sz="4" w:space="0" w:color="auto"/>
              <w:right w:val="single" w:sz="4" w:space="0" w:color="auto"/>
            </w:tcBorders>
            <w:shd w:val="clear" w:color="auto" w:fill="auto"/>
            <w:noWrap/>
            <w:vAlign w:val="center"/>
          </w:tcPr>
          <w:p w14:paraId="678A1E31" w14:textId="6013DF68" w:rsidR="006C641A" w:rsidRPr="007D1918" w:rsidRDefault="006C641A" w:rsidP="00B4779E">
            <w:pPr>
              <w:pStyle w:val="Tabletext1"/>
              <w:keepNext/>
              <w:keepLines/>
              <w:jc w:val="center"/>
            </w:pPr>
            <w:r w:rsidRPr="007D1918">
              <w:rPr>
                <w:color w:val="000000"/>
              </w:rPr>
              <w:t>15,136</w:t>
            </w:r>
          </w:p>
        </w:tc>
      </w:tr>
      <w:tr w:rsidR="006C641A" w:rsidRPr="007D1918" w14:paraId="1DEDB4BA" w14:textId="77777777" w:rsidTr="00153384">
        <w:trPr>
          <w:trHeight w:val="300"/>
        </w:trPr>
        <w:tc>
          <w:tcPr>
            <w:tcW w:w="1569" w:type="pct"/>
            <w:tcBorders>
              <w:top w:val="nil"/>
              <w:left w:val="single" w:sz="4" w:space="0" w:color="auto"/>
              <w:bottom w:val="single" w:sz="4" w:space="0" w:color="auto"/>
              <w:right w:val="single" w:sz="4" w:space="0" w:color="auto"/>
            </w:tcBorders>
            <w:shd w:val="clear" w:color="auto" w:fill="auto"/>
            <w:noWrap/>
            <w:vAlign w:val="center"/>
          </w:tcPr>
          <w:p w14:paraId="1AB6F969" w14:textId="77777777" w:rsidR="006C641A" w:rsidRPr="007D1918" w:rsidRDefault="006C641A" w:rsidP="00153384">
            <w:pPr>
              <w:pStyle w:val="Tabletext1"/>
              <w:keepNext/>
              <w:keepLines/>
            </w:pPr>
            <w:r w:rsidRPr="007D1918">
              <w:rPr>
                <w:color w:val="000000"/>
              </w:rPr>
              <w:t>Administration costs (@ $461 per administration)</w:t>
            </w:r>
          </w:p>
        </w:tc>
        <w:tc>
          <w:tcPr>
            <w:tcW w:w="686" w:type="pct"/>
            <w:tcBorders>
              <w:top w:val="nil"/>
              <w:left w:val="single" w:sz="4" w:space="0" w:color="auto"/>
              <w:bottom w:val="single" w:sz="4" w:space="0" w:color="auto"/>
              <w:right w:val="single" w:sz="4" w:space="0" w:color="auto"/>
            </w:tcBorders>
            <w:shd w:val="clear" w:color="auto" w:fill="auto"/>
            <w:noWrap/>
            <w:vAlign w:val="center"/>
          </w:tcPr>
          <w:p w14:paraId="788AE451" w14:textId="77777777" w:rsidR="006C641A" w:rsidRPr="007D1918" w:rsidRDefault="006C641A" w:rsidP="00153384">
            <w:pPr>
              <w:pStyle w:val="Tabletext1"/>
              <w:keepNext/>
              <w:keepLines/>
              <w:jc w:val="right"/>
            </w:pPr>
            <w:r w:rsidRPr="007D1918">
              <w:rPr>
                <w:color w:val="000000"/>
              </w:rPr>
              <w:t>$5,304,266</w:t>
            </w:r>
          </w:p>
        </w:tc>
        <w:tc>
          <w:tcPr>
            <w:tcW w:w="686" w:type="pct"/>
            <w:tcBorders>
              <w:top w:val="nil"/>
              <w:left w:val="nil"/>
              <w:bottom w:val="single" w:sz="4" w:space="0" w:color="auto"/>
              <w:right w:val="single" w:sz="4" w:space="0" w:color="auto"/>
            </w:tcBorders>
            <w:shd w:val="clear" w:color="auto" w:fill="auto"/>
            <w:noWrap/>
            <w:vAlign w:val="center"/>
          </w:tcPr>
          <w:p w14:paraId="0365F9F4" w14:textId="77777777" w:rsidR="006C641A" w:rsidRPr="007D1918" w:rsidRDefault="006C641A" w:rsidP="00153384">
            <w:pPr>
              <w:pStyle w:val="Tabletext1"/>
              <w:keepNext/>
              <w:keepLines/>
              <w:jc w:val="right"/>
            </w:pPr>
            <w:r w:rsidRPr="007D1918">
              <w:rPr>
                <w:color w:val="000000"/>
              </w:rPr>
              <w:t>$5,720,088</w:t>
            </w:r>
          </w:p>
        </w:tc>
        <w:tc>
          <w:tcPr>
            <w:tcW w:w="686" w:type="pct"/>
            <w:tcBorders>
              <w:top w:val="nil"/>
              <w:left w:val="nil"/>
              <w:bottom w:val="single" w:sz="4" w:space="0" w:color="auto"/>
              <w:right w:val="single" w:sz="4" w:space="0" w:color="auto"/>
            </w:tcBorders>
            <w:shd w:val="clear" w:color="auto" w:fill="auto"/>
            <w:noWrap/>
            <w:vAlign w:val="center"/>
          </w:tcPr>
          <w:p w14:paraId="7A32C94C" w14:textId="77777777" w:rsidR="006C641A" w:rsidRPr="007D1918" w:rsidRDefault="006C641A" w:rsidP="00153384">
            <w:pPr>
              <w:pStyle w:val="Tabletext1"/>
              <w:keepNext/>
              <w:keepLines/>
              <w:jc w:val="right"/>
            </w:pPr>
            <w:r w:rsidRPr="007D1918">
              <w:rPr>
                <w:color w:val="000000"/>
              </w:rPr>
              <w:t>$6,140,981</w:t>
            </w:r>
          </w:p>
        </w:tc>
        <w:tc>
          <w:tcPr>
            <w:tcW w:w="686" w:type="pct"/>
            <w:tcBorders>
              <w:top w:val="nil"/>
              <w:left w:val="nil"/>
              <w:bottom w:val="single" w:sz="4" w:space="0" w:color="auto"/>
              <w:right w:val="single" w:sz="4" w:space="0" w:color="auto"/>
            </w:tcBorders>
            <w:shd w:val="clear" w:color="auto" w:fill="auto"/>
            <w:noWrap/>
            <w:vAlign w:val="center"/>
          </w:tcPr>
          <w:p w14:paraId="096169A4" w14:textId="77777777" w:rsidR="006C641A" w:rsidRPr="007D1918" w:rsidRDefault="006C641A" w:rsidP="00153384">
            <w:pPr>
              <w:pStyle w:val="Tabletext1"/>
              <w:keepNext/>
              <w:keepLines/>
              <w:jc w:val="right"/>
            </w:pPr>
            <w:r w:rsidRPr="007D1918">
              <w:rPr>
                <w:color w:val="000000"/>
              </w:rPr>
              <w:t>$6,556,803</w:t>
            </w:r>
          </w:p>
        </w:tc>
        <w:tc>
          <w:tcPr>
            <w:tcW w:w="687" w:type="pct"/>
            <w:tcBorders>
              <w:top w:val="nil"/>
              <w:left w:val="nil"/>
              <w:bottom w:val="single" w:sz="4" w:space="0" w:color="auto"/>
              <w:right w:val="single" w:sz="4" w:space="0" w:color="auto"/>
            </w:tcBorders>
            <w:shd w:val="clear" w:color="auto" w:fill="auto"/>
            <w:noWrap/>
            <w:vAlign w:val="center"/>
          </w:tcPr>
          <w:p w14:paraId="791E63F5" w14:textId="77777777" w:rsidR="006C641A" w:rsidRPr="007D1918" w:rsidRDefault="006C641A" w:rsidP="00153384">
            <w:pPr>
              <w:pStyle w:val="Tabletext1"/>
              <w:keepNext/>
              <w:keepLines/>
              <w:jc w:val="right"/>
            </w:pPr>
            <w:r w:rsidRPr="007D1918">
              <w:rPr>
                <w:color w:val="000000"/>
              </w:rPr>
              <w:t>$6,977,696</w:t>
            </w:r>
          </w:p>
        </w:tc>
      </w:tr>
      <w:tr w:rsidR="006C641A" w:rsidRPr="007D1918" w14:paraId="372F1760" w14:textId="77777777" w:rsidTr="00153384">
        <w:trPr>
          <w:trHeight w:val="300"/>
        </w:trPr>
        <w:tc>
          <w:tcPr>
            <w:tcW w:w="1569" w:type="pct"/>
            <w:tcBorders>
              <w:top w:val="nil"/>
              <w:left w:val="single" w:sz="4" w:space="0" w:color="auto"/>
              <w:bottom w:val="single" w:sz="4" w:space="0" w:color="auto"/>
              <w:right w:val="single" w:sz="4" w:space="0" w:color="auto"/>
            </w:tcBorders>
            <w:shd w:val="clear" w:color="auto" w:fill="auto"/>
            <w:noWrap/>
            <w:vAlign w:val="center"/>
          </w:tcPr>
          <w:p w14:paraId="433B0DD3" w14:textId="77777777" w:rsidR="006C641A" w:rsidRPr="007D1918" w:rsidRDefault="006C641A" w:rsidP="00153384">
            <w:pPr>
              <w:pStyle w:val="Tabletext1"/>
              <w:keepNext/>
              <w:keepLines/>
              <w:rPr>
                <w:b/>
              </w:rPr>
            </w:pPr>
            <w:r w:rsidRPr="007D1918">
              <w:rPr>
                <w:b/>
              </w:rPr>
              <w:t>Total IVIg administration costs (State Hospital Budgets)</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8E31B7" w14:textId="77777777" w:rsidR="006C641A" w:rsidRPr="007D1918" w:rsidRDefault="006C641A" w:rsidP="00153384">
            <w:pPr>
              <w:pStyle w:val="Tabletext1"/>
              <w:keepNext/>
              <w:keepLines/>
              <w:jc w:val="right"/>
              <w:rPr>
                <w:b/>
                <w:color w:val="000000"/>
              </w:rPr>
            </w:pPr>
            <w:r w:rsidRPr="007D1918">
              <w:rPr>
                <w:b/>
                <w:color w:val="000000"/>
              </w:rPr>
              <w:t>$5,338,380</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2916200F" w14:textId="77777777" w:rsidR="006C641A" w:rsidRPr="007D1918" w:rsidRDefault="006C641A" w:rsidP="00153384">
            <w:pPr>
              <w:pStyle w:val="Tabletext1"/>
              <w:keepNext/>
              <w:keepLines/>
              <w:jc w:val="right"/>
              <w:rPr>
                <w:b/>
                <w:color w:val="000000"/>
              </w:rPr>
            </w:pPr>
            <w:r w:rsidRPr="007D1918">
              <w:rPr>
                <w:b/>
                <w:color w:val="000000"/>
              </w:rPr>
              <w:t>$5,756,046</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50D8AC7A" w14:textId="77777777" w:rsidR="006C641A" w:rsidRPr="007D1918" w:rsidRDefault="006C641A" w:rsidP="00153384">
            <w:pPr>
              <w:pStyle w:val="Tabletext1"/>
              <w:keepNext/>
              <w:keepLines/>
              <w:jc w:val="right"/>
              <w:rPr>
                <w:b/>
                <w:color w:val="000000"/>
              </w:rPr>
            </w:pPr>
            <w:r w:rsidRPr="007D1918">
              <w:rPr>
                <w:b/>
                <w:color w:val="000000"/>
              </w:rPr>
              <w:t>$6,179,705</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235D93AC" w14:textId="77777777" w:rsidR="006C641A" w:rsidRPr="007D1918" w:rsidRDefault="006C641A" w:rsidP="00153384">
            <w:pPr>
              <w:pStyle w:val="Tabletext1"/>
              <w:keepNext/>
              <w:keepLines/>
              <w:jc w:val="right"/>
              <w:rPr>
                <w:b/>
                <w:color w:val="000000"/>
              </w:rPr>
            </w:pPr>
            <w:r w:rsidRPr="007D1918">
              <w:rPr>
                <w:b/>
                <w:color w:val="000000"/>
              </w:rPr>
              <w:t>$6,598,293</w:t>
            </w:r>
          </w:p>
        </w:tc>
        <w:tc>
          <w:tcPr>
            <w:tcW w:w="687" w:type="pct"/>
            <w:tcBorders>
              <w:top w:val="single" w:sz="4" w:space="0" w:color="auto"/>
              <w:left w:val="nil"/>
              <w:bottom w:val="single" w:sz="4" w:space="0" w:color="auto"/>
              <w:right w:val="single" w:sz="4" w:space="0" w:color="auto"/>
            </w:tcBorders>
            <w:shd w:val="clear" w:color="auto" w:fill="auto"/>
            <w:noWrap/>
            <w:vAlign w:val="center"/>
          </w:tcPr>
          <w:p w14:paraId="57F6EEAC" w14:textId="77777777" w:rsidR="006C641A" w:rsidRPr="007D1918" w:rsidRDefault="006C641A" w:rsidP="00153384">
            <w:pPr>
              <w:pStyle w:val="Tabletext1"/>
              <w:keepNext/>
              <w:keepLines/>
              <w:jc w:val="right"/>
              <w:rPr>
                <w:b/>
                <w:color w:val="000000"/>
              </w:rPr>
            </w:pPr>
            <w:r w:rsidRPr="007D1918">
              <w:rPr>
                <w:b/>
                <w:color w:val="000000"/>
              </w:rPr>
              <w:t>$7,021,952</w:t>
            </w:r>
          </w:p>
        </w:tc>
      </w:tr>
    </w:tbl>
    <w:p w14:paraId="24A07E04" w14:textId="77777777" w:rsidR="006C641A" w:rsidRPr="007D1918" w:rsidRDefault="006C641A" w:rsidP="006C641A">
      <w:pPr>
        <w:pStyle w:val="Tablenotes0"/>
        <w:keepNext/>
        <w:keepLines/>
        <w:spacing w:after="360"/>
      </w:pPr>
      <w:r w:rsidRPr="007D1918">
        <w:t>IVIg = intravenous immunoglobulin</w:t>
      </w:r>
    </w:p>
    <w:p w14:paraId="3C0F2583" w14:textId="77777777" w:rsidR="006C641A" w:rsidRPr="007D1918" w:rsidRDefault="006C641A" w:rsidP="006C641A">
      <w:pPr>
        <w:pStyle w:val="Tablenotes0"/>
        <w:keepNext/>
        <w:keepLines/>
        <w:spacing w:after="360"/>
      </w:pPr>
    </w:p>
    <w:p w14:paraId="2C1EE610" w14:textId="6CDB9C7F" w:rsidR="006C641A" w:rsidRPr="007D1918" w:rsidRDefault="006C641A" w:rsidP="006C641A">
      <w:pPr>
        <w:jc w:val="both"/>
      </w:pPr>
      <w:r w:rsidRPr="007D1918">
        <w:t xml:space="preserve">For Indications 1 and 2, the use of IVIg is directly in place of the comparator management PE, and the extent of PE treatment that would be required in the absence of IVIg availability, and the associated cost-offsets associated with IVIg availability can be estimated. However in the case of IVIg provided under Indication 3, it is highly uncertain to what extent existing IVIg availability for use </w:t>
      </w:r>
      <w:r w:rsidR="00757561" w:rsidRPr="007D1918">
        <w:t xml:space="preserve">in </w:t>
      </w:r>
      <w:r w:rsidRPr="007D1918">
        <w:t xml:space="preserve">MG replaces the nominated comparator therapies and associated cost offsets. Over nine different potential comparator management strategies were identified, ranging from PE, surgery and numerous pharmacological treatments, and within these dosing was highly variable. No evidence was found that could be used as a basis to project the extent to which patterns of use of these would change if IVIg was not available. An estimate of the costs associated with using PE instead of IVIg in Indications 1 and 2 is presented in </w:t>
      </w:r>
      <w:r w:rsidRPr="007D1918">
        <w:fldChar w:fldCharType="begin"/>
      </w:r>
      <w:r w:rsidRPr="007D1918">
        <w:instrText xml:space="preserve"> REF _Ref13666595 \h </w:instrText>
      </w:r>
      <w:r w:rsidR="00E07567" w:rsidRPr="007D1918">
        <w:instrText xml:space="preserve"> \* MERGEFORMAT </w:instrText>
      </w:r>
      <w:r w:rsidRPr="007D1918">
        <w:fldChar w:fldCharType="separate"/>
      </w:r>
      <w:r w:rsidR="00B865E7" w:rsidRPr="007D1918">
        <w:t xml:space="preserve">Table </w:t>
      </w:r>
      <w:r w:rsidR="00B865E7" w:rsidRPr="007D1918">
        <w:rPr>
          <w:noProof/>
        </w:rPr>
        <w:t>96</w:t>
      </w:r>
      <w:r w:rsidRPr="007D1918">
        <w:fldChar w:fldCharType="end"/>
      </w:r>
      <w:r w:rsidRPr="007D1918">
        <w:t xml:space="preserve">. No cost-offsets for PE administration are included given patients are hospital inpatients (likely ICU) receiving medical and nursing care irrespective of the therapy being utilised. </w:t>
      </w:r>
    </w:p>
    <w:p w14:paraId="3D5A3C89" w14:textId="77777777" w:rsidR="006C641A" w:rsidRPr="007D1918" w:rsidRDefault="006C641A" w:rsidP="006C641A">
      <w:pPr>
        <w:jc w:val="both"/>
      </w:pPr>
      <w:r w:rsidRPr="007D1918">
        <w:t xml:space="preserve">It is not possible to quantify the cost-offsets associated with current availability of IVIg to existing </w:t>
      </w:r>
      <w:r w:rsidRPr="007D1918">
        <w:rPr>
          <w:i/>
        </w:rPr>
        <w:t>Criteria V3</w:t>
      </w:r>
      <w:r w:rsidRPr="007D1918">
        <w:t xml:space="preserve"> patients. There are a broad range of comparator therapies patients would utilise in the absence of IVIg, and in many cases at least some of these are used concurrently with IVIg, but IVIg enables dose-reduction. Where IVIg is used in place of PE, cost offsets are relevant to both Commonwealth and State government budgets, in the case of surgery, predominantly hospital budget cost-offsets would be expected, and in the case of pharmaceuticals (with the exception of rituximab) predominantly Commonwealth PBS expenditure is offset along with some MBS-funded side-effect monitoring. Where IVIg is utilised rather than off-label rituximab, cost offsets associated with rituximab procurement and administration would apply to State hospitals. </w:t>
      </w:r>
    </w:p>
    <w:p w14:paraId="49D12883" w14:textId="59185A33" w:rsidR="006C641A" w:rsidRPr="007D1918" w:rsidRDefault="006C641A" w:rsidP="006C641A">
      <w:pPr>
        <w:pStyle w:val="Caption"/>
        <w:keepNext/>
        <w:keepLines/>
        <w:jc w:val="both"/>
      </w:pPr>
      <w:bookmarkStart w:id="532" w:name="_Ref13666595"/>
      <w:bookmarkStart w:id="533" w:name="_Toc15561995"/>
      <w:bookmarkStart w:id="534" w:name="_Toc23769583"/>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96</w:t>
      </w:r>
      <w:r w:rsidRPr="007D1918">
        <w:rPr>
          <w:noProof/>
        </w:rPr>
        <w:fldChar w:fldCharType="end"/>
      </w:r>
      <w:bookmarkEnd w:id="532"/>
      <w:r w:rsidRPr="007D1918">
        <w:tab/>
        <w:t>Cost offsets due to IVIg use (reduced use of PE for Indications 1 and 2, other comparators for Indication 3.</w:t>
      </w:r>
      <w:bookmarkEnd w:id="533"/>
      <w:bookmarkEnd w:id="534"/>
    </w:p>
    <w:tbl>
      <w:tblPr>
        <w:tblStyle w:val="TableGrid1"/>
        <w:tblW w:w="5000" w:type="pct"/>
        <w:tblLayout w:type="fixed"/>
        <w:tblLook w:val="04A0" w:firstRow="1" w:lastRow="0" w:firstColumn="1" w:lastColumn="0" w:noHBand="0" w:noVBand="1"/>
        <w:tblCaption w:val="Cost offsets due to a reduction in infections"/>
      </w:tblPr>
      <w:tblGrid>
        <w:gridCol w:w="3259"/>
        <w:gridCol w:w="1151"/>
        <w:gridCol w:w="1152"/>
        <w:gridCol w:w="1150"/>
        <w:gridCol w:w="1152"/>
        <w:gridCol w:w="1152"/>
      </w:tblGrid>
      <w:tr w:rsidR="006C641A" w:rsidRPr="007D1918" w14:paraId="1419B3FB" w14:textId="77777777" w:rsidTr="00153384">
        <w:trPr>
          <w:cnfStyle w:val="100000000000" w:firstRow="1" w:lastRow="0" w:firstColumn="0" w:lastColumn="0" w:oddVBand="0" w:evenVBand="0" w:oddHBand="0" w:evenHBand="0" w:firstRowFirstColumn="0" w:firstRowLastColumn="0" w:lastRowFirstColumn="0" w:lastRowLastColumn="0"/>
          <w:trHeight w:val="300"/>
          <w:tblHeader/>
        </w:trPr>
        <w:tc>
          <w:tcPr>
            <w:tcW w:w="1807" w:type="pct"/>
            <w:noWrap/>
          </w:tcPr>
          <w:p w14:paraId="780C1423" w14:textId="77777777" w:rsidR="006C641A" w:rsidRPr="007D1918" w:rsidRDefault="006C641A" w:rsidP="00153384">
            <w:pPr>
              <w:pStyle w:val="TableHeading"/>
              <w:keepLines/>
              <w:jc w:val="center"/>
            </w:pPr>
          </w:p>
        </w:tc>
        <w:tc>
          <w:tcPr>
            <w:tcW w:w="638" w:type="pct"/>
            <w:noWrap/>
          </w:tcPr>
          <w:p w14:paraId="026D67CC" w14:textId="77777777" w:rsidR="006C641A" w:rsidRPr="007D1918" w:rsidRDefault="006C641A" w:rsidP="00153384">
            <w:pPr>
              <w:pStyle w:val="TableHeading"/>
              <w:keepLines/>
              <w:jc w:val="center"/>
            </w:pPr>
            <w:r w:rsidRPr="007D1918">
              <w:t>2019-20</w:t>
            </w:r>
          </w:p>
        </w:tc>
        <w:tc>
          <w:tcPr>
            <w:tcW w:w="639" w:type="pct"/>
            <w:noWrap/>
          </w:tcPr>
          <w:p w14:paraId="3A33B1EF" w14:textId="77777777" w:rsidR="006C641A" w:rsidRPr="007D1918" w:rsidRDefault="006C641A" w:rsidP="00153384">
            <w:pPr>
              <w:pStyle w:val="TableHeading"/>
              <w:keepLines/>
              <w:jc w:val="center"/>
            </w:pPr>
            <w:r w:rsidRPr="007D1918">
              <w:t>2020-21</w:t>
            </w:r>
          </w:p>
        </w:tc>
        <w:tc>
          <w:tcPr>
            <w:tcW w:w="638" w:type="pct"/>
            <w:noWrap/>
          </w:tcPr>
          <w:p w14:paraId="6C3DF9D6" w14:textId="77777777" w:rsidR="006C641A" w:rsidRPr="007D1918" w:rsidRDefault="006C641A" w:rsidP="00153384">
            <w:pPr>
              <w:pStyle w:val="TableHeading"/>
              <w:keepLines/>
              <w:jc w:val="center"/>
              <w:rPr>
                <w:rFonts w:ascii="Times New Roman" w:hAnsi="Times New Roman" w:cs="Times New Roman"/>
              </w:rPr>
            </w:pPr>
            <w:r w:rsidRPr="007D1918">
              <w:t>2021-22</w:t>
            </w:r>
          </w:p>
        </w:tc>
        <w:tc>
          <w:tcPr>
            <w:tcW w:w="639" w:type="pct"/>
            <w:noWrap/>
          </w:tcPr>
          <w:p w14:paraId="20A679AF" w14:textId="77777777" w:rsidR="006C641A" w:rsidRPr="007D1918" w:rsidRDefault="006C641A" w:rsidP="00153384">
            <w:pPr>
              <w:pStyle w:val="TableHeading"/>
              <w:keepLines/>
              <w:jc w:val="center"/>
              <w:rPr>
                <w:rFonts w:ascii="Times New Roman" w:hAnsi="Times New Roman" w:cs="Times New Roman"/>
              </w:rPr>
            </w:pPr>
            <w:r w:rsidRPr="007D1918">
              <w:t>2022-23</w:t>
            </w:r>
          </w:p>
        </w:tc>
        <w:tc>
          <w:tcPr>
            <w:tcW w:w="639" w:type="pct"/>
            <w:noWrap/>
          </w:tcPr>
          <w:p w14:paraId="2D96FAA1" w14:textId="77777777" w:rsidR="006C641A" w:rsidRPr="007D1918" w:rsidRDefault="006C641A" w:rsidP="00153384">
            <w:pPr>
              <w:pStyle w:val="TableHeading"/>
              <w:keepLines/>
              <w:jc w:val="center"/>
              <w:rPr>
                <w:rFonts w:ascii="Times New Roman" w:hAnsi="Times New Roman" w:cs="Times New Roman"/>
              </w:rPr>
            </w:pPr>
            <w:r w:rsidRPr="007D1918">
              <w:t>2023-24</w:t>
            </w:r>
          </w:p>
        </w:tc>
      </w:tr>
      <w:tr w:rsidR="006C641A" w:rsidRPr="007D1918" w14:paraId="4935544A" w14:textId="77777777" w:rsidTr="00153384">
        <w:trPr>
          <w:trHeight w:val="300"/>
        </w:trPr>
        <w:tc>
          <w:tcPr>
            <w:tcW w:w="1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A4E38" w14:textId="77777777" w:rsidR="006C641A" w:rsidRPr="007D1918" w:rsidRDefault="006C641A" w:rsidP="00153384">
            <w:pPr>
              <w:pStyle w:val="Tabletext1"/>
              <w:keepNext/>
              <w:keepLines/>
              <w:rPr>
                <w:b/>
              </w:rPr>
            </w:pPr>
            <w:r w:rsidRPr="007D1918">
              <w:rPr>
                <w:b/>
                <w:color w:val="000000"/>
              </w:rPr>
              <w:t>Indication 1 Patients</w:t>
            </w:r>
            <w:r w:rsidRPr="007D1918">
              <w:rPr>
                <w:b/>
                <w:color w:val="000000"/>
              </w:rPr>
              <w:br/>
              <w:t>[would otherwise receive PE]</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7905D" w14:textId="77777777" w:rsidR="006C641A" w:rsidRPr="007D1918" w:rsidRDefault="006C641A" w:rsidP="00153384">
            <w:pPr>
              <w:pStyle w:val="Tabletext1"/>
              <w:keepNext/>
              <w:keepLines/>
              <w:jc w:val="right"/>
            </w:pPr>
            <w:r w:rsidRPr="007D1918">
              <w:rPr>
                <w:color w:val="000000"/>
              </w:rPr>
              <w:t>223</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0BAA0758" w14:textId="77777777" w:rsidR="006C641A" w:rsidRPr="007D1918" w:rsidRDefault="006C641A" w:rsidP="00153384">
            <w:pPr>
              <w:pStyle w:val="Tabletext1"/>
              <w:keepNext/>
              <w:keepLines/>
              <w:jc w:val="right"/>
            </w:pPr>
            <w:r w:rsidRPr="007D1918">
              <w:rPr>
                <w:color w:val="000000"/>
              </w:rPr>
              <w:t>241</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14E8805B" w14:textId="77777777" w:rsidR="006C641A" w:rsidRPr="007D1918" w:rsidRDefault="006C641A" w:rsidP="00153384">
            <w:pPr>
              <w:pStyle w:val="Tabletext1"/>
              <w:keepNext/>
              <w:keepLines/>
              <w:jc w:val="right"/>
            </w:pPr>
            <w:r w:rsidRPr="007D1918">
              <w:rPr>
                <w:color w:val="000000"/>
              </w:rPr>
              <w:t>258</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3690DE2E" w14:textId="77777777" w:rsidR="006C641A" w:rsidRPr="007D1918" w:rsidRDefault="006C641A" w:rsidP="00153384">
            <w:pPr>
              <w:pStyle w:val="Tabletext1"/>
              <w:keepNext/>
              <w:keepLines/>
              <w:jc w:val="right"/>
            </w:pPr>
            <w:r w:rsidRPr="007D1918">
              <w:rPr>
                <w:color w:val="000000"/>
              </w:rPr>
              <w:t>276</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6EA84A3F" w14:textId="77777777" w:rsidR="006C641A" w:rsidRPr="007D1918" w:rsidRDefault="006C641A" w:rsidP="00153384">
            <w:pPr>
              <w:pStyle w:val="Tabletext1"/>
              <w:keepNext/>
              <w:keepLines/>
              <w:jc w:val="right"/>
            </w:pPr>
            <w:r w:rsidRPr="007D1918">
              <w:rPr>
                <w:color w:val="000000"/>
              </w:rPr>
              <w:t>294</w:t>
            </w:r>
          </w:p>
        </w:tc>
      </w:tr>
      <w:tr w:rsidR="006C641A" w:rsidRPr="007D1918" w14:paraId="3683A638"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hideMark/>
          </w:tcPr>
          <w:p w14:paraId="1DEF6909" w14:textId="77777777" w:rsidR="006C641A" w:rsidRPr="007D1918" w:rsidRDefault="006C641A" w:rsidP="00153384">
            <w:pPr>
              <w:pStyle w:val="Tabletext1"/>
              <w:keepNext/>
              <w:keepLines/>
            </w:pPr>
            <w:r w:rsidRPr="007D1918">
              <w:rPr>
                <w:color w:val="000000"/>
              </w:rPr>
              <w:t>Albumin 4% (L)</w:t>
            </w:r>
            <w:r w:rsidRPr="007D1918">
              <w:rPr>
                <w:color w:val="000000"/>
              </w:rPr>
              <w:br/>
              <w:t>(4 exchanges x 4 L = 16L /patient)</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D430F" w14:textId="77777777" w:rsidR="006C641A" w:rsidRPr="007D1918" w:rsidRDefault="006C641A" w:rsidP="00153384">
            <w:pPr>
              <w:pStyle w:val="Tabletext1"/>
              <w:keepNext/>
              <w:keepLines/>
              <w:jc w:val="right"/>
            </w:pPr>
            <w:r w:rsidRPr="007D1918">
              <w:rPr>
                <w:color w:val="000000"/>
              </w:rPr>
              <w:t xml:space="preserve">3,568 </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20224030" w14:textId="77777777" w:rsidR="006C641A" w:rsidRPr="007D1918" w:rsidRDefault="006C641A" w:rsidP="00153384">
            <w:pPr>
              <w:pStyle w:val="Tabletext1"/>
              <w:keepNext/>
              <w:keepLines/>
              <w:jc w:val="right"/>
            </w:pPr>
            <w:r w:rsidRPr="007D1918">
              <w:rPr>
                <w:color w:val="000000"/>
              </w:rPr>
              <w:t xml:space="preserve">3,856 </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14:paraId="5D052B95" w14:textId="77777777" w:rsidR="006C641A" w:rsidRPr="007D1918" w:rsidRDefault="006C641A" w:rsidP="00153384">
            <w:pPr>
              <w:pStyle w:val="Tabletext1"/>
              <w:keepNext/>
              <w:keepLines/>
              <w:jc w:val="right"/>
            </w:pPr>
            <w:r w:rsidRPr="007D1918">
              <w:rPr>
                <w:color w:val="000000"/>
              </w:rPr>
              <w:t xml:space="preserve">4,128 </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2A65CB2C" w14:textId="77777777" w:rsidR="006C641A" w:rsidRPr="007D1918" w:rsidRDefault="006C641A" w:rsidP="00153384">
            <w:pPr>
              <w:pStyle w:val="Tabletext1"/>
              <w:keepNext/>
              <w:keepLines/>
              <w:jc w:val="right"/>
            </w:pPr>
            <w:r w:rsidRPr="007D1918">
              <w:rPr>
                <w:color w:val="000000"/>
              </w:rPr>
              <w:t xml:space="preserve">4,416 </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1E301ADF" w14:textId="77777777" w:rsidR="006C641A" w:rsidRPr="007D1918" w:rsidRDefault="006C641A" w:rsidP="00153384">
            <w:pPr>
              <w:pStyle w:val="Tabletext1"/>
              <w:keepNext/>
              <w:keepLines/>
              <w:jc w:val="right"/>
            </w:pPr>
            <w:r w:rsidRPr="007D1918">
              <w:rPr>
                <w:color w:val="000000"/>
              </w:rPr>
              <w:t xml:space="preserve">4,704 </w:t>
            </w:r>
          </w:p>
        </w:tc>
      </w:tr>
      <w:tr w:rsidR="006C641A" w:rsidRPr="007D1918" w14:paraId="4180A5EF"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hideMark/>
          </w:tcPr>
          <w:p w14:paraId="738C7793" w14:textId="77777777" w:rsidR="006C641A" w:rsidRPr="007D1918" w:rsidRDefault="006C641A" w:rsidP="00153384">
            <w:pPr>
              <w:pStyle w:val="Tabletext1"/>
              <w:keepNext/>
              <w:keepLines/>
            </w:pPr>
            <w:r w:rsidRPr="007D1918">
              <w:rPr>
                <w:color w:val="000000"/>
              </w:rPr>
              <w:t xml:space="preserve">Albumin 4% (at cost: $137/L) </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14:paraId="6ED43C4F" w14:textId="77777777" w:rsidR="006C641A" w:rsidRPr="007D1918" w:rsidRDefault="006C641A" w:rsidP="00153384">
            <w:pPr>
              <w:pStyle w:val="Tabletext1"/>
              <w:keepNext/>
              <w:keepLines/>
              <w:jc w:val="right"/>
            </w:pPr>
            <w:r w:rsidRPr="007D1918">
              <w:rPr>
                <w:color w:val="000000"/>
              </w:rPr>
              <w:t>$488,816</w:t>
            </w:r>
          </w:p>
        </w:tc>
        <w:tc>
          <w:tcPr>
            <w:tcW w:w="639" w:type="pct"/>
            <w:tcBorders>
              <w:top w:val="nil"/>
              <w:left w:val="nil"/>
              <w:bottom w:val="single" w:sz="4" w:space="0" w:color="auto"/>
              <w:right w:val="single" w:sz="4" w:space="0" w:color="auto"/>
            </w:tcBorders>
            <w:shd w:val="clear" w:color="auto" w:fill="auto"/>
            <w:noWrap/>
            <w:vAlign w:val="center"/>
            <w:hideMark/>
          </w:tcPr>
          <w:p w14:paraId="5F1A90EB" w14:textId="77777777" w:rsidR="006C641A" w:rsidRPr="007D1918" w:rsidRDefault="006C641A" w:rsidP="00153384">
            <w:pPr>
              <w:pStyle w:val="Tabletext1"/>
              <w:keepNext/>
              <w:keepLines/>
              <w:jc w:val="right"/>
            </w:pPr>
            <w:r w:rsidRPr="007D1918">
              <w:rPr>
                <w:color w:val="000000"/>
              </w:rPr>
              <w:t>$528,272</w:t>
            </w:r>
          </w:p>
        </w:tc>
        <w:tc>
          <w:tcPr>
            <w:tcW w:w="638" w:type="pct"/>
            <w:tcBorders>
              <w:top w:val="nil"/>
              <w:left w:val="nil"/>
              <w:bottom w:val="single" w:sz="4" w:space="0" w:color="auto"/>
              <w:right w:val="single" w:sz="4" w:space="0" w:color="auto"/>
            </w:tcBorders>
            <w:shd w:val="clear" w:color="auto" w:fill="auto"/>
            <w:noWrap/>
            <w:vAlign w:val="center"/>
            <w:hideMark/>
          </w:tcPr>
          <w:p w14:paraId="193668B5" w14:textId="77777777" w:rsidR="006C641A" w:rsidRPr="007D1918" w:rsidRDefault="006C641A" w:rsidP="00153384">
            <w:pPr>
              <w:pStyle w:val="Tabletext1"/>
              <w:keepNext/>
              <w:keepLines/>
              <w:jc w:val="right"/>
            </w:pPr>
            <w:r w:rsidRPr="007D1918">
              <w:rPr>
                <w:color w:val="000000"/>
              </w:rPr>
              <w:t>$565,536</w:t>
            </w:r>
          </w:p>
        </w:tc>
        <w:tc>
          <w:tcPr>
            <w:tcW w:w="639" w:type="pct"/>
            <w:tcBorders>
              <w:top w:val="nil"/>
              <w:left w:val="nil"/>
              <w:bottom w:val="single" w:sz="4" w:space="0" w:color="auto"/>
              <w:right w:val="single" w:sz="4" w:space="0" w:color="auto"/>
            </w:tcBorders>
            <w:shd w:val="clear" w:color="auto" w:fill="auto"/>
            <w:noWrap/>
            <w:vAlign w:val="center"/>
            <w:hideMark/>
          </w:tcPr>
          <w:p w14:paraId="575B995B" w14:textId="77777777" w:rsidR="006C641A" w:rsidRPr="007D1918" w:rsidRDefault="006C641A" w:rsidP="00153384">
            <w:pPr>
              <w:pStyle w:val="Tabletext1"/>
              <w:keepNext/>
              <w:keepLines/>
              <w:jc w:val="right"/>
            </w:pPr>
            <w:r w:rsidRPr="007D1918">
              <w:rPr>
                <w:color w:val="000000"/>
              </w:rPr>
              <w:t>$604,992</w:t>
            </w:r>
          </w:p>
        </w:tc>
        <w:tc>
          <w:tcPr>
            <w:tcW w:w="639" w:type="pct"/>
            <w:tcBorders>
              <w:top w:val="nil"/>
              <w:left w:val="nil"/>
              <w:bottom w:val="single" w:sz="4" w:space="0" w:color="auto"/>
              <w:right w:val="single" w:sz="4" w:space="0" w:color="auto"/>
            </w:tcBorders>
            <w:shd w:val="clear" w:color="auto" w:fill="auto"/>
            <w:noWrap/>
            <w:vAlign w:val="center"/>
            <w:hideMark/>
          </w:tcPr>
          <w:p w14:paraId="70171B56" w14:textId="77777777" w:rsidR="006C641A" w:rsidRPr="007D1918" w:rsidRDefault="006C641A" w:rsidP="00153384">
            <w:pPr>
              <w:pStyle w:val="Tabletext1"/>
              <w:keepNext/>
              <w:keepLines/>
              <w:jc w:val="right"/>
            </w:pPr>
            <w:r w:rsidRPr="007D1918">
              <w:rPr>
                <w:color w:val="000000"/>
              </w:rPr>
              <w:t>$644,448</w:t>
            </w:r>
          </w:p>
        </w:tc>
      </w:tr>
      <w:tr w:rsidR="006C641A" w:rsidRPr="007D1918" w14:paraId="5E24B31E"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tcPr>
          <w:p w14:paraId="7F6A86AE" w14:textId="77777777" w:rsidR="006C641A" w:rsidRPr="007D1918" w:rsidRDefault="006C641A" w:rsidP="00153384">
            <w:pPr>
              <w:pStyle w:val="Tabletext1"/>
              <w:keepNext/>
              <w:keepLines/>
              <w:rPr>
                <w:b/>
              </w:rPr>
            </w:pPr>
            <w:r w:rsidRPr="007D1918">
              <w:rPr>
                <w:b/>
                <w:color w:val="000000"/>
              </w:rPr>
              <w:t>Indication 2 Patients</w:t>
            </w:r>
            <w:r w:rsidRPr="007D1918">
              <w:rPr>
                <w:b/>
                <w:color w:val="000000"/>
              </w:rPr>
              <w:br/>
              <w:t>[would otherwise receive PE]</w:t>
            </w:r>
          </w:p>
        </w:tc>
        <w:tc>
          <w:tcPr>
            <w:tcW w:w="638" w:type="pct"/>
            <w:tcBorders>
              <w:top w:val="nil"/>
              <w:left w:val="single" w:sz="4" w:space="0" w:color="auto"/>
              <w:bottom w:val="single" w:sz="4" w:space="0" w:color="auto"/>
              <w:right w:val="single" w:sz="4" w:space="0" w:color="auto"/>
            </w:tcBorders>
            <w:shd w:val="clear" w:color="auto" w:fill="auto"/>
            <w:noWrap/>
            <w:vAlign w:val="center"/>
          </w:tcPr>
          <w:p w14:paraId="34BDBEA4" w14:textId="77777777" w:rsidR="006C641A" w:rsidRPr="007D1918" w:rsidRDefault="006C641A" w:rsidP="00153384">
            <w:pPr>
              <w:pStyle w:val="Tabletext1"/>
              <w:keepNext/>
              <w:keepLines/>
              <w:jc w:val="right"/>
            </w:pPr>
            <w:r w:rsidRPr="007D1918">
              <w:rPr>
                <w:color w:val="000000"/>
              </w:rPr>
              <w:t>37</w:t>
            </w:r>
          </w:p>
        </w:tc>
        <w:tc>
          <w:tcPr>
            <w:tcW w:w="639" w:type="pct"/>
            <w:tcBorders>
              <w:top w:val="nil"/>
              <w:left w:val="nil"/>
              <w:bottom w:val="single" w:sz="4" w:space="0" w:color="auto"/>
              <w:right w:val="single" w:sz="4" w:space="0" w:color="auto"/>
            </w:tcBorders>
            <w:shd w:val="clear" w:color="auto" w:fill="auto"/>
            <w:noWrap/>
          </w:tcPr>
          <w:p w14:paraId="6E47761D" w14:textId="77777777" w:rsidR="006C641A" w:rsidRPr="007D1918" w:rsidRDefault="006C641A" w:rsidP="00153384">
            <w:pPr>
              <w:pStyle w:val="Tabletext1"/>
              <w:keepNext/>
              <w:keepLines/>
              <w:jc w:val="right"/>
            </w:pPr>
            <w:r w:rsidRPr="007D1918">
              <w:rPr>
                <w:color w:val="000000"/>
              </w:rPr>
              <w:t>39</w:t>
            </w:r>
          </w:p>
        </w:tc>
        <w:tc>
          <w:tcPr>
            <w:tcW w:w="638" w:type="pct"/>
            <w:tcBorders>
              <w:top w:val="nil"/>
              <w:left w:val="nil"/>
              <w:bottom w:val="single" w:sz="4" w:space="0" w:color="auto"/>
              <w:right w:val="single" w:sz="4" w:space="0" w:color="auto"/>
            </w:tcBorders>
            <w:shd w:val="clear" w:color="auto" w:fill="auto"/>
            <w:noWrap/>
          </w:tcPr>
          <w:p w14:paraId="468B1CE3" w14:textId="77777777" w:rsidR="006C641A" w:rsidRPr="007D1918" w:rsidRDefault="006C641A" w:rsidP="00153384">
            <w:pPr>
              <w:pStyle w:val="Tabletext1"/>
              <w:keepNext/>
              <w:keepLines/>
              <w:jc w:val="right"/>
            </w:pPr>
            <w:r w:rsidRPr="007D1918">
              <w:rPr>
                <w:color w:val="000000"/>
              </w:rPr>
              <w:t>42</w:t>
            </w:r>
          </w:p>
        </w:tc>
        <w:tc>
          <w:tcPr>
            <w:tcW w:w="639" w:type="pct"/>
            <w:tcBorders>
              <w:top w:val="nil"/>
              <w:left w:val="nil"/>
              <w:bottom w:val="single" w:sz="4" w:space="0" w:color="auto"/>
              <w:right w:val="single" w:sz="4" w:space="0" w:color="auto"/>
            </w:tcBorders>
            <w:shd w:val="clear" w:color="auto" w:fill="auto"/>
            <w:noWrap/>
          </w:tcPr>
          <w:p w14:paraId="61E00F19" w14:textId="77777777" w:rsidR="006C641A" w:rsidRPr="007D1918" w:rsidRDefault="006C641A" w:rsidP="00153384">
            <w:pPr>
              <w:pStyle w:val="Tabletext1"/>
              <w:keepNext/>
              <w:keepLines/>
              <w:jc w:val="right"/>
            </w:pPr>
            <w:r w:rsidRPr="007D1918">
              <w:rPr>
                <w:color w:val="000000"/>
              </w:rPr>
              <w:t>45</w:t>
            </w:r>
          </w:p>
        </w:tc>
        <w:tc>
          <w:tcPr>
            <w:tcW w:w="639" w:type="pct"/>
            <w:tcBorders>
              <w:top w:val="nil"/>
              <w:left w:val="nil"/>
              <w:bottom w:val="single" w:sz="4" w:space="0" w:color="auto"/>
              <w:right w:val="single" w:sz="4" w:space="0" w:color="auto"/>
            </w:tcBorders>
            <w:shd w:val="clear" w:color="auto" w:fill="auto"/>
            <w:noWrap/>
          </w:tcPr>
          <w:p w14:paraId="6BB01BBB" w14:textId="77777777" w:rsidR="006C641A" w:rsidRPr="007D1918" w:rsidRDefault="006C641A" w:rsidP="00153384">
            <w:pPr>
              <w:pStyle w:val="Tabletext1"/>
              <w:keepNext/>
              <w:keepLines/>
              <w:jc w:val="right"/>
            </w:pPr>
            <w:r w:rsidRPr="007D1918">
              <w:rPr>
                <w:color w:val="000000"/>
              </w:rPr>
              <w:t>48</w:t>
            </w:r>
          </w:p>
        </w:tc>
      </w:tr>
      <w:tr w:rsidR="006C641A" w:rsidRPr="007D1918" w14:paraId="7A838B57"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hideMark/>
          </w:tcPr>
          <w:p w14:paraId="40F86C2D" w14:textId="77777777" w:rsidR="006C641A" w:rsidRPr="007D1918" w:rsidRDefault="006C641A" w:rsidP="00153384">
            <w:pPr>
              <w:pStyle w:val="Tabletext1"/>
              <w:keepNext/>
              <w:keepLines/>
            </w:pPr>
            <w:r w:rsidRPr="007D1918">
              <w:rPr>
                <w:color w:val="000000"/>
              </w:rPr>
              <w:t>Albumin 4% (L)</w:t>
            </w:r>
            <w:r w:rsidRPr="007D1918">
              <w:rPr>
                <w:color w:val="000000"/>
              </w:rPr>
              <w:br/>
              <w:t>(5 exchanges x1L = 5L/patient)</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14:paraId="155AD1DE" w14:textId="77777777" w:rsidR="006C641A" w:rsidRPr="007D1918" w:rsidRDefault="006C641A" w:rsidP="00153384">
            <w:pPr>
              <w:pStyle w:val="Tabletext1"/>
              <w:keepNext/>
              <w:keepLines/>
              <w:jc w:val="right"/>
            </w:pPr>
            <w:r w:rsidRPr="007D1918">
              <w:rPr>
                <w:color w:val="000000"/>
              </w:rPr>
              <w:t>185</w:t>
            </w:r>
          </w:p>
        </w:tc>
        <w:tc>
          <w:tcPr>
            <w:tcW w:w="639" w:type="pct"/>
            <w:tcBorders>
              <w:top w:val="nil"/>
              <w:left w:val="nil"/>
              <w:bottom w:val="single" w:sz="4" w:space="0" w:color="auto"/>
              <w:right w:val="single" w:sz="4" w:space="0" w:color="auto"/>
            </w:tcBorders>
            <w:shd w:val="clear" w:color="auto" w:fill="auto"/>
            <w:noWrap/>
            <w:vAlign w:val="center"/>
            <w:hideMark/>
          </w:tcPr>
          <w:p w14:paraId="5831EB1E" w14:textId="77777777" w:rsidR="006C641A" w:rsidRPr="007D1918" w:rsidRDefault="006C641A" w:rsidP="00153384">
            <w:pPr>
              <w:pStyle w:val="Tabletext1"/>
              <w:keepNext/>
              <w:keepLines/>
              <w:jc w:val="right"/>
            </w:pPr>
            <w:r w:rsidRPr="007D1918">
              <w:rPr>
                <w:color w:val="000000"/>
              </w:rPr>
              <w:t>195</w:t>
            </w:r>
          </w:p>
        </w:tc>
        <w:tc>
          <w:tcPr>
            <w:tcW w:w="638" w:type="pct"/>
            <w:tcBorders>
              <w:top w:val="nil"/>
              <w:left w:val="nil"/>
              <w:bottom w:val="single" w:sz="4" w:space="0" w:color="auto"/>
              <w:right w:val="single" w:sz="4" w:space="0" w:color="auto"/>
            </w:tcBorders>
            <w:shd w:val="clear" w:color="auto" w:fill="auto"/>
            <w:noWrap/>
            <w:vAlign w:val="center"/>
            <w:hideMark/>
          </w:tcPr>
          <w:p w14:paraId="0E15C3F4" w14:textId="77777777" w:rsidR="006C641A" w:rsidRPr="007D1918" w:rsidRDefault="006C641A" w:rsidP="00153384">
            <w:pPr>
              <w:pStyle w:val="Tabletext1"/>
              <w:keepNext/>
              <w:keepLines/>
              <w:jc w:val="right"/>
            </w:pPr>
            <w:r w:rsidRPr="007D1918">
              <w:rPr>
                <w:color w:val="000000"/>
              </w:rPr>
              <w:t>210</w:t>
            </w:r>
          </w:p>
        </w:tc>
        <w:tc>
          <w:tcPr>
            <w:tcW w:w="639" w:type="pct"/>
            <w:tcBorders>
              <w:top w:val="nil"/>
              <w:left w:val="nil"/>
              <w:bottom w:val="single" w:sz="4" w:space="0" w:color="auto"/>
              <w:right w:val="single" w:sz="4" w:space="0" w:color="auto"/>
            </w:tcBorders>
            <w:shd w:val="clear" w:color="auto" w:fill="auto"/>
            <w:noWrap/>
            <w:vAlign w:val="center"/>
            <w:hideMark/>
          </w:tcPr>
          <w:p w14:paraId="740B2A40" w14:textId="77777777" w:rsidR="006C641A" w:rsidRPr="007D1918" w:rsidRDefault="006C641A" w:rsidP="00153384">
            <w:pPr>
              <w:pStyle w:val="Tabletext1"/>
              <w:keepNext/>
              <w:keepLines/>
              <w:jc w:val="right"/>
            </w:pPr>
            <w:r w:rsidRPr="007D1918">
              <w:rPr>
                <w:color w:val="000000"/>
              </w:rPr>
              <w:t>225</w:t>
            </w:r>
          </w:p>
        </w:tc>
        <w:tc>
          <w:tcPr>
            <w:tcW w:w="639" w:type="pct"/>
            <w:tcBorders>
              <w:top w:val="nil"/>
              <w:left w:val="nil"/>
              <w:bottom w:val="single" w:sz="4" w:space="0" w:color="auto"/>
              <w:right w:val="single" w:sz="4" w:space="0" w:color="auto"/>
            </w:tcBorders>
            <w:shd w:val="clear" w:color="auto" w:fill="auto"/>
            <w:noWrap/>
            <w:vAlign w:val="center"/>
            <w:hideMark/>
          </w:tcPr>
          <w:p w14:paraId="6B60C572" w14:textId="77777777" w:rsidR="006C641A" w:rsidRPr="007D1918" w:rsidRDefault="006C641A" w:rsidP="00153384">
            <w:pPr>
              <w:pStyle w:val="Tabletext1"/>
              <w:keepNext/>
              <w:keepLines/>
              <w:jc w:val="right"/>
            </w:pPr>
            <w:r w:rsidRPr="007D1918">
              <w:rPr>
                <w:color w:val="000000"/>
              </w:rPr>
              <w:t>240</w:t>
            </w:r>
          </w:p>
        </w:tc>
      </w:tr>
      <w:tr w:rsidR="006C641A" w:rsidRPr="007D1918" w14:paraId="2D58BD7F"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hideMark/>
          </w:tcPr>
          <w:p w14:paraId="23857C39" w14:textId="77777777" w:rsidR="006C641A" w:rsidRPr="007D1918" w:rsidRDefault="006C641A" w:rsidP="00153384">
            <w:pPr>
              <w:pStyle w:val="Tabletext1"/>
              <w:keepNext/>
              <w:keepLines/>
            </w:pPr>
            <w:r w:rsidRPr="007D1918">
              <w:rPr>
                <w:color w:val="000000"/>
              </w:rPr>
              <w:t xml:space="preserve">Albumin 4% (at cost: $137/L) </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14:paraId="52FB54AC" w14:textId="77777777" w:rsidR="006C641A" w:rsidRPr="007D1918" w:rsidRDefault="006C641A" w:rsidP="00153384">
            <w:pPr>
              <w:pStyle w:val="Tabletext1"/>
              <w:keepNext/>
              <w:keepLines/>
              <w:jc w:val="right"/>
            </w:pPr>
            <w:r w:rsidRPr="007D1918">
              <w:rPr>
                <w:color w:val="000000"/>
              </w:rPr>
              <w:t>$25,345</w:t>
            </w:r>
          </w:p>
        </w:tc>
        <w:tc>
          <w:tcPr>
            <w:tcW w:w="639" w:type="pct"/>
            <w:tcBorders>
              <w:top w:val="nil"/>
              <w:left w:val="nil"/>
              <w:bottom w:val="single" w:sz="4" w:space="0" w:color="auto"/>
              <w:right w:val="single" w:sz="4" w:space="0" w:color="auto"/>
            </w:tcBorders>
            <w:shd w:val="clear" w:color="auto" w:fill="auto"/>
            <w:noWrap/>
            <w:vAlign w:val="center"/>
            <w:hideMark/>
          </w:tcPr>
          <w:p w14:paraId="0EEC2CA5" w14:textId="77777777" w:rsidR="006C641A" w:rsidRPr="007D1918" w:rsidRDefault="006C641A" w:rsidP="00153384">
            <w:pPr>
              <w:pStyle w:val="Tabletext1"/>
              <w:keepNext/>
              <w:keepLines/>
              <w:jc w:val="right"/>
            </w:pPr>
            <w:r w:rsidRPr="007D1918">
              <w:rPr>
                <w:color w:val="000000"/>
              </w:rPr>
              <w:t>$26,715</w:t>
            </w:r>
          </w:p>
        </w:tc>
        <w:tc>
          <w:tcPr>
            <w:tcW w:w="638" w:type="pct"/>
            <w:tcBorders>
              <w:top w:val="nil"/>
              <w:left w:val="nil"/>
              <w:bottom w:val="single" w:sz="4" w:space="0" w:color="auto"/>
              <w:right w:val="single" w:sz="4" w:space="0" w:color="auto"/>
            </w:tcBorders>
            <w:shd w:val="clear" w:color="auto" w:fill="auto"/>
            <w:noWrap/>
            <w:vAlign w:val="center"/>
            <w:hideMark/>
          </w:tcPr>
          <w:p w14:paraId="15796779" w14:textId="77777777" w:rsidR="006C641A" w:rsidRPr="007D1918" w:rsidRDefault="006C641A" w:rsidP="00153384">
            <w:pPr>
              <w:pStyle w:val="Tabletext1"/>
              <w:keepNext/>
              <w:keepLines/>
              <w:jc w:val="right"/>
            </w:pPr>
            <w:r w:rsidRPr="007D1918">
              <w:rPr>
                <w:color w:val="000000"/>
              </w:rPr>
              <w:t>$28,770</w:t>
            </w:r>
          </w:p>
        </w:tc>
        <w:tc>
          <w:tcPr>
            <w:tcW w:w="639" w:type="pct"/>
            <w:tcBorders>
              <w:top w:val="nil"/>
              <w:left w:val="nil"/>
              <w:bottom w:val="single" w:sz="4" w:space="0" w:color="auto"/>
              <w:right w:val="single" w:sz="4" w:space="0" w:color="auto"/>
            </w:tcBorders>
            <w:shd w:val="clear" w:color="auto" w:fill="auto"/>
            <w:noWrap/>
            <w:vAlign w:val="center"/>
            <w:hideMark/>
          </w:tcPr>
          <w:p w14:paraId="6D8342E7" w14:textId="77777777" w:rsidR="006C641A" w:rsidRPr="007D1918" w:rsidRDefault="006C641A" w:rsidP="00153384">
            <w:pPr>
              <w:pStyle w:val="Tabletext1"/>
              <w:keepNext/>
              <w:keepLines/>
              <w:jc w:val="right"/>
            </w:pPr>
            <w:r w:rsidRPr="007D1918">
              <w:rPr>
                <w:color w:val="000000"/>
              </w:rPr>
              <w:t>$30,825</w:t>
            </w:r>
          </w:p>
        </w:tc>
        <w:tc>
          <w:tcPr>
            <w:tcW w:w="639" w:type="pct"/>
            <w:tcBorders>
              <w:top w:val="nil"/>
              <w:left w:val="nil"/>
              <w:bottom w:val="single" w:sz="4" w:space="0" w:color="auto"/>
              <w:right w:val="single" w:sz="4" w:space="0" w:color="auto"/>
            </w:tcBorders>
            <w:shd w:val="clear" w:color="auto" w:fill="auto"/>
            <w:noWrap/>
            <w:vAlign w:val="center"/>
            <w:hideMark/>
          </w:tcPr>
          <w:p w14:paraId="5FAA8FBA" w14:textId="77777777" w:rsidR="006C641A" w:rsidRPr="007D1918" w:rsidRDefault="006C641A" w:rsidP="00153384">
            <w:pPr>
              <w:pStyle w:val="Tabletext1"/>
              <w:keepNext/>
              <w:keepLines/>
              <w:jc w:val="right"/>
            </w:pPr>
            <w:r w:rsidRPr="007D1918">
              <w:rPr>
                <w:color w:val="000000"/>
              </w:rPr>
              <w:t>$32,880</w:t>
            </w:r>
          </w:p>
        </w:tc>
      </w:tr>
      <w:tr w:rsidR="006C641A" w:rsidRPr="007D1918" w14:paraId="3D272561"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hideMark/>
          </w:tcPr>
          <w:p w14:paraId="406A6C55" w14:textId="77777777" w:rsidR="006C641A" w:rsidRPr="007D1918" w:rsidRDefault="006C641A" w:rsidP="00153384">
            <w:pPr>
              <w:pStyle w:val="Tabletext1"/>
              <w:keepNext/>
              <w:keepLines/>
            </w:pPr>
            <w:r w:rsidRPr="007D1918">
              <w:rPr>
                <w:color w:val="000000"/>
              </w:rPr>
              <w:t>PE administrations (5 per patient)</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14:paraId="4DCABF63" w14:textId="77777777" w:rsidR="006C641A" w:rsidRPr="007D1918" w:rsidRDefault="006C641A" w:rsidP="00153384">
            <w:pPr>
              <w:pStyle w:val="Tabletext1"/>
              <w:keepNext/>
              <w:keepLines/>
              <w:jc w:val="right"/>
            </w:pPr>
            <w:r w:rsidRPr="007D1918">
              <w:rPr>
                <w:color w:val="000000"/>
              </w:rPr>
              <w:t>185</w:t>
            </w:r>
          </w:p>
        </w:tc>
        <w:tc>
          <w:tcPr>
            <w:tcW w:w="639" w:type="pct"/>
            <w:tcBorders>
              <w:top w:val="nil"/>
              <w:left w:val="nil"/>
              <w:bottom w:val="single" w:sz="4" w:space="0" w:color="auto"/>
              <w:right w:val="single" w:sz="4" w:space="0" w:color="auto"/>
            </w:tcBorders>
            <w:shd w:val="clear" w:color="auto" w:fill="auto"/>
            <w:noWrap/>
            <w:hideMark/>
          </w:tcPr>
          <w:p w14:paraId="761D0FE1" w14:textId="77777777" w:rsidR="006C641A" w:rsidRPr="007D1918" w:rsidRDefault="006C641A" w:rsidP="00153384">
            <w:pPr>
              <w:pStyle w:val="Tabletext1"/>
              <w:keepNext/>
              <w:keepLines/>
              <w:jc w:val="right"/>
            </w:pPr>
            <w:r w:rsidRPr="007D1918">
              <w:rPr>
                <w:color w:val="000000"/>
              </w:rPr>
              <w:t>195</w:t>
            </w:r>
          </w:p>
        </w:tc>
        <w:tc>
          <w:tcPr>
            <w:tcW w:w="638" w:type="pct"/>
            <w:tcBorders>
              <w:top w:val="nil"/>
              <w:left w:val="nil"/>
              <w:bottom w:val="single" w:sz="4" w:space="0" w:color="auto"/>
              <w:right w:val="single" w:sz="4" w:space="0" w:color="auto"/>
            </w:tcBorders>
            <w:shd w:val="clear" w:color="auto" w:fill="auto"/>
            <w:noWrap/>
            <w:hideMark/>
          </w:tcPr>
          <w:p w14:paraId="53F71F8D" w14:textId="77777777" w:rsidR="006C641A" w:rsidRPr="007D1918" w:rsidRDefault="006C641A" w:rsidP="00153384">
            <w:pPr>
              <w:pStyle w:val="Tabletext1"/>
              <w:keepNext/>
              <w:keepLines/>
              <w:jc w:val="right"/>
            </w:pPr>
            <w:r w:rsidRPr="007D1918">
              <w:rPr>
                <w:color w:val="000000"/>
              </w:rPr>
              <w:t>210</w:t>
            </w:r>
          </w:p>
        </w:tc>
        <w:tc>
          <w:tcPr>
            <w:tcW w:w="639" w:type="pct"/>
            <w:tcBorders>
              <w:top w:val="nil"/>
              <w:left w:val="nil"/>
              <w:bottom w:val="single" w:sz="4" w:space="0" w:color="auto"/>
              <w:right w:val="single" w:sz="4" w:space="0" w:color="auto"/>
            </w:tcBorders>
            <w:shd w:val="clear" w:color="auto" w:fill="auto"/>
            <w:noWrap/>
            <w:hideMark/>
          </w:tcPr>
          <w:p w14:paraId="4A8244F4" w14:textId="77777777" w:rsidR="006C641A" w:rsidRPr="007D1918" w:rsidRDefault="006C641A" w:rsidP="00153384">
            <w:pPr>
              <w:pStyle w:val="Tabletext1"/>
              <w:keepNext/>
              <w:keepLines/>
              <w:jc w:val="right"/>
            </w:pPr>
            <w:r w:rsidRPr="007D1918">
              <w:rPr>
                <w:color w:val="000000"/>
              </w:rPr>
              <w:t>225</w:t>
            </w:r>
          </w:p>
        </w:tc>
        <w:tc>
          <w:tcPr>
            <w:tcW w:w="639" w:type="pct"/>
            <w:tcBorders>
              <w:top w:val="nil"/>
              <w:left w:val="nil"/>
              <w:bottom w:val="single" w:sz="4" w:space="0" w:color="auto"/>
              <w:right w:val="single" w:sz="4" w:space="0" w:color="auto"/>
            </w:tcBorders>
            <w:shd w:val="clear" w:color="auto" w:fill="auto"/>
            <w:noWrap/>
            <w:hideMark/>
          </w:tcPr>
          <w:p w14:paraId="029C3197" w14:textId="77777777" w:rsidR="006C641A" w:rsidRPr="007D1918" w:rsidRDefault="006C641A" w:rsidP="00153384">
            <w:pPr>
              <w:pStyle w:val="Tabletext1"/>
              <w:keepNext/>
              <w:keepLines/>
              <w:jc w:val="right"/>
            </w:pPr>
            <w:r w:rsidRPr="007D1918">
              <w:rPr>
                <w:color w:val="000000"/>
              </w:rPr>
              <w:t>240</w:t>
            </w:r>
          </w:p>
        </w:tc>
      </w:tr>
      <w:tr w:rsidR="006C641A" w:rsidRPr="007D1918" w14:paraId="60DFDA80"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hideMark/>
          </w:tcPr>
          <w:p w14:paraId="21D1C492" w14:textId="77777777" w:rsidR="006C641A" w:rsidRPr="007D1918" w:rsidRDefault="006C641A" w:rsidP="00153384">
            <w:pPr>
              <w:pStyle w:val="Tabletext1"/>
              <w:keepNext/>
              <w:keepLines/>
            </w:pPr>
            <w:r w:rsidRPr="007D1918">
              <w:rPr>
                <w:color w:val="000000"/>
              </w:rPr>
              <w:t>Cost of PE administrations: $1,446.13/exchange day</w:t>
            </w:r>
          </w:p>
        </w:tc>
        <w:tc>
          <w:tcPr>
            <w:tcW w:w="638" w:type="pct"/>
            <w:tcBorders>
              <w:top w:val="nil"/>
              <w:left w:val="single" w:sz="4" w:space="0" w:color="auto"/>
              <w:bottom w:val="single" w:sz="4" w:space="0" w:color="auto"/>
              <w:right w:val="single" w:sz="4" w:space="0" w:color="auto"/>
            </w:tcBorders>
            <w:shd w:val="clear" w:color="auto" w:fill="auto"/>
            <w:noWrap/>
            <w:vAlign w:val="center"/>
            <w:hideMark/>
          </w:tcPr>
          <w:p w14:paraId="076EE6B7" w14:textId="77777777" w:rsidR="006C641A" w:rsidRPr="007D1918" w:rsidRDefault="006C641A" w:rsidP="00153384">
            <w:pPr>
              <w:pStyle w:val="Tabletext1"/>
              <w:keepNext/>
              <w:keepLines/>
              <w:jc w:val="right"/>
            </w:pPr>
            <w:r w:rsidRPr="007D1918">
              <w:rPr>
                <w:color w:val="000000"/>
              </w:rPr>
              <w:t>$267,534</w:t>
            </w:r>
          </w:p>
        </w:tc>
        <w:tc>
          <w:tcPr>
            <w:tcW w:w="639" w:type="pct"/>
            <w:tcBorders>
              <w:top w:val="nil"/>
              <w:left w:val="nil"/>
              <w:bottom w:val="single" w:sz="4" w:space="0" w:color="auto"/>
              <w:right w:val="single" w:sz="4" w:space="0" w:color="auto"/>
            </w:tcBorders>
            <w:shd w:val="clear" w:color="auto" w:fill="auto"/>
            <w:noWrap/>
            <w:vAlign w:val="center"/>
            <w:hideMark/>
          </w:tcPr>
          <w:p w14:paraId="4495AD82" w14:textId="77777777" w:rsidR="006C641A" w:rsidRPr="007D1918" w:rsidRDefault="006C641A" w:rsidP="00153384">
            <w:pPr>
              <w:pStyle w:val="Tabletext1"/>
              <w:keepNext/>
              <w:keepLines/>
              <w:jc w:val="right"/>
            </w:pPr>
            <w:r w:rsidRPr="007D1918">
              <w:rPr>
                <w:color w:val="000000"/>
              </w:rPr>
              <w:t>$281,995</w:t>
            </w:r>
          </w:p>
        </w:tc>
        <w:tc>
          <w:tcPr>
            <w:tcW w:w="638" w:type="pct"/>
            <w:tcBorders>
              <w:top w:val="nil"/>
              <w:left w:val="nil"/>
              <w:bottom w:val="single" w:sz="4" w:space="0" w:color="auto"/>
              <w:right w:val="single" w:sz="4" w:space="0" w:color="auto"/>
            </w:tcBorders>
            <w:shd w:val="clear" w:color="auto" w:fill="auto"/>
            <w:noWrap/>
            <w:vAlign w:val="center"/>
            <w:hideMark/>
          </w:tcPr>
          <w:p w14:paraId="3D2E2274" w14:textId="77777777" w:rsidR="006C641A" w:rsidRPr="007D1918" w:rsidRDefault="006C641A" w:rsidP="00153384">
            <w:pPr>
              <w:pStyle w:val="Tabletext1"/>
              <w:keepNext/>
              <w:keepLines/>
              <w:jc w:val="right"/>
            </w:pPr>
            <w:r w:rsidRPr="007D1918">
              <w:rPr>
                <w:color w:val="000000"/>
              </w:rPr>
              <w:t>$303,687</w:t>
            </w:r>
          </w:p>
        </w:tc>
        <w:tc>
          <w:tcPr>
            <w:tcW w:w="639" w:type="pct"/>
            <w:tcBorders>
              <w:top w:val="nil"/>
              <w:left w:val="nil"/>
              <w:bottom w:val="single" w:sz="4" w:space="0" w:color="auto"/>
              <w:right w:val="single" w:sz="4" w:space="0" w:color="auto"/>
            </w:tcBorders>
            <w:shd w:val="clear" w:color="auto" w:fill="auto"/>
            <w:noWrap/>
            <w:vAlign w:val="center"/>
            <w:hideMark/>
          </w:tcPr>
          <w:p w14:paraId="2DEC87E5" w14:textId="77777777" w:rsidR="006C641A" w:rsidRPr="007D1918" w:rsidRDefault="006C641A" w:rsidP="00153384">
            <w:pPr>
              <w:pStyle w:val="Tabletext1"/>
              <w:keepNext/>
              <w:keepLines/>
              <w:jc w:val="right"/>
            </w:pPr>
            <w:r w:rsidRPr="007D1918">
              <w:rPr>
                <w:color w:val="000000"/>
              </w:rPr>
              <w:t>$325,379</w:t>
            </w:r>
          </w:p>
        </w:tc>
        <w:tc>
          <w:tcPr>
            <w:tcW w:w="639" w:type="pct"/>
            <w:tcBorders>
              <w:top w:val="nil"/>
              <w:left w:val="nil"/>
              <w:bottom w:val="single" w:sz="4" w:space="0" w:color="auto"/>
              <w:right w:val="single" w:sz="4" w:space="0" w:color="auto"/>
            </w:tcBorders>
            <w:shd w:val="clear" w:color="auto" w:fill="auto"/>
            <w:noWrap/>
            <w:vAlign w:val="center"/>
            <w:hideMark/>
          </w:tcPr>
          <w:p w14:paraId="6626282B" w14:textId="77777777" w:rsidR="006C641A" w:rsidRPr="007D1918" w:rsidRDefault="006C641A" w:rsidP="00153384">
            <w:pPr>
              <w:pStyle w:val="Tabletext1"/>
              <w:keepNext/>
              <w:keepLines/>
              <w:jc w:val="right"/>
            </w:pPr>
            <w:r w:rsidRPr="007D1918">
              <w:rPr>
                <w:color w:val="000000"/>
              </w:rPr>
              <w:t>$347,071</w:t>
            </w:r>
          </w:p>
        </w:tc>
      </w:tr>
      <w:tr w:rsidR="006C641A" w:rsidRPr="007D1918" w14:paraId="0F4F6EDC"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tcPr>
          <w:p w14:paraId="06CE5B63" w14:textId="77777777" w:rsidR="006C641A" w:rsidRPr="007D1918" w:rsidRDefault="006C641A" w:rsidP="00153384">
            <w:pPr>
              <w:pStyle w:val="Tabletext1"/>
              <w:keepNext/>
              <w:keepLines/>
              <w:rPr>
                <w:color w:val="000000"/>
              </w:rPr>
            </w:pPr>
            <w:r w:rsidRPr="007D1918">
              <w:rPr>
                <w:b/>
                <w:bCs/>
                <w:color w:val="000000"/>
              </w:rPr>
              <w:t>Indication 3 Patients</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94943F" w14:textId="77777777" w:rsidR="006C641A" w:rsidRPr="007D1918" w:rsidRDefault="006C641A" w:rsidP="00153384">
            <w:pPr>
              <w:pStyle w:val="Tabletext1"/>
              <w:keepNext/>
              <w:keepLines/>
              <w:jc w:val="right"/>
              <w:rPr>
                <w:color w:val="000000"/>
              </w:rPr>
            </w:pPr>
            <w:r w:rsidRPr="007D1918">
              <w:rPr>
                <w:color w:val="000000"/>
              </w:rPr>
              <w:t xml:space="preserve">1,046 </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2007FFF8" w14:textId="77777777" w:rsidR="006C641A" w:rsidRPr="007D1918" w:rsidRDefault="006C641A" w:rsidP="00153384">
            <w:pPr>
              <w:pStyle w:val="Tabletext1"/>
              <w:keepNext/>
              <w:keepLines/>
              <w:jc w:val="right"/>
              <w:rPr>
                <w:color w:val="000000"/>
              </w:rPr>
            </w:pPr>
            <w:r w:rsidRPr="007D1918">
              <w:rPr>
                <w:color w:val="000000"/>
              </w:rPr>
              <w:t xml:space="preserve">1,128 </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6DF380B8" w14:textId="77777777" w:rsidR="006C641A" w:rsidRPr="007D1918" w:rsidRDefault="006C641A" w:rsidP="00153384">
            <w:pPr>
              <w:pStyle w:val="Tabletext1"/>
              <w:keepNext/>
              <w:keepLines/>
              <w:jc w:val="right"/>
              <w:rPr>
                <w:color w:val="000000"/>
              </w:rPr>
            </w:pPr>
            <w:r w:rsidRPr="007D1918">
              <w:rPr>
                <w:color w:val="000000"/>
              </w:rPr>
              <w:t xml:space="preserve">1,211 </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319DF274" w14:textId="77777777" w:rsidR="006C641A" w:rsidRPr="007D1918" w:rsidRDefault="006C641A" w:rsidP="00153384">
            <w:pPr>
              <w:pStyle w:val="Tabletext1"/>
              <w:keepNext/>
              <w:keepLines/>
              <w:jc w:val="right"/>
              <w:rPr>
                <w:color w:val="000000"/>
              </w:rPr>
            </w:pPr>
            <w:r w:rsidRPr="007D1918">
              <w:rPr>
                <w:color w:val="000000"/>
              </w:rPr>
              <w:t xml:space="preserve">1,293 </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136B1D4A" w14:textId="77777777" w:rsidR="006C641A" w:rsidRPr="007D1918" w:rsidRDefault="006C641A" w:rsidP="00153384">
            <w:pPr>
              <w:pStyle w:val="Tabletext1"/>
              <w:keepNext/>
              <w:keepLines/>
              <w:jc w:val="right"/>
              <w:rPr>
                <w:color w:val="000000"/>
              </w:rPr>
            </w:pPr>
            <w:r w:rsidRPr="007D1918">
              <w:rPr>
                <w:color w:val="000000"/>
              </w:rPr>
              <w:t xml:space="preserve">1,376 </w:t>
            </w:r>
          </w:p>
        </w:tc>
      </w:tr>
      <w:tr w:rsidR="006C641A" w:rsidRPr="007D1918" w14:paraId="5B14B6D0"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tcPr>
          <w:p w14:paraId="755CB2A1" w14:textId="77777777" w:rsidR="006C641A" w:rsidRPr="007D1918" w:rsidRDefault="006C641A" w:rsidP="00153384">
            <w:pPr>
              <w:pStyle w:val="Tabletext1"/>
              <w:keepNext/>
              <w:keepLines/>
              <w:rPr>
                <w:bCs/>
                <w:color w:val="000000"/>
              </w:rPr>
            </w:pPr>
            <w:r w:rsidRPr="007D1918">
              <w:rPr>
                <w:bCs/>
                <w:color w:val="000000"/>
              </w:rPr>
              <w:t>[would otherwise increase utilisation of PE, surgery, PBS and hospital-supplied pharmaceuticals: in an unknown pattern]</w:t>
            </w:r>
          </w:p>
        </w:tc>
        <w:tc>
          <w:tcPr>
            <w:tcW w:w="3193" w:type="pct"/>
            <w:gridSpan w:val="5"/>
            <w:tcBorders>
              <w:top w:val="nil"/>
              <w:left w:val="single" w:sz="4" w:space="0" w:color="auto"/>
              <w:bottom w:val="single" w:sz="4" w:space="0" w:color="auto"/>
              <w:right w:val="single" w:sz="4" w:space="0" w:color="auto"/>
            </w:tcBorders>
            <w:shd w:val="clear" w:color="auto" w:fill="auto"/>
            <w:noWrap/>
            <w:vAlign w:val="center"/>
          </w:tcPr>
          <w:p w14:paraId="003DB9FC" w14:textId="77777777" w:rsidR="006C641A" w:rsidRPr="007D1918" w:rsidRDefault="006C641A" w:rsidP="00153384">
            <w:pPr>
              <w:pStyle w:val="Tabletext1"/>
              <w:keepNext/>
              <w:keepLines/>
              <w:rPr>
                <w:b/>
                <w:bCs/>
                <w:color w:val="000000"/>
              </w:rPr>
            </w:pPr>
            <w:r w:rsidRPr="007D1918">
              <w:rPr>
                <w:bCs/>
                <w:color w:val="000000"/>
              </w:rPr>
              <w:t>Unknown financial impact</w:t>
            </w:r>
            <w:r w:rsidRPr="007D1918">
              <w:rPr>
                <w:bCs/>
                <w:color w:val="000000"/>
              </w:rPr>
              <w:br/>
            </w:r>
            <w:r w:rsidRPr="007D1918">
              <w:rPr>
                <w:bCs/>
                <w:i/>
                <w:color w:val="000000"/>
              </w:rPr>
              <w:t>- would impact Commonwealth health budgets (NBA, PBS and MBS expenditures) and State government budgets (health/hospital expenditure).</w:t>
            </w:r>
          </w:p>
        </w:tc>
      </w:tr>
      <w:tr w:rsidR="006C641A" w:rsidRPr="007D1918" w14:paraId="323B96DD"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tcPr>
          <w:p w14:paraId="44B6213B" w14:textId="77777777" w:rsidR="006C641A" w:rsidRPr="007D1918" w:rsidRDefault="006C641A" w:rsidP="00153384">
            <w:pPr>
              <w:pStyle w:val="Tabletext1"/>
              <w:keepNext/>
              <w:keepLines/>
            </w:pPr>
            <w:r w:rsidRPr="007D1918">
              <w:rPr>
                <w:b/>
                <w:bCs/>
                <w:color w:val="000000"/>
              </w:rPr>
              <w:t>Total costs offsets achieved using IVIg</w:t>
            </w:r>
          </w:p>
        </w:tc>
        <w:tc>
          <w:tcPr>
            <w:tcW w:w="638"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A25AA3B" w14:textId="77777777" w:rsidR="006C641A" w:rsidRPr="007D1918" w:rsidRDefault="006C641A" w:rsidP="00153384">
            <w:pPr>
              <w:pStyle w:val="Tabletext1"/>
              <w:keepNext/>
              <w:keepLines/>
              <w:jc w:val="right"/>
            </w:pPr>
            <w:r w:rsidRPr="007D1918">
              <w:rPr>
                <w:b/>
                <w:bCs/>
                <w:color w:val="000000"/>
              </w:rPr>
              <w:t>&gt;$781,695</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32004C16" w14:textId="77777777" w:rsidR="006C641A" w:rsidRPr="007D1918" w:rsidRDefault="006C641A" w:rsidP="00153384">
            <w:pPr>
              <w:pStyle w:val="Tabletext1"/>
              <w:keepNext/>
              <w:keepLines/>
              <w:jc w:val="right"/>
            </w:pPr>
            <w:r w:rsidRPr="007D1918">
              <w:rPr>
                <w:b/>
                <w:bCs/>
                <w:color w:val="000000"/>
              </w:rPr>
              <w:t>&gt;$836,982</w:t>
            </w:r>
          </w:p>
        </w:tc>
        <w:tc>
          <w:tcPr>
            <w:tcW w:w="638" w:type="pct"/>
            <w:tcBorders>
              <w:top w:val="single" w:sz="4" w:space="0" w:color="auto"/>
              <w:left w:val="nil"/>
              <w:bottom w:val="single" w:sz="4" w:space="0" w:color="auto"/>
              <w:right w:val="single" w:sz="4" w:space="0" w:color="auto"/>
            </w:tcBorders>
            <w:shd w:val="clear" w:color="auto" w:fill="FFFFFF" w:themeFill="background1"/>
            <w:noWrap/>
            <w:vAlign w:val="center"/>
          </w:tcPr>
          <w:p w14:paraId="5073B9BD" w14:textId="77777777" w:rsidR="006C641A" w:rsidRPr="007D1918" w:rsidRDefault="006C641A" w:rsidP="00153384">
            <w:pPr>
              <w:pStyle w:val="Tabletext1"/>
              <w:keepNext/>
              <w:keepLines/>
              <w:jc w:val="right"/>
            </w:pPr>
            <w:r w:rsidRPr="007D1918">
              <w:rPr>
                <w:b/>
                <w:bCs/>
                <w:color w:val="000000"/>
              </w:rPr>
              <w:t>&gt;$897,993</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02A96806" w14:textId="77777777" w:rsidR="006C641A" w:rsidRPr="007D1918" w:rsidRDefault="006C641A" w:rsidP="00153384">
            <w:pPr>
              <w:pStyle w:val="Tabletext1"/>
              <w:keepNext/>
              <w:keepLines/>
              <w:jc w:val="right"/>
            </w:pPr>
            <w:r w:rsidRPr="007D1918">
              <w:rPr>
                <w:b/>
                <w:bCs/>
                <w:color w:val="000000"/>
              </w:rPr>
              <w:t>&gt;$961,196</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380851EC" w14:textId="77777777" w:rsidR="006C641A" w:rsidRPr="007D1918" w:rsidRDefault="006C641A" w:rsidP="00153384">
            <w:pPr>
              <w:pStyle w:val="Tabletext1"/>
              <w:keepNext/>
              <w:keepLines/>
              <w:jc w:val="right"/>
            </w:pPr>
            <w:r w:rsidRPr="007D1918">
              <w:rPr>
                <w:b/>
                <w:bCs/>
                <w:color w:val="000000"/>
              </w:rPr>
              <w:t>&gt;$1,024,399</w:t>
            </w:r>
          </w:p>
        </w:tc>
      </w:tr>
      <w:tr w:rsidR="006C641A" w:rsidRPr="007D1918" w14:paraId="26D19CB3"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tcPr>
          <w:p w14:paraId="33177BBF" w14:textId="77777777" w:rsidR="006C641A" w:rsidRPr="007D1918" w:rsidRDefault="006C641A" w:rsidP="00153384">
            <w:pPr>
              <w:pStyle w:val="Tabletext1"/>
              <w:keepNext/>
              <w:keepLines/>
            </w:pPr>
            <w:r w:rsidRPr="007D1918">
              <w:rPr>
                <w:color w:val="000000"/>
              </w:rPr>
              <w:t>Offsets to the Commonwealth</w:t>
            </w:r>
            <w:r w:rsidRPr="007D1918">
              <w:rPr>
                <w:color w:val="000000"/>
                <w:vertAlign w:val="superscript"/>
              </w:rPr>
              <w:t>a</w:t>
            </w:r>
            <w:r w:rsidRPr="007D1918">
              <w:rPr>
                <w:color w:val="000000"/>
              </w:rPr>
              <w:t xml:space="preserve"> </w:t>
            </w:r>
          </w:p>
        </w:tc>
        <w:tc>
          <w:tcPr>
            <w:tcW w:w="638" w:type="pct"/>
            <w:tcBorders>
              <w:top w:val="nil"/>
              <w:left w:val="single" w:sz="4" w:space="0" w:color="auto"/>
              <w:bottom w:val="single" w:sz="4" w:space="0" w:color="auto"/>
              <w:right w:val="single" w:sz="4" w:space="0" w:color="auto"/>
            </w:tcBorders>
            <w:shd w:val="clear" w:color="auto" w:fill="auto"/>
            <w:noWrap/>
            <w:vAlign w:val="center"/>
          </w:tcPr>
          <w:p w14:paraId="26F31199" w14:textId="77777777" w:rsidR="006C641A" w:rsidRPr="007D1918" w:rsidRDefault="006C641A" w:rsidP="00153384">
            <w:pPr>
              <w:pStyle w:val="Tabletext1"/>
              <w:keepNext/>
              <w:keepLines/>
              <w:jc w:val="right"/>
            </w:pPr>
            <w:r w:rsidRPr="007D1918">
              <w:rPr>
                <w:color w:val="000000"/>
              </w:rPr>
              <w:t>&gt;$323,921</w:t>
            </w:r>
          </w:p>
        </w:tc>
        <w:tc>
          <w:tcPr>
            <w:tcW w:w="639" w:type="pct"/>
            <w:tcBorders>
              <w:top w:val="nil"/>
              <w:left w:val="nil"/>
              <w:bottom w:val="single" w:sz="4" w:space="0" w:color="auto"/>
              <w:right w:val="single" w:sz="4" w:space="0" w:color="auto"/>
            </w:tcBorders>
            <w:shd w:val="clear" w:color="auto" w:fill="auto"/>
            <w:noWrap/>
            <w:vAlign w:val="center"/>
          </w:tcPr>
          <w:p w14:paraId="55F6F1CC" w14:textId="77777777" w:rsidR="006C641A" w:rsidRPr="007D1918" w:rsidRDefault="006C641A" w:rsidP="00153384">
            <w:pPr>
              <w:pStyle w:val="Tabletext1"/>
              <w:keepNext/>
              <w:keepLines/>
              <w:jc w:val="right"/>
            </w:pPr>
            <w:r w:rsidRPr="007D1918">
              <w:rPr>
                <w:color w:val="000000"/>
              </w:rPr>
              <w:t>&gt;$349,642</w:t>
            </w:r>
          </w:p>
        </w:tc>
        <w:tc>
          <w:tcPr>
            <w:tcW w:w="638" w:type="pct"/>
            <w:tcBorders>
              <w:top w:val="nil"/>
              <w:left w:val="nil"/>
              <w:bottom w:val="single" w:sz="4" w:space="0" w:color="auto"/>
              <w:right w:val="single" w:sz="4" w:space="0" w:color="auto"/>
            </w:tcBorders>
            <w:shd w:val="clear" w:color="auto" w:fill="auto"/>
            <w:noWrap/>
            <w:vAlign w:val="center"/>
          </w:tcPr>
          <w:p w14:paraId="7DA7096E" w14:textId="77777777" w:rsidR="006C641A" w:rsidRPr="007D1918" w:rsidRDefault="006C641A" w:rsidP="00153384">
            <w:pPr>
              <w:pStyle w:val="Tabletext1"/>
              <w:keepNext/>
              <w:keepLines/>
              <w:jc w:val="right"/>
            </w:pPr>
            <w:r w:rsidRPr="007D1918">
              <w:rPr>
                <w:color w:val="000000"/>
              </w:rPr>
              <w:t>&gt;$374,413</w:t>
            </w:r>
          </w:p>
        </w:tc>
        <w:tc>
          <w:tcPr>
            <w:tcW w:w="639" w:type="pct"/>
            <w:tcBorders>
              <w:top w:val="nil"/>
              <w:left w:val="nil"/>
              <w:bottom w:val="single" w:sz="4" w:space="0" w:color="auto"/>
              <w:right w:val="single" w:sz="4" w:space="0" w:color="auto"/>
            </w:tcBorders>
            <w:shd w:val="clear" w:color="auto" w:fill="auto"/>
            <w:noWrap/>
            <w:vAlign w:val="center"/>
          </w:tcPr>
          <w:p w14:paraId="0C21B780" w14:textId="77777777" w:rsidR="006C641A" w:rsidRPr="007D1918" w:rsidRDefault="006C641A" w:rsidP="00153384">
            <w:pPr>
              <w:pStyle w:val="Tabletext1"/>
              <w:keepNext/>
              <w:keepLines/>
              <w:jc w:val="right"/>
            </w:pPr>
            <w:r w:rsidRPr="007D1918">
              <w:rPr>
                <w:color w:val="000000"/>
              </w:rPr>
              <w:t>&gt;$400,565</w:t>
            </w:r>
          </w:p>
        </w:tc>
        <w:tc>
          <w:tcPr>
            <w:tcW w:w="639" w:type="pct"/>
            <w:tcBorders>
              <w:top w:val="nil"/>
              <w:left w:val="nil"/>
              <w:bottom w:val="single" w:sz="4" w:space="0" w:color="auto"/>
              <w:right w:val="single" w:sz="4" w:space="0" w:color="auto"/>
            </w:tcBorders>
            <w:shd w:val="clear" w:color="auto" w:fill="auto"/>
            <w:noWrap/>
            <w:vAlign w:val="center"/>
          </w:tcPr>
          <w:p w14:paraId="04896AC4" w14:textId="77777777" w:rsidR="006C641A" w:rsidRPr="007D1918" w:rsidRDefault="006C641A" w:rsidP="00153384">
            <w:pPr>
              <w:pStyle w:val="Tabletext1"/>
              <w:keepNext/>
              <w:keepLines/>
              <w:jc w:val="right"/>
            </w:pPr>
            <w:r w:rsidRPr="007D1918">
              <w:rPr>
                <w:color w:val="000000"/>
              </w:rPr>
              <w:t>&gt;$426,717</w:t>
            </w:r>
          </w:p>
        </w:tc>
      </w:tr>
      <w:tr w:rsidR="006C641A" w:rsidRPr="007D1918" w14:paraId="4DDCA8A7" w14:textId="77777777" w:rsidTr="00153384">
        <w:trPr>
          <w:trHeight w:val="300"/>
        </w:trPr>
        <w:tc>
          <w:tcPr>
            <w:tcW w:w="1807" w:type="pct"/>
            <w:tcBorders>
              <w:top w:val="nil"/>
              <w:left w:val="single" w:sz="4" w:space="0" w:color="auto"/>
              <w:bottom w:val="single" w:sz="4" w:space="0" w:color="auto"/>
              <w:right w:val="single" w:sz="4" w:space="0" w:color="auto"/>
            </w:tcBorders>
            <w:shd w:val="clear" w:color="auto" w:fill="auto"/>
            <w:noWrap/>
            <w:vAlign w:val="center"/>
          </w:tcPr>
          <w:p w14:paraId="52753B0B" w14:textId="77777777" w:rsidR="006C641A" w:rsidRPr="007D1918" w:rsidRDefault="006C641A" w:rsidP="00153384">
            <w:pPr>
              <w:pStyle w:val="Tabletext1"/>
              <w:keepNext/>
              <w:keepLines/>
            </w:pPr>
            <w:r w:rsidRPr="007D1918">
              <w:rPr>
                <w:color w:val="000000"/>
              </w:rPr>
              <w:t>Offsets to the States</w:t>
            </w:r>
            <w:r w:rsidRPr="007D1918">
              <w:rPr>
                <w:color w:val="000000"/>
                <w:vertAlign w:val="superscript"/>
              </w:rPr>
              <w:t>a,b</w:t>
            </w:r>
          </w:p>
        </w:tc>
        <w:tc>
          <w:tcPr>
            <w:tcW w:w="63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6701CA" w14:textId="77777777" w:rsidR="006C641A" w:rsidRPr="007D1918" w:rsidRDefault="006C641A" w:rsidP="00153384">
            <w:pPr>
              <w:pStyle w:val="Tabletext1"/>
              <w:keepNext/>
              <w:keepLines/>
              <w:jc w:val="right"/>
            </w:pPr>
            <w:r w:rsidRPr="007D1918">
              <w:rPr>
                <w:color w:val="000000"/>
              </w:rPr>
              <w:t>&gt;$457,774</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68BC98B1" w14:textId="77777777" w:rsidR="006C641A" w:rsidRPr="007D1918" w:rsidRDefault="006C641A" w:rsidP="00153384">
            <w:pPr>
              <w:pStyle w:val="Tabletext1"/>
              <w:keepNext/>
              <w:keepLines/>
              <w:jc w:val="right"/>
            </w:pPr>
            <w:r w:rsidRPr="007D1918">
              <w:rPr>
                <w:color w:val="000000"/>
              </w:rPr>
              <w:t>&gt;$487,341</w:t>
            </w:r>
          </w:p>
        </w:tc>
        <w:tc>
          <w:tcPr>
            <w:tcW w:w="638" w:type="pct"/>
            <w:tcBorders>
              <w:top w:val="single" w:sz="4" w:space="0" w:color="auto"/>
              <w:left w:val="nil"/>
              <w:bottom w:val="single" w:sz="4" w:space="0" w:color="auto"/>
              <w:right w:val="single" w:sz="4" w:space="0" w:color="auto"/>
            </w:tcBorders>
            <w:shd w:val="clear" w:color="auto" w:fill="auto"/>
            <w:noWrap/>
            <w:vAlign w:val="center"/>
          </w:tcPr>
          <w:p w14:paraId="263AB750" w14:textId="77777777" w:rsidR="006C641A" w:rsidRPr="007D1918" w:rsidRDefault="006C641A" w:rsidP="00153384">
            <w:pPr>
              <w:pStyle w:val="Tabletext1"/>
              <w:keepNext/>
              <w:keepLines/>
              <w:jc w:val="right"/>
            </w:pPr>
            <w:r w:rsidRPr="007D1918">
              <w:rPr>
                <w:color w:val="000000"/>
              </w:rPr>
              <w:t>&gt;$523,581</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359738F4" w14:textId="77777777" w:rsidR="006C641A" w:rsidRPr="007D1918" w:rsidRDefault="006C641A" w:rsidP="00153384">
            <w:pPr>
              <w:pStyle w:val="Tabletext1"/>
              <w:keepNext/>
              <w:keepLines/>
              <w:jc w:val="right"/>
            </w:pPr>
            <w:r w:rsidRPr="007D1918">
              <w:rPr>
                <w:color w:val="000000"/>
              </w:rPr>
              <w:t>&gt;$560,632</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0570A7A9" w14:textId="77777777" w:rsidR="006C641A" w:rsidRPr="007D1918" w:rsidRDefault="006C641A" w:rsidP="00153384">
            <w:pPr>
              <w:pStyle w:val="Tabletext1"/>
              <w:keepNext/>
              <w:keepLines/>
              <w:jc w:val="right"/>
            </w:pPr>
            <w:r w:rsidRPr="007D1918">
              <w:rPr>
                <w:color w:val="000000"/>
              </w:rPr>
              <w:t>&gt;$597,683</w:t>
            </w:r>
          </w:p>
        </w:tc>
      </w:tr>
    </w:tbl>
    <w:p w14:paraId="253EF998" w14:textId="77777777" w:rsidR="006C641A" w:rsidRPr="007D1918" w:rsidRDefault="006C641A" w:rsidP="006C641A">
      <w:pPr>
        <w:pStyle w:val="Tablenotes0"/>
        <w:keepNext/>
        <w:keepLines/>
        <w:spacing w:after="360"/>
      </w:pPr>
      <w:r w:rsidRPr="007D1918">
        <w:rPr>
          <w:vertAlign w:val="superscript"/>
        </w:rPr>
        <w:t>a</w:t>
      </w:r>
      <w:r w:rsidRPr="007D1918">
        <w:t xml:space="preserve"> Albumin 4% costs are allocated as 63% Commonwealth, 37% State government.</w:t>
      </w:r>
    </w:p>
    <w:p w14:paraId="7BF9F769" w14:textId="77777777" w:rsidR="006C641A" w:rsidRPr="007D1918" w:rsidRDefault="006C641A" w:rsidP="006C641A">
      <w:pPr>
        <w:pStyle w:val="Tablenotes0"/>
        <w:keepNext/>
        <w:keepLines/>
        <w:spacing w:after="360"/>
      </w:pPr>
      <w:r w:rsidRPr="007D1918">
        <w:rPr>
          <w:vertAlign w:val="superscript"/>
        </w:rPr>
        <w:t>b</w:t>
      </w:r>
      <w:r w:rsidRPr="007D1918">
        <w:t xml:space="preserve"> Outpatient and Day patient therapy administration costs are allocated as 100% State government.</w:t>
      </w:r>
    </w:p>
    <w:p w14:paraId="3F956404" w14:textId="77777777" w:rsidR="006C641A" w:rsidRPr="007D1918" w:rsidRDefault="006C641A" w:rsidP="006C641A">
      <w:pPr>
        <w:pStyle w:val="Tablenotes0"/>
        <w:keepNext/>
        <w:keepLines/>
        <w:spacing w:after="360"/>
      </w:pPr>
      <w:r w:rsidRPr="007D1918">
        <w:t>IVIg = intravenous immunoglobulin; MBS = Medicare Benefits Schedule; NBA = National Blood Authority; PBS = Pharmaceutical Benefits Scheme; PE = plasma exchange.</w:t>
      </w:r>
    </w:p>
    <w:p w14:paraId="612AC471" w14:textId="77777777" w:rsidR="006C641A" w:rsidRPr="007D1918" w:rsidRDefault="006C641A" w:rsidP="00114478"/>
    <w:p w14:paraId="7F0EADE9" w14:textId="77777777" w:rsidR="006C641A" w:rsidRPr="007D1918" w:rsidRDefault="006C641A" w:rsidP="006C641A">
      <w:pPr>
        <w:pStyle w:val="Heading2"/>
        <w:numPr>
          <w:ilvl w:val="4"/>
          <w:numId w:val="11"/>
        </w:numPr>
      </w:pPr>
      <w:bookmarkStart w:id="535" w:name="_Toc15561890"/>
      <w:bookmarkStart w:id="536" w:name="_Toc23767011"/>
      <w:bookmarkEnd w:id="527"/>
      <w:bookmarkEnd w:id="528"/>
      <w:r w:rsidRPr="007D1918">
        <w:t>Financial Implications for Government Health Budgets</w:t>
      </w:r>
      <w:bookmarkEnd w:id="535"/>
      <w:bookmarkEnd w:id="536"/>
      <w:r w:rsidRPr="007D1918">
        <w:t xml:space="preserve"> </w:t>
      </w:r>
    </w:p>
    <w:p w14:paraId="7132D05B" w14:textId="72837816" w:rsidR="006C641A" w:rsidRPr="007D1918" w:rsidRDefault="006C641A" w:rsidP="006C641A">
      <w:pPr>
        <w:jc w:val="both"/>
      </w:pPr>
      <w:r w:rsidRPr="007D1918">
        <w:t xml:space="preserve">The net financial implications for government budgets associated with the funding of Ig for MG are presented in </w:t>
      </w:r>
      <w:r w:rsidRPr="007D1918">
        <w:fldChar w:fldCharType="begin"/>
      </w:r>
      <w:r w:rsidRPr="007D1918">
        <w:instrText xml:space="preserve"> REF _Ref13664229 \h  \* MERGEFORMAT </w:instrText>
      </w:r>
      <w:r w:rsidRPr="007D1918">
        <w:fldChar w:fldCharType="separate"/>
      </w:r>
      <w:r w:rsidR="00B865E7" w:rsidRPr="007D1918">
        <w:t xml:space="preserve">Table </w:t>
      </w:r>
      <w:r w:rsidR="00B865E7" w:rsidRPr="007D1918">
        <w:rPr>
          <w:noProof/>
        </w:rPr>
        <w:t>97</w:t>
      </w:r>
      <w:r w:rsidRPr="007D1918">
        <w:fldChar w:fldCharType="end"/>
      </w:r>
      <w:r w:rsidRPr="007D1918">
        <w:t xml:space="preserve">. However, these are likely underestimates as additional cost offsets associated with reduced comparator therapy use in Indication 3 patients is highly likely but cannot be reliably estimated. </w:t>
      </w:r>
    </w:p>
    <w:p w14:paraId="4570380E" w14:textId="77777777" w:rsidR="006C641A" w:rsidRPr="007D1918" w:rsidRDefault="006C641A" w:rsidP="006C641A">
      <w:pPr>
        <w:spacing w:after="0" w:line="240" w:lineRule="auto"/>
      </w:pPr>
      <w:r w:rsidRPr="007D1918">
        <w:br w:type="page"/>
      </w:r>
    </w:p>
    <w:p w14:paraId="7D235ACE" w14:textId="68A50327" w:rsidR="006C641A" w:rsidRPr="007D1918" w:rsidRDefault="006C641A" w:rsidP="006C641A">
      <w:pPr>
        <w:pStyle w:val="Caption"/>
        <w:keepNext/>
      </w:pPr>
      <w:bookmarkStart w:id="537" w:name="_Ref13664229"/>
      <w:bookmarkStart w:id="538" w:name="_Toc15561996"/>
      <w:bookmarkStart w:id="539" w:name="_Toc23769584"/>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97</w:t>
      </w:r>
      <w:r w:rsidRPr="007D1918">
        <w:rPr>
          <w:noProof/>
        </w:rPr>
        <w:fldChar w:fldCharType="end"/>
      </w:r>
      <w:bookmarkEnd w:id="537"/>
      <w:r w:rsidRPr="007D1918">
        <w:tab/>
        <w:t>Net financial implications to government associated with Ig for MG</w:t>
      </w:r>
      <w:bookmarkEnd w:id="538"/>
      <w:bookmarkEnd w:id="539"/>
    </w:p>
    <w:tbl>
      <w:tblPr>
        <w:tblStyle w:val="TableGrid1"/>
        <w:tblW w:w="5000" w:type="pct"/>
        <w:tblLayout w:type="fixed"/>
        <w:tblLook w:val="04A0" w:firstRow="1" w:lastRow="0" w:firstColumn="1" w:lastColumn="0" w:noHBand="0" w:noVBand="1"/>
        <w:tblCaption w:val="Net financial implications to government associated with Ig for acquired hypogammaglobulinaemia"/>
      </w:tblPr>
      <w:tblGrid>
        <w:gridCol w:w="3259"/>
        <w:gridCol w:w="1152"/>
        <w:gridCol w:w="1152"/>
        <w:gridCol w:w="1152"/>
        <w:gridCol w:w="1152"/>
        <w:gridCol w:w="1149"/>
      </w:tblGrid>
      <w:tr w:rsidR="006C641A" w:rsidRPr="007D1918" w14:paraId="1C1B39A8" w14:textId="77777777" w:rsidTr="00153384">
        <w:trPr>
          <w:cnfStyle w:val="100000000000" w:firstRow="1" w:lastRow="0" w:firstColumn="0" w:lastColumn="0" w:oddVBand="0" w:evenVBand="0" w:oddHBand="0" w:evenHBand="0" w:firstRowFirstColumn="0" w:firstRowLastColumn="0" w:lastRowFirstColumn="0" w:lastRowLastColumn="0"/>
          <w:trHeight w:val="300"/>
          <w:tblHeader/>
        </w:trPr>
        <w:tc>
          <w:tcPr>
            <w:tcW w:w="1807" w:type="pct"/>
            <w:tcBorders>
              <w:bottom w:val="single" w:sz="4" w:space="0" w:color="auto"/>
            </w:tcBorders>
            <w:noWrap/>
          </w:tcPr>
          <w:p w14:paraId="505F9C5A" w14:textId="77777777" w:rsidR="006C641A" w:rsidRPr="007D1918" w:rsidRDefault="006C641A" w:rsidP="00153384">
            <w:pPr>
              <w:pStyle w:val="TableHeading"/>
              <w:jc w:val="center"/>
            </w:pPr>
          </w:p>
        </w:tc>
        <w:tc>
          <w:tcPr>
            <w:tcW w:w="639" w:type="pct"/>
            <w:tcBorders>
              <w:bottom w:val="single" w:sz="4" w:space="0" w:color="auto"/>
            </w:tcBorders>
            <w:noWrap/>
          </w:tcPr>
          <w:p w14:paraId="7EFE0AEC" w14:textId="77777777" w:rsidR="006C641A" w:rsidRPr="007D1918" w:rsidRDefault="006C641A" w:rsidP="00153384">
            <w:pPr>
              <w:pStyle w:val="TableHeading"/>
              <w:jc w:val="center"/>
            </w:pPr>
            <w:r w:rsidRPr="007D1918">
              <w:t>2019-20</w:t>
            </w:r>
          </w:p>
        </w:tc>
        <w:tc>
          <w:tcPr>
            <w:tcW w:w="639" w:type="pct"/>
            <w:tcBorders>
              <w:bottom w:val="single" w:sz="4" w:space="0" w:color="auto"/>
            </w:tcBorders>
            <w:noWrap/>
          </w:tcPr>
          <w:p w14:paraId="72F604F4" w14:textId="77777777" w:rsidR="006C641A" w:rsidRPr="007D1918" w:rsidRDefault="006C641A" w:rsidP="00153384">
            <w:pPr>
              <w:pStyle w:val="TableHeading"/>
              <w:jc w:val="center"/>
            </w:pPr>
            <w:r w:rsidRPr="007D1918">
              <w:t>2020-21</w:t>
            </w:r>
          </w:p>
        </w:tc>
        <w:tc>
          <w:tcPr>
            <w:tcW w:w="639" w:type="pct"/>
            <w:tcBorders>
              <w:bottom w:val="single" w:sz="4" w:space="0" w:color="auto"/>
            </w:tcBorders>
            <w:noWrap/>
          </w:tcPr>
          <w:p w14:paraId="63290358" w14:textId="77777777" w:rsidR="006C641A" w:rsidRPr="007D1918" w:rsidRDefault="006C641A" w:rsidP="00153384">
            <w:pPr>
              <w:pStyle w:val="TableHeading"/>
              <w:jc w:val="center"/>
              <w:rPr>
                <w:rFonts w:ascii="Times New Roman" w:hAnsi="Times New Roman" w:cs="Times New Roman"/>
              </w:rPr>
            </w:pPr>
            <w:r w:rsidRPr="007D1918">
              <w:t>2021-22</w:t>
            </w:r>
          </w:p>
        </w:tc>
        <w:tc>
          <w:tcPr>
            <w:tcW w:w="639" w:type="pct"/>
            <w:tcBorders>
              <w:bottom w:val="single" w:sz="4" w:space="0" w:color="auto"/>
            </w:tcBorders>
            <w:noWrap/>
          </w:tcPr>
          <w:p w14:paraId="377226CE" w14:textId="77777777" w:rsidR="006C641A" w:rsidRPr="007D1918" w:rsidRDefault="006C641A" w:rsidP="00153384">
            <w:pPr>
              <w:pStyle w:val="TableHeading"/>
              <w:jc w:val="center"/>
              <w:rPr>
                <w:rFonts w:ascii="Times New Roman" w:hAnsi="Times New Roman" w:cs="Times New Roman"/>
              </w:rPr>
            </w:pPr>
            <w:r w:rsidRPr="007D1918">
              <w:t>2022-23</w:t>
            </w:r>
          </w:p>
        </w:tc>
        <w:tc>
          <w:tcPr>
            <w:tcW w:w="637" w:type="pct"/>
            <w:tcBorders>
              <w:bottom w:val="single" w:sz="4" w:space="0" w:color="auto"/>
            </w:tcBorders>
            <w:noWrap/>
          </w:tcPr>
          <w:p w14:paraId="31476C87" w14:textId="77777777" w:rsidR="006C641A" w:rsidRPr="007D1918" w:rsidRDefault="006C641A" w:rsidP="00153384">
            <w:pPr>
              <w:pStyle w:val="TableHeading"/>
              <w:jc w:val="center"/>
              <w:rPr>
                <w:rFonts w:ascii="Times New Roman" w:hAnsi="Times New Roman" w:cs="Times New Roman"/>
              </w:rPr>
            </w:pPr>
            <w:r w:rsidRPr="007D1918">
              <w:t>2023-24</w:t>
            </w:r>
          </w:p>
        </w:tc>
      </w:tr>
      <w:tr w:rsidR="006C641A" w:rsidRPr="007D1918" w14:paraId="426E91AC" w14:textId="77777777" w:rsidTr="00153384">
        <w:trPr>
          <w:trHeight w:val="300"/>
        </w:trPr>
        <w:tc>
          <w:tcPr>
            <w:tcW w:w="1807" w:type="pct"/>
            <w:tcBorders>
              <w:top w:val="single" w:sz="4" w:space="0" w:color="auto"/>
              <w:bottom w:val="single" w:sz="4" w:space="0" w:color="auto"/>
              <w:right w:val="single" w:sz="4" w:space="0" w:color="auto"/>
            </w:tcBorders>
            <w:noWrap/>
          </w:tcPr>
          <w:p w14:paraId="5B7FA7DD" w14:textId="77777777" w:rsidR="006C641A" w:rsidRPr="007D1918" w:rsidRDefault="006C641A" w:rsidP="00153384">
            <w:pPr>
              <w:pStyle w:val="TableHeading"/>
              <w:rPr>
                <w:b w:val="0"/>
              </w:rPr>
            </w:pPr>
            <w:bookmarkStart w:id="540" w:name="_Hlk13665069"/>
            <w:r w:rsidRPr="007D1918">
              <w:rPr>
                <w:b w:val="0"/>
              </w:rPr>
              <w:t>Total cost of Ig</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7AE37" w14:textId="77777777" w:rsidR="006C641A" w:rsidRPr="007D1918" w:rsidRDefault="006C641A" w:rsidP="00153384">
            <w:pPr>
              <w:pStyle w:val="Tabletext1"/>
            </w:pPr>
            <w:r w:rsidRPr="007D1918">
              <w:t>$36,181,120</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C34127" w14:textId="77777777" w:rsidR="006C641A" w:rsidRPr="007D1918" w:rsidRDefault="006C641A" w:rsidP="00153384">
            <w:pPr>
              <w:pStyle w:val="Tabletext1"/>
            </w:pPr>
            <w:r w:rsidRPr="007D1918">
              <w:t>$39,060,321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A778D1" w14:textId="77777777" w:rsidR="006C641A" w:rsidRPr="007D1918" w:rsidRDefault="006C641A" w:rsidP="00153384">
            <w:pPr>
              <w:pStyle w:val="Tabletext1"/>
            </w:pPr>
            <w:r w:rsidRPr="007D1918">
              <w:t>$41,939,401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D2C950" w14:textId="77777777" w:rsidR="006C641A" w:rsidRPr="007D1918" w:rsidRDefault="006C641A" w:rsidP="00153384">
            <w:pPr>
              <w:pStyle w:val="Tabletext1"/>
            </w:pPr>
            <w:r w:rsidRPr="007D1918">
              <w:t>$44,818,602</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81BE4E" w14:textId="77777777" w:rsidR="006C641A" w:rsidRPr="007D1918" w:rsidRDefault="006C641A" w:rsidP="00153384">
            <w:pPr>
              <w:pStyle w:val="Tabletext1"/>
            </w:pPr>
            <w:r w:rsidRPr="007D1918">
              <w:t>$47,697,742</w:t>
            </w:r>
          </w:p>
        </w:tc>
      </w:tr>
      <w:tr w:rsidR="006C641A" w:rsidRPr="007D1918" w14:paraId="14396690" w14:textId="77777777" w:rsidTr="00153384">
        <w:trPr>
          <w:trHeight w:val="300"/>
        </w:trPr>
        <w:tc>
          <w:tcPr>
            <w:tcW w:w="1807" w:type="pct"/>
            <w:tcBorders>
              <w:top w:val="single" w:sz="4" w:space="0" w:color="auto"/>
              <w:bottom w:val="single" w:sz="4" w:space="0" w:color="auto"/>
              <w:right w:val="single" w:sz="4" w:space="0" w:color="auto"/>
            </w:tcBorders>
            <w:noWrap/>
          </w:tcPr>
          <w:p w14:paraId="26D75D6F" w14:textId="77777777" w:rsidR="006C641A" w:rsidRPr="007D1918" w:rsidRDefault="006C641A" w:rsidP="00153384">
            <w:pPr>
              <w:pStyle w:val="TableHeading"/>
              <w:rPr>
                <w:b w:val="0"/>
              </w:rPr>
            </w:pPr>
            <w:r w:rsidRPr="007D1918">
              <w:rPr>
                <w:b w:val="0"/>
              </w:rPr>
              <w:t>Cost of Ig to the Commonwealth</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283F05" w14:textId="77777777" w:rsidR="006C641A" w:rsidRPr="007D1918" w:rsidRDefault="006C641A" w:rsidP="00153384">
            <w:pPr>
              <w:pStyle w:val="Tabletext1"/>
            </w:pPr>
            <w:r w:rsidRPr="007D1918">
              <w:t>$22,794,105</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67889" w14:textId="77777777" w:rsidR="006C641A" w:rsidRPr="007D1918" w:rsidRDefault="006C641A" w:rsidP="00153384">
            <w:pPr>
              <w:pStyle w:val="Tabletext1"/>
            </w:pPr>
            <w:r w:rsidRPr="007D1918">
              <w:t>$24,608,002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4AF1D1" w14:textId="77777777" w:rsidR="006C641A" w:rsidRPr="007D1918" w:rsidRDefault="006C641A" w:rsidP="00153384">
            <w:pPr>
              <w:pStyle w:val="Tabletext1"/>
            </w:pPr>
            <w:r w:rsidRPr="007D1918">
              <w:t>$26,421,823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BB4CC" w14:textId="77777777" w:rsidR="006C641A" w:rsidRPr="007D1918" w:rsidRDefault="006C641A" w:rsidP="00153384">
            <w:pPr>
              <w:pStyle w:val="Tabletext1"/>
            </w:pPr>
            <w:r w:rsidRPr="007D1918">
              <w:t>$28,235,719</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C3AFBA" w14:textId="77777777" w:rsidR="006C641A" w:rsidRPr="007D1918" w:rsidRDefault="006C641A" w:rsidP="00153384">
            <w:pPr>
              <w:pStyle w:val="Tabletext1"/>
            </w:pPr>
            <w:r w:rsidRPr="007D1918">
              <w:t>$30,049,578</w:t>
            </w:r>
          </w:p>
        </w:tc>
      </w:tr>
      <w:tr w:rsidR="006C641A" w:rsidRPr="007D1918" w14:paraId="185845EC" w14:textId="77777777" w:rsidTr="00153384">
        <w:trPr>
          <w:trHeight w:val="300"/>
        </w:trPr>
        <w:tc>
          <w:tcPr>
            <w:tcW w:w="1807" w:type="pct"/>
            <w:tcBorders>
              <w:top w:val="single" w:sz="4" w:space="0" w:color="auto"/>
              <w:bottom w:val="single" w:sz="4" w:space="0" w:color="auto"/>
              <w:right w:val="single" w:sz="4" w:space="0" w:color="auto"/>
            </w:tcBorders>
            <w:noWrap/>
          </w:tcPr>
          <w:p w14:paraId="79205CAE" w14:textId="77777777" w:rsidR="006C641A" w:rsidRPr="007D1918" w:rsidRDefault="006C641A" w:rsidP="00153384">
            <w:pPr>
              <w:pStyle w:val="TableHeading"/>
              <w:keepNext w:val="0"/>
              <w:rPr>
                <w:b w:val="0"/>
              </w:rPr>
            </w:pPr>
            <w:r w:rsidRPr="007D1918">
              <w:rPr>
                <w:b w:val="0"/>
              </w:rPr>
              <w:t>Cost of Ig to the States</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06C28" w14:textId="77777777" w:rsidR="006C641A" w:rsidRPr="007D1918" w:rsidRDefault="006C641A" w:rsidP="00153384">
            <w:pPr>
              <w:pStyle w:val="Tabletext1"/>
            </w:pPr>
            <w:r w:rsidRPr="007D1918">
              <w:t>$13,387,014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21890" w14:textId="77777777" w:rsidR="006C641A" w:rsidRPr="007D1918" w:rsidRDefault="006C641A" w:rsidP="00153384">
            <w:pPr>
              <w:pStyle w:val="Tabletext1"/>
            </w:pPr>
            <w:r w:rsidRPr="007D1918">
              <w:t>$14,452,319</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C54AF1" w14:textId="77777777" w:rsidR="006C641A" w:rsidRPr="007D1918" w:rsidRDefault="006C641A" w:rsidP="00153384">
            <w:pPr>
              <w:pStyle w:val="Tabletext1"/>
            </w:pPr>
            <w:r w:rsidRPr="007D1918">
              <w:t>$15,517,578</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D8D857" w14:textId="77777777" w:rsidR="006C641A" w:rsidRPr="007D1918" w:rsidRDefault="006C641A" w:rsidP="00153384">
            <w:pPr>
              <w:pStyle w:val="Tabletext1"/>
            </w:pPr>
            <w:r w:rsidRPr="007D1918">
              <w:t>$16,582,883</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F064CF" w14:textId="77777777" w:rsidR="006C641A" w:rsidRPr="007D1918" w:rsidRDefault="006C641A" w:rsidP="00153384">
            <w:pPr>
              <w:pStyle w:val="Tabletext1"/>
            </w:pPr>
            <w:r w:rsidRPr="007D1918">
              <w:t>$17,648,165</w:t>
            </w:r>
          </w:p>
        </w:tc>
      </w:tr>
      <w:tr w:rsidR="006C641A" w:rsidRPr="007D1918" w14:paraId="15829305" w14:textId="77777777" w:rsidTr="00153384">
        <w:trPr>
          <w:trHeight w:val="300"/>
        </w:trPr>
        <w:tc>
          <w:tcPr>
            <w:tcW w:w="1807" w:type="pct"/>
            <w:tcBorders>
              <w:bottom w:val="single" w:sz="4" w:space="0" w:color="auto"/>
            </w:tcBorders>
            <w:noWrap/>
          </w:tcPr>
          <w:p w14:paraId="0D7F37B8" w14:textId="77777777" w:rsidR="006C641A" w:rsidRPr="007D1918" w:rsidRDefault="006C641A" w:rsidP="00153384">
            <w:pPr>
              <w:pStyle w:val="TableHeading"/>
              <w:rPr>
                <w:b w:val="0"/>
              </w:rPr>
            </w:pPr>
            <w:r w:rsidRPr="007D1918">
              <w:rPr>
                <w:b w:val="0"/>
              </w:rPr>
              <w:t>Additional cost to states (administration)</w:t>
            </w:r>
          </w:p>
        </w:tc>
        <w:tc>
          <w:tcPr>
            <w:tcW w:w="63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893E2C" w14:textId="77777777" w:rsidR="006C641A" w:rsidRPr="007D1918" w:rsidRDefault="006C641A" w:rsidP="00153384">
            <w:pPr>
              <w:pStyle w:val="Tablecontents"/>
            </w:pPr>
            <w:r w:rsidRPr="007D1918">
              <w:t>$5,338,380</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0022FDE6" w14:textId="77777777" w:rsidR="006C641A" w:rsidRPr="007D1918" w:rsidRDefault="006C641A" w:rsidP="00153384">
            <w:pPr>
              <w:pStyle w:val="Tablecontents"/>
            </w:pPr>
            <w:r w:rsidRPr="007D1918">
              <w:t>$5,756,046</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597300D9" w14:textId="77777777" w:rsidR="006C641A" w:rsidRPr="007D1918" w:rsidRDefault="006C641A" w:rsidP="00153384">
            <w:pPr>
              <w:pStyle w:val="Tablecontents"/>
            </w:pPr>
            <w:r w:rsidRPr="007D1918">
              <w:t>$6,179,705</w:t>
            </w:r>
          </w:p>
        </w:tc>
        <w:tc>
          <w:tcPr>
            <w:tcW w:w="639" w:type="pct"/>
            <w:tcBorders>
              <w:top w:val="single" w:sz="4" w:space="0" w:color="auto"/>
              <w:left w:val="nil"/>
              <w:bottom w:val="single" w:sz="4" w:space="0" w:color="auto"/>
              <w:right w:val="single" w:sz="4" w:space="0" w:color="auto"/>
            </w:tcBorders>
            <w:shd w:val="clear" w:color="auto" w:fill="FFFFFF" w:themeFill="background1"/>
            <w:noWrap/>
            <w:vAlign w:val="center"/>
          </w:tcPr>
          <w:p w14:paraId="2BF469B0" w14:textId="77777777" w:rsidR="006C641A" w:rsidRPr="007D1918" w:rsidRDefault="006C641A" w:rsidP="00153384">
            <w:pPr>
              <w:pStyle w:val="Tablecontents"/>
            </w:pPr>
            <w:r w:rsidRPr="007D1918">
              <w:t>$6,598,293</w:t>
            </w:r>
          </w:p>
        </w:tc>
        <w:tc>
          <w:tcPr>
            <w:tcW w:w="637" w:type="pct"/>
            <w:tcBorders>
              <w:top w:val="single" w:sz="4" w:space="0" w:color="auto"/>
              <w:left w:val="nil"/>
              <w:bottom w:val="single" w:sz="4" w:space="0" w:color="auto"/>
              <w:right w:val="single" w:sz="4" w:space="0" w:color="auto"/>
            </w:tcBorders>
            <w:shd w:val="clear" w:color="auto" w:fill="FFFFFF" w:themeFill="background1"/>
            <w:noWrap/>
            <w:vAlign w:val="center"/>
          </w:tcPr>
          <w:p w14:paraId="5A875988" w14:textId="77777777" w:rsidR="006C641A" w:rsidRPr="007D1918" w:rsidRDefault="006C641A" w:rsidP="00153384">
            <w:pPr>
              <w:pStyle w:val="Tablecontents"/>
            </w:pPr>
            <w:r w:rsidRPr="007D1918">
              <w:t>$7,021,952</w:t>
            </w:r>
          </w:p>
        </w:tc>
      </w:tr>
      <w:tr w:rsidR="006C641A" w:rsidRPr="007D1918" w14:paraId="77ED71BA" w14:textId="77777777" w:rsidTr="00153384">
        <w:trPr>
          <w:trHeight w:val="300"/>
        </w:trPr>
        <w:tc>
          <w:tcPr>
            <w:tcW w:w="1807" w:type="pct"/>
            <w:tcBorders>
              <w:top w:val="single" w:sz="4" w:space="0" w:color="auto"/>
              <w:bottom w:val="single" w:sz="4" w:space="0" w:color="auto"/>
              <w:right w:val="single" w:sz="4" w:space="0" w:color="auto"/>
            </w:tcBorders>
            <w:noWrap/>
          </w:tcPr>
          <w:p w14:paraId="4D4EEDC6" w14:textId="77777777" w:rsidR="006C641A" w:rsidRPr="007D1918" w:rsidRDefault="006C641A" w:rsidP="00153384">
            <w:pPr>
              <w:pStyle w:val="TableHeading"/>
              <w:rPr>
                <w:b w:val="0"/>
              </w:rPr>
            </w:pPr>
            <w:r w:rsidRPr="007D1918">
              <w:rPr>
                <w:b w:val="0"/>
              </w:rPr>
              <w:t>Total cost offsets due to a reduction in PE</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049F4B" w14:textId="77777777" w:rsidR="006C641A" w:rsidRPr="007D1918" w:rsidRDefault="006C641A" w:rsidP="00153384">
            <w:pPr>
              <w:pStyle w:val="Tablecontents"/>
              <w:jc w:val="right"/>
            </w:pPr>
            <w:r w:rsidRPr="007D1918">
              <w:t>$781,695</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5FDC56" w14:textId="77777777" w:rsidR="006C641A" w:rsidRPr="007D1918" w:rsidRDefault="006C641A" w:rsidP="00153384">
            <w:pPr>
              <w:pStyle w:val="Tablecontents"/>
              <w:jc w:val="right"/>
            </w:pPr>
            <w:r w:rsidRPr="007D1918">
              <w:t>$836,982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948BC9" w14:textId="77777777" w:rsidR="006C641A" w:rsidRPr="007D1918" w:rsidRDefault="006C641A" w:rsidP="00153384">
            <w:pPr>
              <w:pStyle w:val="Tablecontents"/>
              <w:jc w:val="right"/>
            </w:pPr>
            <w:r w:rsidRPr="007D1918">
              <w:t>$897,993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9C36EDE" w14:textId="77777777" w:rsidR="006C641A" w:rsidRPr="007D1918" w:rsidRDefault="006C641A" w:rsidP="00153384">
            <w:pPr>
              <w:pStyle w:val="Tablecontents"/>
              <w:jc w:val="right"/>
            </w:pPr>
            <w:r w:rsidRPr="007D1918">
              <w:t>$961,196</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81141D" w14:textId="77777777" w:rsidR="006C641A" w:rsidRPr="007D1918" w:rsidRDefault="006C641A" w:rsidP="00153384">
            <w:pPr>
              <w:pStyle w:val="Tablecontents"/>
              <w:jc w:val="right"/>
            </w:pPr>
            <w:r w:rsidRPr="007D1918">
              <w:t>$1,024,399</w:t>
            </w:r>
          </w:p>
        </w:tc>
      </w:tr>
      <w:tr w:rsidR="006C641A" w:rsidRPr="007D1918" w14:paraId="3D572D12" w14:textId="77777777" w:rsidTr="00153384">
        <w:trPr>
          <w:trHeight w:val="300"/>
        </w:trPr>
        <w:tc>
          <w:tcPr>
            <w:tcW w:w="1807" w:type="pct"/>
            <w:tcBorders>
              <w:top w:val="single" w:sz="4" w:space="0" w:color="auto"/>
              <w:bottom w:val="single" w:sz="4" w:space="0" w:color="auto"/>
              <w:right w:val="single" w:sz="4" w:space="0" w:color="auto"/>
            </w:tcBorders>
            <w:noWrap/>
          </w:tcPr>
          <w:p w14:paraId="6B30DA90" w14:textId="77777777" w:rsidR="006C641A" w:rsidRPr="007D1918" w:rsidRDefault="006C641A" w:rsidP="00153384">
            <w:pPr>
              <w:pStyle w:val="TableHeading"/>
              <w:rPr>
                <w:b w:val="0"/>
              </w:rPr>
            </w:pPr>
            <w:r w:rsidRPr="007D1918">
              <w:rPr>
                <w:b w:val="0"/>
              </w:rPr>
              <w:t>Offsets to the Commonwealth</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3DB907" w14:textId="77777777" w:rsidR="006C641A" w:rsidRPr="007D1918" w:rsidRDefault="006C641A" w:rsidP="00153384">
            <w:pPr>
              <w:pStyle w:val="Tablecontents"/>
              <w:jc w:val="right"/>
            </w:pPr>
            <w:r w:rsidRPr="007D1918">
              <w:t>$323,921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6F01EFA" w14:textId="77777777" w:rsidR="006C641A" w:rsidRPr="007D1918" w:rsidRDefault="006C641A" w:rsidP="00153384">
            <w:pPr>
              <w:pStyle w:val="Tablecontents"/>
              <w:jc w:val="right"/>
            </w:pPr>
            <w:r w:rsidRPr="007D1918">
              <w:t>$349,642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4E14A10" w14:textId="77777777" w:rsidR="006C641A" w:rsidRPr="007D1918" w:rsidRDefault="006C641A" w:rsidP="00153384">
            <w:pPr>
              <w:pStyle w:val="Tablecontents"/>
              <w:jc w:val="right"/>
            </w:pPr>
            <w:r w:rsidRPr="007D1918">
              <w:t>$374,413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E341BA" w14:textId="77777777" w:rsidR="006C641A" w:rsidRPr="007D1918" w:rsidRDefault="006C641A" w:rsidP="00153384">
            <w:pPr>
              <w:pStyle w:val="Tablecontents"/>
              <w:jc w:val="right"/>
            </w:pPr>
            <w:r w:rsidRPr="007D1918">
              <w:t>$400,565</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5D1E11" w14:textId="77777777" w:rsidR="006C641A" w:rsidRPr="007D1918" w:rsidRDefault="006C641A" w:rsidP="00153384">
            <w:pPr>
              <w:pStyle w:val="Tablecontents"/>
              <w:jc w:val="right"/>
            </w:pPr>
            <w:r w:rsidRPr="007D1918">
              <w:t>$426,717</w:t>
            </w:r>
          </w:p>
        </w:tc>
      </w:tr>
      <w:tr w:rsidR="006C641A" w:rsidRPr="007D1918" w14:paraId="1DE77491" w14:textId="77777777" w:rsidTr="00153384">
        <w:trPr>
          <w:trHeight w:val="300"/>
        </w:trPr>
        <w:tc>
          <w:tcPr>
            <w:tcW w:w="1807" w:type="pct"/>
            <w:tcBorders>
              <w:top w:val="single" w:sz="4" w:space="0" w:color="auto"/>
              <w:bottom w:val="single" w:sz="4" w:space="0" w:color="auto"/>
              <w:right w:val="single" w:sz="4" w:space="0" w:color="auto"/>
            </w:tcBorders>
            <w:noWrap/>
          </w:tcPr>
          <w:p w14:paraId="5468F387" w14:textId="77777777" w:rsidR="006C641A" w:rsidRPr="007D1918" w:rsidRDefault="006C641A" w:rsidP="00153384">
            <w:pPr>
              <w:pStyle w:val="TableHeading"/>
              <w:keepNext w:val="0"/>
              <w:rPr>
                <w:b w:val="0"/>
              </w:rPr>
            </w:pPr>
            <w:r w:rsidRPr="007D1918">
              <w:rPr>
                <w:b w:val="0"/>
              </w:rPr>
              <w:t>Offsets to the States</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537774" w14:textId="77777777" w:rsidR="006C641A" w:rsidRPr="007D1918" w:rsidRDefault="006C641A" w:rsidP="00153384">
            <w:pPr>
              <w:pStyle w:val="Tablecontents"/>
              <w:jc w:val="right"/>
            </w:pPr>
            <w:r w:rsidRPr="007D1918">
              <w:t>$457,774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21A8F2E" w14:textId="77777777" w:rsidR="006C641A" w:rsidRPr="007D1918" w:rsidRDefault="006C641A" w:rsidP="00153384">
            <w:pPr>
              <w:pStyle w:val="Tablecontents"/>
              <w:jc w:val="right"/>
            </w:pPr>
            <w:r w:rsidRPr="007D1918">
              <w:t>$487,341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FF3C314" w14:textId="77777777" w:rsidR="006C641A" w:rsidRPr="007D1918" w:rsidRDefault="006C641A" w:rsidP="00153384">
            <w:pPr>
              <w:pStyle w:val="Tablecontents"/>
              <w:jc w:val="right"/>
            </w:pPr>
            <w:r w:rsidRPr="007D1918">
              <w:t>$523,581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58FE1B5" w14:textId="77777777" w:rsidR="006C641A" w:rsidRPr="007D1918" w:rsidRDefault="006C641A" w:rsidP="00153384">
            <w:pPr>
              <w:pStyle w:val="Tablecontents"/>
              <w:jc w:val="right"/>
            </w:pPr>
            <w:r w:rsidRPr="007D1918">
              <w:t>$560,632</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D2B7F1" w14:textId="77777777" w:rsidR="006C641A" w:rsidRPr="007D1918" w:rsidRDefault="006C641A" w:rsidP="00153384">
            <w:pPr>
              <w:pStyle w:val="Tablecontents"/>
              <w:jc w:val="right"/>
            </w:pPr>
            <w:r w:rsidRPr="007D1918">
              <w:t>$597,683</w:t>
            </w:r>
          </w:p>
        </w:tc>
      </w:tr>
      <w:bookmarkEnd w:id="540"/>
      <w:tr w:rsidR="006C641A" w:rsidRPr="007D1918" w14:paraId="744C5294" w14:textId="77777777" w:rsidTr="00153384">
        <w:trPr>
          <w:trHeight w:val="300"/>
        </w:trPr>
        <w:tc>
          <w:tcPr>
            <w:tcW w:w="1807" w:type="pct"/>
            <w:tcBorders>
              <w:top w:val="single" w:sz="4" w:space="0" w:color="auto"/>
              <w:bottom w:val="single" w:sz="4" w:space="0" w:color="auto"/>
              <w:right w:val="single" w:sz="4" w:space="0" w:color="auto"/>
            </w:tcBorders>
            <w:noWrap/>
          </w:tcPr>
          <w:p w14:paraId="536F9440" w14:textId="77777777" w:rsidR="006C641A" w:rsidRPr="007D1918" w:rsidRDefault="006C641A" w:rsidP="00153384">
            <w:pPr>
              <w:pStyle w:val="TableHeading"/>
            </w:pPr>
            <w:r w:rsidRPr="007D1918">
              <w:t>Net cost</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973037" w14:textId="77777777" w:rsidR="006C641A" w:rsidRPr="007D1918" w:rsidRDefault="006C641A" w:rsidP="00153384">
            <w:pPr>
              <w:pStyle w:val="Tablecontents"/>
              <w:jc w:val="right"/>
              <w:rPr>
                <w:b/>
              </w:rPr>
            </w:pPr>
            <w:r w:rsidRPr="007D1918">
              <w:rPr>
                <w:b/>
              </w:rPr>
              <w:t>$40,737,805</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521AD70" w14:textId="77777777" w:rsidR="006C641A" w:rsidRPr="007D1918" w:rsidRDefault="006C641A" w:rsidP="00153384">
            <w:pPr>
              <w:pStyle w:val="Tablecontents"/>
              <w:jc w:val="right"/>
              <w:rPr>
                <w:b/>
              </w:rPr>
            </w:pPr>
            <w:r w:rsidRPr="007D1918">
              <w:rPr>
                <w:b/>
              </w:rPr>
              <w:t>$43,979,384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807541D" w14:textId="77777777" w:rsidR="006C641A" w:rsidRPr="007D1918" w:rsidRDefault="006C641A" w:rsidP="00153384">
            <w:pPr>
              <w:pStyle w:val="Tablecontents"/>
              <w:jc w:val="right"/>
              <w:rPr>
                <w:b/>
              </w:rPr>
            </w:pPr>
            <w:r w:rsidRPr="007D1918">
              <w:rPr>
                <w:b/>
              </w:rPr>
              <w:t>$47,221,113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C32BFBD" w14:textId="77777777" w:rsidR="006C641A" w:rsidRPr="007D1918" w:rsidRDefault="006C641A" w:rsidP="00153384">
            <w:pPr>
              <w:pStyle w:val="Tablecontents"/>
              <w:jc w:val="right"/>
              <w:rPr>
                <w:b/>
              </w:rPr>
            </w:pPr>
            <w:r w:rsidRPr="007D1918">
              <w:rPr>
                <w:b/>
              </w:rPr>
              <w:t>$50,455,699</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F2A262" w14:textId="77777777" w:rsidR="006C641A" w:rsidRPr="007D1918" w:rsidRDefault="006C641A" w:rsidP="00153384">
            <w:pPr>
              <w:pStyle w:val="Tablecontents"/>
              <w:jc w:val="right"/>
              <w:rPr>
                <w:b/>
              </w:rPr>
            </w:pPr>
            <w:r w:rsidRPr="007D1918">
              <w:rPr>
                <w:b/>
              </w:rPr>
              <w:t>$53,695,295</w:t>
            </w:r>
          </w:p>
        </w:tc>
      </w:tr>
      <w:tr w:rsidR="006C641A" w:rsidRPr="007D1918" w14:paraId="18037BE3" w14:textId="77777777" w:rsidTr="00153384">
        <w:trPr>
          <w:trHeight w:val="300"/>
        </w:trPr>
        <w:tc>
          <w:tcPr>
            <w:tcW w:w="1807" w:type="pct"/>
            <w:tcBorders>
              <w:top w:val="single" w:sz="4" w:space="0" w:color="auto"/>
              <w:bottom w:val="single" w:sz="4" w:space="0" w:color="auto"/>
              <w:right w:val="single" w:sz="4" w:space="0" w:color="auto"/>
            </w:tcBorders>
            <w:noWrap/>
          </w:tcPr>
          <w:p w14:paraId="2F08F4D3" w14:textId="77777777" w:rsidR="006C641A" w:rsidRPr="007D1918" w:rsidRDefault="006C641A" w:rsidP="00153384">
            <w:pPr>
              <w:pStyle w:val="TableHeading"/>
              <w:rPr>
                <w:b w:val="0"/>
              </w:rPr>
            </w:pPr>
            <w:r w:rsidRPr="007D1918">
              <w:rPr>
                <w:b w:val="0"/>
              </w:rPr>
              <w:t>Net cost to the Commonwealth</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5A4FC47" w14:textId="77777777" w:rsidR="006C641A" w:rsidRPr="007D1918" w:rsidRDefault="006C641A" w:rsidP="00153384">
            <w:pPr>
              <w:pStyle w:val="Tablecontents"/>
              <w:jc w:val="right"/>
            </w:pPr>
            <w:r w:rsidRPr="007D1918">
              <w:t>$22,470,184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6ED70F" w14:textId="77777777" w:rsidR="006C641A" w:rsidRPr="007D1918" w:rsidRDefault="006C641A" w:rsidP="00153384">
            <w:pPr>
              <w:pStyle w:val="Tablecontents"/>
              <w:jc w:val="right"/>
            </w:pPr>
            <w:r w:rsidRPr="007D1918">
              <w:t>$24,258,360</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3D14D2" w14:textId="77777777" w:rsidR="006C641A" w:rsidRPr="007D1918" w:rsidRDefault="006C641A" w:rsidP="00153384">
            <w:pPr>
              <w:pStyle w:val="Tablecontents"/>
              <w:jc w:val="right"/>
            </w:pPr>
            <w:r w:rsidRPr="007D1918">
              <w:t>$26,047,410</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A5482DF" w14:textId="77777777" w:rsidR="006C641A" w:rsidRPr="007D1918" w:rsidRDefault="006C641A" w:rsidP="00153384">
            <w:pPr>
              <w:pStyle w:val="Tablecontents"/>
              <w:jc w:val="right"/>
            </w:pPr>
            <w:r w:rsidRPr="007D1918">
              <w:t>$27,835,154</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2D82E6" w14:textId="77777777" w:rsidR="006C641A" w:rsidRPr="007D1918" w:rsidRDefault="006C641A" w:rsidP="00153384">
            <w:pPr>
              <w:pStyle w:val="Tablecontents"/>
              <w:jc w:val="right"/>
            </w:pPr>
            <w:r w:rsidRPr="007D1918">
              <w:t>$29,622,861</w:t>
            </w:r>
          </w:p>
        </w:tc>
      </w:tr>
      <w:tr w:rsidR="006C641A" w:rsidRPr="007D1918" w14:paraId="1811F49D" w14:textId="77777777" w:rsidTr="00153384">
        <w:trPr>
          <w:trHeight w:val="300"/>
        </w:trPr>
        <w:tc>
          <w:tcPr>
            <w:tcW w:w="1807" w:type="pct"/>
            <w:tcBorders>
              <w:top w:val="single" w:sz="4" w:space="0" w:color="auto"/>
              <w:bottom w:val="single" w:sz="4" w:space="0" w:color="auto"/>
              <w:right w:val="single" w:sz="4" w:space="0" w:color="auto"/>
            </w:tcBorders>
            <w:noWrap/>
          </w:tcPr>
          <w:p w14:paraId="58B46E22" w14:textId="77777777" w:rsidR="006C641A" w:rsidRPr="007D1918" w:rsidRDefault="006C641A" w:rsidP="00153384">
            <w:pPr>
              <w:pStyle w:val="TableHeading"/>
              <w:keepNext w:val="0"/>
              <w:rPr>
                <w:b w:val="0"/>
              </w:rPr>
            </w:pPr>
            <w:r w:rsidRPr="007D1918">
              <w:rPr>
                <w:b w:val="0"/>
              </w:rPr>
              <w:t>Net cost to States</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F1F0CF" w14:textId="77777777" w:rsidR="006C641A" w:rsidRPr="007D1918" w:rsidRDefault="006C641A" w:rsidP="00153384">
            <w:pPr>
              <w:pStyle w:val="Tablecontents"/>
              <w:jc w:val="right"/>
            </w:pPr>
            <w:r w:rsidRPr="007D1918">
              <w:t>$18,267,621</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8B0029B" w14:textId="77777777" w:rsidR="006C641A" w:rsidRPr="007D1918" w:rsidRDefault="006C641A" w:rsidP="00153384">
            <w:pPr>
              <w:pStyle w:val="Tablecontents"/>
              <w:jc w:val="right"/>
            </w:pPr>
            <w:r w:rsidRPr="007D1918">
              <w:t>$19,721,024</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6099C5" w14:textId="77777777" w:rsidR="006C641A" w:rsidRPr="007D1918" w:rsidRDefault="006C641A" w:rsidP="00153384">
            <w:pPr>
              <w:pStyle w:val="Tablecontents"/>
              <w:jc w:val="right"/>
            </w:pPr>
            <w:r w:rsidRPr="007D1918">
              <w:t>$21,173,703</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F813E1" w14:textId="77777777" w:rsidR="006C641A" w:rsidRPr="007D1918" w:rsidRDefault="006C641A" w:rsidP="00153384">
            <w:pPr>
              <w:pStyle w:val="Tablecontents"/>
              <w:jc w:val="right"/>
            </w:pPr>
            <w:r w:rsidRPr="007D1918">
              <w:t>$22,620,544</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1F5523" w14:textId="77777777" w:rsidR="006C641A" w:rsidRPr="007D1918" w:rsidRDefault="006C641A" w:rsidP="00153384">
            <w:pPr>
              <w:pStyle w:val="Tablecontents"/>
              <w:jc w:val="right"/>
            </w:pPr>
            <w:r w:rsidRPr="007D1918">
              <w:t>$24,072,434</w:t>
            </w:r>
          </w:p>
        </w:tc>
      </w:tr>
    </w:tbl>
    <w:p w14:paraId="03E1D6CC" w14:textId="77777777" w:rsidR="006C641A" w:rsidRPr="007D1918" w:rsidRDefault="006C641A" w:rsidP="006C641A">
      <w:pPr>
        <w:pStyle w:val="Tablenotes1"/>
      </w:pPr>
      <w:r w:rsidRPr="007D1918">
        <w:t>Ig = immunogolobulin; PE = plasma exchange</w:t>
      </w:r>
    </w:p>
    <w:p w14:paraId="09FA0696" w14:textId="77777777" w:rsidR="006C641A" w:rsidRPr="007D1918" w:rsidRDefault="006C641A" w:rsidP="006C641A"/>
    <w:p w14:paraId="57DB5DFD" w14:textId="77777777" w:rsidR="006C641A" w:rsidRPr="007D1918" w:rsidRDefault="006C641A" w:rsidP="006C641A">
      <w:pPr>
        <w:pStyle w:val="Heading2"/>
        <w:numPr>
          <w:ilvl w:val="4"/>
          <w:numId w:val="11"/>
        </w:numPr>
      </w:pPr>
      <w:bookmarkStart w:id="541" w:name="_Toc15561891"/>
      <w:bookmarkStart w:id="542" w:name="_Toc23767012"/>
      <w:r w:rsidRPr="007D1918">
        <w:t>Identification, estimation and reduction of uncertainty</w:t>
      </w:r>
      <w:bookmarkEnd w:id="541"/>
      <w:bookmarkEnd w:id="542"/>
    </w:p>
    <w:p w14:paraId="15B1A747" w14:textId="2CEE268B" w:rsidR="006C641A" w:rsidRPr="007D1918" w:rsidRDefault="006C641A" w:rsidP="006C641A">
      <w:pPr>
        <w:jc w:val="both"/>
      </w:pPr>
      <w:r w:rsidRPr="007D1918">
        <w:t xml:space="preserve">Sensitivity analyses exploring uncertainty in the IVIg price used to determine the financial implications are presented in </w:t>
      </w:r>
      <w:r w:rsidRPr="007D1918">
        <w:fldChar w:fldCharType="begin"/>
      </w:r>
      <w:r w:rsidRPr="007D1918">
        <w:instrText xml:space="preserve"> REF _Ref13667009 \h  \* MERGEFORMAT </w:instrText>
      </w:r>
      <w:r w:rsidRPr="007D1918">
        <w:fldChar w:fldCharType="separate"/>
      </w:r>
      <w:r w:rsidR="00B865E7" w:rsidRPr="007D1918">
        <w:t xml:space="preserve">Table </w:t>
      </w:r>
      <w:r w:rsidR="00B865E7" w:rsidRPr="007D1918">
        <w:rPr>
          <w:noProof/>
        </w:rPr>
        <w:t>98</w:t>
      </w:r>
      <w:r w:rsidRPr="007D1918">
        <w:fldChar w:fldCharType="end"/>
      </w:r>
      <w:r w:rsidRPr="007D1918">
        <w:t>, with the alternative prices (calculated per g), as described in Section E.2 .</w:t>
      </w:r>
    </w:p>
    <w:p w14:paraId="5B6B05A4" w14:textId="77F6DD7D" w:rsidR="006C641A" w:rsidRPr="007D1918" w:rsidRDefault="006C641A" w:rsidP="006C641A">
      <w:pPr>
        <w:pStyle w:val="Caption"/>
        <w:keepNext/>
      </w:pPr>
      <w:bookmarkStart w:id="543" w:name="_Ref13667009"/>
      <w:bookmarkStart w:id="544" w:name="_Toc15561997"/>
      <w:bookmarkStart w:id="545" w:name="_Toc23769585"/>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B865E7" w:rsidRPr="007D1918">
        <w:rPr>
          <w:noProof/>
        </w:rPr>
        <w:t>98</w:t>
      </w:r>
      <w:r w:rsidRPr="007D1918">
        <w:rPr>
          <w:noProof/>
        </w:rPr>
        <w:fldChar w:fldCharType="end"/>
      </w:r>
      <w:bookmarkEnd w:id="543"/>
      <w:r w:rsidRPr="007D1918">
        <w:tab/>
        <w:t>Sensitivity analyses around the financial implication estimates</w:t>
      </w:r>
      <w:bookmarkEnd w:id="544"/>
      <w:r w:rsidR="0095124C" w:rsidRPr="007D1918">
        <w:t>, net cost (Commonwealth and states)</w:t>
      </w:r>
      <w:bookmarkEnd w:id="545"/>
    </w:p>
    <w:tbl>
      <w:tblPr>
        <w:tblStyle w:val="TableGrid1"/>
        <w:tblW w:w="5000" w:type="pct"/>
        <w:tblLayout w:type="fixed"/>
        <w:tblLook w:val="04A0" w:firstRow="1" w:lastRow="0" w:firstColumn="1" w:lastColumn="0" w:noHBand="0" w:noVBand="1"/>
        <w:tblCaption w:val="Sensitivity analyses around the financial implication estimates"/>
      </w:tblPr>
      <w:tblGrid>
        <w:gridCol w:w="2829"/>
        <w:gridCol w:w="1237"/>
        <w:gridCol w:w="1237"/>
        <w:gridCol w:w="1237"/>
        <w:gridCol w:w="1237"/>
        <w:gridCol w:w="1239"/>
      </w:tblGrid>
      <w:tr w:rsidR="006C641A" w:rsidRPr="007D1918" w14:paraId="40AC0D9B" w14:textId="77777777" w:rsidTr="00153384">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33C43CEB" w14:textId="77777777" w:rsidR="006C641A" w:rsidRPr="007D1918" w:rsidRDefault="006C641A" w:rsidP="00153384">
            <w:pPr>
              <w:pStyle w:val="TableHeading"/>
              <w:jc w:val="center"/>
            </w:pPr>
          </w:p>
        </w:tc>
        <w:tc>
          <w:tcPr>
            <w:tcW w:w="686" w:type="pct"/>
            <w:tcBorders>
              <w:bottom w:val="single" w:sz="4" w:space="0" w:color="auto"/>
            </w:tcBorders>
            <w:noWrap/>
          </w:tcPr>
          <w:p w14:paraId="0A61E322" w14:textId="77777777" w:rsidR="006C641A" w:rsidRPr="007D1918" w:rsidRDefault="006C641A" w:rsidP="00153384">
            <w:pPr>
              <w:pStyle w:val="TableHeading"/>
              <w:jc w:val="center"/>
            </w:pPr>
            <w:r w:rsidRPr="007D1918">
              <w:t>2019-20</w:t>
            </w:r>
          </w:p>
        </w:tc>
        <w:tc>
          <w:tcPr>
            <w:tcW w:w="686" w:type="pct"/>
            <w:tcBorders>
              <w:bottom w:val="single" w:sz="4" w:space="0" w:color="auto"/>
            </w:tcBorders>
            <w:noWrap/>
          </w:tcPr>
          <w:p w14:paraId="68534812" w14:textId="77777777" w:rsidR="006C641A" w:rsidRPr="007D1918" w:rsidRDefault="006C641A" w:rsidP="00153384">
            <w:pPr>
              <w:pStyle w:val="TableHeading"/>
              <w:jc w:val="center"/>
            </w:pPr>
            <w:r w:rsidRPr="007D1918">
              <w:t>2020-21</w:t>
            </w:r>
          </w:p>
        </w:tc>
        <w:tc>
          <w:tcPr>
            <w:tcW w:w="686" w:type="pct"/>
            <w:tcBorders>
              <w:bottom w:val="single" w:sz="4" w:space="0" w:color="auto"/>
            </w:tcBorders>
            <w:noWrap/>
          </w:tcPr>
          <w:p w14:paraId="5E00C7A2" w14:textId="77777777" w:rsidR="006C641A" w:rsidRPr="007D1918" w:rsidRDefault="006C641A" w:rsidP="00153384">
            <w:pPr>
              <w:pStyle w:val="TableHeading"/>
              <w:jc w:val="center"/>
              <w:rPr>
                <w:rFonts w:ascii="Times New Roman" w:hAnsi="Times New Roman" w:cs="Times New Roman"/>
              </w:rPr>
            </w:pPr>
            <w:r w:rsidRPr="007D1918">
              <w:t>2021-22</w:t>
            </w:r>
          </w:p>
        </w:tc>
        <w:tc>
          <w:tcPr>
            <w:tcW w:w="686" w:type="pct"/>
            <w:tcBorders>
              <w:bottom w:val="single" w:sz="4" w:space="0" w:color="auto"/>
            </w:tcBorders>
            <w:noWrap/>
          </w:tcPr>
          <w:p w14:paraId="5EF77DAC" w14:textId="77777777" w:rsidR="006C641A" w:rsidRPr="007D1918" w:rsidRDefault="006C641A" w:rsidP="00153384">
            <w:pPr>
              <w:pStyle w:val="TableHeading"/>
              <w:jc w:val="center"/>
              <w:rPr>
                <w:rFonts w:ascii="Times New Roman" w:hAnsi="Times New Roman" w:cs="Times New Roman"/>
              </w:rPr>
            </w:pPr>
            <w:r w:rsidRPr="007D1918">
              <w:t>2022-23</w:t>
            </w:r>
          </w:p>
        </w:tc>
        <w:tc>
          <w:tcPr>
            <w:tcW w:w="687" w:type="pct"/>
            <w:tcBorders>
              <w:bottom w:val="single" w:sz="4" w:space="0" w:color="auto"/>
            </w:tcBorders>
            <w:noWrap/>
          </w:tcPr>
          <w:p w14:paraId="579D17EF" w14:textId="77777777" w:rsidR="006C641A" w:rsidRPr="007D1918" w:rsidRDefault="006C641A" w:rsidP="00153384">
            <w:pPr>
              <w:pStyle w:val="TableHeading"/>
              <w:jc w:val="center"/>
              <w:rPr>
                <w:rFonts w:ascii="Times New Roman" w:hAnsi="Times New Roman" w:cs="Times New Roman"/>
              </w:rPr>
            </w:pPr>
            <w:r w:rsidRPr="007D1918">
              <w:t>2023-24</w:t>
            </w:r>
          </w:p>
        </w:tc>
      </w:tr>
      <w:tr w:rsidR="006C641A" w:rsidRPr="007D1918" w14:paraId="4F901E17" w14:textId="77777777" w:rsidTr="00153384">
        <w:trPr>
          <w:cnfStyle w:val="100000000000" w:firstRow="1" w:lastRow="0" w:firstColumn="0" w:lastColumn="0" w:oddVBand="0" w:evenVBand="0" w:oddHBand="0" w:evenHBand="0" w:firstRowFirstColumn="0" w:firstRowLastColumn="0" w:lastRowFirstColumn="0" w:lastRowLastColumn="0"/>
          <w:trHeight w:val="300"/>
          <w:tblHeader/>
        </w:trPr>
        <w:tc>
          <w:tcPr>
            <w:tcW w:w="1569" w:type="pct"/>
            <w:tcBorders>
              <w:bottom w:val="single" w:sz="4" w:space="0" w:color="auto"/>
            </w:tcBorders>
            <w:noWrap/>
          </w:tcPr>
          <w:p w14:paraId="2392CEB9" w14:textId="62300B7E" w:rsidR="006C641A" w:rsidRPr="007D1918" w:rsidRDefault="006C641A" w:rsidP="0095124C">
            <w:pPr>
              <w:pStyle w:val="TableHeading"/>
              <w:keepNext w:val="0"/>
              <w:rPr>
                <w:b w:val="0"/>
              </w:rPr>
            </w:pPr>
            <w:r w:rsidRPr="007D1918">
              <w:rPr>
                <w:b w:val="0"/>
              </w:rPr>
              <w:t>Base</w:t>
            </w:r>
            <w:r w:rsidR="0095124C" w:rsidRPr="007D1918">
              <w:rPr>
                <w:b w:val="0"/>
              </w:rPr>
              <w:t>: case $60.41 per gram</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1159C3" w14:textId="77777777" w:rsidR="006C641A" w:rsidRPr="007D1918" w:rsidRDefault="006C641A" w:rsidP="00153384">
            <w:pPr>
              <w:pStyle w:val="TableHeading"/>
              <w:keepNext w:val="0"/>
              <w:jc w:val="right"/>
              <w:rPr>
                <w:b w:val="0"/>
              </w:rPr>
            </w:pPr>
            <w:r w:rsidRPr="007D1918">
              <w:rPr>
                <w:b w:val="0"/>
              </w:rPr>
              <w:t>$40,737,805</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AD5D69" w14:textId="77777777" w:rsidR="006C641A" w:rsidRPr="007D1918" w:rsidRDefault="006C641A" w:rsidP="00153384">
            <w:pPr>
              <w:pStyle w:val="TableHeading"/>
              <w:keepNext w:val="0"/>
              <w:jc w:val="right"/>
              <w:rPr>
                <w:b w:val="0"/>
              </w:rPr>
            </w:pPr>
            <w:r w:rsidRPr="007D1918">
              <w:rPr>
                <w:b w:val="0"/>
              </w:rPr>
              <w:t>$43,979,384</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E58199" w14:textId="77777777" w:rsidR="006C641A" w:rsidRPr="007D1918" w:rsidRDefault="006C641A" w:rsidP="00153384">
            <w:pPr>
              <w:pStyle w:val="TableHeading"/>
              <w:keepNext w:val="0"/>
              <w:jc w:val="right"/>
              <w:rPr>
                <w:b w:val="0"/>
              </w:rPr>
            </w:pPr>
            <w:r w:rsidRPr="007D1918">
              <w:rPr>
                <w:b w:val="0"/>
              </w:rPr>
              <w:t>$47,221,113</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EA9BF8C" w14:textId="77777777" w:rsidR="006C641A" w:rsidRPr="007D1918" w:rsidRDefault="006C641A" w:rsidP="00153384">
            <w:pPr>
              <w:pStyle w:val="TableHeading"/>
              <w:keepNext w:val="0"/>
              <w:jc w:val="right"/>
              <w:rPr>
                <w:b w:val="0"/>
              </w:rPr>
            </w:pPr>
            <w:r w:rsidRPr="007D1918">
              <w:rPr>
                <w:b w:val="0"/>
              </w:rPr>
              <w:t>$50,455,699</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1262618" w14:textId="77777777" w:rsidR="006C641A" w:rsidRPr="007D1918" w:rsidRDefault="006C641A" w:rsidP="00153384">
            <w:pPr>
              <w:pStyle w:val="TableHeading"/>
              <w:keepNext w:val="0"/>
              <w:jc w:val="right"/>
              <w:rPr>
                <w:b w:val="0"/>
              </w:rPr>
            </w:pPr>
            <w:r w:rsidRPr="007D1918">
              <w:rPr>
                <w:b w:val="0"/>
              </w:rPr>
              <w:t>$53,695,295</w:t>
            </w:r>
          </w:p>
        </w:tc>
      </w:tr>
      <w:tr w:rsidR="006C641A" w:rsidRPr="007D1918" w14:paraId="1CEB8A73" w14:textId="77777777" w:rsidTr="00153384">
        <w:trPr>
          <w:trHeight w:val="300"/>
        </w:trPr>
        <w:tc>
          <w:tcPr>
            <w:tcW w:w="5000" w:type="pct"/>
            <w:gridSpan w:val="6"/>
            <w:tcBorders>
              <w:top w:val="single" w:sz="4" w:space="0" w:color="auto"/>
              <w:bottom w:val="single" w:sz="4" w:space="0" w:color="auto"/>
            </w:tcBorders>
            <w:noWrap/>
          </w:tcPr>
          <w:p w14:paraId="66DF3B1C" w14:textId="6835CB8B" w:rsidR="006C641A" w:rsidRPr="007D1918" w:rsidRDefault="006C641A" w:rsidP="0095124C">
            <w:pPr>
              <w:pStyle w:val="TableHeading"/>
              <w:keepNext w:val="0"/>
            </w:pPr>
            <w:r w:rsidRPr="007D1918">
              <w:t xml:space="preserve">Varying the cost of Ig </w:t>
            </w:r>
          </w:p>
        </w:tc>
      </w:tr>
      <w:tr w:rsidR="006C641A" w:rsidRPr="007D1918" w14:paraId="4DF2B7F5" w14:textId="77777777" w:rsidTr="00153384">
        <w:trPr>
          <w:trHeight w:val="300"/>
        </w:trPr>
        <w:tc>
          <w:tcPr>
            <w:tcW w:w="1569" w:type="pct"/>
            <w:tcBorders>
              <w:top w:val="single" w:sz="4" w:space="0" w:color="auto"/>
              <w:bottom w:val="single" w:sz="4" w:space="0" w:color="auto"/>
            </w:tcBorders>
            <w:noWrap/>
          </w:tcPr>
          <w:p w14:paraId="132B1920" w14:textId="77777777" w:rsidR="006C641A" w:rsidRPr="007D1918" w:rsidRDefault="006C641A" w:rsidP="00153384">
            <w:pPr>
              <w:pStyle w:val="TableHeading"/>
              <w:keepNext w:val="0"/>
              <w:rPr>
                <w:b w:val="0"/>
              </w:rPr>
            </w:pPr>
            <w:r w:rsidRPr="007D1918">
              <w:rPr>
                <w:b w:val="0"/>
              </w:rPr>
              <w:t>High cost scenario, $140.18</w:t>
            </w:r>
          </w:p>
        </w:tc>
        <w:tc>
          <w:tcPr>
            <w:tcW w:w="686" w:type="pct"/>
            <w:tcBorders>
              <w:top w:val="single" w:sz="4" w:space="0" w:color="auto"/>
              <w:left w:val="nil"/>
              <w:bottom w:val="single" w:sz="4" w:space="0" w:color="auto"/>
              <w:right w:val="single" w:sz="4" w:space="0" w:color="auto"/>
            </w:tcBorders>
            <w:shd w:val="clear" w:color="auto" w:fill="auto"/>
            <w:noWrap/>
            <w:vAlign w:val="bottom"/>
          </w:tcPr>
          <w:p w14:paraId="776F8EB4" w14:textId="77777777" w:rsidR="006C641A" w:rsidRPr="007D1918" w:rsidRDefault="006C641A" w:rsidP="00153384">
            <w:pPr>
              <w:pStyle w:val="Tablecontents"/>
              <w:jc w:val="right"/>
            </w:pPr>
            <w:r w:rsidRPr="007D1918">
              <w:t>$88,514,132</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C2846F" w14:textId="77777777" w:rsidR="006C641A" w:rsidRPr="007D1918" w:rsidRDefault="006C641A" w:rsidP="00153384">
            <w:pPr>
              <w:pStyle w:val="Tablecontents"/>
              <w:jc w:val="right"/>
            </w:pPr>
            <w:r w:rsidRPr="007D1918">
              <w:t>$95,557,629</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5F3F4F" w14:textId="77777777" w:rsidR="006C641A" w:rsidRPr="007D1918" w:rsidRDefault="006C641A" w:rsidP="00153384">
            <w:pPr>
              <w:pStyle w:val="Tablecontents"/>
              <w:jc w:val="right"/>
            </w:pPr>
            <w:r w:rsidRPr="007D1918">
              <w:t>$102,601,116</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30CA140" w14:textId="77777777" w:rsidR="006C641A" w:rsidRPr="007D1918" w:rsidRDefault="006C641A" w:rsidP="00153384">
            <w:pPr>
              <w:pStyle w:val="Tablecontents"/>
              <w:jc w:val="right"/>
            </w:pPr>
            <w:r w:rsidRPr="007D1918">
              <w:t>$109,637,620</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92EF4B" w14:textId="77777777" w:rsidR="006C641A" w:rsidRPr="007D1918" w:rsidRDefault="006C641A" w:rsidP="00153384">
            <w:pPr>
              <w:pStyle w:val="Tablecontents"/>
              <w:jc w:val="right"/>
            </w:pPr>
            <w:r w:rsidRPr="007D1918">
              <w:t>$116,679,055</w:t>
            </w:r>
          </w:p>
        </w:tc>
      </w:tr>
      <w:tr w:rsidR="006C641A" w:rsidRPr="007D1918" w14:paraId="7AB0196F" w14:textId="77777777" w:rsidTr="00153384">
        <w:trPr>
          <w:trHeight w:val="300"/>
        </w:trPr>
        <w:tc>
          <w:tcPr>
            <w:tcW w:w="1569" w:type="pct"/>
            <w:tcBorders>
              <w:top w:val="single" w:sz="4" w:space="0" w:color="auto"/>
              <w:bottom w:val="single" w:sz="4" w:space="0" w:color="auto"/>
            </w:tcBorders>
            <w:noWrap/>
          </w:tcPr>
          <w:p w14:paraId="7388162E" w14:textId="77777777" w:rsidR="006C641A" w:rsidRPr="007D1918" w:rsidRDefault="006C641A" w:rsidP="00153384">
            <w:pPr>
              <w:pStyle w:val="TableHeading"/>
              <w:keepNext w:val="0"/>
              <w:rPr>
                <w:b w:val="0"/>
              </w:rPr>
            </w:pPr>
            <w:r w:rsidRPr="007D1918">
              <w:rPr>
                <w:b w:val="0"/>
              </w:rPr>
              <w:t>Low cost scenario, $44.94</w:t>
            </w:r>
          </w:p>
        </w:tc>
        <w:tc>
          <w:tcPr>
            <w:tcW w:w="686" w:type="pct"/>
            <w:tcBorders>
              <w:top w:val="single" w:sz="4" w:space="0" w:color="auto"/>
              <w:left w:val="nil"/>
              <w:bottom w:val="single" w:sz="4" w:space="0" w:color="auto"/>
              <w:right w:val="single" w:sz="4" w:space="0" w:color="auto"/>
            </w:tcBorders>
            <w:shd w:val="clear" w:color="auto" w:fill="auto"/>
            <w:noWrap/>
            <w:vAlign w:val="bottom"/>
          </w:tcPr>
          <w:p w14:paraId="46C7DD4B" w14:textId="77777777" w:rsidR="006C641A" w:rsidRPr="007D1918" w:rsidRDefault="006C641A" w:rsidP="00153384">
            <w:pPr>
              <w:pStyle w:val="Tablecontents"/>
              <w:jc w:val="right"/>
            </w:pPr>
            <w:r w:rsidRPr="007D1918">
              <w:t>$31,472,419</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816660" w14:textId="77777777" w:rsidR="006C641A" w:rsidRPr="007D1918" w:rsidRDefault="006C641A" w:rsidP="00153384">
            <w:pPr>
              <w:pStyle w:val="Tablecontents"/>
              <w:jc w:val="right"/>
            </w:pPr>
            <w:r w:rsidRPr="007D1918">
              <w:t>$33,976,683</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B4172CE" w14:textId="77777777" w:rsidR="006C641A" w:rsidRPr="007D1918" w:rsidRDefault="006C641A" w:rsidP="00153384">
            <w:pPr>
              <w:pStyle w:val="Tablecontents"/>
              <w:jc w:val="right"/>
            </w:pPr>
            <w:r w:rsidRPr="007D1918">
              <w:t>$36,481,127</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DDFB1C" w14:textId="77777777" w:rsidR="006C641A" w:rsidRPr="007D1918" w:rsidRDefault="006C641A" w:rsidP="00153384">
            <w:pPr>
              <w:pStyle w:val="Tablecontents"/>
              <w:jc w:val="right"/>
            </w:pPr>
            <w:r w:rsidRPr="007D1918">
              <w:t>$38,978,397</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F75CCE" w14:textId="77777777" w:rsidR="006C641A" w:rsidRPr="007D1918" w:rsidRDefault="006C641A" w:rsidP="00153384">
            <w:pPr>
              <w:pStyle w:val="Tablecontents"/>
              <w:jc w:val="right"/>
            </w:pPr>
            <w:r w:rsidRPr="007D1918">
              <w:t>$41,480,694</w:t>
            </w:r>
          </w:p>
        </w:tc>
      </w:tr>
      <w:tr w:rsidR="006C641A" w:rsidRPr="007D1918" w14:paraId="56054021" w14:textId="77777777" w:rsidTr="00153384">
        <w:trPr>
          <w:trHeight w:val="300"/>
        </w:trPr>
        <w:tc>
          <w:tcPr>
            <w:tcW w:w="1569" w:type="pct"/>
            <w:tcBorders>
              <w:top w:val="single" w:sz="4" w:space="0" w:color="auto"/>
              <w:bottom w:val="single" w:sz="4" w:space="0" w:color="auto"/>
            </w:tcBorders>
            <w:noWrap/>
          </w:tcPr>
          <w:p w14:paraId="50CCA5EB" w14:textId="77777777" w:rsidR="006C641A" w:rsidRPr="007D1918" w:rsidRDefault="006C641A" w:rsidP="00153384">
            <w:pPr>
              <w:pStyle w:val="TableHeading"/>
              <w:keepNext w:val="0"/>
              <w:rPr>
                <w:b w:val="0"/>
              </w:rPr>
            </w:pPr>
            <w:r w:rsidRPr="007D1918">
              <w:rPr>
                <w:b w:val="0"/>
              </w:rPr>
              <w:t>Weighted average, $94.51</w:t>
            </w:r>
          </w:p>
        </w:tc>
        <w:tc>
          <w:tcPr>
            <w:tcW w:w="686" w:type="pct"/>
            <w:tcBorders>
              <w:top w:val="single" w:sz="4" w:space="0" w:color="auto"/>
              <w:left w:val="nil"/>
              <w:bottom w:val="single" w:sz="4" w:space="0" w:color="auto"/>
              <w:right w:val="single" w:sz="4" w:space="0" w:color="auto"/>
            </w:tcBorders>
            <w:shd w:val="clear" w:color="auto" w:fill="auto"/>
            <w:noWrap/>
            <w:vAlign w:val="bottom"/>
          </w:tcPr>
          <w:p w14:paraId="5606061B" w14:textId="77777777" w:rsidR="006C641A" w:rsidRPr="007D1918" w:rsidRDefault="006C641A" w:rsidP="00153384">
            <w:pPr>
              <w:pStyle w:val="Tablecontents"/>
              <w:jc w:val="right"/>
            </w:pPr>
            <w:r w:rsidRPr="007D1918">
              <w:t>$61,161,181</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0251C90" w14:textId="77777777" w:rsidR="006C641A" w:rsidRPr="007D1918" w:rsidRDefault="006C641A" w:rsidP="00153384">
            <w:pPr>
              <w:pStyle w:val="Tablecontents"/>
              <w:jc w:val="right"/>
            </w:pPr>
            <w:r w:rsidRPr="007D1918">
              <w:t>$66,028,001</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C5A996" w14:textId="77777777" w:rsidR="006C641A" w:rsidRPr="007D1918" w:rsidRDefault="006C641A" w:rsidP="00153384">
            <w:pPr>
              <w:pStyle w:val="Tablecontents"/>
              <w:jc w:val="right"/>
            </w:pPr>
            <w:r w:rsidRPr="007D1918">
              <w:t>$70,894,901</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07C133" w14:textId="77777777" w:rsidR="006C641A" w:rsidRPr="007D1918" w:rsidRDefault="006C641A" w:rsidP="00153384">
            <w:pPr>
              <w:pStyle w:val="Tablecontents"/>
              <w:jc w:val="right"/>
            </w:pPr>
            <w:r w:rsidRPr="007D1918">
              <w:t>$75,754,727</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8B95FA" w14:textId="77777777" w:rsidR="006C641A" w:rsidRPr="007D1918" w:rsidRDefault="006C641A" w:rsidP="00153384">
            <w:pPr>
              <w:pStyle w:val="Tablecontents"/>
              <w:jc w:val="right"/>
            </w:pPr>
            <w:r w:rsidRPr="007D1918">
              <w:t>$80,619,530</w:t>
            </w:r>
          </w:p>
        </w:tc>
      </w:tr>
      <w:tr w:rsidR="006C641A" w:rsidRPr="007D1918" w14:paraId="2C7C2919" w14:textId="77777777" w:rsidTr="0095124C">
        <w:trPr>
          <w:trHeight w:val="300"/>
        </w:trPr>
        <w:tc>
          <w:tcPr>
            <w:tcW w:w="1569" w:type="pct"/>
            <w:tcBorders>
              <w:top w:val="single" w:sz="4" w:space="0" w:color="auto"/>
              <w:bottom w:val="single" w:sz="4" w:space="0" w:color="auto"/>
            </w:tcBorders>
            <w:noWrap/>
          </w:tcPr>
          <w:p w14:paraId="227A278E" w14:textId="77777777" w:rsidR="006C641A" w:rsidRPr="007D1918" w:rsidRDefault="006C641A" w:rsidP="00153384">
            <w:pPr>
              <w:pStyle w:val="TableHeading"/>
              <w:keepNext w:val="0"/>
              <w:rPr>
                <w:b w:val="0"/>
              </w:rPr>
            </w:pPr>
            <w:r w:rsidRPr="007D1918">
              <w:rPr>
                <w:b w:val="0"/>
              </w:rPr>
              <w:t>Published Price 2019, $58.23</w:t>
            </w:r>
          </w:p>
        </w:tc>
        <w:tc>
          <w:tcPr>
            <w:tcW w:w="686" w:type="pct"/>
            <w:tcBorders>
              <w:top w:val="single" w:sz="4" w:space="0" w:color="auto"/>
              <w:left w:val="nil"/>
              <w:bottom w:val="single" w:sz="4" w:space="0" w:color="auto"/>
              <w:right w:val="single" w:sz="4" w:space="0" w:color="auto"/>
            </w:tcBorders>
            <w:shd w:val="clear" w:color="auto" w:fill="auto"/>
            <w:noWrap/>
            <w:vAlign w:val="bottom"/>
          </w:tcPr>
          <w:p w14:paraId="434C25D6" w14:textId="77777777" w:rsidR="006C641A" w:rsidRPr="007D1918" w:rsidRDefault="006C641A" w:rsidP="00153384">
            <w:pPr>
              <w:pStyle w:val="Tablecontents"/>
              <w:jc w:val="right"/>
            </w:pPr>
            <w:r w:rsidRPr="007D1918">
              <w:t>$39,432,146</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B5465DF" w14:textId="77777777" w:rsidR="006C641A" w:rsidRPr="007D1918" w:rsidRDefault="006C641A" w:rsidP="00153384">
            <w:pPr>
              <w:pStyle w:val="Tablecontents"/>
              <w:jc w:val="right"/>
            </w:pPr>
            <w:r w:rsidRPr="007D1918">
              <w:t>$42,569,825</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D501C4" w14:textId="77777777" w:rsidR="006C641A" w:rsidRPr="007D1918" w:rsidRDefault="006C641A" w:rsidP="00153384">
            <w:pPr>
              <w:pStyle w:val="Tablecontents"/>
              <w:jc w:val="right"/>
            </w:pPr>
            <w:r w:rsidRPr="007D1918">
              <w:t>$45,707,656</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9B1894E" w14:textId="77777777" w:rsidR="006C641A" w:rsidRPr="007D1918" w:rsidRDefault="006C641A" w:rsidP="00153384">
            <w:pPr>
              <w:pStyle w:val="Tablecontents"/>
              <w:jc w:val="right"/>
            </w:pPr>
            <w:r w:rsidRPr="007D1918">
              <w:t>$48,838,341</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ED4BA7" w14:textId="77777777" w:rsidR="006C641A" w:rsidRPr="007D1918" w:rsidRDefault="006C641A" w:rsidP="00153384">
            <w:pPr>
              <w:pStyle w:val="Tablecontents"/>
              <w:jc w:val="right"/>
            </w:pPr>
            <w:r w:rsidRPr="007D1918">
              <w:t>$51,974,039</w:t>
            </w:r>
          </w:p>
        </w:tc>
      </w:tr>
      <w:tr w:rsidR="0095124C" w:rsidRPr="007D1918" w14:paraId="41789484" w14:textId="77777777" w:rsidTr="0095124C">
        <w:trPr>
          <w:trHeight w:val="300"/>
        </w:trPr>
        <w:tc>
          <w:tcPr>
            <w:tcW w:w="1569" w:type="pct"/>
            <w:tcBorders>
              <w:top w:val="single" w:sz="4" w:space="0" w:color="auto"/>
              <w:bottom w:val="single" w:sz="4" w:space="0" w:color="auto"/>
            </w:tcBorders>
            <w:noWrap/>
          </w:tcPr>
          <w:p w14:paraId="00BE0DA4" w14:textId="5CB65AFC" w:rsidR="0095124C" w:rsidRPr="007D1918" w:rsidRDefault="0095124C" w:rsidP="004C6712">
            <w:pPr>
              <w:pStyle w:val="TableHeading"/>
              <w:keepNext w:val="0"/>
              <w:rPr>
                <w:b w:val="0"/>
              </w:rPr>
            </w:pPr>
            <w:r w:rsidRPr="007D1918">
              <w:rPr>
                <w:b w:val="0"/>
              </w:rPr>
              <w:t>MG weighted average, $68.75</w:t>
            </w:r>
          </w:p>
        </w:tc>
        <w:tc>
          <w:tcPr>
            <w:tcW w:w="686" w:type="pct"/>
            <w:tcBorders>
              <w:top w:val="single" w:sz="4" w:space="0" w:color="auto"/>
              <w:left w:val="nil"/>
              <w:bottom w:val="single" w:sz="4" w:space="0" w:color="auto"/>
              <w:right w:val="single" w:sz="4" w:space="0" w:color="auto"/>
            </w:tcBorders>
            <w:shd w:val="clear" w:color="auto" w:fill="auto"/>
            <w:noWrap/>
            <w:vAlign w:val="center"/>
          </w:tcPr>
          <w:p w14:paraId="161DEFA6" w14:textId="76B906C4" w:rsidR="0095124C" w:rsidRPr="007D1918" w:rsidRDefault="0095124C" w:rsidP="0095124C">
            <w:pPr>
              <w:pStyle w:val="Tablecontents"/>
              <w:jc w:val="right"/>
            </w:pPr>
            <w:r w:rsidRPr="007D1918">
              <w:t>$45,732,847</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7F6716" w14:textId="3345805E" w:rsidR="0095124C" w:rsidRPr="007D1918" w:rsidRDefault="0095124C" w:rsidP="0095124C">
            <w:pPr>
              <w:pStyle w:val="Tablecontents"/>
              <w:jc w:val="right"/>
            </w:pPr>
            <w:r w:rsidRPr="007D1918">
              <w:t>$49,371,920</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A26350" w14:textId="0C5A7709" w:rsidR="0095124C" w:rsidRPr="007D1918" w:rsidRDefault="0095124C" w:rsidP="0095124C">
            <w:pPr>
              <w:pStyle w:val="Tablecontents"/>
              <w:jc w:val="right"/>
            </w:pPr>
            <w:r w:rsidRPr="007D1918">
              <w:t>$53,011,124</w:t>
            </w:r>
          </w:p>
        </w:tc>
        <w:tc>
          <w:tcPr>
            <w:tcW w:w="6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C8CB9E" w14:textId="4A22253E" w:rsidR="0095124C" w:rsidRPr="007D1918" w:rsidRDefault="0095124C" w:rsidP="0095124C">
            <w:pPr>
              <w:pStyle w:val="Tablecontents"/>
              <w:jc w:val="right"/>
            </w:pPr>
            <w:r w:rsidRPr="007D1918">
              <w:t>$56,643,203</w:t>
            </w:r>
          </w:p>
        </w:tc>
        <w:tc>
          <w:tcPr>
            <w:tcW w:w="68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83C93" w14:textId="1AFB869B" w:rsidR="0095124C" w:rsidRPr="007D1918" w:rsidRDefault="0095124C" w:rsidP="0095124C">
            <w:pPr>
              <w:pStyle w:val="Tablecontents"/>
              <w:jc w:val="right"/>
            </w:pPr>
            <w:r w:rsidRPr="007D1918">
              <w:t>$60,280,284</w:t>
            </w:r>
          </w:p>
        </w:tc>
      </w:tr>
    </w:tbl>
    <w:p w14:paraId="32417F6C" w14:textId="41BC2710" w:rsidR="006C641A" w:rsidRPr="007D1918" w:rsidRDefault="006C641A" w:rsidP="006C641A">
      <w:pPr>
        <w:pStyle w:val="Tablenotes1"/>
      </w:pPr>
      <w:r w:rsidRPr="007D1918">
        <w:t>Ig = immunoglobulin</w:t>
      </w:r>
      <w:r w:rsidR="001533D9" w:rsidRPr="007D1918">
        <w:t>; MG = myasthenia gravis</w:t>
      </w:r>
      <w:r w:rsidRPr="007D1918">
        <w:t xml:space="preserve">. </w:t>
      </w:r>
    </w:p>
    <w:p w14:paraId="3EB6B9C9" w14:textId="0B9989C6" w:rsidR="0077418B" w:rsidRPr="007D1918" w:rsidRDefault="0077418B" w:rsidP="0077418B">
      <w:pPr>
        <w:pStyle w:val="Heading1"/>
        <w:jc w:val="both"/>
      </w:pPr>
      <w:bookmarkStart w:id="546" w:name="_Toc23767013"/>
      <w:r w:rsidRPr="007D1918">
        <w:lastRenderedPageBreak/>
        <w:t>Section F</w:t>
      </w:r>
      <w:r w:rsidRPr="007D1918">
        <w:tab/>
        <w:t xml:space="preserve">Other </w:t>
      </w:r>
      <w:r w:rsidR="00D82053" w:rsidRPr="007D1918">
        <w:t>R</w:t>
      </w:r>
      <w:r w:rsidRPr="007D1918">
        <w:t xml:space="preserve">elevant </w:t>
      </w:r>
      <w:r w:rsidR="00D82053" w:rsidRPr="007D1918">
        <w:t>C</w:t>
      </w:r>
      <w:r w:rsidRPr="007D1918">
        <w:t>onsiderations</w:t>
      </w:r>
      <w:bookmarkEnd w:id="480"/>
      <w:bookmarkEnd w:id="481"/>
      <w:bookmarkEnd w:id="546"/>
    </w:p>
    <w:p w14:paraId="2ECCD6FE" w14:textId="537857D5" w:rsidR="00982D93" w:rsidRPr="007D1918" w:rsidRDefault="00982D93" w:rsidP="00AF3A71">
      <w:pPr>
        <w:jc w:val="both"/>
      </w:pPr>
      <w:r w:rsidRPr="007D1918">
        <w:t xml:space="preserve">This section includes a </w:t>
      </w:r>
      <w:r w:rsidR="00AF3A71" w:rsidRPr="007D1918">
        <w:t xml:space="preserve">brief </w:t>
      </w:r>
      <w:r w:rsidRPr="007D1918">
        <w:t>discussion of the effectiveness and safety of rituximab for MG</w:t>
      </w:r>
      <w:r w:rsidR="00EE11C8" w:rsidRPr="007D1918">
        <w:t>.</w:t>
      </w:r>
      <w:r w:rsidRPr="007D1918">
        <w:t xml:space="preserve"> Rituximab is a comparator for Indication 3 in the PICO Confirmation for Application 1566, but the evidence identified for this treatment was not comparative</w:t>
      </w:r>
      <w:r w:rsidR="00EE11C8" w:rsidRPr="007D1918">
        <w:t xml:space="preserve"> and was therefore not included in </w:t>
      </w:r>
      <w:r w:rsidR="00EE11C8" w:rsidRPr="007D1918">
        <w:rPr>
          <w:i/>
        </w:rPr>
        <w:t>Section B</w:t>
      </w:r>
      <w:r w:rsidR="001075D9" w:rsidRPr="007D1918">
        <w:t xml:space="preserve"> </w:t>
      </w:r>
      <w:r w:rsidR="001075D9" w:rsidRPr="007D1918">
        <w:rPr>
          <w:i/>
        </w:rPr>
        <w:t>Clinical Evaluation</w:t>
      </w:r>
      <w:r w:rsidR="00EE11C8" w:rsidRPr="007D1918">
        <w:t xml:space="preserve">. </w:t>
      </w:r>
    </w:p>
    <w:p w14:paraId="2E35C8AA" w14:textId="1A3BE307" w:rsidR="00BD7308" w:rsidRPr="007D1918" w:rsidRDefault="00EE11C8" w:rsidP="00AF3A71">
      <w:pPr>
        <w:spacing w:after="120"/>
        <w:jc w:val="both"/>
      </w:pPr>
      <w:r w:rsidRPr="007D1918">
        <w:t xml:space="preserve">A discussion of the effectiveness </w:t>
      </w:r>
      <w:r w:rsidR="00AF3A71" w:rsidRPr="007D1918">
        <w:t>of</w:t>
      </w:r>
      <w:r w:rsidRPr="007D1918">
        <w:t xml:space="preserve"> IVIg in </w:t>
      </w:r>
      <w:r w:rsidR="00CB1591" w:rsidRPr="007D1918">
        <w:t xml:space="preserve">two other </w:t>
      </w:r>
      <w:r w:rsidRPr="007D1918">
        <w:t xml:space="preserve">clinical scenarios of MG is </w:t>
      </w:r>
      <w:r w:rsidR="00E853AB" w:rsidRPr="007D1918">
        <w:t xml:space="preserve">also </w:t>
      </w:r>
      <w:r w:rsidRPr="007D1918">
        <w:t xml:space="preserve">included in </w:t>
      </w:r>
      <w:r w:rsidRPr="007D1918">
        <w:rPr>
          <w:i/>
        </w:rPr>
        <w:t>Section F</w:t>
      </w:r>
      <w:r w:rsidRPr="007D1918">
        <w:t xml:space="preserve">. </w:t>
      </w:r>
      <w:r w:rsidR="00BD7308" w:rsidRPr="007D1918">
        <w:t xml:space="preserve">The PICO confirmation for </w:t>
      </w:r>
      <w:r w:rsidRPr="007D1918">
        <w:t>CA 1566</w:t>
      </w:r>
      <w:r w:rsidR="00BD7308" w:rsidRPr="007D1918">
        <w:t xml:space="preserve"> refer</w:t>
      </w:r>
      <w:r w:rsidRPr="007D1918">
        <w:t>s</w:t>
      </w:r>
      <w:r w:rsidR="00BD7308" w:rsidRPr="007D1918">
        <w:t xml:space="preserve"> to </w:t>
      </w:r>
      <w:r w:rsidRPr="007D1918">
        <w:t>the following sub-populations</w:t>
      </w:r>
      <w:r w:rsidR="00E40F81" w:rsidRPr="007D1918">
        <w:t xml:space="preserve"> which are not covered by </w:t>
      </w:r>
      <w:r w:rsidR="0088065E" w:rsidRPr="007D1918">
        <w:rPr>
          <w:i/>
        </w:rPr>
        <w:t>Criteria V3</w:t>
      </w:r>
      <w:r w:rsidR="0088065E" w:rsidRPr="007D1918">
        <w:t xml:space="preserve"> </w:t>
      </w:r>
      <w:r w:rsidR="00E40F81" w:rsidRPr="007D1918">
        <w:t>Indications 1,</w:t>
      </w:r>
      <w:r w:rsidR="00E853AB" w:rsidRPr="007D1918">
        <w:t xml:space="preserve"> </w:t>
      </w:r>
      <w:r w:rsidR="00E40F81" w:rsidRPr="007D1918">
        <w:t>2 or 3</w:t>
      </w:r>
      <w:r w:rsidR="005463C3" w:rsidRPr="007D1918">
        <w:t>. They</w:t>
      </w:r>
      <w:r w:rsidR="00E40F81" w:rsidRPr="007D1918">
        <w:t xml:space="preserve"> </w:t>
      </w:r>
      <w:r w:rsidR="00BD7308" w:rsidRPr="007D1918">
        <w:t>are</w:t>
      </w:r>
      <w:r w:rsidR="00E853AB" w:rsidRPr="007D1918">
        <w:t>:</w:t>
      </w:r>
      <w:r w:rsidR="00BD7308" w:rsidRPr="007D1918">
        <w:t xml:space="preserve"> </w:t>
      </w:r>
    </w:p>
    <w:p w14:paraId="1CFAF342" w14:textId="56E0E4E7" w:rsidR="00982D93" w:rsidRPr="007D1918" w:rsidRDefault="006F5CA1" w:rsidP="00EE11C8">
      <w:pPr>
        <w:pStyle w:val="ListParagraph"/>
        <w:numPr>
          <w:ilvl w:val="0"/>
          <w:numId w:val="35"/>
        </w:numPr>
        <w:spacing w:after="120"/>
      </w:pPr>
      <w:r w:rsidRPr="007D1918">
        <w:t>O</w:t>
      </w:r>
      <w:r w:rsidR="00982D93" w:rsidRPr="007D1918">
        <w:t xml:space="preserve">cular MG: </w:t>
      </w:r>
      <w:r w:rsidRPr="007D1918">
        <w:t>data not reported separately for those receiving IVIg, therefore not discussed separately; data on pure ocular MG was not included as patients are</w:t>
      </w:r>
      <w:r w:rsidR="00982D93" w:rsidRPr="007D1918">
        <w:t xml:space="preserve"> not eligible for Ig therapy</w:t>
      </w:r>
      <w:r w:rsidR="00E40F81" w:rsidRPr="007D1918">
        <w:t>;</w:t>
      </w:r>
    </w:p>
    <w:p w14:paraId="16A4A984" w14:textId="67F7D08A" w:rsidR="00982D93" w:rsidRPr="007D1918" w:rsidRDefault="00982D93" w:rsidP="00EE11C8">
      <w:pPr>
        <w:pStyle w:val="ListParagraph"/>
        <w:numPr>
          <w:ilvl w:val="0"/>
          <w:numId w:val="35"/>
        </w:numPr>
        <w:spacing w:after="120"/>
      </w:pPr>
      <w:r w:rsidRPr="007D1918">
        <w:t xml:space="preserve">MG with MuSK antibodies: discussed in </w:t>
      </w:r>
      <w:r w:rsidRPr="007D1918">
        <w:rPr>
          <w:i/>
        </w:rPr>
        <w:t>Section F</w:t>
      </w:r>
      <w:r w:rsidR="00E40F81" w:rsidRPr="007D1918">
        <w:t>, not covered by NBA Indication 1 to 3;</w:t>
      </w:r>
    </w:p>
    <w:p w14:paraId="535E59CD" w14:textId="0C92E1D7" w:rsidR="00982D93" w:rsidRPr="007D1918" w:rsidRDefault="00982D93" w:rsidP="00EE11C8">
      <w:pPr>
        <w:pStyle w:val="ListParagraph"/>
        <w:numPr>
          <w:ilvl w:val="0"/>
          <w:numId w:val="35"/>
        </w:numPr>
        <w:spacing w:after="120"/>
      </w:pPr>
      <w:r w:rsidRPr="007D1918">
        <w:t>Thymectomy: data not reported separately for those receiving IVIg</w:t>
      </w:r>
      <w:r w:rsidR="00AF3A71" w:rsidRPr="007D1918">
        <w:t>, except for data on preparation for surgery,</w:t>
      </w:r>
      <w:r w:rsidR="00E40F81" w:rsidRPr="007D1918">
        <w:t xml:space="preserve"> which is included in </w:t>
      </w:r>
      <w:r w:rsidR="00E40F81" w:rsidRPr="007D1918">
        <w:rPr>
          <w:i/>
        </w:rPr>
        <w:t>Section B</w:t>
      </w:r>
      <w:r w:rsidR="00E40F81" w:rsidRPr="007D1918">
        <w:t>;</w:t>
      </w:r>
    </w:p>
    <w:p w14:paraId="5322F294" w14:textId="3AC36791" w:rsidR="00982D93" w:rsidRPr="007D1918" w:rsidRDefault="00982D93" w:rsidP="00EE11C8">
      <w:pPr>
        <w:pStyle w:val="ListParagraph"/>
        <w:numPr>
          <w:ilvl w:val="0"/>
          <w:numId w:val="35"/>
        </w:numPr>
        <w:spacing w:after="120"/>
      </w:pPr>
      <w:r w:rsidRPr="007D1918">
        <w:t xml:space="preserve">Impending myasthenic crisis: data not reported separately from crisis, included in </w:t>
      </w:r>
      <w:r w:rsidRPr="007D1918">
        <w:rPr>
          <w:i/>
        </w:rPr>
        <w:t>Section B</w:t>
      </w:r>
      <w:r w:rsidR="00E40F81" w:rsidRPr="007D1918">
        <w:t>;</w:t>
      </w:r>
    </w:p>
    <w:p w14:paraId="16E99A02" w14:textId="75690462" w:rsidR="00982D93" w:rsidRPr="007D1918" w:rsidRDefault="00982D93" w:rsidP="00EE11C8">
      <w:pPr>
        <w:pStyle w:val="ListParagraph"/>
        <w:numPr>
          <w:ilvl w:val="0"/>
          <w:numId w:val="35"/>
        </w:numPr>
        <w:spacing w:after="120"/>
      </w:pPr>
      <w:r w:rsidRPr="007D1918">
        <w:t xml:space="preserve">MG in pregnancy: discussed in </w:t>
      </w:r>
      <w:r w:rsidRPr="007D1918">
        <w:rPr>
          <w:i/>
        </w:rPr>
        <w:t>Section F</w:t>
      </w:r>
      <w:r w:rsidR="00E40F81" w:rsidRPr="007D1918">
        <w:t>, not covered by NBA Indications 1 to 3;</w:t>
      </w:r>
    </w:p>
    <w:p w14:paraId="37E95B0E" w14:textId="2928DD8C" w:rsidR="00982D93" w:rsidRPr="007D1918" w:rsidRDefault="00982D93" w:rsidP="005376FF">
      <w:pPr>
        <w:pStyle w:val="ListParagraph"/>
        <w:numPr>
          <w:ilvl w:val="0"/>
          <w:numId w:val="35"/>
        </w:numPr>
        <w:spacing w:after="0"/>
      </w:pPr>
      <w:r w:rsidRPr="007D1918">
        <w:t>Juve</w:t>
      </w:r>
      <w:r w:rsidR="00E40F81" w:rsidRPr="007D1918">
        <w:t xml:space="preserve">nile MG: discussed in </w:t>
      </w:r>
      <w:r w:rsidR="00E40F81" w:rsidRPr="007D1918">
        <w:rPr>
          <w:i/>
        </w:rPr>
        <w:t>Section B</w:t>
      </w:r>
      <w:r w:rsidR="00E40F81" w:rsidRPr="007D1918">
        <w:t>, not covered by NBA Indications 1 to 3</w:t>
      </w:r>
    </w:p>
    <w:p w14:paraId="75418AA0" w14:textId="77777777" w:rsidR="005376FF" w:rsidRPr="007D1918" w:rsidRDefault="005376FF" w:rsidP="005376FF"/>
    <w:p w14:paraId="4A6A68EC" w14:textId="4FCD1C87" w:rsidR="005D0B1E" w:rsidRPr="007D1918" w:rsidRDefault="00C86609" w:rsidP="006F075C">
      <w:pPr>
        <w:pStyle w:val="Heading3"/>
      </w:pPr>
      <w:bookmarkStart w:id="547" w:name="_Toc23767014"/>
      <w:r w:rsidRPr="007D1918">
        <w:t>Safety and e</w:t>
      </w:r>
      <w:r w:rsidR="009A3B45" w:rsidRPr="007D1918">
        <w:t>ffectiveness of rituximab</w:t>
      </w:r>
      <w:r w:rsidR="003425F6" w:rsidRPr="007D1918">
        <w:t xml:space="preserve"> for patients with MG</w:t>
      </w:r>
      <w:bookmarkEnd w:id="547"/>
    </w:p>
    <w:p w14:paraId="71F4B9EA" w14:textId="413663BD" w:rsidR="00C86609" w:rsidRPr="007D1918" w:rsidRDefault="003425F6" w:rsidP="0077418B">
      <w:pPr>
        <w:jc w:val="both"/>
      </w:pPr>
      <w:r w:rsidRPr="007D1918">
        <w:t xml:space="preserve">Rituximab is a </w:t>
      </w:r>
      <w:r w:rsidR="00B835A7" w:rsidRPr="007D1918">
        <w:t>genetically engineered</w:t>
      </w:r>
      <w:r w:rsidRPr="007D1918">
        <w:t xml:space="preserve"> monoclonal antibody therapy designed to target the transmembrane protein CD20, which has been found on the surface of both normal and malignant </w:t>
      </w:r>
      <w:r w:rsidR="008A58AA" w:rsidRPr="007D1918">
        <w:t xml:space="preserve">B-lymphocytes. Following successful trials in </w:t>
      </w:r>
      <w:r w:rsidR="00B835A7" w:rsidRPr="007D1918">
        <w:t xml:space="preserve">B-cell </w:t>
      </w:r>
      <w:r w:rsidR="00320974" w:rsidRPr="007D1918">
        <w:t xml:space="preserve">non-Hodgkin's </w:t>
      </w:r>
      <w:r w:rsidR="00B835A7" w:rsidRPr="007D1918">
        <w:t>lymphoma</w:t>
      </w:r>
      <w:r w:rsidR="008A58AA" w:rsidRPr="007D1918">
        <w:t xml:space="preserve">, it has been trialled in </w:t>
      </w:r>
      <w:r w:rsidR="00B835A7" w:rsidRPr="007D1918">
        <w:t xml:space="preserve">other cancers and </w:t>
      </w:r>
      <w:r w:rsidR="008A58AA" w:rsidRPr="007D1918">
        <w:t>autoimmune conditions including MG</w:t>
      </w:r>
      <w:r w:rsidR="00FF6F35" w:rsidRPr="007D1918">
        <w:t xml:space="preserve"> </w:t>
      </w:r>
      <w:r w:rsidR="003736AC" w:rsidRPr="007D1918">
        <w:fldChar w:fldCharType="begin">
          <w:fldData xml:space="preserve">PEVuZE5vdGU+PENpdGU+PEF1dGhvcj5UYW5kYW48L0F1dGhvcj48WWVhcj4yMDE3PC9ZZWFyPjxS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</w:fldData>
        </w:fldChar>
      </w:r>
      <w:r w:rsidR="003736AC" w:rsidRPr="007D1918">
        <w:instrText xml:space="preserve"> ADDIN EN.CITE </w:instrText>
      </w:r>
      <w:r w:rsidR="003736AC" w:rsidRPr="007D1918">
        <w:fldChar w:fldCharType="begin">
          <w:fldData xml:space="preserve">PEVuZE5vdGU+PENpdGU+PEF1dGhvcj5UYW5kYW48L0F1dGhvcj48WWVhcj4yMDE3PC9ZZWFyPjxS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98" w:tooltip="Tandan, 2017 #26" w:history="1">
        <w:r w:rsidR="007D4948" w:rsidRPr="007D1918">
          <w:rPr>
            <w:noProof/>
          </w:rPr>
          <w:t>Tandan et al. 2017</w:t>
        </w:r>
      </w:hyperlink>
      <w:r w:rsidR="003736AC" w:rsidRPr="007D1918">
        <w:rPr>
          <w:noProof/>
        </w:rPr>
        <w:t>)</w:t>
      </w:r>
      <w:r w:rsidR="003736AC" w:rsidRPr="007D1918">
        <w:fldChar w:fldCharType="end"/>
      </w:r>
      <w:r w:rsidR="008A58AA" w:rsidRPr="007D1918">
        <w:t xml:space="preserve">. </w:t>
      </w:r>
      <w:r w:rsidR="00B835A7" w:rsidRPr="007D1918">
        <w:t>In particular</w:t>
      </w:r>
      <w:r w:rsidR="00E853AB" w:rsidRPr="007D1918">
        <w:t>,</w:t>
      </w:r>
      <w:r w:rsidR="00B835A7" w:rsidRPr="007D1918">
        <w:t xml:space="preserve"> rituximab has been used in clinical settings for refractory MG cases which have not responded to standard therapies, PE </w:t>
      </w:r>
      <w:r w:rsidR="00AB1414" w:rsidRPr="007D1918">
        <w:t>or</w:t>
      </w:r>
      <w:r w:rsidR="00B835A7" w:rsidRPr="007D1918">
        <w:t xml:space="preserve"> IVIg.</w:t>
      </w:r>
      <w:r w:rsidR="00D24358" w:rsidRPr="007D1918">
        <w:t xml:space="preserve"> </w:t>
      </w:r>
      <w:r w:rsidR="00D92BA2" w:rsidRPr="007D1918">
        <w:t xml:space="preserve">Rituximab is a comparator for Indication 3 in the PICO </w:t>
      </w:r>
      <w:r w:rsidR="00AB1414" w:rsidRPr="007D1918">
        <w:t>C</w:t>
      </w:r>
      <w:r w:rsidR="00D92BA2" w:rsidRPr="007D1918">
        <w:t xml:space="preserve">onfirmation for </w:t>
      </w:r>
      <w:r w:rsidR="00AB1414" w:rsidRPr="007D1918">
        <w:t>A</w:t>
      </w:r>
      <w:r w:rsidR="00D92BA2" w:rsidRPr="007D1918">
        <w:t xml:space="preserve">pplication 1566, </w:t>
      </w:r>
      <w:r w:rsidR="00EF595C" w:rsidRPr="007D1918">
        <w:t>and a</w:t>
      </w:r>
      <w:r w:rsidR="00D24358" w:rsidRPr="007D1918">
        <w:t>s a possible alternative to PE and IVIg, it is relevant to provide a discussion of rituximab in the context of MG in this assessment.</w:t>
      </w:r>
      <w:r w:rsidR="00320974" w:rsidRPr="007D1918">
        <w:t xml:space="preserve"> Rituximab is not </w:t>
      </w:r>
      <w:r w:rsidR="004F0459" w:rsidRPr="007D1918">
        <w:t>P</w:t>
      </w:r>
      <w:r w:rsidR="00320974" w:rsidRPr="007D1918">
        <w:t>BS funded for use in MG patients.</w:t>
      </w:r>
    </w:p>
    <w:p w14:paraId="526F8457" w14:textId="2277ADB1" w:rsidR="009A3B45" w:rsidRPr="007D1918" w:rsidRDefault="00C85095" w:rsidP="0077418B">
      <w:pPr>
        <w:jc w:val="both"/>
      </w:pPr>
      <w:r w:rsidRPr="007D1918">
        <w:t xml:space="preserve">A significant body of literature was found </w:t>
      </w:r>
      <w:r w:rsidR="00555BDC" w:rsidRPr="007D1918">
        <w:t>through the</w:t>
      </w:r>
      <w:r w:rsidR="00D24358" w:rsidRPr="007D1918">
        <w:t xml:space="preserve"> literature review and pearling </w:t>
      </w:r>
      <w:r w:rsidRPr="007D1918">
        <w:t>that discussed the effectiveness of rituximab in MG patients</w:t>
      </w:r>
      <w:r w:rsidR="00EF595C" w:rsidRPr="007D1918">
        <w:t>, albeit not in comparison with IVIg</w:t>
      </w:r>
      <w:r w:rsidRPr="007D1918">
        <w:t xml:space="preserve">. </w:t>
      </w:r>
      <w:r w:rsidR="00C86609" w:rsidRPr="007D1918">
        <w:t xml:space="preserve">Articles consisted of open label single arm trials, case series and case reports. </w:t>
      </w:r>
      <w:r w:rsidR="00B835A7" w:rsidRPr="007D1918">
        <w:t>To summarise the safety and effectiveness of rituximab for MG, t</w:t>
      </w:r>
      <w:r w:rsidR="00C86609" w:rsidRPr="007D1918">
        <w:t xml:space="preserve">wo SRs </w:t>
      </w:r>
      <w:r w:rsidR="00B835A7" w:rsidRPr="007D1918">
        <w:t xml:space="preserve">have </w:t>
      </w:r>
      <w:r w:rsidR="00C86609" w:rsidRPr="007D1918">
        <w:t xml:space="preserve">provided </w:t>
      </w:r>
      <w:r w:rsidR="00B835A7" w:rsidRPr="007D1918">
        <w:t xml:space="preserve">data on </w:t>
      </w:r>
      <w:r w:rsidRPr="007D1918">
        <w:t xml:space="preserve">the primary studies </w:t>
      </w:r>
      <w:r w:rsidR="003736AC" w:rsidRPr="007D1918">
        <w:fldChar w:fldCharType="begin">
          <w:fldData xml:space="preserve">PEVuZE5vdGU+PENpdGU+PEF1dGhvcj5HdXB0aWxsPC9BdXRob3I+PFllYXI+MjAxMTwvWWVhcj48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</w:fldData>
        </w:fldChar>
      </w:r>
      <w:r w:rsidR="00C437BA" w:rsidRPr="007D1918">
        <w:instrText xml:space="preserve"> ADDIN EN.CITE </w:instrText>
      </w:r>
      <w:r w:rsidR="00C437BA" w:rsidRPr="007D1918">
        <w:fldChar w:fldCharType="begin">
          <w:fldData xml:space="preserve">PEVuZE5vdGU+PENpdGU+PEF1dGhvcj5HdXB0aWxsPC9BdXRob3I+PFllYXI+MjAxMTwvWWVhcj48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</w:fldData>
        </w:fldChar>
      </w:r>
      <w:r w:rsidR="00C437BA" w:rsidRPr="007D1918">
        <w:instrText xml:space="preserve"> ADDIN EN.CITE.DATA </w:instrText>
      </w:r>
      <w:r w:rsidR="00C437BA" w:rsidRPr="007D1918">
        <w:fldChar w:fldCharType="end"/>
      </w:r>
      <w:r w:rsidR="003736AC" w:rsidRPr="007D1918">
        <w:fldChar w:fldCharType="separate"/>
      </w:r>
      <w:r w:rsidR="003736AC" w:rsidRPr="007D1918">
        <w:rPr>
          <w:noProof/>
        </w:rPr>
        <w:t>(</w:t>
      </w:r>
      <w:hyperlink w:anchor="_ENREF_42" w:tooltip="Guptill, 2011 #30" w:history="1">
        <w:r w:rsidR="007D4948" w:rsidRPr="007D1918">
          <w:rPr>
            <w:noProof/>
          </w:rPr>
          <w:t>Guptill, Sanders &amp; Evoli 2011</w:t>
        </w:r>
      </w:hyperlink>
      <w:r w:rsidR="003736AC" w:rsidRPr="007D1918">
        <w:rPr>
          <w:noProof/>
        </w:rPr>
        <w:t xml:space="preserve">; </w:t>
      </w:r>
      <w:hyperlink w:anchor="_ENREF_98" w:tooltip="Tandan, 2017 #26" w:history="1">
        <w:r w:rsidR="007D4948" w:rsidRPr="007D1918">
          <w:rPr>
            <w:noProof/>
          </w:rPr>
          <w:t>Tandan et al. 2017</w:t>
        </w:r>
      </w:hyperlink>
      <w:r w:rsidR="003736AC" w:rsidRPr="007D1918">
        <w:rPr>
          <w:noProof/>
        </w:rPr>
        <w:t>)</w:t>
      </w:r>
      <w:r w:rsidR="003736AC" w:rsidRPr="007D1918">
        <w:fldChar w:fldCharType="end"/>
      </w:r>
      <w:r w:rsidR="00D24358" w:rsidRPr="007D1918">
        <w:t xml:space="preserve"> </w:t>
      </w:r>
      <w:r w:rsidRPr="007D1918">
        <w:t xml:space="preserve">and </w:t>
      </w:r>
      <w:r w:rsidR="00C86609" w:rsidRPr="007D1918">
        <w:t>in addition to these, two articles based on Australian MG patients provide</w:t>
      </w:r>
      <w:r w:rsidRPr="007D1918">
        <w:t>d</w:t>
      </w:r>
      <w:r w:rsidR="00C86609" w:rsidRPr="007D1918">
        <w:t xml:space="preserve"> data on the</w:t>
      </w:r>
      <w:r w:rsidRPr="007D1918">
        <w:t xml:space="preserve"> authors’</w:t>
      </w:r>
      <w:r w:rsidR="00C86609" w:rsidRPr="007D1918">
        <w:t xml:space="preserve"> experience with rituximab</w:t>
      </w:r>
      <w:r w:rsidR="00D24358" w:rsidRPr="007D1918">
        <w:t xml:space="preserve"> </w:t>
      </w:r>
      <w:r w:rsidR="003736AC" w:rsidRPr="007D1918">
        <w:fldChar w:fldCharType="begin">
          <w:fldData xml:space="preserve">PEVuZE5vdGU+PENpdGU+PEF1dGhvcj5CbHVtPC9BdXRob3I+PFllYXI+MjAxMTwvWWVhcj48UmVj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</w:fldData>
        </w:fldChar>
      </w:r>
      <w:r w:rsidR="00C437BA" w:rsidRPr="007D1918">
        <w:instrText xml:space="preserve"> ADDIN EN.CITE </w:instrText>
      </w:r>
      <w:r w:rsidR="00C437BA" w:rsidRPr="007D1918">
        <w:fldChar w:fldCharType="begin">
          <w:fldData xml:space="preserve">PEVuZE5vdGU+PENpdGU+PEF1dGhvcj5CbHVtPC9BdXRob3I+PFllYXI+MjAxMTwvWWVhcj48UmVj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</w:fldData>
        </w:fldChar>
      </w:r>
      <w:r w:rsidR="00C437BA" w:rsidRPr="007D1918">
        <w:instrText xml:space="preserve"> ADDIN EN.CITE.DATA </w:instrText>
      </w:r>
      <w:r w:rsidR="00C437BA" w:rsidRPr="007D1918">
        <w:fldChar w:fldCharType="end"/>
      </w:r>
      <w:r w:rsidR="003736AC" w:rsidRPr="007D1918">
        <w:fldChar w:fldCharType="separate"/>
      </w:r>
      <w:r w:rsidR="003736AC" w:rsidRPr="007D1918">
        <w:rPr>
          <w:noProof/>
        </w:rPr>
        <w:t>(</w:t>
      </w:r>
      <w:hyperlink w:anchor="_ENREF_11" w:tooltip="Blum, 2011 #28" w:history="1">
        <w:r w:rsidR="007D4948" w:rsidRPr="007D1918">
          <w:rPr>
            <w:noProof/>
          </w:rPr>
          <w:t>Blum et al. 2011</w:t>
        </w:r>
      </w:hyperlink>
      <w:r w:rsidR="003736AC" w:rsidRPr="007D1918">
        <w:rPr>
          <w:noProof/>
        </w:rPr>
        <w:t xml:space="preserve">; </w:t>
      </w:r>
      <w:hyperlink w:anchor="_ENREF_17" w:tooltip="Chan, 2018 #21" w:history="1">
        <w:r w:rsidR="007D4948" w:rsidRPr="007D1918">
          <w:rPr>
            <w:noProof/>
          </w:rPr>
          <w:t>Chan et al. 2018</w:t>
        </w:r>
      </w:hyperlink>
      <w:r w:rsidR="003736AC" w:rsidRPr="007D1918">
        <w:rPr>
          <w:noProof/>
        </w:rPr>
        <w:t>)</w:t>
      </w:r>
      <w:r w:rsidR="003736AC" w:rsidRPr="007D1918">
        <w:fldChar w:fldCharType="end"/>
      </w:r>
      <w:r w:rsidR="00C86609" w:rsidRPr="007D1918">
        <w:t>.</w:t>
      </w:r>
    </w:p>
    <w:p w14:paraId="2B4B1DBF" w14:textId="26D86CEA" w:rsidR="00440574" w:rsidRPr="007D1918" w:rsidRDefault="00D24358" w:rsidP="0077418B">
      <w:pPr>
        <w:jc w:val="both"/>
        <w:rPr>
          <w:rFonts w:cs="Calibri"/>
        </w:rPr>
      </w:pPr>
      <w:r w:rsidRPr="007D1918">
        <w:lastRenderedPageBreak/>
        <w:t>The two SRs had a significant overlap in included case series and case reports</w:t>
      </w:r>
      <w:r w:rsidR="004F0459" w:rsidRPr="007D1918">
        <w:t>,</w:t>
      </w:r>
      <w:r w:rsidRPr="007D1918">
        <w:t xml:space="preserve"> but reported symptom improvement in different ways. The later and more comprehensive review </w:t>
      </w:r>
      <w:r w:rsidR="00440574" w:rsidRPr="007D1918">
        <w:t xml:space="preserve">(n = 169 cases) </w:t>
      </w:r>
      <w:r w:rsidR="003736AC" w:rsidRPr="007D1918">
        <w:fldChar w:fldCharType="begin">
          <w:fldData xml:space="preserve">PEVuZE5vdGU+PENpdGU+PEF1dGhvcj5UYW5kYW48L0F1dGhvcj48WWVhcj4yMDE3PC9ZZWFyPjxS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</w:fldData>
        </w:fldChar>
      </w:r>
      <w:r w:rsidR="003736AC" w:rsidRPr="007D1918">
        <w:instrText xml:space="preserve"> ADDIN EN.CITE </w:instrText>
      </w:r>
      <w:r w:rsidR="003736AC" w:rsidRPr="007D1918">
        <w:fldChar w:fldCharType="begin">
          <w:fldData xml:space="preserve">PEVuZE5vdGU+PENpdGU+PEF1dGhvcj5UYW5kYW48L0F1dGhvcj48WWVhcj4yMDE3PC9ZZWFyPjxS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98" w:tooltip="Tandan, 2017 #26" w:history="1">
        <w:r w:rsidR="007D4948" w:rsidRPr="007D1918">
          <w:rPr>
            <w:noProof/>
          </w:rPr>
          <w:t>Tandan et al. 2017</w:t>
        </w:r>
      </w:hyperlink>
      <w:r w:rsidR="003736AC" w:rsidRPr="007D1918">
        <w:rPr>
          <w:noProof/>
        </w:rPr>
        <w:t>)</w:t>
      </w:r>
      <w:r w:rsidR="003736AC" w:rsidRPr="007D1918">
        <w:fldChar w:fldCharType="end"/>
      </w:r>
      <w:r w:rsidR="00440574" w:rsidRPr="007D1918">
        <w:t xml:space="preserve"> </w:t>
      </w:r>
      <w:r w:rsidRPr="007D1918">
        <w:t>reported symptom</w:t>
      </w:r>
      <w:r w:rsidR="00440574" w:rsidRPr="007D1918">
        <w:t xml:space="preserve"> improvement based on a modified version of the </w:t>
      </w:r>
      <w:r w:rsidR="006C14F1" w:rsidRPr="007D1918">
        <w:t xml:space="preserve">MGFA </w:t>
      </w:r>
      <w:r w:rsidR="00440574" w:rsidRPr="007D1918">
        <w:t xml:space="preserve">post-intervention </w:t>
      </w:r>
      <w:r w:rsidR="00E025BC" w:rsidRPr="007D1918">
        <w:t>scale</w:t>
      </w:r>
      <w:r w:rsidR="00440574" w:rsidRPr="007D1918">
        <w:t xml:space="preserve"> (PIS-m) of minimal manifestations (MM) or better</w:t>
      </w:r>
      <w:r w:rsidR="006C14F1" w:rsidRPr="007D1918">
        <w:t xml:space="preserve"> and the QMGS</w:t>
      </w:r>
      <w:r w:rsidR="00440574" w:rsidRPr="007D1918">
        <w:t>.</w:t>
      </w:r>
      <w:r w:rsidR="00555BDC" w:rsidRPr="007D1918">
        <w:t xml:space="preserve"> </w:t>
      </w:r>
      <w:r w:rsidR="006C14F1" w:rsidRPr="007D1918">
        <w:t>A PIS-m of MM or better was achieved in 44% of all cases</w:t>
      </w:r>
      <w:r w:rsidR="0050354B" w:rsidRPr="007D1918">
        <w:t xml:space="preserve"> treated with rituximab</w:t>
      </w:r>
      <w:r w:rsidR="006C14F1" w:rsidRPr="007D1918">
        <w:t xml:space="preserve">, with a significantly </w:t>
      </w:r>
      <w:r w:rsidR="005671AD" w:rsidRPr="007D1918">
        <w:t>greater</w:t>
      </w:r>
      <w:r w:rsidR="006C14F1" w:rsidRPr="007D1918">
        <w:t xml:space="preserve"> proportion improved in those with </w:t>
      </w:r>
      <w:r w:rsidR="00555BDC" w:rsidRPr="007D1918">
        <w:t>MuSK</w:t>
      </w:r>
      <w:r w:rsidR="00B92784" w:rsidRPr="007D1918">
        <w:t>-MG</w:t>
      </w:r>
      <w:r w:rsidR="006C14F1" w:rsidRPr="007D1918">
        <w:t xml:space="preserve"> compared to AChRAb</w:t>
      </w:r>
      <w:r w:rsidR="0050354B" w:rsidRPr="007D1918">
        <w:t>-</w:t>
      </w:r>
      <w:r w:rsidR="006C14F1" w:rsidRPr="007D1918">
        <w:t>MG (72% versus 30%; p &lt; 0.001)</w:t>
      </w:r>
      <w:r w:rsidR="00440574" w:rsidRPr="007D1918">
        <w:t xml:space="preserve">. </w:t>
      </w:r>
      <w:r w:rsidR="006C14F1" w:rsidRPr="007D1918">
        <w:t>QMGS was only available for 18 cases</w:t>
      </w:r>
      <w:r w:rsidR="004F0459" w:rsidRPr="007D1918">
        <w:t>,</w:t>
      </w:r>
      <w:r w:rsidR="006C14F1" w:rsidRPr="007D1918">
        <w:t xml:space="preserve"> and for these there was an absolute score improvement of 8.2 </w:t>
      </w:r>
      <w:r w:rsidR="006C14F1" w:rsidRPr="007D1918">
        <w:rPr>
          <w:rFonts w:cs="Calibri"/>
        </w:rPr>
        <w:t>±</w:t>
      </w:r>
      <w:r w:rsidR="006C14F1" w:rsidRPr="007D1918">
        <w:t xml:space="preserve"> 5.1 following treatment or per</w:t>
      </w:r>
      <w:r w:rsidR="001F598F" w:rsidRPr="007D1918">
        <w:t> </w:t>
      </w:r>
      <w:r w:rsidR="006C14F1" w:rsidRPr="007D1918">
        <w:t xml:space="preserve">cent change in score of 52.6 </w:t>
      </w:r>
      <w:r w:rsidR="006C14F1" w:rsidRPr="007D1918">
        <w:rPr>
          <w:rFonts w:cs="Calibri"/>
        </w:rPr>
        <w:t xml:space="preserve">± 33.11%. Further data is provided in </w:t>
      </w:r>
      <w:r w:rsidR="00AE0976" w:rsidRPr="007D1918">
        <w:rPr>
          <w:rFonts w:cs="Calibri"/>
        </w:rPr>
        <w:fldChar w:fldCharType="begin"/>
      </w:r>
      <w:r w:rsidR="00AE0976" w:rsidRPr="007D1918">
        <w:rPr>
          <w:rFonts w:cs="Calibri"/>
        </w:rPr>
        <w:instrText xml:space="preserve"> REF _Ref11246279 \h </w:instrText>
      </w:r>
      <w:r w:rsidR="002A3108" w:rsidRPr="007D1918">
        <w:rPr>
          <w:rFonts w:cs="Calibri"/>
        </w:rPr>
        <w:instrText xml:space="preserve"> \* MERGEFORMAT </w:instrText>
      </w:r>
      <w:r w:rsidR="00AE0976" w:rsidRPr="007D1918">
        <w:rPr>
          <w:rFonts w:cs="Calibri"/>
        </w:rPr>
      </w:r>
      <w:r w:rsidR="00AE0976" w:rsidRPr="007D1918">
        <w:rPr>
          <w:rFonts w:cs="Calibri"/>
        </w:rPr>
        <w:fldChar w:fldCharType="separate"/>
      </w:r>
      <w:r w:rsidR="00B865E7" w:rsidRPr="007D1918">
        <w:t xml:space="preserve">Table </w:t>
      </w:r>
      <w:r w:rsidR="00B865E7" w:rsidRPr="007D1918">
        <w:rPr>
          <w:noProof/>
        </w:rPr>
        <w:t>99</w:t>
      </w:r>
      <w:r w:rsidR="00AE0976" w:rsidRPr="007D1918">
        <w:rPr>
          <w:rFonts w:cs="Calibri"/>
        </w:rPr>
        <w:fldChar w:fldCharType="end"/>
      </w:r>
      <w:r w:rsidR="00AE0976" w:rsidRPr="007D1918">
        <w:rPr>
          <w:rFonts w:cs="Calibri"/>
        </w:rPr>
        <w:t>.</w:t>
      </w:r>
    </w:p>
    <w:p w14:paraId="37A4FD0A" w14:textId="25B1EEA0" w:rsidR="006C14F1" w:rsidRPr="007D1918" w:rsidRDefault="00020AA6" w:rsidP="0077418B">
      <w:pPr>
        <w:jc w:val="both"/>
        <w:rPr>
          <w:rFonts w:cs="Calibri"/>
        </w:rPr>
      </w:pPr>
      <w:r w:rsidRPr="007D1918">
        <w:rPr>
          <w:rFonts w:cs="Calibri"/>
        </w:rPr>
        <w:t xml:space="preserve">The change from baseline in </w:t>
      </w:r>
      <w:r w:rsidR="005671AD" w:rsidRPr="007D1918">
        <w:rPr>
          <w:rFonts w:cs="Calibri"/>
        </w:rPr>
        <w:t xml:space="preserve">mean </w:t>
      </w:r>
      <w:r w:rsidRPr="007D1918">
        <w:rPr>
          <w:rFonts w:cs="Calibri"/>
        </w:rPr>
        <w:t xml:space="preserve">QMGS was </w:t>
      </w:r>
      <w:r w:rsidR="005671AD" w:rsidRPr="007D1918">
        <w:rPr>
          <w:rFonts w:cs="Calibri"/>
        </w:rPr>
        <w:t xml:space="preserve">statistically </w:t>
      </w:r>
      <w:r w:rsidRPr="007D1918">
        <w:rPr>
          <w:rFonts w:cs="Calibri"/>
        </w:rPr>
        <w:t xml:space="preserve">significant in the whole group and for both MG serotypes </w:t>
      </w:r>
      <w:r w:rsidR="004F0459" w:rsidRPr="007D1918">
        <w:rPr>
          <w:rFonts w:cs="Calibri"/>
        </w:rPr>
        <w:t>but the improvement was greater in those with MuSK</w:t>
      </w:r>
      <w:r w:rsidR="00B92784" w:rsidRPr="007D1918">
        <w:rPr>
          <w:rFonts w:cs="Calibri"/>
        </w:rPr>
        <w:t>-MG</w:t>
      </w:r>
      <w:r w:rsidR="004F0459" w:rsidRPr="007D1918">
        <w:rPr>
          <w:rFonts w:cs="Calibri"/>
        </w:rPr>
        <w:t xml:space="preserve"> compared to AChRAb</w:t>
      </w:r>
      <w:r w:rsidR="0050354B" w:rsidRPr="007D1918">
        <w:rPr>
          <w:rFonts w:cs="Calibri"/>
        </w:rPr>
        <w:t>-</w:t>
      </w:r>
      <w:r w:rsidR="004F0459" w:rsidRPr="007D1918">
        <w:rPr>
          <w:rFonts w:cs="Calibri"/>
        </w:rPr>
        <w:t xml:space="preserve">MG in all analyses </w:t>
      </w:r>
      <w:r w:rsidR="005671AD" w:rsidRPr="007D1918">
        <w:rPr>
          <w:rFonts w:cs="Calibri"/>
        </w:rPr>
        <w:t xml:space="preserve">(difference in mean </w:t>
      </w:r>
      <w:r w:rsidR="004F0459" w:rsidRPr="007D1918">
        <w:rPr>
          <w:rFonts w:cs="Calibri"/>
        </w:rPr>
        <w:t xml:space="preserve">improvement </w:t>
      </w:r>
      <w:r w:rsidR="005671AD" w:rsidRPr="007D1918">
        <w:rPr>
          <w:rFonts w:cs="Calibri"/>
        </w:rPr>
        <w:t xml:space="preserve">8.1 ± 2.1; </w:t>
      </w:r>
      <w:r w:rsidR="00781376" w:rsidRPr="007D1918">
        <w:rPr>
          <w:rFonts w:cs="Calibri"/>
        </w:rPr>
        <w:t>95% CI</w:t>
      </w:r>
      <w:r w:rsidR="005671AD" w:rsidRPr="007D1918">
        <w:rPr>
          <w:rFonts w:cs="Calibri"/>
        </w:rPr>
        <w:t xml:space="preserve"> 3.9, 12.3; p = 0.0004 for all 18 cases). </w:t>
      </w:r>
    </w:p>
    <w:p w14:paraId="51C81905" w14:textId="1A6EA3B1" w:rsidR="00AE0976" w:rsidRPr="007D1918" w:rsidRDefault="00AE0976" w:rsidP="0077418B">
      <w:pPr>
        <w:jc w:val="both"/>
        <w:rPr>
          <w:rFonts w:cs="Calibri"/>
        </w:rPr>
      </w:pPr>
      <w:r w:rsidRPr="007D1918">
        <w:rPr>
          <w:rFonts w:cs="Calibri"/>
        </w:rPr>
        <w:t xml:space="preserve">The rate of side effects was lower than that for IVIg or PE </w:t>
      </w:r>
      <w:r w:rsidR="00555BDC" w:rsidRPr="007D1918">
        <w:rPr>
          <w:rFonts w:cs="Calibri"/>
        </w:rPr>
        <w:t xml:space="preserve">reported in other studies </w:t>
      </w:r>
      <w:r w:rsidRPr="007D1918">
        <w:rPr>
          <w:rFonts w:cs="Calibri"/>
        </w:rPr>
        <w:t xml:space="preserve">(15 </w:t>
      </w:r>
      <w:r w:rsidR="004F0459" w:rsidRPr="007D1918">
        <w:rPr>
          <w:rFonts w:cs="Calibri"/>
        </w:rPr>
        <w:t xml:space="preserve">AEs </w:t>
      </w:r>
      <w:r w:rsidRPr="007D1918">
        <w:rPr>
          <w:rFonts w:cs="Calibri"/>
        </w:rPr>
        <w:t>reported on 10</w:t>
      </w:r>
      <w:r w:rsidR="007E3046" w:rsidRPr="007D1918">
        <w:rPr>
          <w:rFonts w:cs="Calibri"/>
        </w:rPr>
        <w:t>5 patients, 14%)</w:t>
      </w:r>
      <w:r w:rsidRPr="007D1918">
        <w:rPr>
          <w:rFonts w:cs="Calibri"/>
        </w:rPr>
        <w:t>.</w:t>
      </w:r>
      <w:r w:rsidR="003152F0" w:rsidRPr="007D1918">
        <w:rPr>
          <w:rFonts w:cs="Calibri"/>
        </w:rPr>
        <w:t xml:space="preserve"> The most common event was flushing (n = 3) and one report each of </w:t>
      </w:r>
      <w:r w:rsidR="00555BDC" w:rsidRPr="007D1918">
        <w:rPr>
          <w:rFonts w:cs="Calibri"/>
        </w:rPr>
        <w:t xml:space="preserve">a range of events including </w:t>
      </w:r>
      <w:r w:rsidR="003152F0" w:rsidRPr="007D1918">
        <w:rPr>
          <w:rFonts w:cs="Calibri"/>
        </w:rPr>
        <w:t xml:space="preserve">agranulocytosis, pneumonia, bronchitis, dyspnoea </w:t>
      </w:r>
      <w:r w:rsidR="00555BDC" w:rsidRPr="007D1918">
        <w:rPr>
          <w:rFonts w:cs="Calibri"/>
        </w:rPr>
        <w:t>and myocardial infarction</w:t>
      </w:r>
      <w:r w:rsidR="003152F0" w:rsidRPr="007D1918">
        <w:rPr>
          <w:rFonts w:cs="Calibri"/>
        </w:rPr>
        <w:t>.</w:t>
      </w:r>
    </w:p>
    <w:p w14:paraId="53339946" w14:textId="2E83607E" w:rsidR="00AD3F15" w:rsidRPr="007D1918" w:rsidRDefault="00AD3F15" w:rsidP="0077418B">
      <w:pPr>
        <w:jc w:val="both"/>
        <w:rPr>
          <w:rFonts w:cs="Calibri"/>
        </w:rPr>
      </w:pPr>
      <w:r w:rsidRPr="007D1918">
        <w:t xml:space="preserve">The earlier SR </w:t>
      </w:r>
      <w:r w:rsidR="003736AC" w:rsidRPr="007D1918">
        <w:fldChar w:fldCharType="begin">
          <w:fldData xml:space="preserve">PEVuZE5vdGU+PENpdGU+PEF1dGhvcj5Jb3JpbzwvQXV0aG9yPjxZZWFyPjIwMTU8L1llYXI+PFJl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</w:fldData>
        </w:fldChar>
      </w:r>
      <w:r w:rsidR="003736AC" w:rsidRPr="007D1918">
        <w:instrText xml:space="preserve"> ADDIN EN.CITE </w:instrText>
      </w:r>
      <w:r w:rsidR="003736AC" w:rsidRPr="007D1918">
        <w:fldChar w:fldCharType="begin">
          <w:fldData xml:space="preserve">PEVuZE5vdGU+PENpdGU+PEF1dGhvcj5Jb3JpbzwvQXV0aG9yPjxZZWFyPjIwMTU8L1llYXI+PFJl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52" w:tooltip="Iorio, 2015 #27" w:history="1">
        <w:r w:rsidR="007D4948" w:rsidRPr="007D1918">
          <w:rPr>
            <w:noProof/>
          </w:rPr>
          <w:t>Iorio et al. 2015</w:t>
        </w:r>
      </w:hyperlink>
      <w:r w:rsidR="003736AC" w:rsidRPr="007D1918">
        <w:rPr>
          <w:noProof/>
        </w:rPr>
        <w:t>)</w:t>
      </w:r>
      <w:r w:rsidR="003736AC" w:rsidRPr="007D1918">
        <w:fldChar w:fldCharType="end"/>
      </w:r>
      <w:r w:rsidRPr="007D1918">
        <w:t xml:space="preserve"> performed a meta-analysis of symptom improvement in articles that reported on two or more cases (K = 15). Improvement was again based on the MGFA PIS (unmodified). The overall response rate was 83.9% for the 15 studies. The response in those with MuSK serotype was better than those with AChRAb</w:t>
      </w:r>
      <w:r w:rsidR="0050354B" w:rsidRPr="007D1918">
        <w:t>-</w:t>
      </w:r>
      <w:r w:rsidRPr="007D1918">
        <w:t>MG but without statistical significance (88.8% ver</w:t>
      </w:r>
      <w:r w:rsidR="00D92BA2" w:rsidRPr="007D1918">
        <w:t>s</w:t>
      </w:r>
      <w:r w:rsidRPr="007D1918">
        <w:t xml:space="preserve">us 80.4%). </w:t>
      </w:r>
    </w:p>
    <w:p w14:paraId="4F30180C" w14:textId="62BC0C64" w:rsidR="006C14F1" w:rsidRPr="007D1918" w:rsidRDefault="00867D15" w:rsidP="00020AA6">
      <w:pPr>
        <w:pStyle w:val="Caption"/>
        <w:keepNext/>
        <w:keepLines/>
      </w:pPr>
      <w:bookmarkStart w:id="548" w:name="_Ref11246279"/>
      <w:bookmarkStart w:id="549" w:name="_Toc23769586"/>
      <w:r w:rsidRPr="007D1918">
        <w:t xml:space="preserve">Table </w:t>
      </w:r>
      <w:r w:rsidR="000B5B9C" w:rsidRPr="007D1918">
        <w:rPr>
          <w:noProof/>
        </w:rPr>
        <w:fldChar w:fldCharType="begin"/>
      </w:r>
      <w:r w:rsidR="000B5B9C" w:rsidRPr="007D1918">
        <w:rPr>
          <w:noProof/>
        </w:rPr>
        <w:instrText xml:space="preserve"> SEQ Table \* ARABIC </w:instrText>
      </w:r>
      <w:r w:rsidR="000B5B9C" w:rsidRPr="007D1918">
        <w:rPr>
          <w:noProof/>
        </w:rPr>
        <w:fldChar w:fldCharType="separate"/>
      </w:r>
      <w:r w:rsidR="00B865E7" w:rsidRPr="007D1918">
        <w:rPr>
          <w:noProof/>
        </w:rPr>
        <w:t>99</w:t>
      </w:r>
      <w:r w:rsidR="000B5B9C" w:rsidRPr="007D1918">
        <w:rPr>
          <w:noProof/>
        </w:rPr>
        <w:fldChar w:fldCharType="end"/>
      </w:r>
      <w:bookmarkEnd w:id="548"/>
      <w:r w:rsidRPr="007D1918">
        <w:tab/>
        <w:t>Improvement following rituximab in patients with MG</w:t>
      </w:r>
      <w:r w:rsidR="005C13DE" w:rsidRPr="007D1918">
        <w:t xml:space="preserve"> </w:t>
      </w:r>
      <w:r w:rsidR="00702BE6" w:rsidRPr="007D1918">
        <w:fldChar w:fldCharType="begin">
          <w:fldData xml:space="preserve">PEVuZE5vdGU+PENpdGU+PEF1dGhvcj5UYW5kYW48L0F1dGhvcj48WWVhcj4yMDE3PC9ZZWFyPjxS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</w:fldData>
        </w:fldChar>
      </w:r>
      <w:r w:rsidR="007F4CDE" w:rsidRPr="007D1918">
        <w:instrText xml:space="preserve"> ADDIN EN.CITE </w:instrText>
      </w:r>
      <w:r w:rsidR="007F4CDE" w:rsidRPr="007D1918">
        <w:fldChar w:fldCharType="begin">
          <w:fldData xml:space="preserve">PEVuZE5vdGU+PENpdGU+PEF1dGhvcj5UYW5kYW48L0F1dGhvcj48WWVhcj4yMDE3PC9ZZWFyPjxS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</w:fldData>
        </w:fldChar>
      </w:r>
      <w:r w:rsidR="007F4CDE" w:rsidRPr="007D1918">
        <w:instrText xml:space="preserve"> ADDIN EN.CITE.DATA </w:instrText>
      </w:r>
      <w:r w:rsidR="007F4CDE" w:rsidRPr="007D1918">
        <w:fldChar w:fldCharType="end"/>
      </w:r>
      <w:r w:rsidR="00702BE6" w:rsidRPr="007D1918">
        <w:fldChar w:fldCharType="separate"/>
      </w:r>
      <w:r w:rsidR="00702BE6" w:rsidRPr="007D1918">
        <w:rPr>
          <w:noProof/>
        </w:rPr>
        <w:t>(</w:t>
      </w:r>
      <w:hyperlink w:anchor="_ENREF_98" w:tooltip="Tandan, 2017 #26" w:history="1">
        <w:r w:rsidR="007D4948" w:rsidRPr="007D1918">
          <w:rPr>
            <w:noProof/>
          </w:rPr>
          <w:t>Tandan et al. 2017</w:t>
        </w:r>
      </w:hyperlink>
      <w:r w:rsidR="00702BE6" w:rsidRPr="007D1918">
        <w:rPr>
          <w:noProof/>
        </w:rPr>
        <w:t>)</w:t>
      </w:r>
      <w:bookmarkEnd w:id="549"/>
      <w:r w:rsidR="00702BE6" w:rsidRPr="007D1918">
        <w:fldChar w:fldCharType="end"/>
      </w:r>
    </w:p>
    <w:tbl>
      <w:tblPr>
        <w:tblStyle w:val="TableGrid"/>
        <w:tblW w:w="9209" w:type="dxa"/>
        <w:tblLook w:val="04A0" w:firstRow="1" w:lastRow="0" w:firstColumn="1" w:lastColumn="0" w:noHBand="0" w:noVBand="1"/>
        <w:tblCaption w:val="Table 56 Improvement following rituximab in patients with MG"/>
        <w:tblDescription w:val="Change in symptoms measured by MGFA grade, MGFA PIS-m, and QMGS in mg patients receiving rituximab. Data is separated for AChRAb and MuSK antibody positive MG."/>
      </w:tblPr>
      <w:tblGrid>
        <w:gridCol w:w="2689"/>
        <w:gridCol w:w="1701"/>
        <w:gridCol w:w="1559"/>
        <w:gridCol w:w="1559"/>
        <w:gridCol w:w="1701"/>
      </w:tblGrid>
      <w:tr w:rsidR="00867D15" w:rsidRPr="007D1918" w14:paraId="26ED4CE3" w14:textId="77777777" w:rsidTr="005A4079">
        <w:trPr>
          <w:tblHeader/>
        </w:trPr>
        <w:tc>
          <w:tcPr>
            <w:tcW w:w="2689" w:type="dxa"/>
          </w:tcPr>
          <w:p w14:paraId="327F502C" w14:textId="60EBDCB5" w:rsidR="00867D15" w:rsidRPr="007D1918" w:rsidRDefault="00867D15" w:rsidP="008B3469">
            <w:pPr>
              <w:pStyle w:val="TableHeading"/>
              <w:ind w:left="0"/>
            </w:pPr>
            <w:r w:rsidRPr="007D1918">
              <w:t>Improvement measure</w:t>
            </w:r>
          </w:p>
        </w:tc>
        <w:tc>
          <w:tcPr>
            <w:tcW w:w="1701" w:type="dxa"/>
          </w:tcPr>
          <w:p w14:paraId="59559C38" w14:textId="77777777" w:rsidR="00867D15" w:rsidRPr="007D1918" w:rsidRDefault="00867D15" w:rsidP="008B3469">
            <w:pPr>
              <w:pStyle w:val="TableHeading"/>
              <w:ind w:left="0"/>
            </w:pPr>
            <w:r w:rsidRPr="007D1918">
              <w:t>All MG</w:t>
            </w:r>
          </w:p>
          <w:p w14:paraId="593377DB" w14:textId="4456F0DA" w:rsidR="00867D15" w:rsidRPr="007D1918" w:rsidRDefault="00867D15" w:rsidP="008B3469">
            <w:pPr>
              <w:pStyle w:val="TableHeading"/>
              <w:ind w:left="0"/>
            </w:pPr>
            <w:r w:rsidRPr="007D1918">
              <w:t>(n = 169)</w:t>
            </w:r>
          </w:p>
        </w:tc>
        <w:tc>
          <w:tcPr>
            <w:tcW w:w="1559" w:type="dxa"/>
          </w:tcPr>
          <w:p w14:paraId="5662B33C" w14:textId="4D8A8FB3" w:rsidR="00867D15" w:rsidRPr="007D1918" w:rsidRDefault="00867D15" w:rsidP="008B3469">
            <w:pPr>
              <w:pStyle w:val="TableHeading"/>
              <w:ind w:left="0"/>
            </w:pPr>
            <w:r w:rsidRPr="007D1918">
              <w:t>AChRAb</w:t>
            </w:r>
            <w:r w:rsidR="0050354B" w:rsidRPr="007D1918">
              <w:t>-</w:t>
            </w:r>
            <w:r w:rsidRPr="007D1918">
              <w:t>MG</w:t>
            </w:r>
          </w:p>
          <w:p w14:paraId="2689FE87" w14:textId="2382EF0C" w:rsidR="00867D15" w:rsidRPr="007D1918" w:rsidRDefault="00867D15" w:rsidP="008B3469">
            <w:pPr>
              <w:pStyle w:val="TableHeading"/>
              <w:ind w:left="0"/>
            </w:pPr>
            <w:r w:rsidRPr="007D1918">
              <w:t>(n = 99)</w:t>
            </w:r>
          </w:p>
        </w:tc>
        <w:tc>
          <w:tcPr>
            <w:tcW w:w="1559" w:type="dxa"/>
          </w:tcPr>
          <w:p w14:paraId="71196890" w14:textId="28DA3D5F" w:rsidR="00867D15" w:rsidRPr="007D1918" w:rsidRDefault="00867D15" w:rsidP="008B3469">
            <w:pPr>
              <w:pStyle w:val="TableHeading"/>
              <w:ind w:left="0"/>
            </w:pPr>
            <w:r w:rsidRPr="007D1918">
              <w:t>MuSK</w:t>
            </w:r>
            <w:r w:rsidR="0050354B" w:rsidRPr="007D1918">
              <w:t>-</w:t>
            </w:r>
            <w:r w:rsidRPr="007D1918">
              <w:t>MG</w:t>
            </w:r>
          </w:p>
          <w:p w14:paraId="16F63F16" w14:textId="76CD47E8" w:rsidR="00867D15" w:rsidRPr="007D1918" w:rsidRDefault="00867D15" w:rsidP="008B3469">
            <w:pPr>
              <w:pStyle w:val="TableHeading"/>
              <w:ind w:left="0"/>
            </w:pPr>
            <w:r w:rsidRPr="007D1918">
              <w:t>(n = 57)</w:t>
            </w:r>
          </w:p>
        </w:tc>
        <w:tc>
          <w:tcPr>
            <w:tcW w:w="1701" w:type="dxa"/>
          </w:tcPr>
          <w:p w14:paraId="7FDEF1C0" w14:textId="28EAE30F" w:rsidR="00867D15" w:rsidRPr="007D1918" w:rsidRDefault="004A6441" w:rsidP="008B3469">
            <w:pPr>
              <w:pStyle w:val="TableHeading"/>
              <w:ind w:left="0"/>
            </w:pPr>
            <w:r w:rsidRPr="007D1918">
              <w:t>D</w:t>
            </w:r>
            <w:r w:rsidR="00867D15" w:rsidRPr="007D1918">
              <w:t xml:space="preserve">ifference AChRAb vs MuSK </w:t>
            </w:r>
            <w:r w:rsidR="00A95C29" w:rsidRPr="007D1918">
              <w:br/>
            </w:r>
            <w:r w:rsidR="00867D15" w:rsidRPr="007D1918">
              <w:t>(p</w:t>
            </w:r>
            <w:r w:rsidR="006F162C" w:rsidRPr="007D1918">
              <w:t>-</w:t>
            </w:r>
            <w:r w:rsidR="00867D15" w:rsidRPr="007D1918">
              <w:t>value)</w:t>
            </w:r>
          </w:p>
        </w:tc>
      </w:tr>
      <w:tr w:rsidR="00867D15" w:rsidRPr="007D1918" w14:paraId="7AFEBBC7" w14:textId="77777777" w:rsidTr="005A4079">
        <w:tc>
          <w:tcPr>
            <w:tcW w:w="2689" w:type="dxa"/>
          </w:tcPr>
          <w:p w14:paraId="78AB56EF" w14:textId="2DBCFF2C" w:rsidR="00867D15" w:rsidRPr="007D1918" w:rsidRDefault="00867D15" w:rsidP="00020AA6">
            <w:pPr>
              <w:pStyle w:val="TableText0"/>
              <w:keepLines/>
              <w:ind w:left="0"/>
            </w:pPr>
            <w:r w:rsidRPr="007D1918">
              <w:t>MGFA grade before rituximab</w:t>
            </w:r>
            <w:r w:rsidR="00A95C29" w:rsidRPr="007D1918">
              <w:t xml:space="preserve"> (median)</w:t>
            </w:r>
          </w:p>
        </w:tc>
        <w:tc>
          <w:tcPr>
            <w:tcW w:w="1701" w:type="dxa"/>
          </w:tcPr>
          <w:p w14:paraId="6033110C" w14:textId="46960C5B" w:rsidR="00867D15" w:rsidRPr="007D1918" w:rsidRDefault="00A95C29" w:rsidP="00020AA6">
            <w:pPr>
              <w:pStyle w:val="TableText0"/>
              <w:keepLines/>
              <w:ind w:left="0"/>
            </w:pPr>
            <w:r w:rsidRPr="007D1918">
              <w:t>IVB</w:t>
            </w:r>
          </w:p>
        </w:tc>
        <w:tc>
          <w:tcPr>
            <w:tcW w:w="1559" w:type="dxa"/>
          </w:tcPr>
          <w:p w14:paraId="2221EDE0" w14:textId="0564E2F1" w:rsidR="00867D15" w:rsidRPr="007D1918" w:rsidRDefault="00A95C29" w:rsidP="00020AA6">
            <w:pPr>
              <w:pStyle w:val="TableText0"/>
              <w:keepLines/>
              <w:ind w:left="0"/>
            </w:pPr>
            <w:r w:rsidRPr="007D1918">
              <w:t>IVA</w:t>
            </w:r>
          </w:p>
        </w:tc>
        <w:tc>
          <w:tcPr>
            <w:tcW w:w="1559" w:type="dxa"/>
          </w:tcPr>
          <w:p w14:paraId="0AAF6F2A" w14:textId="0A62EFE7" w:rsidR="00867D15" w:rsidRPr="007D1918" w:rsidRDefault="00A95C29" w:rsidP="00020AA6">
            <w:pPr>
              <w:pStyle w:val="TableText0"/>
              <w:keepLines/>
              <w:ind w:left="0"/>
            </w:pPr>
            <w:r w:rsidRPr="007D1918">
              <w:t>IVB</w:t>
            </w:r>
          </w:p>
        </w:tc>
        <w:tc>
          <w:tcPr>
            <w:tcW w:w="1701" w:type="dxa"/>
          </w:tcPr>
          <w:p w14:paraId="074847FF" w14:textId="109A14D0" w:rsidR="00867D15" w:rsidRPr="007D1918" w:rsidRDefault="00A95C29" w:rsidP="00020AA6">
            <w:pPr>
              <w:pStyle w:val="TableText0"/>
              <w:keepLines/>
              <w:ind w:left="0"/>
            </w:pPr>
            <w:r w:rsidRPr="007D1918">
              <w:t>0.19</w:t>
            </w:r>
          </w:p>
        </w:tc>
      </w:tr>
      <w:tr w:rsidR="00867D15" w:rsidRPr="007D1918" w14:paraId="61E0B1E8" w14:textId="77777777" w:rsidTr="005A4079">
        <w:tc>
          <w:tcPr>
            <w:tcW w:w="2689" w:type="dxa"/>
          </w:tcPr>
          <w:p w14:paraId="3C4C8931" w14:textId="63BB8964" w:rsidR="00867D15" w:rsidRPr="007D1918" w:rsidRDefault="00867D15" w:rsidP="00555BDC">
            <w:pPr>
              <w:pStyle w:val="TableText0"/>
              <w:ind w:left="0"/>
            </w:pPr>
            <w:r w:rsidRPr="007D1918">
              <w:t>Treatment effect</w:t>
            </w:r>
          </w:p>
          <w:p w14:paraId="7E4BE249" w14:textId="13FB0414" w:rsidR="00867D15" w:rsidRPr="007D1918" w:rsidRDefault="00867D15" w:rsidP="00A95C29">
            <w:pPr>
              <w:pStyle w:val="TableText0"/>
              <w:ind w:left="113"/>
            </w:pPr>
            <w:r w:rsidRPr="007D1918">
              <w:t>PIS-m MM or better (n, %)</w:t>
            </w:r>
          </w:p>
          <w:p w14:paraId="4C95FC37" w14:textId="77777777" w:rsidR="00867D15" w:rsidRPr="007D1918" w:rsidRDefault="00867D15" w:rsidP="00A95C29">
            <w:pPr>
              <w:pStyle w:val="TableText0"/>
              <w:ind w:left="113"/>
            </w:pPr>
            <w:r w:rsidRPr="007D1918">
              <w:t>PIS-m CSR or PR (n, %)</w:t>
            </w:r>
          </w:p>
          <w:p w14:paraId="732B6B2D" w14:textId="77777777" w:rsidR="00867D15" w:rsidRPr="007D1918" w:rsidRDefault="00867D15" w:rsidP="00A95C29">
            <w:pPr>
              <w:pStyle w:val="TableText0"/>
              <w:ind w:left="113"/>
            </w:pPr>
            <w:r w:rsidRPr="007D1918">
              <w:t>Any relapse after rituximab (n, %)</w:t>
            </w:r>
          </w:p>
          <w:p w14:paraId="5AE6B252" w14:textId="4576DF69" w:rsidR="00867D15" w:rsidRPr="007D1918" w:rsidRDefault="00867D15" w:rsidP="00A95C29">
            <w:pPr>
              <w:pStyle w:val="TableText0"/>
              <w:ind w:left="113"/>
            </w:pPr>
            <w:r w:rsidRPr="007D1918">
              <w:t>Relapses after rituximab (mean ± SD)</w:t>
            </w:r>
            <w:r w:rsidR="00A95C29" w:rsidRPr="007D1918">
              <w:t xml:space="preserve"> (n)</w:t>
            </w:r>
          </w:p>
        </w:tc>
        <w:tc>
          <w:tcPr>
            <w:tcW w:w="1701" w:type="dxa"/>
          </w:tcPr>
          <w:p w14:paraId="021D2344" w14:textId="77777777" w:rsidR="00867D15" w:rsidRPr="007D1918" w:rsidRDefault="00867D15" w:rsidP="00A95C29">
            <w:pPr>
              <w:pStyle w:val="TableText0"/>
              <w:ind w:left="0"/>
            </w:pPr>
          </w:p>
          <w:p w14:paraId="32DEA7EB" w14:textId="2A80826B" w:rsidR="00A95C29" w:rsidRPr="007D1918" w:rsidRDefault="00A95C29" w:rsidP="00555BDC">
            <w:pPr>
              <w:pStyle w:val="TableText0"/>
              <w:ind w:left="0"/>
            </w:pPr>
            <w:r w:rsidRPr="007D1918">
              <w:t>75/169 (44%)</w:t>
            </w:r>
          </w:p>
          <w:p w14:paraId="1F1802F0" w14:textId="77777777" w:rsidR="00A95C29" w:rsidRPr="007D1918" w:rsidRDefault="00A95C29" w:rsidP="00A95C29">
            <w:pPr>
              <w:pStyle w:val="TableText0"/>
              <w:ind w:left="0"/>
            </w:pPr>
            <w:r w:rsidRPr="007D1918">
              <w:t>45/169 (27%)</w:t>
            </w:r>
          </w:p>
          <w:p w14:paraId="59DA6788" w14:textId="01AC44A9" w:rsidR="00A95C29" w:rsidRPr="007D1918" w:rsidRDefault="00A95C29" w:rsidP="00A95C29">
            <w:pPr>
              <w:pStyle w:val="TableText0"/>
              <w:ind w:left="0"/>
            </w:pPr>
            <w:r w:rsidRPr="007D1918">
              <w:t>26/101 (26%)</w:t>
            </w:r>
            <w:r w:rsidR="005C13DE" w:rsidRPr="007D1918">
              <w:br/>
            </w:r>
          </w:p>
          <w:p w14:paraId="5F53DC63" w14:textId="09711755" w:rsidR="00A95C29" w:rsidRPr="007D1918" w:rsidRDefault="00A95C29" w:rsidP="00A95C29">
            <w:pPr>
              <w:pStyle w:val="TableText0"/>
              <w:ind w:left="0"/>
            </w:pPr>
            <w:r w:rsidRPr="007D1918">
              <w:t>0.4 ± 0.9 (n = 100)</w:t>
            </w:r>
          </w:p>
        </w:tc>
        <w:tc>
          <w:tcPr>
            <w:tcW w:w="1559" w:type="dxa"/>
          </w:tcPr>
          <w:p w14:paraId="08925C81" w14:textId="77777777" w:rsidR="00867D15" w:rsidRPr="007D1918" w:rsidRDefault="00867D15" w:rsidP="00A95C29">
            <w:pPr>
              <w:pStyle w:val="TableText0"/>
              <w:ind w:left="0"/>
            </w:pPr>
          </w:p>
          <w:p w14:paraId="419D8C70" w14:textId="77777777" w:rsidR="00A95C29" w:rsidRPr="007D1918" w:rsidRDefault="00A95C29" w:rsidP="00555BDC">
            <w:pPr>
              <w:pStyle w:val="TableText0"/>
              <w:ind w:left="0"/>
            </w:pPr>
            <w:r w:rsidRPr="007D1918">
              <w:t>30/99 (30%)</w:t>
            </w:r>
          </w:p>
          <w:p w14:paraId="54216A38" w14:textId="77777777" w:rsidR="00A95C29" w:rsidRPr="007D1918" w:rsidRDefault="00A95C29" w:rsidP="00A95C29">
            <w:pPr>
              <w:pStyle w:val="TableText0"/>
              <w:ind w:left="0"/>
            </w:pPr>
            <w:r w:rsidRPr="007D1918">
              <w:t>16/99 (16%)</w:t>
            </w:r>
          </w:p>
          <w:p w14:paraId="6BB9777F" w14:textId="00CB1889" w:rsidR="00A95C29" w:rsidRPr="007D1918" w:rsidRDefault="00A95C29" w:rsidP="00A95C29">
            <w:pPr>
              <w:pStyle w:val="TableText0"/>
              <w:ind w:left="0"/>
            </w:pPr>
            <w:r w:rsidRPr="007D1918">
              <w:t>21/63 (33%)</w:t>
            </w:r>
            <w:r w:rsidR="005C13DE" w:rsidRPr="007D1918">
              <w:br/>
            </w:r>
          </w:p>
          <w:p w14:paraId="2F3AB1AF" w14:textId="3AE00AF3" w:rsidR="00A95C29" w:rsidRPr="007D1918" w:rsidRDefault="00A95C29" w:rsidP="00A95C29">
            <w:pPr>
              <w:pStyle w:val="TableText0"/>
              <w:ind w:left="0"/>
            </w:pPr>
            <w:r w:rsidRPr="007D1918">
              <w:t>0.5 ± 1.0 (n = 62)</w:t>
            </w:r>
          </w:p>
        </w:tc>
        <w:tc>
          <w:tcPr>
            <w:tcW w:w="1559" w:type="dxa"/>
          </w:tcPr>
          <w:p w14:paraId="4010D016" w14:textId="77777777" w:rsidR="00867D15" w:rsidRPr="007D1918" w:rsidRDefault="00867D15" w:rsidP="00A95C29">
            <w:pPr>
              <w:pStyle w:val="TableText0"/>
              <w:ind w:left="0"/>
            </w:pPr>
          </w:p>
          <w:p w14:paraId="600BC497" w14:textId="77777777" w:rsidR="00A95C29" w:rsidRPr="007D1918" w:rsidRDefault="00A95C29" w:rsidP="00555BDC">
            <w:pPr>
              <w:pStyle w:val="TableText0"/>
              <w:ind w:left="0"/>
            </w:pPr>
            <w:r w:rsidRPr="007D1918">
              <w:t>41/57 (72%)</w:t>
            </w:r>
          </w:p>
          <w:p w14:paraId="135F0E93" w14:textId="77777777" w:rsidR="00A95C29" w:rsidRPr="007D1918" w:rsidRDefault="00A95C29" w:rsidP="00A95C29">
            <w:pPr>
              <w:pStyle w:val="TableText0"/>
              <w:ind w:left="0"/>
            </w:pPr>
            <w:r w:rsidRPr="007D1918">
              <w:t>27/57 (47%)</w:t>
            </w:r>
          </w:p>
          <w:p w14:paraId="76F23048" w14:textId="4AD916B9" w:rsidR="00A95C29" w:rsidRPr="007D1918" w:rsidRDefault="00A95C29" w:rsidP="00A95C29">
            <w:pPr>
              <w:pStyle w:val="TableText0"/>
              <w:ind w:left="0"/>
            </w:pPr>
            <w:r w:rsidRPr="007D1918">
              <w:t>4/29 (14%)</w:t>
            </w:r>
            <w:r w:rsidR="005C13DE" w:rsidRPr="007D1918">
              <w:br/>
            </w:r>
          </w:p>
          <w:p w14:paraId="79BF59BE" w14:textId="66A41798" w:rsidR="00A95C29" w:rsidRPr="007D1918" w:rsidRDefault="00A95C29" w:rsidP="00A95C29">
            <w:pPr>
              <w:pStyle w:val="TableText0"/>
              <w:ind w:left="0"/>
            </w:pPr>
            <w:r w:rsidRPr="007D1918">
              <w:t>0.2 ± 0.6 (n = 29)</w:t>
            </w:r>
          </w:p>
        </w:tc>
        <w:tc>
          <w:tcPr>
            <w:tcW w:w="1701" w:type="dxa"/>
          </w:tcPr>
          <w:p w14:paraId="4029FF48" w14:textId="77777777" w:rsidR="00867D15" w:rsidRPr="007D1918" w:rsidRDefault="00867D15" w:rsidP="00A95C29">
            <w:pPr>
              <w:pStyle w:val="TableText0"/>
              <w:ind w:left="0"/>
            </w:pPr>
          </w:p>
          <w:p w14:paraId="26333790" w14:textId="77777777" w:rsidR="00A95C29" w:rsidRPr="007D1918" w:rsidRDefault="00A95C29" w:rsidP="00555BDC">
            <w:pPr>
              <w:pStyle w:val="TableText0"/>
              <w:ind w:left="0"/>
            </w:pPr>
            <w:r w:rsidRPr="007D1918">
              <w:t>&lt;0.0001</w:t>
            </w:r>
          </w:p>
          <w:p w14:paraId="6619589C" w14:textId="77777777" w:rsidR="00A95C29" w:rsidRPr="007D1918" w:rsidRDefault="00A95C29" w:rsidP="00A95C29">
            <w:pPr>
              <w:pStyle w:val="TableText0"/>
              <w:ind w:left="0"/>
            </w:pPr>
            <w:r w:rsidRPr="007D1918">
              <w:t>&lt;0.0001</w:t>
            </w:r>
          </w:p>
          <w:p w14:paraId="63B48FDE" w14:textId="77777777" w:rsidR="00A95C29" w:rsidRPr="007D1918" w:rsidRDefault="00A95C29" w:rsidP="00A95C29">
            <w:pPr>
              <w:pStyle w:val="TableText0"/>
              <w:ind w:left="0"/>
            </w:pPr>
            <w:r w:rsidRPr="007D1918">
              <w:t>0.05</w:t>
            </w:r>
          </w:p>
          <w:p w14:paraId="3CE2BFB1" w14:textId="1C4F6734" w:rsidR="00A95C29" w:rsidRPr="007D1918" w:rsidRDefault="00A95C29" w:rsidP="00A95C29">
            <w:pPr>
              <w:pStyle w:val="TableText0"/>
              <w:ind w:left="0"/>
            </w:pPr>
            <w:r w:rsidRPr="007D1918">
              <w:t>0.04</w:t>
            </w:r>
          </w:p>
        </w:tc>
      </w:tr>
      <w:tr w:rsidR="00867D15" w:rsidRPr="007D1918" w14:paraId="034FD7FB" w14:textId="77777777" w:rsidTr="005A4079">
        <w:tc>
          <w:tcPr>
            <w:tcW w:w="2689" w:type="dxa"/>
          </w:tcPr>
          <w:p w14:paraId="7C6587BF" w14:textId="21001C6E" w:rsidR="00867D15" w:rsidRPr="007D1918" w:rsidRDefault="00A95C29" w:rsidP="00555BDC">
            <w:pPr>
              <w:pStyle w:val="TableText0"/>
              <w:ind w:left="0"/>
            </w:pPr>
            <w:r w:rsidRPr="007D1918">
              <w:t>QMGS (mean ± SD)</w:t>
            </w:r>
          </w:p>
          <w:p w14:paraId="5E15AAF6" w14:textId="77777777" w:rsidR="00A95C29" w:rsidRPr="007D1918" w:rsidRDefault="00A95C29" w:rsidP="00A95C29">
            <w:pPr>
              <w:pStyle w:val="TableText0"/>
              <w:ind w:left="113"/>
            </w:pPr>
            <w:r w:rsidRPr="007D1918">
              <w:t>Number of cases</w:t>
            </w:r>
          </w:p>
          <w:p w14:paraId="167A448E" w14:textId="77777777" w:rsidR="00A95C29" w:rsidRPr="007D1918" w:rsidRDefault="00A95C29" w:rsidP="00A95C29">
            <w:pPr>
              <w:pStyle w:val="TableText0"/>
              <w:ind w:left="113"/>
            </w:pPr>
            <w:r w:rsidRPr="007D1918">
              <w:t>Pre-rituximab</w:t>
            </w:r>
          </w:p>
          <w:p w14:paraId="628DA6ED" w14:textId="309E482A" w:rsidR="00A95C29" w:rsidRPr="007D1918" w:rsidRDefault="00A95C29" w:rsidP="00A95C29">
            <w:pPr>
              <w:pStyle w:val="TableText0"/>
              <w:ind w:left="113"/>
            </w:pPr>
            <w:r w:rsidRPr="007D1918">
              <w:t>Po</w:t>
            </w:r>
            <w:r w:rsidR="006F162C" w:rsidRPr="007D1918">
              <w:t>s</w:t>
            </w:r>
            <w:r w:rsidRPr="007D1918">
              <w:t>t-rituximab</w:t>
            </w:r>
          </w:p>
          <w:p w14:paraId="749ED4AB" w14:textId="77777777" w:rsidR="00A95C29" w:rsidRPr="007D1918" w:rsidRDefault="00A95C29" w:rsidP="00A95C29">
            <w:pPr>
              <w:pStyle w:val="TableText0"/>
              <w:ind w:left="113"/>
            </w:pPr>
            <w:r w:rsidRPr="007D1918">
              <w:t>Change in score (absolute)</w:t>
            </w:r>
          </w:p>
          <w:p w14:paraId="0EFCD560" w14:textId="77777777" w:rsidR="00A95C29" w:rsidRPr="007D1918" w:rsidRDefault="00A95C29" w:rsidP="00A95C29">
            <w:pPr>
              <w:pStyle w:val="TableText0"/>
              <w:ind w:left="113"/>
            </w:pPr>
            <w:r w:rsidRPr="007D1918">
              <w:t>Change in score (%)</w:t>
            </w:r>
          </w:p>
          <w:p w14:paraId="1976BFB3" w14:textId="1DA7BEDA" w:rsidR="006F162C" w:rsidRPr="007D1918" w:rsidRDefault="006F162C" w:rsidP="006F162C">
            <w:pPr>
              <w:pStyle w:val="TableText0"/>
              <w:ind w:left="113"/>
              <w:rPr>
                <w:vertAlign w:val="superscript"/>
              </w:rPr>
            </w:pPr>
            <w:r w:rsidRPr="007D1918">
              <w:t>Pre-post difference in mean (p-value)</w:t>
            </w:r>
            <w:r w:rsidRPr="007D1918">
              <w:rPr>
                <w:vertAlign w:val="superscript"/>
              </w:rPr>
              <w:t>a</w:t>
            </w:r>
          </w:p>
        </w:tc>
        <w:tc>
          <w:tcPr>
            <w:tcW w:w="1701" w:type="dxa"/>
          </w:tcPr>
          <w:p w14:paraId="126C125D" w14:textId="77777777" w:rsidR="00867D15" w:rsidRPr="007D1918" w:rsidRDefault="00867D15" w:rsidP="00A95C29">
            <w:pPr>
              <w:pStyle w:val="TableText0"/>
              <w:ind w:left="0"/>
            </w:pPr>
          </w:p>
          <w:p w14:paraId="570930DB" w14:textId="77777777" w:rsidR="00A95C29" w:rsidRPr="007D1918" w:rsidRDefault="00A95C29" w:rsidP="00555BDC">
            <w:pPr>
              <w:pStyle w:val="TableText0"/>
              <w:ind w:left="0"/>
            </w:pPr>
            <w:r w:rsidRPr="007D1918">
              <w:t>18</w:t>
            </w:r>
          </w:p>
          <w:p w14:paraId="3010991C" w14:textId="77777777" w:rsidR="00A95C29" w:rsidRPr="007D1918" w:rsidRDefault="00A95C29" w:rsidP="00A95C29">
            <w:pPr>
              <w:pStyle w:val="TableText0"/>
              <w:ind w:left="0"/>
            </w:pPr>
            <w:r w:rsidRPr="007D1918">
              <w:t>16.8 ± 5.5</w:t>
            </w:r>
          </w:p>
          <w:p w14:paraId="43433D70" w14:textId="77777777" w:rsidR="00A95C29" w:rsidRPr="007D1918" w:rsidRDefault="00A95C29" w:rsidP="00A95C29">
            <w:pPr>
              <w:pStyle w:val="TableText0"/>
              <w:ind w:left="0"/>
            </w:pPr>
            <w:r w:rsidRPr="007D1918">
              <w:t xml:space="preserve">8.7 ± </w:t>
            </w:r>
            <w:r w:rsidR="006F162C" w:rsidRPr="007D1918">
              <w:t>6.9</w:t>
            </w:r>
          </w:p>
          <w:p w14:paraId="4106CAB6" w14:textId="77777777" w:rsidR="006F162C" w:rsidRPr="007D1918" w:rsidRDefault="006F162C" w:rsidP="00A95C29">
            <w:pPr>
              <w:pStyle w:val="TableText0"/>
              <w:ind w:left="0"/>
            </w:pPr>
            <w:r w:rsidRPr="007D1918">
              <w:t>8.2 ± 5.1</w:t>
            </w:r>
          </w:p>
          <w:p w14:paraId="3A7F25EC" w14:textId="77777777" w:rsidR="006F162C" w:rsidRPr="007D1918" w:rsidRDefault="006F162C" w:rsidP="00A95C29">
            <w:pPr>
              <w:pStyle w:val="TableText0"/>
              <w:ind w:left="0"/>
            </w:pPr>
            <w:r w:rsidRPr="007D1918">
              <w:t>52.6 ± 33.1</w:t>
            </w:r>
          </w:p>
          <w:p w14:paraId="7BA4F9FC" w14:textId="096EF2AB" w:rsidR="006F162C" w:rsidRPr="007D1918" w:rsidRDefault="006F162C" w:rsidP="00A95C29">
            <w:pPr>
              <w:pStyle w:val="TableText0"/>
              <w:ind w:left="0"/>
            </w:pPr>
            <w:r w:rsidRPr="007D1918">
              <w:t>0.0004</w:t>
            </w:r>
          </w:p>
        </w:tc>
        <w:tc>
          <w:tcPr>
            <w:tcW w:w="1559" w:type="dxa"/>
          </w:tcPr>
          <w:p w14:paraId="7544BD66" w14:textId="77777777" w:rsidR="00867D15" w:rsidRPr="007D1918" w:rsidRDefault="00867D15" w:rsidP="006F162C">
            <w:pPr>
              <w:pStyle w:val="TableText0"/>
              <w:ind w:left="0"/>
            </w:pPr>
          </w:p>
          <w:p w14:paraId="7A58FAE1" w14:textId="77777777" w:rsidR="006F162C" w:rsidRPr="007D1918" w:rsidRDefault="006F162C" w:rsidP="00555BDC">
            <w:pPr>
              <w:pStyle w:val="TableText0"/>
              <w:ind w:left="0"/>
            </w:pPr>
            <w:r w:rsidRPr="007D1918">
              <w:t>15</w:t>
            </w:r>
          </w:p>
          <w:p w14:paraId="6A38A91F" w14:textId="77777777" w:rsidR="006F162C" w:rsidRPr="007D1918" w:rsidRDefault="006F162C" w:rsidP="006F162C">
            <w:pPr>
              <w:pStyle w:val="TableText0"/>
              <w:ind w:left="0"/>
            </w:pPr>
            <w:r w:rsidRPr="007D1918">
              <w:t>17.7 ± 0.5</w:t>
            </w:r>
          </w:p>
          <w:p w14:paraId="3E6AF8DD" w14:textId="77777777" w:rsidR="006F162C" w:rsidRPr="007D1918" w:rsidRDefault="006F162C" w:rsidP="006F162C">
            <w:pPr>
              <w:pStyle w:val="TableText0"/>
              <w:ind w:left="0"/>
            </w:pPr>
            <w:r w:rsidRPr="007D1918">
              <w:t>9.9 ± 6.7</w:t>
            </w:r>
          </w:p>
          <w:p w14:paraId="7C21AF14" w14:textId="77777777" w:rsidR="006F162C" w:rsidRPr="007D1918" w:rsidRDefault="006F162C" w:rsidP="006F162C">
            <w:pPr>
              <w:pStyle w:val="TableText0"/>
              <w:ind w:left="0"/>
            </w:pPr>
            <w:r w:rsidRPr="007D1918">
              <w:t>7.7 ± 5.4</w:t>
            </w:r>
          </w:p>
          <w:p w14:paraId="5705CEC0" w14:textId="77777777" w:rsidR="006F162C" w:rsidRPr="007D1918" w:rsidRDefault="006F162C" w:rsidP="006F162C">
            <w:pPr>
              <w:pStyle w:val="TableText0"/>
              <w:ind w:left="0"/>
            </w:pPr>
            <w:r w:rsidRPr="007D1918">
              <w:t>45.9 ± 30.9</w:t>
            </w:r>
          </w:p>
          <w:p w14:paraId="03172F16" w14:textId="14D98122" w:rsidR="006F162C" w:rsidRPr="007D1918" w:rsidRDefault="006F162C" w:rsidP="006F162C">
            <w:pPr>
              <w:pStyle w:val="TableText0"/>
              <w:ind w:left="0"/>
            </w:pPr>
            <w:r w:rsidRPr="007D1918">
              <w:t>0.0001</w:t>
            </w:r>
          </w:p>
        </w:tc>
        <w:tc>
          <w:tcPr>
            <w:tcW w:w="1559" w:type="dxa"/>
          </w:tcPr>
          <w:p w14:paraId="71A963D2" w14:textId="77777777" w:rsidR="00867D15" w:rsidRPr="007D1918" w:rsidRDefault="00867D15" w:rsidP="006F162C">
            <w:pPr>
              <w:pStyle w:val="TableText0"/>
              <w:ind w:left="0"/>
            </w:pPr>
          </w:p>
          <w:p w14:paraId="0A675C77" w14:textId="77777777" w:rsidR="006F162C" w:rsidRPr="007D1918" w:rsidRDefault="006F162C" w:rsidP="00555BDC">
            <w:pPr>
              <w:pStyle w:val="TableText0"/>
              <w:ind w:left="0"/>
            </w:pPr>
            <w:r w:rsidRPr="007D1918">
              <w:t>3</w:t>
            </w:r>
          </w:p>
          <w:p w14:paraId="2B18A70B" w14:textId="77777777" w:rsidR="006F162C" w:rsidRPr="007D1918" w:rsidRDefault="006F162C" w:rsidP="006F162C">
            <w:pPr>
              <w:pStyle w:val="TableText0"/>
              <w:ind w:left="0"/>
            </w:pPr>
            <w:r w:rsidRPr="007D1918">
              <w:t>12.7 ± 4.5</w:t>
            </w:r>
          </w:p>
          <w:p w14:paraId="62DBDEF0" w14:textId="77777777" w:rsidR="006F162C" w:rsidRPr="007D1918" w:rsidRDefault="006F162C" w:rsidP="006F162C">
            <w:pPr>
              <w:pStyle w:val="TableText0"/>
              <w:ind w:left="0"/>
            </w:pPr>
            <w:r w:rsidRPr="007D1918">
              <w:t>2.3 ± 4.0</w:t>
            </w:r>
          </w:p>
          <w:p w14:paraId="1821460A" w14:textId="77777777" w:rsidR="006F162C" w:rsidRPr="007D1918" w:rsidRDefault="006F162C" w:rsidP="006F162C">
            <w:pPr>
              <w:pStyle w:val="TableText0"/>
              <w:ind w:left="0"/>
            </w:pPr>
            <w:r w:rsidRPr="007D1918">
              <w:t>10.3 ± 2.5</w:t>
            </w:r>
          </w:p>
          <w:p w14:paraId="773B9F9C" w14:textId="77777777" w:rsidR="006F162C" w:rsidRPr="007D1918" w:rsidRDefault="006F162C" w:rsidP="006F162C">
            <w:pPr>
              <w:pStyle w:val="TableText0"/>
              <w:ind w:left="0"/>
            </w:pPr>
            <w:r w:rsidRPr="007D1918">
              <w:t>86.3 ± 23.8</w:t>
            </w:r>
          </w:p>
          <w:p w14:paraId="2B762042" w14:textId="45670E98" w:rsidR="006F162C" w:rsidRPr="007D1918" w:rsidRDefault="006F162C" w:rsidP="006F162C">
            <w:pPr>
              <w:pStyle w:val="TableText0"/>
              <w:ind w:left="0"/>
            </w:pPr>
            <w:r w:rsidRPr="007D1918">
              <w:t>0.04</w:t>
            </w:r>
          </w:p>
        </w:tc>
        <w:tc>
          <w:tcPr>
            <w:tcW w:w="1701" w:type="dxa"/>
          </w:tcPr>
          <w:p w14:paraId="5F861B8B" w14:textId="77777777" w:rsidR="00867D15" w:rsidRPr="007D1918" w:rsidRDefault="00867D15" w:rsidP="006F162C">
            <w:pPr>
              <w:pStyle w:val="TableText0"/>
              <w:ind w:left="0"/>
            </w:pPr>
          </w:p>
          <w:p w14:paraId="36DB886D" w14:textId="77777777" w:rsidR="006F162C" w:rsidRPr="007D1918" w:rsidRDefault="006F162C" w:rsidP="006F162C">
            <w:pPr>
              <w:pStyle w:val="TableText0"/>
              <w:ind w:left="0"/>
            </w:pPr>
          </w:p>
          <w:p w14:paraId="1F0D8AC7" w14:textId="77777777" w:rsidR="006F162C" w:rsidRPr="007D1918" w:rsidRDefault="006F162C" w:rsidP="00555BDC">
            <w:pPr>
              <w:pStyle w:val="TableText0"/>
              <w:ind w:left="0"/>
            </w:pPr>
            <w:r w:rsidRPr="007D1918">
              <w:t>0.15</w:t>
            </w:r>
          </w:p>
          <w:p w14:paraId="20623C4B" w14:textId="77777777" w:rsidR="006F162C" w:rsidRPr="007D1918" w:rsidRDefault="006F162C" w:rsidP="006F162C">
            <w:pPr>
              <w:pStyle w:val="TableText0"/>
              <w:ind w:left="0"/>
            </w:pPr>
            <w:r w:rsidRPr="007D1918">
              <w:t>0.08</w:t>
            </w:r>
          </w:p>
          <w:p w14:paraId="382CD3C7" w14:textId="77777777" w:rsidR="006F162C" w:rsidRPr="007D1918" w:rsidRDefault="006F162C" w:rsidP="006F162C">
            <w:pPr>
              <w:pStyle w:val="TableText0"/>
              <w:ind w:left="0"/>
            </w:pPr>
            <w:r w:rsidRPr="007D1918">
              <w:t>0.44</w:t>
            </w:r>
          </w:p>
          <w:p w14:paraId="6DC03F78" w14:textId="6BB4B7D2" w:rsidR="006F162C" w:rsidRPr="007D1918" w:rsidRDefault="006F162C" w:rsidP="006F162C">
            <w:pPr>
              <w:pStyle w:val="TableText0"/>
              <w:ind w:left="0"/>
            </w:pPr>
            <w:r w:rsidRPr="007D1918">
              <w:t>0.05</w:t>
            </w:r>
          </w:p>
        </w:tc>
      </w:tr>
    </w:tbl>
    <w:p w14:paraId="652928C6" w14:textId="5638EA3E" w:rsidR="006F162C" w:rsidRPr="007D1918" w:rsidRDefault="00714B88" w:rsidP="00555BDC">
      <w:pPr>
        <w:pStyle w:val="Tablenotes0"/>
        <w:spacing w:after="80"/>
        <w:contextualSpacing w:val="0"/>
      </w:pPr>
      <w:r w:rsidRPr="007D1918">
        <w:t>AChRAb = acetyl</w:t>
      </w:r>
      <w:r w:rsidR="006F162C" w:rsidRPr="007D1918">
        <w:t xml:space="preserve">choline receptor antibody; </w:t>
      </w:r>
      <w:r w:rsidR="00E025BC" w:rsidRPr="007D1918">
        <w:t xml:space="preserve">CSR = complete stable remission; </w:t>
      </w:r>
      <w:r w:rsidR="006F162C" w:rsidRPr="007D1918">
        <w:t>MG = myasthenia gravis; MGFA = Myasthenia Gravis Foundation of America;</w:t>
      </w:r>
      <w:r w:rsidR="00E025BC" w:rsidRPr="007D1918">
        <w:t xml:space="preserve"> MM = minimal manifestations;</w:t>
      </w:r>
      <w:r w:rsidR="006F162C" w:rsidRPr="007D1918">
        <w:t xml:space="preserve"> MuSK = muscle specific kinase antibody; </w:t>
      </w:r>
      <w:r w:rsidR="00E025BC" w:rsidRPr="007D1918">
        <w:t xml:space="preserve">PIS-m = modified post-intervention scale; PR = pharmacologic remission; </w:t>
      </w:r>
      <w:r w:rsidR="006F162C" w:rsidRPr="007D1918">
        <w:t xml:space="preserve">QMGS = quantitative myasthenia gravis </w:t>
      </w:r>
      <w:r w:rsidR="005463C3" w:rsidRPr="007D1918">
        <w:t>score;</w:t>
      </w:r>
      <w:r w:rsidR="004A6441" w:rsidRPr="007D1918">
        <w:t xml:space="preserve"> SD = standard deviation</w:t>
      </w:r>
    </w:p>
    <w:p w14:paraId="1EF5C98C" w14:textId="26E7921B" w:rsidR="00867D15" w:rsidRPr="007D1918" w:rsidRDefault="006F162C" w:rsidP="00BD7308">
      <w:pPr>
        <w:pStyle w:val="Tablenotes0"/>
        <w:spacing w:after="0"/>
      </w:pPr>
      <w:r w:rsidRPr="007D1918">
        <w:rPr>
          <w:vertAlign w:val="superscript"/>
        </w:rPr>
        <w:t>a</w:t>
      </w:r>
      <w:r w:rsidRPr="007D1918">
        <w:t xml:space="preserve"> </w:t>
      </w:r>
      <w:r w:rsidR="00E025BC" w:rsidRPr="007D1918">
        <w:t>D</w:t>
      </w:r>
      <w:r w:rsidRPr="007D1918">
        <w:t>ifference in observed means, MedCalc online calculator</w:t>
      </w:r>
    </w:p>
    <w:p w14:paraId="16B9598B" w14:textId="2DFE6999" w:rsidR="008A58AA" w:rsidRPr="007D1918" w:rsidRDefault="008A58AA" w:rsidP="005376FF"/>
    <w:p w14:paraId="78396CDB" w14:textId="4D6225CA" w:rsidR="00BD7308" w:rsidRPr="007D1918" w:rsidRDefault="003425F6" w:rsidP="009A3B45">
      <w:pPr>
        <w:jc w:val="both"/>
      </w:pPr>
      <w:r w:rsidRPr="007D1918">
        <w:t xml:space="preserve">An Australian </w:t>
      </w:r>
      <w:r w:rsidR="009A3B45" w:rsidRPr="007D1918">
        <w:t xml:space="preserve">article published data on </w:t>
      </w:r>
      <w:r w:rsidR="00EF595C" w:rsidRPr="007D1918">
        <w:t xml:space="preserve">38 </w:t>
      </w:r>
      <w:r w:rsidR="00555BDC" w:rsidRPr="007D1918">
        <w:t xml:space="preserve">MG </w:t>
      </w:r>
      <w:r w:rsidR="009A3B45" w:rsidRPr="007D1918">
        <w:t xml:space="preserve">patients receiving </w:t>
      </w:r>
      <w:r w:rsidR="00EF595C" w:rsidRPr="007D1918">
        <w:t>rituximab</w:t>
      </w:r>
      <w:r w:rsidR="009A3B45" w:rsidRPr="007D1918">
        <w:t xml:space="preserve"> </w:t>
      </w:r>
      <w:r w:rsidR="00EF595C" w:rsidRPr="007D1918">
        <w:t>for reasons of refractory disease, side effects with standard IS therapies or contraindication to IS</w:t>
      </w:r>
      <w:r w:rsidR="009A3B45" w:rsidRPr="007D1918">
        <w:t xml:space="preserve"> </w:t>
      </w:r>
      <w:r w:rsidR="0075212A"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0075212A" w:rsidRPr="007D1918">
        <w:instrText xml:space="preserve"> ADDIN EN.CITE </w:instrText>
      </w:r>
      <w:r w:rsidR="0075212A"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0075212A" w:rsidRPr="007D1918">
        <w:instrText xml:space="preserve"> ADDIN EN.CITE.DATA </w:instrText>
      </w:r>
      <w:r w:rsidR="0075212A" w:rsidRPr="007D1918">
        <w:fldChar w:fldCharType="end"/>
      </w:r>
      <w:r w:rsidR="0075212A" w:rsidRPr="007D1918">
        <w:fldChar w:fldCharType="separate"/>
      </w:r>
      <w:r w:rsidR="0075212A" w:rsidRPr="007D1918">
        <w:rPr>
          <w:noProof/>
        </w:rPr>
        <w:t>(</w:t>
      </w:r>
      <w:hyperlink w:anchor="_ENREF_17" w:tooltip="Chan, 2018 #21" w:history="1">
        <w:r w:rsidR="007D4948" w:rsidRPr="007D1918">
          <w:rPr>
            <w:noProof/>
          </w:rPr>
          <w:t>Chan et al. 2018</w:t>
        </w:r>
      </w:hyperlink>
      <w:r w:rsidR="0075212A" w:rsidRPr="007D1918">
        <w:rPr>
          <w:noProof/>
        </w:rPr>
        <w:t>)</w:t>
      </w:r>
      <w:r w:rsidR="0075212A" w:rsidRPr="007D1918">
        <w:fldChar w:fldCharType="end"/>
      </w:r>
      <w:r w:rsidR="009A3B45" w:rsidRPr="007D1918">
        <w:t>. The patients, who were identified retrospectively</w:t>
      </w:r>
      <w:r w:rsidR="00555BDC" w:rsidRPr="007D1918">
        <w:t>,</w:t>
      </w:r>
      <w:r w:rsidR="009A3B45" w:rsidRPr="007D1918">
        <w:t xml:space="preserve"> were treated between May 2006 and July 2017 in South East Queensland. The article, </w:t>
      </w:r>
      <w:r w:rsidRPr="007D1918">
        <w:t>which</w:t>
      </w:r>
      <w:r w:rsidR="009A3B45" w:rsidRPr="007D1918">
        <w:t xml:space="preserve"> was published in a letter format</w:t>
      </w:r>
      <w:r w:rsidR="00555BDC" w:rsidRPr="007D1918">
        <w:t>,</w:t>
      </w:r>
      <w:r w:rsidR="009A3B45" w:rsidRPr="007D1918">
        <w:t xml:space="preserve"> </w:t>
      </w:r>
      <w:r w:rsidR="00EF595C" w:rsidRPr="007D1918">
        <w:t xml:space="preserve">provided </w:t>
      </w:r>
      <w:r w:rsidR="00555BDC" w:rsidRPr="007D1918">
        <w:t>data on</w:t>
      </w:r>
      <w:r w:rsidR="00EF595C" w:rsidRPr="007D1918">
        <w:t xml:space="preserve"> 14 patients included in a</w:t>
      </w:r>
      <w:r w:rsidR="00C41A20" w:rsidRPr="007D1918">
        <w:t>n earlier</w:t>
      </w:r>
      <w:r w:rsidR="00EF595C" w:rsidRPr="007D1918">
        <w:t xml:space="preserve"> study by Blum et al </w:t>
      </w:r>
      <w:r w:rsidR="003736AC" w:rsidRPr="007D1918">
        <w:fldChar w:fldCharType="begin">
          <w:fldData xml:space="preserve">PEVuZE5vdGU+PENpdGU+PEF1dGhvcj5CbHVtPC9BdXRob3I+PFllYXI+MjAxMTwvWWVhcj48UmVj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</w:fldData>
        </w:fldChar>
      </w:r>
      <w:r w:rsidR="003736AC" w:rsidRPr="007D1918">
        <w:instrText xml:space="preserve"> ADDIN EN.CITE </w:instrText>
      </w:r>
      <w:r w:rsidR="003736AC" w:rsidRPr="007D1918">
        <w:fldChar w:fldCharType="begin">
          <w:fldData xml:space="preserve">PEVuZE5vdGU+PENpdGU+PEF1dGhvcj5CbHVtPC9BdXRob3I+PFllYXI+MjAxMTwvWWVhcj48UmVj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11" w:tooltip="Blum, 2011 #28" w:history="1">
        <w:r w:rsidR="007D4948" w:rsidRPr="007D1918">
          <w:rPr>
            <w:noProof/>
          </w:rPr>
          <w:t>Blum et al. 2011</w:t>
        </w:r>
      </w:hyperlink>
      <w:r w:rsidR="003736AC" w:rsidRPr="007D1918">
        <w:rPr>
          <w:noProof/>
        </w:rPr>
        <w:t>)</w:t>
      </w:r>
      <w:r w:rsidR="003736AC" w:rsidRPr="007D1918">
        <w:fldChar w:fldCharType="end"/>
      </w:r>
      <w:r w:rsidR="00555BDC" w:rsidRPr="007D1918">
        <w:t xml:space="preserve"> and an additional 24 patients</w:t>
      </w:r>
      <w:r w:rsidR="009A3B45" w:rsidRPr="007D1918">
        <w:t xml:space="preserve">. The majority of patients were of moderate to severe disease status according to their MGFA score. </w:t>
      </w:r>
    </w:p>
    <w:p w14:paraId="252A3A94" w14:textId="3704B7ED" w:rsidR="009A3B45" w:rsidRPr="007D1918" w:rsidRDefault="009A3B45" w:rsidP="009A3B45">
      <w:pPr>
        <w:jc w:val="both"/>
      </w:pPr>
      <w:r w:rsidRPr="007D1918">
        <w:t>The</w:t>
      </w:r>
      <w:r w:rsidR="00BD7308" w:rsidRPr="007D1918">
        <w:t xml:space="preserve"> refractory disease and MGFA status</w:t>
      </w:r>
      <w:r w:rsidRPr="007D1918">
        <w:t xml:space="preserve"> </w:t>
      </w:r>
      <w:r w:rsidR="00BD7308" w:rsidRPr="007D1918">
        <w:t xml:space="preserve">met </w:t>
      </w:r>
      <w:r w:rsidRPr="007D1918">
        <w:t xml:space="preserve">eligibility </w:t>
      </w:r>
      <w:r w:rsidR="00BD7308" w:rsidRPr="007D1918">
        <w:t xml:space="preserve">criteria for IVIg </w:t>
      </w:r>
      <w:r w:rsidRPr="007D1918">
        <w:t xml:space="preserve">under </w:t>
      </w:r>
      <w:r w:rsidR="0088065E" w:rsidRPr="007D1918">
        <w:rPr>
          <w:i/>
        </w:rPr>
        <w:t>Criteria V3</w:t>
      </w:r>
      <w:r w:rsidR="0088065E" w:rsidRPr="007D1918">
        <w:t xml:space="preserve"> </w:t>
      </w:r>
      <w:r w:rsidRPr="007D1918">
        <w:t>Indication 3. Of the 38 patients</w:t>
      </w:r>
      <w:r w:rsidR="00CF3323" w:rsidRPr="007D1918">
        <w:t xml:space="preserve"> treated with rituximab</w:t>
      </w:r>
      <w:r w:rsidRPr="007D1918">
        <w:t xml:space="preserve">, </w:t>
      </w:r>
      <w:r w:rsidR="00CF3323" w:rsidRPr="007D1918">
        <w:t xml:space="preserve">22 were </w:t>
      </w:r>
      <w:r w:rsidR="00AE0976" w:rsidRPr="007D1918">
        <w:t xml:space="preserve">also </w:t>
      </w:r>
      <w:r w:rsidR="00CF3323" w:rsidRPr="007D1918">
        <w:t xml:space="preserve">using corticosteroids, 27 were taking steroid-sparing agents (for example azathioprine, methotrexate and </w:t>
      </w:r>
      <w:r w:rsidR="00757561" w:rsidRPr="007D1918">
        <w:t>ciclosporin</w:t>
      </w:r>
      <w:r w:rsidR="00CF3323" w:rsidRPr="007D1918">
        <w:t>)</w:t>
      </w:r>
      <w:r w:rsidR="00BD7308" w:rsidRPr="007D1918">
        <w:t>,</w:t>
      </w:r>
      <w:r w:rsidR="00CF3323" w:rsidRPr="007D1918">
        <w:t xml:space="preserve"> </w:t>
      </w:r>
      <w:r w:rsidRPr="007D1918">
        <w:t xml:space="preserve">24 </w:t>
      </w:r>
      <w:r w:rsidR="00BD7308" w:rsidRPr="007D1918">
        <w:t>received</w:t>
      </w:r>
      <w:r w:rsidR="00CF3323" w:rsidRPr="007D1918">
        <w:t xml:space="preserve"> </w:t>
      </w:r>
      <w:r w:rsidRPr="007D1918">
        <w:t>IVIg</w:t>
      </w:r>
      <w:r w:rsidR="00CF3323" w:rsidRPr="007D1918">
        <w:t xml:space="preserve"> infusions</w:t>
      </w:r>
      <w:r w:rsidRPr="007D1918">
        <w:t xml:space="preserve">, and </w:t>
      </w:r>
      <w:r w:rsidR="00757561" w:rsidRPr="007D1918">
        <w:t xml:space="preserve">three </w:t>
      </w:r>
      <w:r w:rsidRPr="007D1918">
        <w:t xml:space="preserve">patients </w:t>
      </w:r>
      <w:r w:rsidR="00BD7308" w:rsidRPr="007D1918">
        <w:t>received</w:t>
      </w:r>
      <w:r w:rsidRPr="007D1918">
        <w:t xml:space="preserve"> PE. Five patients were able to cease IVIg treatment (20.8%) compared to </w:t>
      </w:r>
      <w:r w:rsidR="00C41A20" w:rsidRPr="007D1918">
        <w:t>two of the</w:t>
      </w:r>
      <w:r w:rsidRPr="007D1918">
        <w:t xml:space="preserve"> patients receiving PE (66.7%). In addition, of those receiving rituximab and IVIg, six were able to reduce their </w:t>
      </w:r>
      <w:r w:rsidR="00C41A20" w:rsidRPr="007D1918">
        <w:t xml:space="preserve">IVIg </w:t>
      </w:r>
      <w:r w:rsidRPr="007D1918">
        <w:t xml:space="preserve">dose, and one patient was commenced on IVIg. </w:t>
      </w:r>
    </w:p>
    <w:p w14:paraId="2BE42B8C" w14:textId="4E9C7497" w:rsidR="00BD7308" w:rsidRPr="007D1918" w:rsidRDefault="003152F0" w:rsidP="00BD7308">
      <w:pPr>
        <w:jc w:val="both"/>
      </w:pPr>
      <w:r w:rsidRPr="007D1918">
        <w:t xml:space="preserve">The overall response to rituximab was clinical improvement for 28 out of 38 patients (74%) with 10 experiencing clinical remission, 7 with MM and 11 experiencing improvement on the MGFA PIS scale. Five patients were unchanged or worse, and five were deceased. Treatment response is summarised </w:t>
      </w:r>
      <w:r w:rsidR="007F5FCD" w:rsidRPr="007D1918">
        <w:t xml:space="preserve">in </w:t>
      </w:r>
      <w:r w:rsidR="00555BDC" w:rsidRPr="007D1918">
        <w:fldChar w:fldCharType="begin"/>
      </w:r>
      <w:r w:rsidR="00555BDC" w:rsidRPr="007D1918">
        <w:instrText xml:space="preserve"> REF _Ref11249328 \h </w:instrText>
      </w:r>
      <w:r w:rsidR="002A3108" w:rsidRPr="007D1918">
        <w:instrText xml:space="preserve"> \* MERGEFORMAT </w:instrText>
      </w:r>
      <w:r w:rsidR="00555BDC" w:rsidRPr="007D1918">
        <w:fldChar w:fldCharType="separate"/>
      </w:r>
      <w:r w:rsidR="00B865E7" w:rsidRPr="007D1918">
        <w:t xml:space="preserve">Figure </w:t>
      </w:r>
      <w:r w:rsidR="00B865E7" w:rsidRPr="007D1918">
        <w:rPr>
          <w:noProof/>
        </w:rPr>
        <w:t>11</w:t>
      </w:r>
      <w:r w:rsidR="00555BDC" w:rsidRPr="007D1918">
        <w:fldChar w:fldCharType="end"/>
      </w:r>
      <w:r w:rsidR="00555BDC" w:rsidRPr="007D1918">
        <w:t>.</w:t>
      </w:r>
      <w:r w:rsidR="00BD7308" w:rsidRPr="007D1918">
        <w:t xml:space="preserve"> The data does not show safety or effectiveness for rituximab in comparison to IVIg, but there is potential for rituximab to be used as an alternative in refractory cases or where there are contraindications, or until further comparative evidence becomes available.</w:t>
      </w:r>
    </w:p>
    <w:p w14:paraId="33AAB778" w14:textId="3C3E4C75" w:rsidR="006F075C" w:rsidRPr="007D1918" w:rsidRDefault="007F5FCD" w:rsidP="00DE4B4A">
      <w:r w:rsidRPr="007D1918">
        <w:rPr>
          <w:noProof/>
        </w:rPr>
        <w:lastRenderedPageBreak/>
        <w:drawing>
          <wp:inline distT="0" distB="0" distL="0" distR="0" wp14:anchorId="3D080B02" wp14:editId="65504258">
            <wp:extent cx="4667250" cy="4423183"/>
            <wp:effectExtent l="0" t="0" r="0" b="0"/>
            <wp:docPr id="13" name="Picture 13" descr="Graphical representaion of change in disease severity measured by MGFA in patients receiving rituxumab therapy " title="Figure 12 MGFA scores (1-5 and dead) at the time of initial rituximab therapy and last follow-up {Chan, 2018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676684" cy="4432124"/>
                    </a:xfrm>
                    <a:prstGeom prst="rect">
                      <a:avLst/>
                    </a:prstGeom>
                  </pic:spPr>
                </pic:pic>
              </a:graphicData>
            </a:graphic>
          </wp:inline>
        </w:drawing>
      </w:r>
    </w:p>
    <w:p w14:paraId="7B6EFDC0" w14:textId="1CE64BCC" w:rsidR="007F5FCD" w:rsidRPr="007D1918" w:rsidRDefault="007F5FCD" w:rsidP="007E3046">
      <w:pPr>
        <w:pStyle w:val="Caption"/>
        <w:ind w:left="1134" w:hanging="1134"/>
      </w:pPr>
      <w:bookmarkStart w:id="550" w:name="_Ref11249328"/>
      <w:bookmarkStart w:id="551" w:name="_Toc23769616"/>
      <w:r w:rsidRPr="007D1918">
        <w:t xml:space="preserve">Figure </w:t>
      </w:r>
      <w:r w:rsidR="000B5B9C" w:rsidRPr="007D1918">
        <w:rPr>
          <w:noProof/>
        </w:rPr>
        <w:fldChar w:fldCharType="begin"/>
      </w:r>
      <w:r w:rsidR="000B5B9C" w:rsidRPr="007D1918">
        <w:rPr>
          <w:noProof/>
        </w:rPr>
        <w:instrText xml:space="preserve"> SEQ Figure \* ARABIC </w:instrText>
      </w:r>
      <w:r w:rsidR="000B5B9C" w:rsidRPr="007D1918">
        <w:rPr>
          <w:noProof/>
        </w:rPr>
        <w:fldChar w:fldCharType="separate"/>
      </w:r>
      <w:r w:rsidR="00B865E7" w:rsidRPr="007D1918">
        <w:rPr>
          <w:noProof/>
        </w:rPr>
        <w:t>11</w:t>
      </w:r>
      <w:r w:rsidR="000B5B9C" w:rsidRPr="007D1918">
        <w:rPr>
          <w:noProof/>
        </w:rPr>
        <w:fldChar w:fldCharType="end"/>
      </w:r>
      <w:bookmarkEnd w:id="550"/>
      <w:r w:rsidRPr="007D1918">
        <w:tab/>
        <w:t xml:space="preserve">MGFA scores (1-5 and dead) at the time of initial rituximab therapy and last follow-up </w:t>
      </w:r>
      <w:r w:rsidR="003736AC"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003736AC" w:rsidRPr="007D1918">
        <w:instrText xml:space="preserve"> ADDIN EN.CITE </w:instrText>
      </w:r>
      <w:r w:rsidR="003736AC"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17" w:tooltip="Chan, 2018 #21" w:history="1">
        <w:r w:rsidR="007D4948" w:rsidRPr="007D1918">
          <w:rPr>
            <w:noProof/>
          </w:rPr>
          <w:t>Chan et al. 2018</w:t>
        </w:r>
      </w:hyperlink>
      <w:r w:rsidR="003736AC" w:rsidRPr="007D1918">
        <w:rPr>
          <w:noProof/>
        </w:rPr>
        <w:t>)</w:t>
      </w:r>
      <w:bookmarkEnd w:id="551"/>
      <w:r w:rsidR="003736AC" w:rsidRPr="007D1918">
        <w:fldChar w:fldCharType="end"/>
      </w:r>
    </w:p>
    <w:p w14:paraId="026836E1" w14:textId="4549D4F3" w:rsidR="007F5FCD" w:rsidRPr="007D1918" w:rsidRDefault="007F5FCD" w:rsidP="00555BDC">
      <w:pPr>
        <w:pStyle w:val="Tablenotes0"/>
      </w:pPr>
      <w:r w:rsidRPr="007D1918">
        <w:t>Relative percentage of patients with differen</w:t>
      </w:r>
      <w:r w:rsidR="00C41A20" w:rsidRPr="007D1918">
        <w:t>t</w:t>
      </w:r>
      <w:r w:rsidRPr="007D1918">
        <w:t xml:space="preserve"> MGFA scores at the time </w:t>
      </w:r>
      <w:r w:rsidR="00C41A20" w:rsidRPr="007D1918">
        <w:t>o</w:t>
      </w:r>
      <w:r w:rsidRPr="007D1918">
        <w:t>f initial therapy with rituximab versus time of last follow-up. Scores are shown combined for the entire cohort (two top bars) as well as detailed for AChRAb (lines 3 &amp; 4) and MuSK</w:t>
      </w:r>
      <w:r w:rsidR="00193962" w:rsidRPr="007D1918">
        <w:t xml:space="preserve"> antibody</w:t>
      </w:r>
      <w:r w:rsidRPr="007D1918">
        <w:t xml:space="preserve"> positive patients (lines 5 &amp; 6) and antibody negative (lines 7 &amp; 8) patients. After treatment, there was an increase in the numbers of patients with lower scores in the total cohort as well as in all subgroups</w:t>
      </w:r>
      <w:r w:rsidR="005463C3" w:rsidRPr="007D1918">
        <w:t xml:space="preserve">. </w:t>
      </w:r>
      <w:r w:rsidR="003736AC"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003736AC" w:rsidRPr="007D1918">
        <w:instrText xml:space="preserve"> ADDIN EN.CITE </w:instrText>
      </w:r>
      <w:r w:rsidR="003736AC" w:rsidRPr="007D1918">
        <w:fldChar w:fldCharType="begin">
          <w:fldData xml:space="preserve">PEVuZE5vdGU+PENpdGU+PEF1dGhvcj5DaGFuPC9BdXRob3I+PFllYXI+MjAxODwvWWVhcj48UmVj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17" w:tooltip="Chan, 2018 #21" w:history="1">
        <w:r w:rsidR="007D4948" w:rsidRPr="007D1918">
          <w:rPr>
            <w:noProof/>
          </w:rPr>
          <w:t>Chan et al. 2018</w:t>
        </w:r>
      </w:hyperlink>
      <w:r w:rsidR="003736AC" w:rsidRPr="007D1918">
        <w:rPr>
          <w:noProof/>
        </w:rPr>
        <w:t>)</w:t>
      </w:r>
      <w:r w:rsidR="003736AC" w:rsidRPr="007D1918">
        <w:fldChar w:fldCharType="end"/>
      </w:r>
    </w:p>
    <w:p w14:paraId="1BFF9F78" w14:textId="77777777" w:rsidR="009B1F45" w:rsidRPr="007D1918" w:rsidRDefault="009B1F45" w:rsidP="009B1F45"/>
    <w:p w14:paraId="2D7E8040" w14:textId="5033E7E8" w:rsidR="00E027EE" w:rsidRPr="007D1918" w:rsidRDefault="00C86609" w:rsidP="006F075C">
      <w:pPr>
        <w:pStyle w:val="Heading3"/>
      </w:pPr>
      <w:bookmarkStart w:id="552" w:name="_Toc23767015"/>
      <w:r w:rsidRPr="007D1918">
        <w:t xml:space="preserve">Safety and effectiveness of IVIg compared with PE in patients with </w:t>
      </w:r>
      <w:r w:rsidR="00E027EE" w:rsidRPr="007D1918">
        <w:t>Anti-MuSK MG</w:t>
      </w:r>
      <w:bookmarkEnd w:id="552"/>
    </w:p>
    <w:p w14:paraId="6C9F3D0B" w14:textId="0E19238F" w:rsidR="00397649" w:rsidRPr="007D1918" w:rsidRDefault="00397649" w:rsidP="0077418B">
      <w:pPr>
        <w:jc w:val="both"/>
      </w:pPr>
      <w:r w:rsidRPr="007D1918">
        <w:t xml:space="preserve">Although </w:t>
      </w:r>
      <w:r w:rsidR="008963FC" w:rsidRPr="007D1918">
        <w:t>MuSK-MG</w:t>
      </w:r>
      <w:r w:rsidRPr="007D1918">
        <w:t xml:space="preserve"> and seronegative patients are not specifically excluded from the </w:t>
      </w:r>
      <w:r w:rsidRPr="007D1918">
        <w:rPr>
          <w:i/>
        </w:rPr>
        <w:t xml:space="preserve">Criteria V3 </w:t>
      </w:r>
      <w:r w:rsidRPr="007D1918">
        <w:t>eligible populations, the Ig Reference Group has listed them as a specific sub-population of MG. In the evidence provided on the safety and effectiveness of IVIg for MG, the majority of patients are AChRAb positive, and those that are not (either MuSK antibody positive or seronegative) are rarely analysed separately</w:t>
      </w:r>
    </w:p>
    <w:p w14:paraId="3649DF3B" w14:textId="2737C42D" w:rsidR="002E70F8" w:rsidRPr="007D1918" w:rsidRDefault="00195E62" w:rsidP="0077418B">
      <w:pPr>
        <w:jc w:val="both"/>
      </w:pPr>
      <w:r w:rsidRPr="007D1918">
        <w:t>To address this gap in the evidence</w:t>
      </w:r>
      <w:r w:rsidR="006805B8" w:rsidRPr="007D1918">
        <w:t>,</w:t>
      </w:r>
      <w:r w:rsidRPr="007D1918">
        <w:t xml:space="preserve"> t</w:t>
      </w:r>
      <w:r w:rsidR="002A3108" w:rsidRPr="007D1918">
        <w:t>wo retrospective cohort studies</w:t>
      </w:r>
      <w:r w:rsidR="00AF3A71" w:rsidRPr="007D1918">
        <w:t>, which represented the best evidence identified in the literature search,</w:t>
      </w:r>
      <w:r w:rsidR="002A3108" w:rsidRPr="007D1918">
        <w:t xml:space="preserve"> </w:t>
      </w:r>
      <w:r w:rsidR="00397649" w:rsidRPr="007D1918">
        <w:t>are presented here</w:t>
      </w:r>
      <w:r w:rsidR="00AF3A71" w:rsidRPr="007D1918">
        <w:t xml:space="preserve">. They </w:t>
      </w:r>
      <w:r w:rsidR="002A3108" w:rsidRPr="007D1918">
        <w:t>provid</w:t>
      </w:r>
      <w:r w:rsidR="00AF3A71" w:rsidRPr="007D1918">
        <w:t>ed</w:t>
      </w:r>
      <w:r w:rsidR="002A3108" w:rsidRPr="007D1918">
        <w:t xml:space="preserve"> </w:t>
      </w:r>
      <w:r w:rsidRPr="007D1918">
        <w:t xml:space="preserve">data </w:t>
      </w:r>
      <w:r w:rsidR="002A3108" w:rsidRPr="007D1918">
        <w:t>in MuSK</w:t>
      </w:r>
      <w:r w:rsidR="008963FC" w:rsidRPr="007D1918">
        <w:t>-</w:t>
      </w:r>
      <w:r w:rsidR="002A3108" w:rsidRPr="007D1918">
        <w:t xml:space="preserve"> MG</w:t>
      </w:r>
      <w:r w:rsidR="008963FC" w:rsidRPr="007D1918">
        <w:t xml:space="preserve"> </w:t>
      </w:r>
      <w:r w:rsidR="002A3108" w:rsidRPr="007D1918">
        <w:t xml:space="preserve">patients </w:t>
      </w:r>
      <w:r w:rsidR="00AF3A71" w:rsidRPr="007D1918">
        <w:t>comparing</w:t>
      </w:r>
      <w:r w:rsidR="002A3108" w:rsidRPr="007D1918">
        <w:t xml:space="preserve"> the effectiveness of IVIg and PE</w:t>
      </w:r>
      <w:r w:rsidRPr="007D1918">
        <w:t xml:space="preserve"> </w:t>
      </w:r>
      <w:r w:rsidR="003736AC" w:rsidRPr="007D1918">
        <w:fldChar w:fldCharType="begin">
          <w:fldData xml:space="preserve">PEVuZE5vdGU+PENpdGU+PEF1dGhvcj5HdXB0aWxsPC9BdXRob3I+PFllYXI+MjAxMTwvWWVhcj48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==
</w:fldData>
        </w:fldChar>
      </w:r>
      <w:r w:rsidR="007F4CDE" w:rsidRPr="007D1918">
        <w:instrText xml:space="preserve"> ADDIN EN.CITE </w:instrText>
      </w:r>
      <w:r w:rsidR="007F4CDE" w:rsidRPr="007D1918">
        <w:fldChar w:fldCharType="begin">
          <w:fldData xml:space="preserve">PEVuZE5vdGU+PENpdGU+PEF1dGhvcj5HdXB0aWxsPC9BdXRob3I+PFllYXI+MjAxMTwvWWVhcj48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==
</w:fldData>
        </w:fldChar>
      </w:r>
      <w:r w:rsidR="007F4CDE" w:rsidRPr="007D1918">
        <w:instrText xml:space="preserve"> ADDIN EN.CITE.DATA </w:instrText>
      </w:r>
      <w:r w:rsidR="007F4CDE" w:rsidRPr="007D1918">
        <w:fldChar w:fldCharType="end"/>
      </w:r>
      <w:r w:rsidR="003736AC" w:rsidRPr="007D1918">
        <w:fldChar w:fldCharType="separate"/>
      </w:r>
      <w:r w:rsidR="003736AC" w:rsidRPr="007D1918">
        <w:rPr>
          <w:noProof/>
        </w:rPr>
        <w:t>(</w:t>
      </w:r>
      <w:hyperlink w:anchor="_ENREF_42" w:tooltip="Guptill, 2011 #30" w:history="1">
        <w:r w:rsidR="007D4948" w:rsidRPr="007D1918">
          <w:rPr>
            <w:noProof/>
          </w:rPr>
          <w:t>Guptill, Sanders &amp; Evoli 2011</w:t>
        </w:r>
      </w:hyperlink>
      <w:r w:rsidR="003736AC" w:rsidRPr="007D1918">
        <w:rPr>
          <w:noProof/>
        </w:rPr>
        <w:t xml:space="preserve">; </w:t>
      </w:r>
      <w:hyperlink w:anchor="_ENREF_77" w:tooltip="Pasnoor, 2010 #29" w:history="1">
        <w:r w:rsidR="007D4948" w:rsidRPr="007D1918">
          <w:rPr>
            <w:noProof/>
          </w:rPr>
          <w:t>Pasnoor et al. 2010</w:t>
        </w:r>
      </w:hyperlink>
      <w:r w:rsidR="003736AC" w:rsidRPr="007D1918">
        <w:rPr>
          <w:noProof/>
        </w:rPr>
        <w:t>)</w:t>
      </w:r>
      <w:r w:rsidR="003736AC" w:rsidRPr="007D1918">
        <w:fldChar w:fldCharType="end"/>
      </w:r>
      <w:r w:rsidR="002A3108" w:rsidRPr="007D1918">
        <w:t xml:space="preserve">. </w:t>
      </w:r>
      <w:r w:rsidR="002E70F8" w:rsidRPr="007D1918">
        <w:t xml:space="preserve">The two studies followed treatments given to MuSK-MG patients. </w:t>
      </w:r>
      <w:r w:rsidRPr="007D1918">
        <w:t xml:space="preserve">Guptill et al analysed data sourced from </w:t>
      </w:r>
      <w:r w:rsidR="00475A2B" w:rsidRPr="007D1918">
        <w:t>two</w:t>
      </w:r>
      <w:r w:rsidRPr="007D1918">
        <w:t xml:space="preserve"> </w:t>
      </w:r>
      <w:r w:rsidR="002E70F8" w:rsidRPr="007D1918">
        <w:t>MuSK-MG</w:t>
      </w:r>
      <w:r w:rsidRPr="007D1918">
        <w:t xml:space="preserve"> </w:t>
      </w:r>
      <w:r w:rsidR="007F25A2" w:rsidRPr="007D1918">
        <w:t>cohort</w:t>
      </w:r>
      <w:r w:rsidR="002E70F8" w:rsidRPr="007D1918">
        <w:t>s</w:t>
      </w:r>
      <w:r w:rsidRPr="007D1918">
        <w:t xml:space="preserve"> (</w:t>
      </w:r>
      <w:r w:rsidR="002E70F8" w:rsidRPr="007D1918">
        <w:t xml:space="preserve">total </w:t>
      </w:r>
      <w:r w:rsidRPr="007D1918">
        <w:t xml:space="preserve">n = 110). </w:t>
      </w:r>
      <w:r w:rsidR="004C6073" w:rsidRPr="007D1918">
        <w:t xml:space="preserve">Most patients (98%) were initially treated with </w:t>
      </w:r>
      <w:r w:rsidR="004C6073" w:rsidRPr="007D1918">
        <w:lastRenderedPageBreak/>
        <w:t xml:space="preserve">acetylcholinesterase inhibitors (pyridostigmine), </w:t>
      </w:r>
      <w:r w:rsidR="002E70F8" w:rsidRPr="007D1918">
        <w:t>followed by</w:t>
      </w:r>
      <w:r w:rsidR="004C6073" w:rsidRPr="007D1918">
        <w:t xml:space="preserve"> </w:t>
      </w:r>
      <w:r w:rsidR="009473E3" w:rsidRPr="007D1918">
        <w:t>PN</w:t>
      </w:r>
      <w:r w:rsidR="004C6073" w:rsidRPr="007D1918">
        <w:t xml:space="preserve"> </w:t>
      </w:r>
      <w:r w:rsidR="002E70F8" w:rsidRPr="007D1918">
        <w:t>and</w:t>
      </w:r>
      <w:r w:rsidR="004C6073" w:rsidRPr="007D1918">
        <w:t xml:space="preserve"> IS therapies if required or for those contraindicated. PE and IVIg were given in </w:t>
      </w:r>
      <w:r w:rsidR="002E70F8" w:rsidRPr="007D1918">
        <w:t>periods</w:t>
      </w:r>
      <w:r w:rsidR="004C6073" w:rsidRPr="007D1918">
        <w:t xml:space="preserve"> of exacerbation. The proportion of patients who received PE was 66%</w:t>
      </w:r>
      <w:r w:rsidR="007F25A2" w:rsidRPr="007D1918">
        <w:t xml:space="preserve"> (n = 73) and IVIg </w:t>
      </w:r>
      <w:r w:rsidR="004C6073" w:rsidRPr="007D1918">
        <w:t xml:space="preserve">was 28% </w:t>
      </w:r>
      <w:r w:rsidR="007F25A2" w:rsidRPr="007D1918">
        <w:t xml:space="preserve">(n = 31). </w:t>
      </w:r>
      <w:r w:rsidR="00570CCA" w:rsidRPr="007D1918">
        <w:t>Average follow-up was 11 years and 5.3 years for the two cohorts.</w:t>
      </w:r>
      <w:r w:rsidR="00D07CBD" w:rsidRPr="007D1918">
        <w:t xml:space="preserve"> </w:t>
      </w:r>
      <w:r w:rsidR="002E70F8" w:rsidRPr="007D1918">
        <w:t>In the second retrospective review</w:t>
      </w:r>
      <w:r w:rsidR="00D07CBD" w:rsidRPr="007D1918">
        <w:t xml:space="preserve"> </w:t>
      </w:r>
      <w:r w:rsidR="003736AC" w:rsidRPr="007D1918">
        <w:fldChar w:fldCharType="begin">
          <w:fldData xml:space="preserve">PEVuZE5vdGU+PENpdGU+PEF1dGhvcj5QYXNub29yPC9BdXRob3I+PFllYXI+MjAxMDwvWWVhcj48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</w:fldData>
        </w:fldChar>
      </w:r>
      <w:r w:rsidR="007F4CDE" w:rsidRPr="007D1918">
        <w:instrText xml:space="preserve"> ADDIN EN.CITE </w:instrText>
      </w:r>
      <w:r w:rsidR="007F4CDE" w:rsidRPr="007D1918">
        <w:fldChar w:fldCharType="begin">
          <w:fldData xml:space="preserve">PEVuZE5vdGU+PENpdGU+PEF1dGhvcj5QYXNub29yPC9BdXRob3I+PFllYXI+MjAxMDwvWWVhcj48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</w:fldData>
        </w:fldChar>
      </w:r>
      <w:r w:rsidR="007F4CDE" w:rsidRPr="007D1918">
        <w:instrText xml:space="preserve"> ADDIN EN.CITE.DATA </w:instrText>
      </w:r>
      <w:r w:rsidR="007F4CDE" w:rsidRPr="007D1918">
        <w:fldChar w:fldCharType="end"/>
      </w:r>
      <w:r w:rsidR="003736AC" w:rsidRPr="007D1918">
        <w:fldChar w:fldCharType="separate"/>
      </w:r>
      <w:r w:rsidR="003736AC" w:rsidRPr="007D1918">
        <w:rPr>
          <w:noProof/>
        </w:rPr>
        <w:t>(</w:t>
      </w:r>
      <w:hyperlink w:anchor="_ENREF_77" w:tooltip="Pasnoor, 2010 #29" w:history="1">
        <w:r w:rsidR="007D4948" w:rsidRPr="007D1918">
          <w:rPr>
            <w:noProof/>
          </w:rPr>
          <w:t>Pasnoor et al. 2010</w:t>
        </w:r>
      </w:hyperlink>
      <w:r w:rsidR="003736AC" w:rsidRPr="007D1918">
        <w:rPr>
          <w:noProof/>
        </w:rPr>
        <w:t>)</w:t>
      </w:r>
      <w:r w:rsidR="003736AC" w:rsidRPr="007D1918">
        <w:fldChar w:fldCharType="end"/>
      </w:r>
      <w:r w:rsidR="002E70F8" w:rsidRPr="007D1918">
        <w:t>, treatments were followed in 53 MuSK-MG patients whose duration of disease ranged from 1 week to 22 years</w:t>
      </w:r>
      <w:r w:rsidR="00CC38B5" w:rsidRPr="007D1918">
        <w:t xml:space="preserve">, with a mean follow-up of 6.7 years. </w:t>
      </w:r>
      <w:r w:rsidR="002E70F8" w:rsidRPr="007D1918">
        <w:t>Treatments were similar to those given in the study by Guptill et al</w:t>
      </w:r>
      <w:r w:rsidR="00CC38B5" w:rsidRPr="007D1918">
        <w:t>, and patients were often receiving concurrent treatments</w:t>
      </w:r>
      <w:r w:rsidR="00D07CBD" w:rsidRPr="007D1918">
        <w:t>.</w:t>
      </w:r>
      <w:r w:rsidR="002E70F8" w:rsidRPr="007D1918">
        <w:t xml:space="preserve"> </w:t>
      </w:r>
      <w:r w:rsidR="00D07CBD" w:rsidRPr="007D1918">
        <w:t>T</w:t>
      </w:r>
      <w:r w:rsidR="002E70F8" w:rsidRPr="007D1918">
        <w:t xml:space="preserve">he proportion who </w:t>
      </w:r>
      <w:r w:rsidR="00D07CBD" w:rsidRPr="007D1918">
        <w:t>received PE was 62% (n = 33) and IVIg was 47% (n = 25)</w:t>
      </w:r>
      <w:r w:rsidR="002E70F8" w:rsidRPr="007D1918">
        <w:t>.</w:t>
      </w:r>
    </w:p>
    <w:p w14:paraId="29CD2871" w14:textId="63B12F05" w:rsidR="002A3108" w:rsidRPr="007D1918" w:rsidRDefault="007F25A2" w:rsidP="0077418B">
      <w:pPr>
        <w:jc w:val="both"/>
      </w:pPr>
      <w:r w:rsidRPr="007D1918">
        <w:t>Guptill et al found that remission was more common wit</w:t>
      </w:r>
      <w:r w:rsidR="00FD0DEB" w:rsidRPr="007D1918">
        <w:t>h PE than IVIg (93% versus 61%).</w:t>
      </w:r>
      <w:r w:rsidRPr="007D1918">
        <w:t xml:space="preserve"> This difference was statistically significant using the chi-squared test (difference in proportion: 32%; </w:t>
      </w:r>
      <w:r w:rsidR="00781376" w:rsidRPr="007D1918">
        <w:t>95% CI</w:t>
      </w:r>
      <w:r w:rsidRPr="007D1918">
        <w:t xml:space="preserve"> 14.9%, 49.9%; p = 0.0001; MedCalc online calculator). </w:t>
      </w:r>
      <w:r w:rsidR="004C6073" w:rsidRPr="007D1918">
        <w:t xml:space="preserve">The authors comment was that </w:t>
      </w:r>
      <w:r w:rsidR="00537145" w:rsidRPr="007D1918">
        <w:t xml:space="preserve">“the response to PE </w:t>
      </w:r>
      <w:r w:rsidR="004C6073" w:rsidRPr="007D1918">
        <w:t xml:space="preserve">was </w:t>
      </w:r>
      <w:r w:rsidR="00537145" w:rsidRPr="007D1918">
        <w:t xml:space="preserve">generally rapid and gratifying”. </w:t>
      </w:r>
      <w:r w:rsidR="00217E3B" w:rsidRPr="007D1918">
        <w:t xml:space="preserve">Interestingly, </w:t>
      </w:r>
      <w:r w:rsidR="00537145" w:rsidRPr="007D1918">
        <w:t xml:space="preserve">all </w:t>
      </w:r>
      <w:r w:rsidR="00217E3B" w:rsidRPr="007D1918">
        <w:t xml:space="preserve">six patients who </w:t>
      </w:r>
      <w:r w:rsidR="00AE39BB" w:rsidRPr="007D1918">
        <w:t>had been previously treated with either PE or IVIg (one patient received both) were given rituximab and achieved improved or MM status with no side effects from the drug</w:t>
      </w:r>
      <w:r w:rsidR="00BA5D18" w:rsidRPr="007D1918">
        <w:t xml:space="preserve"> </w:t>
      </w:r>
      <w:r w:rsidR="003736AC" w:rsidRPr="007D1918">
        <w:fldChar w:fldCharType="begin">
          <w:fldData xml:space="preserve">PEVuZE5vdGU+PENpdGU+PEF1dGhvcj5HdXB0aWxsPC9BdXRob3I+PFllYXI+MjAxMTwvWWVhcj48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</w:fldData>
        </w:fldChar>
      </w:r>
      <w:r w:rsidR="003736AC" w:rsidRPr="007D1918">
        <w:instrText xml:space="preserve"> ADDIN EN.CITE </w:instrText>
      </w:r>
      <w:r w:rsidR="003736AC" w:rsidRPr="007D1918">
        <w:fldChar w:fldCharType="begin">
          <w:fldData xml:space="preserve">PEVuZE5vdGU+PENpdGU+PEF1dGhvcj5HdXB0aWxsPC9BdXRob3I+PFllYXI+MjAxMTwvWWVhcj48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42" w:tooltip="Guptill, 2011 #30" w:history="1">
        <w:r w:rsidR="007D4948" w:rsidRPr="007D1918">
          <w:rPr>
            <w:noProof/>
          </w:rPr>
          <w:t>Guptill, Sanders &amp; Evoli 2011</w:t>
        </w:r>
      </w:hyperlink>
      <w:r w:rsidR="003736AC" w:rsidRPr="007D1918">
        <w:rPr>
          <w:noProof/>
        </w:rPr>
        <w:t>)</w:t>
      </w:r>
      <w:r w:rsidR="003736AC" w:rsidRPr="007D1918">
        <w:fldChar w:fldCharType="end"/>
      </w:r>
      <w:r w:rsidR="00AE39BB" w:rsidRPr="007D1918">
        <w:t>.</w:t>
      </w:r>
      <w:r w:rsidR="00537145" w:rsidRPr="007D1918">
        <w:t xml:space="preserve"> </w:t>
      </w:r>
      <w:r w:rsidR="00D07CBD" w:rsidRPr="007D1918">
        <w:t xml:space="preserve">Patient response reported by Pasnoor et al was also greater for those receiving PE compared to IVIg (51% versus 20%) and the difference </w:t>
      </w:r>
      <w:r w:rsidR="00397649" w:rsidRPr="007D1918">
        <w:t xml:space="preserve">was </w:t>
      </w:r>
      <w:r w:rsidR="00D07CBD" w:rsidRPr="007D1918">
        <w:t>statistica</w:t>
      </w:r>
      <w:r w:rsidR="00397649" w:rsidRPr="007D1918">
        <w:t>l</w:t>
      </w:r>
      <w:r w:rsidR="00D07CBD" w:rsidRPr="007D1918">
        <w:t>l</w:t>
      </w:r>
      <w:r w:rsidR="00397649" w:rsidRPr="007D1918">
        <w:t>y</w:t>
      </w:r>
      <w:r w:rsidR="00D07CBD" w:rsidRPr="007D1918">
        <w:t xml:space="preserve"> significan</w:t>
      </w:r>
      <w:r w:rsidR="00397649" w:rsidRPr="007D1918">
        <w:t>t</w:t>
      </w:r>
      <w:r w:rsidR="00D07CBD" w:rsidRPr="007D1918">
        <w:t xml:space="preserve"> (difference in proportion: 31%; </w:t>
      </w:r>
      <w:r w:rsidR="00781376" w:rsidRPr="007D1918">
        <w:t>95% CI</w:t>
      </w:r>
      <w:r w:rsidR="00D07CBD" w:rsidRPr="007D1918">
        <w:t xml:space="preserve"> 5.9%, 50.5%; p = 0.02; MedCalc online chi-squared calculator)</w:t>
      </w:r>
      <w:r w:rsidR="009B0E13" w:rsidRPr="007D1918">
        <w:t xml:space="preserve">. Pasnoor et al found that IVIg achieved the lowest response </w:t>
      </w:r>
      <w:r w:rsidR="00932428" w:rsidRPr="007D1918">
        <w:t xml:space="preserve">(20%) </w:t>
      </w:r>
      <w:r w:rsidR="009B0E13" w:rsidRPr="007D1918">
        <w:t xml:space="preserve">rate while corticosteroids and PE </w:t>
      </w:r>
      <w:r w:rsidR="005463C3" w:rsidRPr="007D1918">
        <w:t>achieved</w:t>
      </w:r>
      <w:r w:rsidR="009B0E13" w:rsidRPr="007D1918">
        <w:t xml:space="preserve"> the greatest response rate</w:t>
      </w:r>
      <w:r w:rsidR="00932428" w:rsidRPr="007D1918">
        <w:t>s</w:t>
      </w:r>
      <w:r w:rsidR="009B0E13" w:rsidRPr="007D1918">
        <w:t xml:space="preserve"> </w:t>
      </w:r>
      <w:r w:rsidR="00932428" w:rsidRPr="007D1918">
        <w:t xml:space="preserve">(51% and 53% respectively) </w:t>
      </w:r>
      <w:r w:rsidR="009B0E13" w:rsidRPr="007D1918">
        <w:t xml:space="preserve">in MuSK-MG patients. </w:t>
      </w:r>
      <w:r w:rsidR="00537145" w:rsidRPr="007D1918">
        <w:t xml:space="preserve">Patient response rates to treatments </w:t>
      </w:r>
      <w:r w:rsidR="00932428" w:rsidRPr="007D1918">
        <w:t>are</w:t>
      </w:r>
      <w:r w:rsidR="00537145" w:rsidRPr="007D1918">
        <w:t xml:space="preserve"> given in </w:t>
      </w:r>
      <w:r w:rsidR="00BA5D18" w:rsidRPr="007D1918">
        <w:fldChar w:fldCharType="begin"/>
      </w:r>
      <w:r w:rsidR="00BA5D18" w:rsidRPr="007D1918">
        <w:instrText xml:space="preserve"> REF _Ref11316993 \h </w:instrText>
      </w:r>
      <w:r w:rsidR="00AB1414" w:rsidRPr="007D1918">
        <w:instrText xml:space="preserve"> \* MERGEFORMAT </w:instrText>
      </w:r>
      <w:r w:rsidR="00BA5D18" w:rsidRPr="007D1918">
        <w:fldChar w:fldCharType="separate"/>
      </w:r>
      <w:r w:rsidR="00B865E7" w:rsidRPr="007D1918">
        <w:t xml:space="preserve">Table </w:t>
      </w:r>
      <w:r w:rsidR="00B865E7" w:rsidRPr="007D1918">
        <w:rPr>
          <w:noProof/>
        </w:rPr>
        <w:t>100</w:t>
      </w:r>
      <w:r w:rsidR="00BA5D18" w:rsidRPr="007D1918">
        <w:fldChar w:fldCharType="end"/>
      </w:r>
      <w:r w:rsidR="00BA5D18" w:rsidRPr="007D1918">
        <w:t>.</w:t>
      </w:r>
      <w:r w:rsidR="00D07CBD" w:rsidRPr="007D1918">
        <w:t xml:space="preserve"> </w:t>
      </w:r>
    </w:p>
    <w:p w14:paraId="16F4F280" w14:textId="0235BEE9" w:rsidR="00537145" w:rsidRPr="007D1918" w:rsidRDefault="00537145" w:rsidP="009B0E13">
      <w:pPr>
        <w:pStyle w:val="Caption"/>
        <w:keepNext/>
        <w:keepLines/>
      </w:pPr>
      <w:bookmarkStart w:id="553" w:name="_Ref11316993"/>
      <w:bookmarkStart w:id="554" w:name="_Toc23769587"/>
      <w:r w:rsidRPr="007D1918">
        <w:t xml:space="preserve">Table </w:t>
      </w:r>
      <w:r w:rsidR="000B5B9C" w:rsidRPr="007D1918">
        <w:rPr>
          <w:noProof/>
        </w:rPr>
        <w:fldChar w:fldCharType="begin"/>
      </w:r>
      <w:r w:rsidR="000B5B9C" w:rsidRPr="007D1918">
        <w:rPr>
          <w:noProof/>
        </w:rPr>
        <w:instrText xml:space="preserve"> SEQ Table \* ARABIC </w:instrText>
      </w:r>
      <w:r w:rsidR="000B5B9C" w:rsidRPr="007D1918">
        <w:rPr>
          <w:noProof/>
        </w:rPr>
        <w:fldChar w:fldCharType="separate"/>
      </w:r>
      <w:r w:rsidR="00B865E7" w:rsidRPr="007D1918">
        <w:rPr>
          <w:noProof/>
        </w:rPr>
        <w:t>100</w:t>
      </w:r>
      <w:r w:rsidR="000B5B9C" w:rsidRPr="007D1918">
        <w:rPr>
          <w:noProof/>
        </w:rPr>
        <w:fldChar w:fldCharType="end"/>
      </w:r>
      <w:bookmarkEnd w:id="553"/>
      <w:r w:rsidRPr="007D1918">
        <w:tab/>
      </w:r>
      <w:r w:rsidR="003B674A" w:rsidRPr="007D1918">
        <w:t>Rate of clinical improvement in r</w:t>
      </w:r>
      <w:r w:rsidRPr="007D1918">
        <w:t>esponse to treatment</w:t>
      </w:r>
      <w:r w:rsidR="003B674A" w:rsidRPr="007D1918">
        <w:t xml:space="preserve"> in</w:t>
      </w:r>
      <w:r w:rsidR="00BA5D18" w:rsidRPr="007D1918">
        <w:t xml:space="preserve"> </w:t>
      </w:r>
      <w:r w:rsidR="003B674A" w:rsidRPr="007D1918">
        <w:t>MuSK-MG patients</w:t>
      </w:r>
      <w:bookmarkEnd w:id="554"/>
      <w:r w:rsidR="00BA5D18" w:rsidRPr="007D1918">
        <w:t xml:space="preserve"> </w:t>
      </w:r>
    </w:p>
    <w:tbl>
      <w:tblPr>
        <w:tblStyle w:val="TableGrid"/>
        <w:tblW w:w="0" w:type="auto"/>
        <w:tblLook w:val="04A0" w:firstRow="1" w:lastRow="0" w:firstColumn="1" w:lastColumn="0" w:noHBand="0" w:noVBand="1"/>
        <w:tblCaption w:val="Table 57 Rate of clinical improvement in response to treatment in MuSK-MG patients "/>
        <w:tblDescription w:val="Improvement by treatment measured by the proportion of patients improved in patients with MuSK-MG. Treatment include AChE-I, IS, rituximab, thymectomy, IVIg and PE. "/>
      </w:tblPr>
      <w:tblGrid>
        <w:gridCol w:w="3005"/>
        <w:gridCol w:w="3005"/>
        <w:gridCol w:w="3006"/>
      </w:tblGrid>
      <w:tr w:rsidR="00537145" w:rsidRPr="007D1918" w14:paraId="4BDB20BF" w14:textId="77777777" w:rsidTr="00C245A4">
        <w:trPr>
          <w:tblHeader/>
        </w:trPr>
        <w:tc>
          <w:tcPr>
            <w:tcW w:w="3005" w:type="dxa"/>
          </w:tcPr>
          <w:p w14:paraId="716699A3" w14:textId="1CE222D6" w:rsidR="00D07CBD" w:rsidRPr="007D1918" w:rsidRDefault="00537145" w:rsidP="008B3469">
            <w:pPr>
              <w:pStyle w:val="TableHeading"/>
              <w:ind w:left="0"/>
            </w:pPr>
            <w:r w:rsidRPr="007D1918">
              <w:t>Treatment</w:t>
            </w:r>
            <w:r w:rsidR="00CC38B5" w:rsidRPr="007D1918">
              <w:t>/study</w:t>
            </w:r>
          </w:p>
        </w:tc>
        <w:tc>
          <w:tcPr>
            <w:tcW w:w="3005" w:type="dxa"/>
          </w:tcPr>
          <w:p w14:paraId="7DBB47B2" w14:textId="77777777" w:rsidR="00537145" w:rsidRPr="007D1918" w:rsidRDefault="00537145" w:rsidP="008B3469">
            <w:pPr>
              <w:pStyle w:val="TableHeading"/>
              <w:ind w:left="0"/>
            </w:pPr>
            <w:r w:rsidRPr="007D1918">
              <w:t>Patients treated</w:t>
            </w:r>
          </w:p>
          <w:p w14:paraId="0821032C" w14:textId="7C99A3E7" w:rsidR="00537145" w:rsidRPr="007D1918" w:rsidRDefault="00537145" w:rsidP="008B3469">
            <w:pPr>
              <w:pStyle w:val="TableHeading"/>
              <w:ind w:left="0"/>
            </w:pPr>
            <w:r w:rsidRPr="007D1918">
              <w:t>N (%)</w:t>
            </w:r>
          </w:p>
        </w:tc>
        <w:tc>
          <w:tcPr>
            <w:tcW w:w="3006" w:type="dxa"/>
          </w:tcPr>
          <w:p w14:paraId="6EEFEE90" w14:textId="643F640C" w:rsidR="00570CCA" w:rsidRPr="007D1918" w:rsidRDefault="00537145" w:rsidP="008B3469">
            <w:pPr>
              <w:pStyle w:val="TableHeading"/>
              <w:ind w:left="0"/>
            </w:pPr>
            <w:r w:rsidRPr="007D1918">
              <w:t xml:space="preserve">Patients who </w:t>
            </w:r>
            <w:r w:rsidR="00570CCA" w:rsidRPr="007D1918">
              <w:t>responded</w:t>
            </w:r>
          </w:p>
          <w:p w14:paraId="75835EDC" w14:textId="059FF324" w:rsidR="00537145" w:rsidRPr="007D1918" w:rsidRDefault="00537145" w:rsidP="008B3469">
            <w:pPr>
              <w:pStyle w:val="TableHeading"/>
              <w:ind w:left="0"/>
            </w:pPr>
            <w:r w:rsidRPr="007D1918">
              <w:t>N</w:t>
            </w:r>
            <w:r w:rsidR="00570CCA" w:rsidRPr="007D1918">
              <w:t>/number treated</w:t>
            </w:r>
            <w:r w:rsidRPr="007D1918">
              <w:t xml:space="preserve"> (%)</w:t>
            </w:r>
          </w:p>
        </w:tc>
      </w:tr>
      <w:tr w:rsidR="00537145" w:rsidRPr="007D1918" w14:paraId="79ECD924" w14:textId="77777777" w:rsidTr="00537145">
        <w:tc>
          <w:tcPr>
            <w:tcW w:w="3005" w:type="dxa"/>
          </w:tcPr>
          <w:p w14:paraId="2A5F2151" w14:textId="470BFCC8" w:rsidR="00537145" w:rsidRPr="007D1918" w:rsidRDefault="00537145" w:rsidP="009B0E13">
            <w:pPr>
              <w:pStyle w:val="TableText0"/>
              <w:keepLines/>
              <w:ind w:left="0"/>
            </w:pPr>
            <w:r w:rsidRPr="007D1918">
              <w:t>AChE-I</w:t>
            </w:r>
            <w:r w:rsidR="00D07CBD" w:rsidRPr="007D1918">
              <w:t xml:space="preserve"> (pyridostigmine)</w:t>
            </w:r>
          </w:p>
          <w:p w14:paraId="1E8DF566" w14:textId="5BF85AD2" w:rsidR="00CC38B5" w:rsidRPr="007D1918" w:rsidRDefault="00CC38B5" w:rsidP="009B0E13">
            <w:pPr>
              <w:pStyle w:val="TableText0"/>
              <w:keepLines/>
              <w:ind w:left="113"/>
            </w:pPr>
            <w:r w:rsidRPr="007D1918">
              <w:t>Guptll et al 2011</w:t>
            </w:r>
          </w:p>
          <w:p w14:paraId="30841EEC" w14:textId="61C10686" w:rsidR="00CC38B5" w:rsidRPr="007D1918" w:rsidRDefault="00CC38B5" w:rsidP="009B0E13">
            <w:pPr>
              <w:pStyle w:val="TableText0"/>
              <w:keepLines/>
              <w:ind w:left="113"/>
            </w:pPr>
            <w:r w:rsidRPr="007D1918">
              <w:t>Pasnoor et al 2010</w:t>
            </w:r>
          </w:p>
        </w:tc>
        <w:tc>
          <w:tcPr>
            <w:tcW w:w="3005" w:type="dxa"/>
          </w:tcPr>
          <w:p w14:paraId="229177E6" w14:textId="77777777" w:rsidR="00CC38B5" w:rsidRPr="007D1918" w:rsidRDefault="00CC38B5" w:rsidP="009B0E13">
            <w:pPr>
              <w:pStyle w:val="TableText0"/>
              <w:keepLines/>
              <w:ind w:left="0"/>
            </w:pPr>
          </w:p>
          <w:p w14:paraId="510B0B64" w14:textId="77777777" w:rsidR="00537145" w:rsidRPr="007D1918" w:rsidRDefault="00570CCA" w:rsidP="009B0E13">
            <w:pPr>
              <w:pStyle w:val="TableText0"/>
              <w:keepLines/>
              <w:ind w:left="0"/>
            </w:pPr>
            <w:r w:rsidRPr="007D1918">
              <w:t xml:space="preserve">108 </w:t>
            </w:r>
            <w:r w:rsidR="00537145" w:rsidRPr="007D1918">
              <w:t>(98%)</w:t>
            </w:r>
          </w:p>
          <w:p w14:paraId="57A30DEA" w14:textId="50A5129C" w:rsidR="00CC38B5" w:rsidRPr="007D1918" w:rsidRDefault="00CC38B5" w:rsidP="009B0E13">
            <w:pPr>
              <w:pStyle w:val="TableText0"/>
              <w:keepLines/>
              <w:ind w:left="0"/>
            </w:pPr>
            <w:r w:rsidRPr="007D1918">
              <w:t>51</w:t>
            </w:r>
            <w:r w:rsidR="009B0E13" w:rsidRPr="007D1918">
              <w:t xml:space="preserve"> (96%)</w:t>
            </w:r>
          </w:p>
        </w:tc>
        <w:tc>
          <w:tcPr>
            <w:tcW w:w="3006" w:type="dxa"/>
          </w:tcPr>
          <w:p w14:paraId="41B17CBC" w14:textId="77777777" w:rsidR="00CC38B5" w:rsidRPr="007D1918" w:rsidRDefault="00CC38B5" w:rsidP="009B0E13">
            <w:pPr>
              <w:pStyle w:val="TableText0"/>
              <w:keepLines/>
              <w:ind w:left="0"/>
            </w:pPr>
          </w:p>
          <w:p w14:paraId="2FC0E607" w14:textId="77777777" w:rsidR="00537145" w:rsidRPr="007D1918" w:rsidRDefault="00570CCA" w:rsidP="009B0E13">
            <w:pPr>
              <w:pStyle w:val="TableText0"/>
              <w:keepLines/>
              <w:ind w:left="0"/>
            </w:pPr>
            <w:r w:rsidRPr="007D1918">
              <w:t xml:space="preserve">62/108 </w:t>
            </w:r>
            <w:r w:rsidR="00537145" w:rsidRPr="007D1918">
              <w:t>(57%)</w:t>
            </w:r>
          </w:p>
          <w:p w14:paraId="25599D1B" w14:textId="2AAB7AD1" w:rsidR="00CC38B5" w:rsidRPr="007D1918" w:rsidRDefault="00CC38B5" w:rsidP="009B0E13">
            <w:pPr>
              <w:pStyle w:val="TableText0"/>
              <w:keepLines/>
              <w:ind w:left="0"/>
            </w:pPr>
            <w:r w:rsidRPr="007D1918">
              <w:t>27/51 (16%)</w:t>
            </w:r>
          </w:p>
        </w:tc>
      </w:tr>
      <w:tr w:rsidR="00537145" w:rsidRPr="007D1918" w14:paraId="367CE536" w14:textId="77777777" w:rsidTr="00537145">
        <w:tc>
          <w:tcPr>
            <w:tcW w:w="3005" w:type="dxa"/>
          </w:tcPr>
          <w:p w14:paraId="7A23E1BF" w14:textId="0524D0D1" w:rsidR="00537145" w:rsidRPr="007D1918" w:rsidRDefault="003B674A" w:rsidP="009B0E13">
            <w:pPr>
              <w:pStyle w:val="TableText0"/>
              <w:keepLines/>
              <w:ind w:left="0"/>
            </w:pPr>
            <w:r w:rsidRPr="007D1918">
              <w:t>IS</w:t>
            </w:r>
            <w:r w:rsidR="00570CCA" w:rsidRPr="007D1918">
              <w:t xml:space="preserve"> </w:t>
            </w:r>
            <w:r w:rsidR="00D07CBD" w:rsidRPr="007D1918">
              <w:t>agents</w:t>
            </w:r>
          </w:p>
          <w:p w14:paraId="7F629CC3" w14:textId="45243386" w:rsidR="00CC38B5" w:rsidRPr="007D1918" w:rsidRDefault="00CC38B5" w:rsidP="009B0E13">
            <w:pPr>
              <w:pStyle w:val="TableText0"/>
              <w:keepLines/>
              <w:ind w:left="113"/>
            </w:pPr>
            <w:r w:rsidRPr="007D1918">
              <w:t>Guptill et al 2011</w:t>
            </w:r>
          </w:p>
          <w:p w14:paraId="0E532D19" w14:textId="18D9644A" w:rsidR="00CC38B5" w:rsidRPr="007D1918" w:rsidRDefault="00CC38B5" w:rsidP="009B0E13">
            <w:pPr>
              <w:pStyle w:val="TableText0"/>
              <w:keepLines/>
              <w:ind w:left="113"/>
            </w:pPr>
            <w:r w:rsidRPr="007D1918">
              <w:t>Pasnoor et al 2010</w:t>
            </w:r>
          </w:p>
        </w:tc>
        <w:tc>
          <w:tcPr>
            <w:tcW w:w="3005" w:type="dxa"/>
          </w:tcPr>
          <w:p w14:paraId="16456733" w14:textId="77777777" w:rsidR="00CC38B5" w:rsidRPr="007D1918" w:rsidRDefault="00CC38B5" w:rsidP="009B0E13">
            <w:pPr>
              <w:pStyle w:val="TableText0"/>
              <w:keepLines/>
              <w:ind w:left="0"/>
            </w:pPr>
          </w:p>
          <w:p w14:paraId="7F94BC08" w14:textId="77777777" w:rsidR="00537145" w:rsidRPr="007D1918" w:rsidRDefault="00570CCA" w:rsidP="009B0E13">
            <w:pPr>
              <w:pStyle w:val="TableText0"/>
              <w:keepLines/>
              <w:ind w:left="0"/>
            </w:pPr>
            <w:r w:rsidRPr="007D1918">
              <w:t>10</w:t>
            </w:r>
            <w:r w:rsidR="003B674A" w:rsidRPr="007D1918">
              <w:t>5</w:t>
            </w:r>
            <w:r w:rsidRPr="007D1918">
              <w:t xml:space="preserve"> </w:t>
            </w:r>
            <w:r w:rsidR="003B674A" w:rsidRPr="007D1918">
              <w:t>(</w:t>
            </w:r>
            <w:r w:rsidRPr="007D1918">
              <w:t>9</w:t>
            </w:r>
            <w:r w:rsidR="003B674A" w:rsidRPr="007D1918">
              <w:t>6</w:t>
            </w:r>
            <w:r w:rsidRPr="007D1918">
              <w:t>%</w:t>
            </w:r>
            <w:r w:rsidR="003B674A" w:rsidRPr="007D1918">
              <w:t>)</w:t>
            </w:r>
          </w:p>
          <w:p w14:paraId="27F5C4AB" w14:textId="088E281A" w:rsidR="00CC38B5" w:rsidRPr="007D1918" w:rsidRDefault="00CC38B5" w:rsidP="009B0E13">
            <w:pPr>
              <w:pStyle w:val="TableText0"/>
              <w:keepLines/>
              <w:ind w:left="0"/>
            </w:pPr>
            <w:r w:rsidRPr="007D1918">
              <w:t>39</w:t>
            </w:r>
            <w:r w:rsidR="009B0E13" w:rsidRPr="007D1918">
              <w:t xml:space="preserve"> (74%)</w:t>
            </w:r>
          </w:p>
        </w:tc>
        <w:tc>
          <w:tcPr>
            <w:tcW w:w="3006" w:type="dxa"/>
          </w:tcPr>
          <w:p w14:paraId="3B1D3AD6" w14:textId="77777777" w:rsidR="00CC38B5" w:rsidRPr="007D1918" w:rsidRDefault="00CC38B5" w:rsidP="009B0E13">
            <w:pPr>
              <w:pStyle w:val="TableText0"/>
              <w:keepLines/>
              <w:ind w:left="0"/>
            </w:pPr>
          </w:p>
          <w:p w14:paraId="6B66EC58" w14:textId="77777777" w:rsidR="00537145" w:rsidRPr="007D1918" w:rsidRDefault="003B674A" w:rsidP="009B0E13">
            <w:pPr>
              <w:pStyle w:val="TableText0"/>
              <w:keepLines/>
              <w:ind w:left="0"/>
            </w:pPr>
            <w:r w:rsidRPr="007D1918">
              <w:t>NR</w:t>
            </w:r>
          </w:p>
          <w:p w14:paraId="1A868A86" w14:textId="578C55F8" w:rsidR="00CC38B5" w:rsidRPr="007D1918" w:rsidRDefault="00CC38B5" w:rsidP="009B0E13">
            <w:pPr>
              <w:pStyle w:val="TableText0"/>
              <w:keepLines/>
              <w:ind w:left="0"/>
            </w:pPr>
            <w:r w:rsidRPr="007D1918">
              <w:t>16/39 (41%)</w:t>
            </w:r>
          </w:p>
        </w:tc>
      </w:tr>
      <w:tr w:rsidR="00537145" w:rsidRPr="007D1918" w14:paraId="4210EADF" w14:textId="77777777" w:rsidTr="00537145">
        <w:tc>
          <w:tcPr>
            <w:tcW w:w="3005" w:type="dxa"/>
          </w:tcPr>
          <w:p w14:paraId="66E91EBB" w14:textId="77777777" w:rsidR="00537145" w:rsidRPr="007D1918" w:rsidRDefault="00570CCA" w:rsidP="00570CCA">
            <w:pPr>
              <w:pStyle w:val="TableText0"/>
              <w:ind w:left="0"/>
            </w:pPr>
            <w:r w:rsidRPr="007D1918">
              <w:t>Rituximab</w:t>
            </w:r>
          </w:p>
          <w:p w14:paraId="2A8150A7" w14:textId="77777777" w:rsidR="00CC38B5" w:rsidRPr="007D1918" w:rsidRDefault="00CC38B5" w:rsidP="00CC38B5">
            <w:pPr>
              <w:pStyle w:val="TableText0"/>
              <w:ind w:left="113"/>
            </w:pPr>
            <w:r w:rsidRPr="007D1918">
              <w:t>Guptill et al 2011</w:t>
            </w:r>
          </w:p>
          <w:p w14:paraId="70721ABC" w14:textId="3DFFEEB6" w:rsidR="00CC38B5" w:rsidRPr="007D1918" w:rsidRDefault="00CC38B5" w:rsidP="00CC38B5">
            <w:pPr>
              <w:pStyle w:val="TableText0"/>
              <w:ind w:left="113"/>
            </w:pPr>
            <w:r w:rsidRPr="007D1918">
              <w:t>Pasnoor et al 2010</w:t>
            </w:r>
          </w:p>
        </w:tc>
        <w:tc>
          <w:tcPr>
            <w:tcW w:w="3005" w:type="dxa"/>
          </w:tcPr>
          <w:p w14:paraId="07FE7B11" w14:textId="77777777" w:rsidR="00CC38B5" w:rsidRPr="007D1918" w:rsidRDefault="00CC38B5" w:rsidP="00537145">
            <w:pPr>
              <w:pStyle w:val="TableText0"/>
              <w:ind w:left="0"/>
            </w:pPr>
          </w:p>
          <w:p w14:paraId="48C3EDE7" w14:textId="77777777" w:rsidR="00537145" w:rsidRPr="007D1918" w:rsidRDefault="003B674A" w:rsidP="00537145">
            <w:pPr>
              <w:pStyle w:val="TableText0"/>
              <w:ind w:left="0"/>
            </w:pPr>
            <w:r w:rsidRPr="007D1918">
              <w:t>6 (5%)</w:t>
            </w:r>
          </w:p>
          <w:p w14:paraId="6478A17F" w14:textId="3D363E2B" w:rsidR="00CC38B5" w:rsidRPr="007D1918" w:rsidRDefault="00CC38B5" w:rsidP="00537145">
            <w:pPr>
              <w:pStyle w:val="TableText0"/>
              <w:ind w:left="0"/>
            </w:pPr>
            <w:r w:rsidRPr="007D1918">
              <w:t>NR</w:t>
            </w:r>
          </w:p>
        </w:tc>
        <w:tc>
          <w:tcPr>
            <w:tcW w:w="3006" w:type="dxa"/>
          </w:tcPr>
          <w:p w14:paraId="1F8A8FA3" w14:textId="77777777" w:rsidR="00CC38B5" w:rsidRPr="007D1918" w:rsidRDefault="00CC38B5" w:rsidP="00537145">
            <w:pPr>
              <w:pStyle w:val="TableText0"/>
              <w:ind w:left="0"/>
            </w:pPr>
          </w:p>
          <w:p w14:paraId="21B51617" w14:textId="77777777" w:rsidR="00537145" w:rsidRPr="007D1918" w:rsidRDefault="003B674A" w:rsidP="00537145">
            <w:pPr>
              <w:pStyle w:val="TableText0"/>
              <w:ind w:left="0"/>
            </w:pPr>
            <w:r w:rsidRPr="007D1918">
              <w:t>6/6 (100%)</w:t>
            </w:r>
          </w:p>
          <w:p w14:paraId="02D86114" w14:textId="64FBBEE0" w:rsidR="00CC38B5" w:rsidRPr="007D1918" w:rsidRDefault="00CC38B5" w:rsidP="00537145">
            <w:pPr>
              <w:pStyle w:val="TableText0"/>
              <w:ind w:left="0"/>
            </w:pPr>
            <w:r w:rsidRPr="007D1918">
              <w:t>NR</w:t>
            </w:r>
          </w:p>
        </w:tc>
      </w:tr>
      <w:tr w:rsidR="00537145" w:rsidRPr="007D1918" w14:paraId="16F7C844" w14:textId="77777777" w:rsidTr="00537145">
        <w:tc>
          <w:tcPr>
            <w:tcW w:w="3005" w:type="dxa"/>
          </w:tcPr>
          <w:p w14:paraId="1E758001" w14:textId="77777777" w:rsidR="00537145" w:rsidRPr="007D1918" w:rsidRDefault="00570CCA" w:rsidP="00537145">
            <w:pPr>
              <w:pStyle w:val="TableText0"/>
              <w:ind w:left="0"/>
            </w:pPr>
            <w:r w:rsidRPr="007D1918">
              <w:t>Thymectomy</w:t>
            </w:r>
          </w:p>
          <w:p w14:paraId="1CBC6F92" w14:textId="77777777" w:rsidR="00CC38B5" w:rsidRPr="007D1918" w:rsidRDefault="00CC38B5" w:rsidP="00CC38B5">
            <w:pPr>
              <w:pStyle w:val="TableText0"/>
              <w:ind w:left="113"/>
            </w:pPr>
            <w:r w:rsidRPr="007D1918">
              <w:t>Guptill et al 2011</w:t>
            </w:r>
          </w:p>
          <w:p w14:paraId="1E0F461B" w14:textId="0410F947" w:rsidR="00CC38B5" w:rsidRPr="007D1918" w:rsidRDefault="00CC38B5" w:rsidP="00CC38B5">
            <w:pPr>
              <w:pStyle w:val="TableText0"/>
              <w:ind w:left="113"/>
            </w:pPr>
            <w:r w:rsidRPr="007D1918">
              <w:t>Pasnoor et al 2010</w:t>
            </w:r>
          </w:p>
        </w:tc>
        <w:tc>
          <w:tcPr>
            <w:tcW w:w="3005" w:type="dxa"/>
          </w:tcPr>
          <w:p w14:paraId="6685EC8B" w14:textId="77777777" w:rsidR="00CC38B5" w:rsidRPr="007D1918" w:rsidRDefault="00CC38B5" w:rsidP="00570CCA">
            <w:pPr>
              <w:pStyle w:val="TableText0"/>
              <w:ind w:left="0"/>
            </w:pPr>
          </w:p>
          <w:p w14:paraId="3AD08503" w14:textId="77777777" w:rsidR="00537145" w:rsidRPr="007D1918" w:rsidRDefault="00570CCA" w:rsidP="00570CCA">
            <w:pPr>
              <w:pStyle w:val="TableText0"/>
              <w:ind w:left="0"/>
            </w:pPr>
            <w:r w:rsidRPr="007D1918">
              <w:t>40 (36%)</w:t>
            </w:r>
          </w:p>
          <w:p w14:paraId="4B01432A" w14:textId="649982D8" w:rsidR="00CC38B5" w:rsidRPr="007D1918" w:rsidRDefault="00CC38B5" w:rsidP="00570CCA">
            <w:pPr>
              <w:pStyle w:val="TableText0"/>
              <w:ind w:left="0"/>
            </w:pPr>
            <w:r w:rsidRPr="007D1918">
              <w:t>18</w:t>
            </w:r>
            <w:r w:rsidR="009B0E13" w:rsidRPr="007D1918">
              <w:t xml:space="preserve"> (34%)</w:t>
            </w:r>
          </w:p>
        </w:tc>
        <w:tc>
          <w:tcPr>
            <w:tcW w:w="3006" w:type="dxa"/>
          </w:tcPr>
          <w:p w14:paraId="6C8B88DF" w14:textId="77777777" w:rsidR="00CC38B5" w:rsidRPr="007D1918" w:rsidRDefault="00CC38B5" w:rsidP="00570CCA">
            <w:pPr>
              <w:pStyle w:val="TableText0"/>
              <w:ind w:left="0"/>
            </w:pPr>
          </w:p>
          <w:p w14:paraId="400EC979" w14:textId="77777777" w:rsidR="00537145" w:rsidRPr="007D1918" w:rsidRDefault="00570CCA" w:rsidP="00570CCA">
            <w:pPr>
              <w:pStyle w:val="TableText0"/>
              <w:ind w:left="0"/>
            </w:pPr>
            <w:r w:rsidRPr="007D1918">
              <w:t>20/40 (50%)</w:t>
            </w:r>
            <w:r w:rsidR="003B674A" w:rsidRPr="007D1918">
              <w:t xml:space="preserve"> (MM or better)</w:t>
            </w:r>
          </w:p>
          <w:p w14:paraId="0A7A756F" w14:textId="64CE2D5A" w:rsidR="00CC38B5" w:rsidRPr="007D1918" w:rsidRDefault="00CC38B5" w:rsidP="00CC38B5">
            <w:pPr>
              <w:pStyle w:val="TableText0"/>
              <w:ind w:left="0"/>
            </w:pPr>
            <w:r w:rsidRPr="007D1918">
              <w:t>7/18 (39%)</w:t>
            </w:r>
            <w:r w:rsidRPr="007D1918">
              <w:rPr>
                <w:vertAlign w:val="superscript"/>
              </w:rPr>
              <w:t>a</w:t>
            </w:r>
          </w:p>
        </w:tc>
      </w:tr>
      <w:tr w:rsidR="00570CCA" w:rsidRPr="007D1918" w14:paraId="44ED34CF" w14:textId="77777777" w:rsidTr="00537145">
        <w:tc>
          <w:tcPr>
            <w:tcW w:w="3005" w:type="dxa"/>
          </w:tcPr>
          <w:p w14:paraId="1A37C5FA" w14:textId="77777777" w:rsidR="00570CCA" w:rsidRPr="007D1918" w:rsidRDefault="00570CCA" w:rsidP="00570CCA">
            <w:pPr>
              <w:pStyle w:val="TableText0"/>
              <w:ind w:left="0"/>
            </w:pPr>
            <w:r w:rsidRPr="007D1918">
              <w:t>IVIg</w:t>
            </w:r>
          </w:p>
          <w:p w14:paraId="68B2CF99" w14:textId="77777777" w:rsidR="00CC38B5" w:rsidRPr="007D1918" w:rsidRDefault="00CC38B5" w:rsidP="00CC38B5">
            <w:pPr>
              <w:pStyle w:val="TableText0"/>
              <w:ind w:left="113"/>
            </w:pPr>
            <w:r w:rsidRPr="007D1918">
              <w:t>Guptill et al 2011</w:t>
            </w:r>
          </w:p>
          <w:p w14:paraId="0DF8CDA4" w14:textId="2ED3213C" w:rsidR="00CC38B5" w:rsidRPr="007D1918" w:rsidRDefault="00CC38B5" w:rsidP="00CC38B5">
            <w:pPr>
              <w:pStyle w:val="TableText0"/>
              <w:ind w:left="113"/>
            </w:pPr>
            <w:r w:rsidRPr="007D1918">
              <w:t>Pasnoor et al 2010</w:t>
            </w:r>
          </w:p>
        </w:tc>
        <w:tc>
          <w:tcPr>
            <w:tcW w:w="3005" w:type="dxa"/>
          </w:tcPr>
          <w:p w14:paraId="1254078B" w14:textId="77777777" w:rsidR="00CC38B5" w:rsidRPr="007D1918" w:rsidRDefault="00CC38B5" w:rsidP="00570CCA">
            <w:pPr>
              <w:pStyle w:val="TableText0"/>
              <w:ind w:left="0"/>
            </w:pPr>
          </w:p>
          <w:p w14:paraId="3CB21824" w14:textId="77777777" w:rsidR="00570CCA" w:rsidRPr="007D1918" w:rsidRDefault="003B674A" w:rsidP="00570CCA">
            <w:pPr>
              <w:pStyle w:val="TableText0"/>
              <w:ind w:left="0"/>
            </w:pPr>
            <w:r w:rsidRPr="007D1918">
              <w:t>31 (28%)</w:t>
            </w:r>
          </w:p>
          <w:p w14:paraId="1CF5CBBF" w14:textId="1F31AB94" w:rsidR="00CC38B5" w:rsidRPr="007D1918" w:rsidRDefault="009B0E13" w:rsidP="00570CCA">
            <w:pPr>
              <w:pStyle w:val="TableText0"/>
              <w:ind w:left="0"/>
            </w:pPr>
            <w:r w:rsidRPr="007D1918">
              <w:t>25 (47%)</w:t>
            </w:r>
          </w:p>
        </w:tc>
        <w:tc>
          <w:tcPr>
            <w:tcW w:w="3006" w:type="dxa"/>
          </w:tcPr>
          <w:p w14:paraId="17550335" w14:textId="77777777" w:rsidR="00CC38B5" w:rsidRPr="007D1918" w:rsidRDefault="00CC38B5" w:rsidP="00570CCA">
            <w:pPr>
              <w:pStyle w:val="TableText0"/>
              <w:ind w:left="0"/>
            </w:pPr>
          </w:p>
          <w:p w14:paraId="3368D1D6" w14:textId="77777777" w:rsidR="00570CCA" w:rsidRPr="007D1918" w:rsidRDefault="003B674A" w:rsidP="00570CCA">
            <w:pPr>
              <w:pStyle w:val="TableText0"/>
              <w:ind w:left="0"/>
            </w:pPr>
            <w:r w:rsidRPr="007D1918">
              <w:t>19/31 (61%)</w:t>
            </w:r>
          </w:p>
          <w:p w14:paraId="1C961696" w14:textId="6949078B" w:rsidR="00CC38B5" w:rsidRPr="007D1918" w:rsidRDefault="009B0E13" w:rsidP="00570CCA">
            <w:pPr>
              <w:pStyle w:val="TableText0"/>
              <w:ind w:left="0"/>
            </w:pPr>
            <w:r w:rsidRPr="007D1918">
              <w:t>5/25 (20%)</w:t>
            </w:r>
          </w:p>
        </w:tc>
      </w:tr>
      <w:tr w:rsidR="00570CCA" w:rsidRPr="007D1918" w14:paraId="7F3005AC" w14:textId="77777777" w:rsidTr="00537145">
        <w:tc>
          <w:tcPr>
            <w:tcW w:w="3005" w:type="dxa"/>
          </w:tcPr>
          <w:p w14:paraId="74AECFEA" w14:textId="77777777" w:rsidR="00570CCA" w:rsidRPr="007D1918" w:rsidRDefault="00570CCA" w:rsidP="00570CCA">
            <w:pPr>
              <w:pStyle w:val="TableText0"/>
              <w:ind w:left="0"/>
            </w:pPr>
            <w:r w:rsidRPr="007D1918">
              <w:t>PE</w:t>
            </w:r>
          </w:p>
          <w:p w14:paraId="716B2B08" w14:textId="77777777" w:rsidR="00CC38B5" w:rsidRPr="007D1918" w:rsidRDefault="00CC38B5" w:rsidP="00CC38B5">
            <w:pPr>
              <w:pStyle w:val="TableText0"/>
              <w:ind w:left="113"/>
            </w:pPr>
            <w:r w:rsidRPr="007D1918">
              <w:t>Guptill et al 2011</w:t>
            </w:r>
          </w:p>
          <w:p w14:paraId="1BC941B6" w14:textId="375EC8D1" w:rsidR="00CC38B5" w:rsidRPr="007D1918" w:rsidRDefault="00CC38B5" w:rsidP="00CC38B5">
            <w:pPr>
              <w:pStyle w:val="TableText0"/>
              <w:ind w:left="113"/>
            </w:pPr>
            <w:r w:rsidRPr="007D1918">
              <w:t>Pasnoor et al 2010</w:t>
            </w:r>
          </w:p>
        </w:tc>
        <w:tc>
          <w:tcPr>
            <w:tcW w:w="3005" w:type="dxa"/>
          </w:tcPr>
          <w:p w14:paraId="5746C074" w14:textId="77777777" w:rsidR="00CC38B5" w:rsidRPr="007D1918" w:rsidRDefault="00CC38B5" w:rsidP="00570CCA">
            <w:pPr>
              <w:pStyle w:val="TableText0"/>
              <w:ind w:left="0"/>
            </w:pPr>
          </w:p>
          <w:p w14:paraId="50520771" w14:textId="77777777" w:rsidR="00570CCA" w:rsidRPr="007D1918" w:rsidRDefault="003B674A" w:rsidP="00570CCA">
            <w:pPr>
              <w:pStyle w:val="TableText0"/>
              <w:ind w:left="0"/>
            </w:pPr>
            <w:r w:rsidRPr="007D1918">
              <w:t>73 (66%)</w:t>
            </w:r>
          </w:p>
          <w:p w14:paraId="12EAA090" w14:textId="6F8011A4" w:rsidR="00CC38B5" w:rsidRPr="007D1918" w:rsidRDefault="009B0E13" w:rsidP="00570CCA">
            <w:pPr>
              <w:pStyle w:val="TableText0"/>
              <w:ind w:left="0"/>
            </w:pPr>
            <w:r w:rsidRPr="007D1918">
              <w:t>33 (62%)</w:t>
            </w:r>
          </w:p>
        </w:tc>
        <w:tc>
          <w:tcPr>
            <w:tcW w:w="3006" w:type="dxa"/>
          </w:tcPr>
          <w:p w14:paraId="75F46A11" w14:textId="77777777" w:rsidR="00CC38B5" w:rsidRPr="007D1918" w:rsidRDefault="00CC38B5" w:rsidP="00570CCA">
            <w:pPr>
              <w:pStyle w:val="TableText0"/>
              <w:ind w:left="0"/>
            </w:pPr>
          </w:p>
          <w:p w14:paraId="3C95FD38" w14:textId="77777777" w:rsidR="00570CCA" w:rsidRPr="007D1918" w:rsidRDefault="003B674A" w:rsidP="00570CCA">
            <w:pPr>
              <w:pStyle w:val="TableText0"/>
              <w:ind w:left="0"/>
            </w:pPr>
            <w:r w:rsidRPr="007D1918">
              <w:t>68/73 (93%)</w:t>
            </w:r>
          </w:p>
          <w:p w14:paraId="4E1E65B1" w14:textId="2DB2A1FF" w:rsidR="00CC38B5" w:rsidRPr="007D1918" w:rsidRDefault="009B0E13" w:rsidP="00570CCA">
            <w:pPr>
              <w:pStyle w:val="TableText0"/>
              <w:ind w:left="0"/>
            </w:pPr>
            <w:r w:rsidRPr="007D1918">
              <w:t>17/33 (51%)</w:t>
            </w:r>
          </w:p>
        </w:tc>
      </w:tr>
    </w:tbl>
    <w:p w14:paraId="48B1A719" w14:textId="0121D616" w:rsidR="00537145" w:rsidRPr="007D1918" w:rsidRDefault="00BA5D18" w:rsidP="005A755F">
      <w:pPr>
        <w:pStyle w:val="Tablenotes0"/>
        <w:spacing w:after="80"/>
        <w:contextualSpacing w:val="0"/>
      </w:pPr>
      <w:r w:rsidRPr="007D1918">
        <w:t xml:space="preserve">AChE-I = acetylcholinesterase inhibitor therapy; IS = immunosuppressive therapy; IVIg = intravenous immunoglobulin therapy; MuSK-MG = muscle specific kinase antibody positive myasthenia gravis; </w:t>
      </w:r>
      <w:r w:rsidR="005A755F" w:rsidRPr="007D1918">
        <w:t xml:space="preserve">MM = minimal manifestations; </w:t>
      </w:r>
      <w:r w:rsidR="00CC38B5" w:rsidRPr="007D1918">
        <w:t xml:space="preserve">NR = not reported; </w:t>
      </w:r>
      <w:r w:rsidRPr="007D1918">
        <w:t>PE plasm exchange</w:t>
      </w:r>
    </w:p>
    <w:p w14:paraId="54AEC14B" w14:textId="10E98D12" w:rsidR="00CC38B5" w:rsidRPr="007D1918" w:rsidRDefault="00CC38B5" w:rsidP="00BA5D18">
      <w:pPr>
        <w:pStyle w:val="Tablenotes0"/>
      </w:pPr>
      <w:r w:rsidRPr="007D1918">
        <w:rPr>
          <w:vertAlign w:val="superscript"/>
        </w:rPr>
        <w:t>a</w:t>
      </w:r>
      <w:r w:rsidRPr="007D1918">
        <w:t xml:space="preserve"> </w:t>
      </w:r>
      <w:r w:rsidR="009B0E13" w:rsidRPr="007D1918">
        <w:t>From patients with 3 year follow-up data</w:t>
      </w:r>
    </w:p>
    <w:p w14:paraId="20758284" w14:textId="77777777" w:rsidR="00990271" w:rsidRPr="007D1918" w:rsidRDefault="00990271" w:rsidP="00990271"/>
    <w:p w14:paraId="2B596604" w14:textId="57C4C3FA" w:rsidR="00990271" w:rsidRPr="007D1918" w:rsidRDefault="004A1B8D" w:rsidP="00990271">
      <w:pPr>
        <w:pStyle w:val="Heading3"/>
      </w:pPr>
      <w:bookmarkStart w:id="555" w:name="_Toc23767016"/>
      <w:r w:rsidRPr="007D1918">
        <w:t xml:space="preserve">IVIg for </w:t>
      </w:r>
      <w:r w:rsidR="003B5FE5" w:rsidRPr="007D1918">
        <w:t>MG in p</w:t>
      </w:r>
      <w:r w:rsidR="00990271" w:rsidRPr="007D1918">
        <w:t>regnancy</w:t>
      </w:r>
      <w:bookmarkEnd w:id="555"/>
    </w:p>
    <w:p w14:paraId="1FAB7070" w14:textId="3C53A923" w:rsidR="00990271" w:rsidRPr="007D1918" w:rsidRDefault="00BF0B2C" w:rsidP="00990271">
      <w:pPr>
        <w:jc w:val="both"/>
      </w:pPr>
      <w:r w:rsidRPr="007D1918">
        <w:t xml:space="preserve">Despite pregnancy being a known trigger of MG exacerbation </w:t>
      </w:r>
      <w:r w:rsidR="003736AC" w:rsidRPr="007D1918">
        <w:fldChar w:fldCharType="begin">
          <w:fldData xml:space="preserve">PEVuZE5vdGU+PENpdGU+PEF1dGhvcj5TdGF0bGFuZDwvQXV0aG9yPjxZZWFyPjIwMTM8L1llYXI+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</w:fldData>
        </w:fldChar>
      </w:r>
      <w:r w:rsidR="003736AC" w:rsidRPr="007D1918">
        <w:instrText xml:space="preserve"> ADDIN EN.CITE </w:instrText>
      </w:r>
      <w:r w:rsidR="003736AC" w:rsidRPr="007D1918">
        <w:fldChar w:fldCharType="begin">
          <w:fldData xml:space="preserve">PEVuZE5vdGU+PENpdGU+PEF1dGhvcj5TdGF0bGFuZDwvQXV0aG9yPjxZZWFyPjIwMTM8L1llYXI+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</w:fldData>
        </w:fldChar>
      </w:r>
      <w:r w:rsidR="003736AC" w:rsidRPr="007D1918">
        <w:instrText xml:space="preserve"> ADDIN EN.CITE.DATA </w:instrText>
      </w:r>
      <w:r w:rsidR="003736AC" w:rsidRPr="007D1918">
        <w:fldChar w:fldCharType="end"/>
      </w:r>
      <w:r w:rsidR="003736AC" w:rsidRPr="007D1918">
        <w:fldChar w:fldCharType="separate"/>
      </w:r>
      <w:r w:rsidR="003736AC" w:rsidRPr="007D1918">
        <w:rPr>
          <w:noProof/>
        </w:rPr>
        <w:t>(</w:t>
      </w:r>
      <w:hyperlink w:anchor="_ENREF_96" w:tooltip="Statland, 2013 #33" w:history="1">
        <w:r w:rsidR="007D4948" w:rsidRPr="007D1918">
          <w:rPr>
            <w:noProof/>
          </w:rPr>
          <w:t>Statland &amp; Ciafaloni 2013</w:t>
        </w:r>
      </w:hyperlink>
      <w:r w:rsidR="003736AC" w:rsidRPr="007D1918">
        <w:rPr>
          <w:noProof/>
        </w:rPr>
        <w:t>)</w:t>
      </w:r>
      <w:r w:rsidR="003736AC" w:rsidRPr="007D1918">
        <w:fldChar w:fldCharType="end"/>
      </w:r>
      <w:r w:rsidRPr="007D1918">
        <w:t xml:space="preserve">, there </w:t>
      </w:r>
      <w:r w:rsidR="00FD0DEB" w:rsidRPr="007D1918">
        <w:t>were</w:t>
      </w:r>
      <w:r w:rsidRPr="007D1918">
        <w:t xml:space="preserve"> very limited data on the use of IVIg during pregnancy in MG patients. In two studies</w:t>
      </w:r>
      <w:r w:rsidR="006805B8" w:rsidRPr="007D1918">
        <w:t>,</w:t>
      </w:r>
      <w:r w:rsidRPr="007D1918">
        <w:t xml:space="preserve"> a total of eight patients were treated with IVIg during pregnancy or in the post-partum period. Three </w:t>
      </w:r>
      <w:r w:rsidR="007769A7" w:rsidRPr="007D1918">
        <w:t xml:space="preserve">pregnant </w:t>
      </w:r>
      <w:r w:rsidRPr="007D1918">
        <w:t xml:space="preserve">women were treated </w:t>
      </w:r>
      <w:r w:rsidR="007769A7" w:rsidRPr="007D1918">
        <w:t xml:space="preserve">with IVIg </w:t>
      </w:r>
      <w:r w:rsidRPr="007D1918">
        <w:t xml:space="preserve">for myasthenic crisis </w:t>
      </w:r>
      <w:r w:rsidR="00372851" w:rsidRPr="007D1918">
        <w:t xml:space="preserve">precipitated by infection </w:t>
      </w:r>
      <w:r w:rsidRPr="007D1918">
        <w:t>in one study,</w:t>
      </w:r>
      <w:r w:rsidR="007769A7" w:rsidRPr="007D1918">
        <w:t xml:space="preserve"> </w:t>
      </w:r>
      <w:r w:rsidR="00372851" w:rsidRPr="007D1918">
        <w:t>but the outcomes of the pregnancies were unclear. I</w:t>
      </w:r>
      <w:r w:rsidR="007769A7" w:rsidRPr="007D1918">
        <w:t>n another</w:t>
      </w:r>
      <w:r w:rsidR="00372851" w:rsidRPr="007D1918">
        <w:t xml:space="preserve"> study</w:t>
      </w:r>
      <w:r w:rsidR="006805B8" w:rsidRPr="007D1918">
        <w:t>,</w:t>
      </w:r>
      <w:r w:rsidR="007769A7" w:rsidRPr="007D1918">
        <w:t xml:space="preserve"> five women transferred from standard therapies to IVIg when they decided to conceive and </w:t>
      </w:r>
      <w:r w:rsidR="00FD0DEB" w:rsidRPr="007D1918">
        <w:t>during</w:t>
      </w:r>
      <w:r w:rsidR="007769A7" w:rsidRPr="007D1918">
        <w:t xml:space="preserve"> their pregnancies. There were no exacerbations during pregnancy, delivery or postpartum in the five women and no symptoms of MG in the neonates. </w:t>
      </w:r>
      <w:r w:rsidR="00372851" w:rsidRPr="007D1918">
        <w:t>The patient numbers are too small to make conclusions from the outcomes in these studies.</w:t>
      </w:r>
    </w:p>
    <w:p w14:paraId="29C4EEA8" w14:textId="77777777" w:rsidR="00990271" w:rsidRPr="007D1918" w:rsidRDefault="00990271" w:rsidP="00990271"/>
    <w:p w14:paraId="6F480A9D" w14:textId="367713A6" w:rsidR="004E45C4" w:rsidRPr="007D1918" w:rsidRDefault="004E45C4" w:rsidP="00DF343F">
      <w:pPr>
        <w:keepNext/>
        <w:pageBreakBefore/>
        <w:pBdr>
          <w:bottom w:val="single" w:sz="4" w:space="1" w:color="auto"/>
        </w:pBdr>
        <w:spacing w:after="360" w:line="240" w:lineRule="auto"/>
        <w:ind w:left="2835" w:hanging="2835"/>
        <w:jc w:val="both"/>
        <w:outlineLvl w:val="0"/>
        <w:rPr>
          <w:b/>
          <w:sz w:val="44"/>
        </w:rPr>
      </w:pPr>
      <w:bookmarkStart w:id="556" w:name="_Ref352745383"/>
      <w:bookmarkStart w:id="557" w:name="_Toc352254677"/>
      <w:bookmarkStart w:id="558" w:name="_Toc352672949"/>
      <w:bookmarkStart w:id="559" w:name="_Toc355274740"/>
      <w:bookmarkStart w:id="560" w:name="_Toc379118097"/>
      <w:bookmarkStart w:id="561" w:name="_Toc381796496"/>
      <w:bookmarkStart w:id="562" w:name="_Toc23767017"/>
      <w:bookmarkStart w:id="563" w:name="_Ref237760111"/>
      <w:bookmarkEnd w:id="482"/>
      <w:bookmarkEnd w:id="483"/>
      <w:r w:rsidRPr="007D1918">
        <w:rPr>
          <w:b/>
          <w:sz w:val="44"/>
        </w:rPr>
        <w:lastRenderedPageBreak/>
        <w:t xml:space="preserve">Appendix </w:t>
      </w:r>
      <w:r w:rsidR="0086593E" w:rsidRPr="007D1918">
        <w:rPr>
          <w:b/>
          <w:sz w:val="44"/>
        </w:rPr>
        <w:fldChar w:fldCharType="begin"/>
      </w:r>
      <w:r w:rsidR="00A63A5D" w:rsidRPr="007D1918">
        <w:rPr>
          <w:b/>
          <w:sz w:val="44"/>
        </w:rPr>
        <w:instrText xml:space="preserve"> SEQ Appendix \* ALPHABETIC </w:instrText>
      </w:r>
      <w:r w:rsidR="0086593E" w:rsidRPr="007D1918">
        <w:rPr>
          <w:b/>
          <w:sz w:val="44"/>
        </w:rPr>
        <w:fldChar w:fldCharType="separate"/>
      </w:r>
      <w:r w:rsidR="009A4D6B" w:rsidRPr="007D1918">
        <w:rPr>
          <w:b/>
          <w:noProof/>
          <w:sz w:val="44"/>
        </w:rPr>
        <w:t>A</w:t>
      </w:r>
      <w:r w:rsidR="0086593E" w:rsidRPr="007D1918">
        <w:rPr>
          <w:b/>
          <w:sz w:val="44"/>
        </w:rPr>
        <w:fldChar w:fldCharType="end"/>
      </w:r>
      <w:bookmarkEnd w:id="556"/>
      <w:bookmarkEnd w:id="557"/>
      <w:bookmarkEnd w:id="558"/>
      <w:r w:rsidR="00745565" w:rsidRPr="007D1918">
        <w:rPr>
          <w:b/>
          <w:sz w:val="44"/>
        </w:rPr>
        <w:tab/>
      </w:r>
      <w:r w:rsidR="003E626D" w:rsidRPr="007D1918">
        <w:rPr>
          <w:b/>
          <w:sz w:val="44"/>
        </w:rPr>
        <w:t>Clinical Experts</w:t>
      </w:r>
      <w:r w:rsidR="00745565" w:rsidRPr="007D1918">
        <w:rPr>
          <w:b/>
          <w:sz w:val="44"/>
        </w:rPr>
        <w:t xml:space="preserve"> </w:t>
      </w:r>
      <w:r w:rsidRPr="007D1918">
        <w:rPr>
          <w:b/>
          <w:sz w:val="44"/>
        </w:rPr>
        <w:t>and Assessment Group</w:t>
      </w:r>
      <w:bookmarkEnd w:id="559"/>
      <w:bookmarkEnd w:id="560"/>
      <w:bookmarkEnd w:id="561"/>
      <w:bookmarkEnd w:id="562"/>
    </w:p>
    <w:p w14:paraId="33BD6B03" w14:textId="799C38FD" w:rsidR="003E626D" w:rsidRPr="007D1918" w:rsidRDefault="008760B9" w:rsidP="003E626D">
      <w:pPr>
        <w:pStyle w:val="Heading2"/>
        <w:jc w:val="both"/>
      </w:pPr>
      <w:bookmarkStart w:id="564" w:name="_Toc23767018"/>
      <w:r w:rsidRPr="007D1918">
        <w:t xml:space="preserve">Ig </w:t>
      </w:r>
      <w:r w:rsidR="00B94FB3" w:rsidRPr="007D1918">
        <w:t>r</w:t>
      </w:r>
      <w:r w:rsidRPr="007D1918">
        <w:t xml:space="preserve">eview </w:t>
      </w:r>
      <w:r w:rsidR="00B94FB3" w:rsidRPr="007D1918">
        <w:t>reference group</w:t>
      </w:r>
      <w:bookmarkEnd w:id="564"/>
    </w:p>
    <w:p w14:paraId="348C6091" w14:textId="77777777" w:rsidR="003E626D" w:rsidRPr="007D1918" w:rsidRDefault="003E626D" w:rsidP="003E626D">
      <w:pPr>
        <w:tabs>
          <w:tab w:val="left" w:pos="4111"/>
        </w:tabs>
        <w:spacing w:line="26" w:lineRule="atLeast"/>
        <w:ind w:left="4110" w:hanging="4110"/>
        <w:jc w:val="both"/>
      </w:pPr>
    </w:p>
    <w:p w14:paraId="1ADFDEBC" w14:textId="77777777" w:rsidR="004E45C4" w:rsidRPr="007D1918" w:rsidRDefault="004E45C4" w:rsidP="00DF343F">
      <w:pPr>
        <w:pStyle w:val="Heading2"/>
        <w:jc w:val="both"/>
      </w:pPr>
      <w:bookmarkStart w:id="565" w:name="_Toc379118099"/>
      <w:bookmarkStart w:id="566" w:name="_Toc381796498"/>
      <w:bookmarkStart w:id="567" w:name="_Toc23767019"/>
      <w:r w:rsidRPr="007D1918">
        <w:t>Assessment group</w:t>
      </w:r>
      <w:bookmarkEnd w:id="565"/>
      <w:bookmarkEnd w:id="566"/>
      <w:bookmarkEnd w:id="567"/>
      <w:r w:rsidR="003E626D" w:rsidRPr="007D1918">
        <w:t xml:space="preserve"> </w:t>
      </w:r>
    </w:p>
    <w:p w14:paraId="19709882" w14:textId="1F4A884A" w:rsidR="004E45C4" w:rsidRPr="007D1918" w:rsidRDefault="004A4535" w:rsidP="00DF343F">
      <w:pPr>
        <w:spacing w:line="240" w:lineRule="auto"/>
        <w:jc w:val="both"/>
        <w:rPr>
          <w:b/>
        </w:rPr>
      </w:pPr>
      <w:r w:rsidRPr="007D1918">
        <w:rPr>
          <w:b/>
        </w:rPr>
        <w:t>Adelaide Health Technology Assessment</w:t>
      </w:r>
    </w:p>
    <w:p w14:paraId="0F976E46" w14:textId="77777777" w:rsidR="004E45C4" w:rsidRPr="007D1918" w:rsidRDefault="004E45C4" w:rsidP="00DF343F">
      <w:pPr>
        <w:tabs>
          <w:tab w:val="left" w:pos="4111"/>
        </w:tabs>
        <w:spacing w:after="40"/>
        <w:jc w:val="both"/>
        <w:rPr>
          <w:u w:val="single"/>
        </w:rPr>
      </w:pPr>
      <w:r w:rsidRPr="007D1918">
        <w:rPr>
          <w:u w:val="single"/>
        </w:rPr>
        <w:t>Name</w:t>
      </w:r>
      <w:r w:rsidRPr="007D1918">
        <w:tab/>
      </w:r>
      <w:r w:rsidRPr="007D1918">
        <w:rPr>
          <w:u w:val="single"/>
        </w:rPr>
        <w:t>Position</w:t>
      </w:r>
    </w:p>
    <w:p w14:paraId="3F6E2C00" w14:textId="440E9FB1" w:rsidR="007B1DC8" w:rsidRPr="007D1918" w:rsidRDefault="004A4535" w:rsidP="00DF343F">
      <w:pPr>
        <w:tabs>
          <w:tab w:val="left" w:pos="4111"/>
        </w:tabs>
        <w:jc w:val="both"/>
      </w:pPr>
      <w:r w:rsidRPr="007D1918">
        <w:t>Joanne Milverton</w:t>
      </w:r>
      <w:r w:rsidRPr="007D1918">
        <w:tab/>
        <w:t>Senior research officer</w:t>
      </w:r>
    </w:p>
    <w:p w14:paraId="0D2AF53B" w14:textId="6B794746" w:rsidR="004A4535" w:rsidRPr="007D1918" w:rsidRDefault="004A4535" w:rsidP="00DF343F">
      <w:pPr>
        <w:tabs>
          <w:tab w:val="left" w:pos="4111"/>
        </w:tabs>
        <w:jc w:val="both"/>
      </w:pPr>
      <w:r w:rsidRPr="007D1918">
        <w:t>Camille Schubert</w:t>
      </w:r>
      <w:r w:rsidRPr="007D1918">
        <w:tab/>
        <w:t>Team leader - health economy</w:t>
      </w:r>
    </w:p>
    <w:p w14:paraId="0011192E" w14:textId="7A70BF79" w:rsidR="004A4535" w:rsidRPr="007D1918" w:rsidRDefault="004A4535" w:rsidP="00DF343F">
      <w:pPr>
        <w:tabs>
          <w:tab w:val="left" w:pos="4111"/>
        </w:tabs>
        <w:jc w:val="both"/>
      </w:pPr>
      <w:r w:rsidRPr="007D1918">
        <w:t>Ben Ellery</w:t>
      </w:r>
      <w:r w:rsidRPr="007D1918">
        <w:tab/>
        <w:t>Senior research officer</w:t>
      </w:r>
    </w:p>
    <w:p w14:paraId="29FD6DF9" w14:textId="40B2D5F7" w:rsidR="004A4535" w:rsidRPr="007D1918" w:rsidRDefault="004A4535" w:rsidP="00DF343F">
      <w:pPr>
        <w:tabs>
          <w:tab w:val="left" w:pos="4111"/>
        </w:tabs>
        <w:jc w:val="both"/>
      </w:pPr>
      <w:r w:rsidRPr="007D1918">
        <w:t>Jaqueline Parsons</w:t>
      </w:r>
      <w:r w:rsidRPr="007D1918">
        <w:tab/>
        <w:t>Team leader – Special projects</w:t>
      </w:r>
    </w:p>
    <w:p w14:paraId="009ADB2A" w14:textId="77777777" w:rsidR="007B1DC8" w:rsidRPr="007D1918" w:rsidRDefault="007B1DC8" w:rsidP="00DF343F">
      <w:pPr>
        <w:tabs>
          <w:tab w:val="left" w:pos="4111"/>
        </w:tabs>
        <w:jc w:val="both"/>
      </w:pPr>
    </w:p>
    <w:p w14:paraId="4FD68198" w14:textId="77777777" w:rsidR="004E45C4" w:rsidRPr="007D1918" w:rsidRDefault="004E45C4" w:rsidP="00E42BAC">
      <w:pPr>
        <w:pStyle w:val="Heading2"/>
      </w:pPr>
      <w:bookmarkStart w:id="568" w:name="_Toc352254679"/>
      <w:bookmarkStart w:id="569" w:name="_Toc352672951"/>
      <w:bookmarkStart w:id="570" w:name="_Toc352761736"/>
      <w:bookmarkStart w:id="571" w:name="_Toc23767020"/>
      <w:r w:rsidRPr="007D1918">
        <w:t>Noted conflicts of interest</w:t>
      </w:r>
      <w:bookmarkEnd w:id="568"/>
      <w:bookmarkEnd w:id="569"/>
      <w:bookmarkEnd w:id="570"/>
      <w:bookmarkEnd w:id="571"/>
    </w:p>
    <w:p w14:paraId="73368BEB" w14:textId="08710ACA" w:rsidR="004E45C4" w:rsidRPr="007D1918" w:rsidRDefault="004E45C4" w:rsidP="00DF343F">
      <w:pPr>
        <w:spacing w:line="240" w:lineRule="auto"/>
        <w:jc w:val="both"/>
      </w:pPr>
      <w:r w:rsidRPr="007D1918">
        <w:t>There were no conflicts of interest.</w:t>
      </w:r>
    </w:p>
    <w:p w14:paraId="0EA2AAAA" w14:textId="77777777" w:rsidR="007A7960" w:rsidRPr="007D1918" w:rsidRDefault="00193B87" w:rsidP="00DF343F">
      <w:pPr>
        <w:pStyle w:val="Heading1"/>
        <w:jc w:val="both"/>
      </w:pPr>
      <w:bookmarkStart w:id="572" w:name="_Toc379118100"/>
      <w:bookmarkStart w:id="573" w:name="_Toc381796499"/>
      <w:bookmarkStart w:id="574" w:name="_Toc23767021"/>
      <w:bookmarkEnd w:id="563"/>
      <w:r w:rsidRPr="007D1918">
        <w:lastRenderedPageBreak/>
        <w:t xml:space="preserve">Appendix </w:t>
      </w:r>
      <w:r w:rsidR="000B6AFD" w:rsidRPr="007D1918">
        <w:rPr>
          <w:noProof/>
        </w:rPr>
        <w:fldChar w:fldCharType="begin"/>
      </w:r>
      <w:r w:rsidR="000B6AFD" w:rsidRPr="007D1918">
        <w:rPr>
          <w:noProof/>
        </w:rPr>
        <w:instrText xml:space="preserve"> SEQ Appendix \* ALPHABETIC </w:instrText>
      </w:r>
      <w:r w:rsidR="000B6AFD" w:rsidRPr="007D1918">
        <w:rPr>
          <w:noProof/>
        </w:rPr>
        <w:fldChar w:fldCharType="separate"/>
      </w:r>
      <w:r w:rsidR="009A4D6B" w:rsidRPr="007D1918">
        <w:rPr>
          <w:noProof/>
        </w:rPr>
        <w:t>B</w:t>
      </w:r>
      <w:r w:rsidR="000B6AFD" w:rsidRPr="007D1918">
        <w:rPr>
          <w:noProof/>
        </w:rPr>
        <w:fldChar w:fldCharType="end"/>
      </w:r>
      <w:r w:rsidR="00871F61" w:rsidRPr="007D1918">
        <w:tab/>
        <w:t>Search strategies</w:t>
      </w:r>
      <w:bookmarkEnd w:id="572"/>
      <w:bookmarkEnd w:id="573"/>
      <w:bookmarkEnd w:id="574"/>
    </w:p>
    <w:p w14:paraId="1179EBA4" w14:textId="77777777" w:rsidR="00E40E41" w:rsidRPr="007D1918" w:rsidRDefault="00E40E41" w:rsidP="00DF343F">
      <w:pPr>
        <w:pStyle w:val="Heading3"/>
        <w:jc w:val="both"/>
      </w:pPr>
      <w:bookmarkStart w:id="575" w:name="_Toc294256148"/>
      <w:bookmarkStart w:id="576" w:name="_Toc301358577"/>
      <w:bookmarkStart w:id="577" w:name="_Toc303677590"/>
      <w:bookmarkStart w:id="578" w:name="_Toc303677762"/>
      <w:bookmarkStart w:id="579" w:name="_Toc381796500"/>
      <w:bookmarkStart w:id="580" w:name="_Toc23767022"/>
      <w:r w:rsidRPr="007D1918">
        <w:t>Bibliographic databases</w:t>
      </w:r>
      <w:bookmarkEnd w:id="575"/>
      <w:bookmarkEnd w:id="576"/>
      <w:bookmarkEnd w:id="577"/>
      <w:bookmarkEnd w:id="578"/>
      <w:bookmarkEnd w:id="579"/>
      <w:bookmarkEnd w:id="580"/>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Bibliographic databases"/>
        <w:tblDescription w:val="List of electronic databases searched for the systematic review."/>
      </w:tblPr>
      <w:tblGrid>
        <w:gridCol w:w="6663"/>
        <w:gridCol w:w="2409"/>
      </w:tblGrid>
      <w:tr w:rsidR="00281127" w:rsidRPr="007D1918" w14:paraId="4486BA0D" w14:textId="77777777" w:rsidTr="00281127">
        <w:tc>
          <w:tcPr>
            <w:tcW w:w="6663" w:type="dxa"/>
            <w:tcBorders>
              <w:bottom w:val="single" w:sz="4" w:space="0" w:color="auto"/>
              <w:right w:val="nil"/>
            </w:tcBorders>
          </w:tcPr>
          <w:p w14:paraId="4BEE1D80" w14:textId="77777777" w:rsidR="00281127" w:rsidRPr="007D1918" w:rsidRDefault="00281127" w:rsidP="00DE4B4A">
            <w:pPr>
              <w:keepNext/>
              <w:spacing w:before="40" w:after="120"/>
              <w:ind w:left="709" w:hanging="250"/>
              <w:rPr>
                <w:rFonts w:ascii="Arial Narrow" w:hAnsi="Arial Narrow"/>
                <w:b/>
                <w:sz w:val="20"/>
                <w:lang w:val="en-GB" w:eastAsia="ja-JP"/>
              </w:rPr>
            </w:pPr>
            <w:r w:rsidRPr="007D1918">
              <w:rPr>
                <w:rFonts w:ascii="Arial Narrow" w:hAnsi="Arial Narrow"/>
                <w:b/>
                <w:sz w:val="20"/>
                <w:lang w:val="en-GB" w:eastAsia="ja-JP"/>
              </w:rPr>
              <w:t>Database</w:t>
            </w:r>
          </w:p>
        </w:tc>
        <w:tc>
          <w:tcPr>
            <w:tcW w:w="2409" w:type="dxa"/>
            <w:tcBorders>
              <w:left w:val="nil"/>
            </w:tcBorders>
          </w:tcPr>
          <w:p w14:paraId="08EE9996" w14:textId="77777777" w:rsidR="00281127" w:rsidRPr="007D1918" w:rsidRDefault="00281127" w:rsidP="00DE4B4A">
            <w:pPr>
              <w:keepNext/>
              <w:spacing w:before="40" w:after="120"/>
              <w:ind w:left="709" w:hanging="533"/>
              <w:rPr>
                <w:rFonts w:ascii="Arial Narrow" w:hAnsi="Arial Narrow"/>
                <w:b/>
                <w:sz w:val="20"/>
                <w:lang w:val="en-GB" w:eastAsia="ja-JP"/>
              </w:rPr>
            </w:pPr>
            <w:r w:rsidRPr="007D1918">
              <w:rPr>
                <w:rFonts w:ascii="Arial Narrow" w:hAnsi="Arial Narrow"/>
                <w:b/>
                <w:sz w:val="20"/>
                <w:lang w:val="en-GB" w:eastAsia="ja-JP"/>
              </w:rPr>
              <w:t>Period covered</w:t>
            </w:r>
          </w:p>
        </w:tc>
      </w:tr>
      <w:tr w:rsidR="00281127" w:rsidRPr="007D1918" w14:paraId="3F0F8277" w14:textId="77777777" w:rsidTr="00281127">
        <w:tc>
          <w:tcPr>
            <w:tcW w:w="6663" w:type="dxa"/>
            <w:tcBorders>
              <w:right w:val="nil"/>
            </w:tcBorders>
          </w:tcPr>
          <w:p w14:paraId="7F9C6527" w14:textId="77777777" w:rsidR="00281127" w:rsidRPr="007D1918" w:rsidRDefault="00281127" w:rsidP="00DE4B4A">
            <w:pPr>
              <w:spacing w:before="40" w:after="40"/>
              <w:rPr>
                <w:rFonts w:ascii="Arial Narrow" w:hAnsi="Arial Narrow"/>
                <w:sz w:val="20"/>
              </w:rPr>
            </w:pPr>
            <w:r w:rsidRPr="007D1918">
              <w:rPr>
                <w:rFonts w:ascii="Arial Narrow" w:hAnsi="Arial Narrow"/>
                <w:sz w:val="20"/>
              </w:rPr>
              <w:t>Cochrane Library – including, Cochrane Database of Systematic Reviews, Database of Abstracts of Reviews of Effects, the Cochrane Central Register of Controlled Trials (CENTRAL), the Health Technology Assessment Database, the NHS Economic Evaluation Database</w:t>
            </w:r>
          </w:p>
        </w:tc>
        <w:tc>
          <w:tcPr>
            <w:tcW w:w="2409" w:type="dxa"/>
            <w:tcBorders>
              <w:left w:val="nil"/>
            </w:tcBorders>
          </w:tcPr>
          <w:p w14:paraId="2DE1809B" w14:textId="72E098E0" w:rsidR="00281127" w:rsidRPr="007D1918" w:rsidRDefault="00281127" w:rsidP="00810163">
            <w:pPr>
              <w:spacing w:before="40" w:after="40"/>
              <w:ind w:left="176"/>
              <w:rPr>
                <w:rFonts w:ascii="Tahoma" w:hAnsi="Tahoma"/>
                <w:sz w:val="20"/>
              </w:rPr>
            </w:pPr>
            <w:r w:rsidRPr="007D1918">
              <w:rPr>
                <w:rFonts w:ascii="Arial Narrow" w:hAnsi="Arial Narrow"/>
                <w:sz w:val="20"/>
              </w:rPr>
              <w:t xml:space="preserve">1980 – </w:t>
            </w:r>
            <w:r w:rsidR="00810163" w:rsidRPr="007D1918">
              <w:rPr>
                <w:rFonts w:ascii="Arial Narrow" w:hAnsi="Arial Narrow"/>
                <w:sz w:val="20"/>
              </w:rPr>
              <w:t>March 2019</w:t>
            </w:r>
          </w:p>
        </w:tc>
      </w:tr>
      <w:tr w:rsidR="00281127" w:rsidRPr="007D1918" w14:paraId="1630E07E" w14:textId="77777777" w:rsidTr="00281127">
        <w:tc>
          <w:tcPr>
            <w:tcW w:w="6663" w:type="dxa"/>
            <w:tcBorders>
              <w:right w:val="nil"/>
            </w:tcBorders>
          </w:tcPr>
          <w:p w14:paraId="510CE5FF" w14:textId="77777777" w:rsidR="00281127" w:rsidRPr="007D1918" w:rsidRDefault="00281127" w:rsidP="00DE4B4A">
            <w:pPr>
              <w:spacing w:before="40" w:after="40"/>
              <w:rPr>
                <w:rFonts w:ascii="Arial Narrow" w:hAnsi="Arial Narrow"/>
                <w:sz w:val="20"/>
              </w:rPr>
            </w:pPr>
            <w:r w:rsidRPr="007D1918">
              <w:rPr>
                <w:rFonts w:ascii="Arial Narrow" w:hAnsi="Arial Narrow"/>
                <w:sz w:val="20"/>
              </w:rPr>
              <w:t>PubMed</w:t>
            </w:r>
          </w:p>
        </w:tc>
        <w:tc>
          <w:tcPr>
            <w:tcW w:w="2409" w:type="dxa"/>
            <w:tcBorders>
              <w:left w:val="nil"/>
            </w:tcBorders>
          </w:tcPr>
          <w:p w14:paraId="76E04E83" w14:textId="3135298B" w:rsidR="00281127" w:rsidRPr="007D1918" w:rsidRDefault="00281127" w:rsidP="00810163">
            <w:pPr>
              <w:spacing w:before="40" w:after="40"/>
              <w:ind w:left="176"/>
              <w:rPr>
                <w:rFonts w:ascii="Tahoma" w:hAnsi="Tahoma"/>
                <w:sz w:val="20"/>
              </w:rPr>
            </w:pPr>
            <w:r w:rsidRPr="007D1918">
              <w:rPr>
                <w:rFonts w:ascii="Arial Narrow" w:hAnsi="Arial Narrow"/>
                <w:sz w:val="20"/>
              </w:rPr>
              <w:t xml:space="preserve">1980 – </w:t>
            </w:r>
            <w:r w:rsidR="00810163" w:rsidRPr="007D1918">
              <w:rPr>
                <w:rFonts w:ascii="Arial Narrow" w:hAnsi="Arial Narrow"/>
                <w:sz w:val="20"/>
              </w:rPr>
              <w:t>March 2019</w:t>
            </w:r>
          </w:p>
        </w:tc>
      </w:tr>
      <w:tr w:rsidR="00281127" w:rsidRPr="007D1918" w14:paraId="45543BA8" w14:textId="77777777" w:rsidTr="00281127">
        <w:tc>
          <w:tcPr>
            <w:tcW w:w="6663" w:type="dxa"/>
            <w:tcBorders>
              <w:right w:val="nil"/>
            </w:tcBorders>
          </w:tcPr>
          <w:p w14:paraId="6C2100A3" w14:textId="77777777" w:rsidR="00281127" w:rsidRPr="007D1918" w:rsidRDefault="00281127" w:rsidP="00DE4B4A">
            <w:pPr>
              <w:spacing w:before="40" w:after="40"/>
              <w:rPr>
                <w:rFonts w:ascii="Arial Narrow" w:hAnsi="Arial Narrow"/>
                <w:sz w:val="20"/>
              </w:rPr>
            </w:pPr>
            <w:r w:rsidRPr="007D1918">
              <w:rPr>
                <w:rFonts w:ascii="Arial Narrow" w:hAnsi="Arial Narrow"/>
                <w:sz w:val="20"/>
              </w:rPr>
              <w:t>Embase.com (including Embase and Medline)</w:t>
            </w:r>
          </w:p>
        </w:tc>
        <w:tc>
          <w:tcPr>
            <w:tcW w:w="2409" w:type="dxa"/>
            <w:tcBorders>
              <w:left w:val="nil"/>
            </w:tcBorders>
          </w:tcPr>
          <w:p w14:paraId="49225644" w14:textId="5107E719" w:rsidR="00281127" w:rsidRPr="007D1918" w:rsidRDefault="00281127" w:rsidP="00810163">
            <w:pPr>
              <w:spacing w:before="40" w:after="40"/>
              <w:ind w:left="176"/>
              <w:rPr>
                <w:rFonts w:ascii="Tahoma" w:hAnsi="Tahoma"/>
                <w:sz w:val="20"/>
              </w:rPr>
            </w:pPr>
            <w:r w:rsidRPr="007D1918">
              <w:rPr>
                <w:rFonts w:ascii="Arial Narrow" w:hAnsi="Arial Narrow"/>
                <w:sz w:val="20"/>
              </w:rPr>
              <w:t xml:space="preserve">1980 – </w:t>
            </w:r>
            <w:r w:rsidR="00810163" w:rsidRPr="007D1918">
              <w:rPr>
                <w:rFonts w:ascii="Arial Narrow" w:hAnsi="Arial Narrow"/>
                <w:sz w:val="20"/>
              </w:rPr>
              <w:t>March 2019</w:t>
            </w:r>
          </w:p>
        </w:tc>
      </w:tr>
    </w:tbl>
    <w:p w14:paraId="4387EFF3" w14:textId="77777777" w:rsidR="00E40E41" w:rsidRPr="007D1918" w:rsidRDefault="00E40E41" w:rsidP="00DF343F">
      <w:pPr>
        <w:pStyle w:val="Heading3"/>
        <w:jc w:val="both"/>
      </w:pPr>
      <w:bookmarkStart w:id="581" w:name="_Toc294256149"/>
      <w:bookmarkStart w:id="582" w:name="_Toc301358578"/>
      <w:bookmarkStart w:id="583" w:name="_Toc303677591"/>
      <w:bookmarkStart w:id="584" w:name="_Toc303677763"/>
      <w:bookmarkStart w:id="585" w:name="_Toc381796501"/>
      <w:bookmarkStart w:id="586" w:name="_Toc23767023"/>
      <w:r w:rsidRPr="007D1918">
        <w:t>Additional sources of literature</w:t>
      </w:r>
      <w:bookmarkEnd w:id="581"/>
      <w:bookmarkEnd w:id="582"/>
      <w:bookmarkEnd w:id="583"/>
      <w:bookmarkEnd w:id="584"/>
      <w:bookmarkEnd w:id="585"/>
      <w:r w:rsidR="00591A6D" w:rsidRPr="007D1918">
        <w:t xml:space="preserve"> (including websites)</w:t>
      </w:r>
      <w:bookmarkEnd w:id="586"/>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000" w:firstRow="0" w:lastRow="0" w:firstColumn="0" w:lastColumn="0" w:noHBand="0" w:noVBand="0"/>
        <w:tblCaption w:val="Additional sources of literature (including websites)"/>
        <w:tblDescription w:val="List of additional sources of information used in the systematic literature review."/>
      </w:tblPr>
      <w:tblGrid>
        <w:gridCol w:w="5954"/>
        <w:gridCol w:w="3118"/>
      </w:tblGrid>
      <w:tr w:rsidR="00281127" w:rsidRPr="007D1918" w14:paraId="67C781C1" w14:textId="77777777" w:rsidTr="00281127">
        <w:tc>
          <w:tcPr>
            <w:tcW w:w="5954" w:type="dxa"/>
          </w:tcPr>
          <w:p w14:paraId="0918239C" w14:textId="77777777" w:rsidR="00281127" w:rsidRPr="007D1918" w:rsidRDefault="00281127" w:rsidP="00DE4B4A">
            <w:pPr>
              <w:keepNext/>
              <w:keepLines/>
              <w:tabs>
                <w:tab w:val="left" w:pos="851"/>
              </w:tabs>
              <w:spacing w:before="40" w:after="40"/>
              <w:ind w:left="851" w:hanging="851"/>
              <w:rPr>
                <w:rFonts w:ascii="Arial Narrow" w:hAnsi="Arial Narrow"/>
                <w:b/>
                <w:sz w:val="20"/>
              </w:rPr>
            </w:pPr>
            <w:bookmarkStart w:id="587" w:name="_Toc144790815"/>
            <w:bookmarkStart w:id="588" w:name="_Toc146454643"/>
            <w:bookmarkStart w:id="589" w:name="_Toc146514366"/>
            <w:bookmarkStart w:id="590" w:name="_Toc148261402"/>
            <w:bookmarkStart w:id="591" w:name="_Toc153262454"/>
            <w:bookmarkStart w:id="592" w:name="_Toc153264175"/>
            <w:bookmarkStart w:id="593" w:name="_Toc187574524"/>
            <w:r w:rsidRPr="007D1918">
              <w:rPr>
                <w:rFonts w:ascii="Arial Narrow" w:hAnsi="Arial Narrow"/>
                <w:b/>
                <w:sz w:val="20"/>
              </w:rPr>
              <w:t>Source</w:t>
            </w:r>
          </w:p>
        </w:tc>
        <w:tc>
          <w:tcPr>
            <w:tcW w:w="3118" w:type="dxa"/>
          </w:tcPr>
          <w:p w14:paraId="7E1ADE1A" w14:textId="77777777" w:rsidR="00281127" w:rsidRPr="007D1918" w:rsidRDefault="00281127" w:rsidP="00DE4B4A">
            <w:pPr>
              <w:keepNext/>
              <w:keepLines/>
              <w:tabs>
                <w:tab w:val="left" w:pos="851"/>
              </w:tabs>
              <w:spacing w:before="40" w:after="40"/>
              <w:ind w:left="851" w:hanging="851"/>
              <w:rPr>
                <w:rFonts w:ascii="Arial Narrow" w:hAnsi="Arial Narrow"/>
                <w:b/>
                <w:sz w:val="20"/>
              </w:rPr>
            </w:pPr>
            <w:r w:rsidRPr="007D1918">
              <w:rPr>
                <w:rFonts w:ascii="Arial Narrow" w:hAnsi="Arial Narrow"/>
                <w:b/>
                <w:sz w:val="20"/>
              </w:rPr>
              <w:t xml:space="preserve">Location </w:t>
            </w:r>
          </w:p>
        </w:tc>
      </w:tr>
      <w:tr w:rsidR="00281127" w:rsidRPr="007D1918" w14:paraId="5EEBB51E" w14:textId="77777777" w:rsidTr="00281127">
        <w:tc>
          <w:tcPr>
            <w:tcW w:w="5954" w:type="dxa"/>
          </w:tcPr>
          <w:p w14:paraId="6BC9C21F" w14:textId="77777777" w:rsidR="00281127" w:rsidRPr="007D1918" w:rsidRDefault="00281127" w:rsidP="00DE4B4A">
            <w:pPr>
              <w:keepNext/>
              <w:keepLines/>
              <w:tabs>
                <w:tab w:val="left" w:pos="851"/>
              </w:tabs>
              <w:spacing w:before="40" w:after="40"/>
              <w:ind w:left="851" w:hanging="851"/>
              <w:rPr>
                <w:rFonts w:ascii="Arial Narrow" w:hAnsi="Arial Narrow"/>
                <w:b/>
                <w:sz w:val="20"/>
              </w:rPr>
            </w:pPr>
            <w:r w:rsidRPr="007D1918">
              <w:rPr>
                <w:rFonts w:ascii="Arial Narrow" w:hAnsi="Arial Narrow"/>
                <w:b/>
                <w:sz w:val="20"/>
              </w:rPr>
              <w:t>Internet</w:t>
            </w:r>
          </w:p>
        </w:tc>
        <w:tc>
          <w:tcPr>
            <w:tcW w:w="3118" w:type="dxa"/>
          </w:tcPr>
          <w:p w14:paraId="36290684" w14:textId="77777777" w:rsidR="00281127" w:rsidRPr="007D1918" w:rsidRDefault="00281127" w:rsidP="00DE4B4A">
            <w:pPr>
              <w:keepNext/>
              <w:keepLines/>
              <w:spacing w:before="40" w:after="40"/>
              <w:rPr>
                <w:rFonts w:ascii="Arial Narrow" w:hAnsi="Arial Narrow"/>
                <w:sz w:val="20"/>
                <w:lang w:eastAsia="en-US"/>
              </w:rPr>
            </w:pPr>
          </w:p>
        </w:tc>
      </w:tr>
      <w:tr w:rsidR="00281127" w:rsidRPr="007D1918" w14:paraId="1D505A62" w14:textId="77777777" w:rsidTr="00281127">
        <w:tc>
          <w:tcPr>
            <w:tcW w:w="5954" w:type="dxa"/>
          </w:tcPr>
          <w:p w14:paraId="13901E76" w14:textId="77777777" w:rsidR="00281127" w:rsidRPr="007D1918" w:rsidRDefault="00281127" w:rsidP="00DE4B4A">
            <w:pPr>
              <w:keepNext/>
              <w:keepLines/>
              <w:spacing w:before="40" w:after="40"/>
              <w:rPr>
                <w:rFonts w:ascii="Arial Narrow" w:hAnsi="Arial Narrow"/>
                <w:sz w:val="20"/>
                <w:lang w:eastAsia="en-US"/>
              </w:rPr>
            </w:pPr>
            <w:r w:rsidRPr="007D1918">
              <w:rPr>
                <w:rFonts w:ascii="Arial Narrow" w:hAnsi="Arial Narrow"/>
                <w:sz w:val="20"/>
                <w:lang w:eastAsia="en-US"/>
              </w:rPr>
              <w:t xml:space="preserve">NHMRC- National Health and Medical Research Council (Australia) </w:t>
            </w:r>
          </w:p>
        </w:tc>
        <w:tc>
          <w:tcPr>
            <w:tcW w:w="3118" w:type="dxa"/>
          </w:tcPr>
          <w:p w14:paraId="1AED5130" w14:textId="266A0FA3" w:rsidR="00281127" w:rsidRPr="007D1918" w:rsidRDefault="002814BF" w:rsidP="00DE4B4A">
            <w:pPr>
              <w:keepNext/>
              <w:keepLines/>
              <w:spacing w:before="40" w:after="40"/>
              <w:rPr>
                <w:rFonts w:ascii="Arial Narrow" w:hAnsi="Arial Narrow"/>
                <w:color w:val="0000FF"/>
                <w:sz w:val="20"/>
                <w:u w:val="single"/>
                <w:lang w:eastAsia="en-US"/>
              </w:rPr>
            </w:pPr>
            <w:hyperlink r:id="rId67" w:tooltip="Website link" w:history="1">
              <w:r w:rsidR="00F83175" w:rsidRPr="007D1918">
                <w:rPr>
                  <w:rStyle w:val="Hyperlink"/>
                  <w:rFonts w:ascii="Arial Narrow" w:hAnsi="Arial Narrow"/>
                  <w:sz w:val="20"/>
                  <w:lang w:eastAsia="en-US"/>
                </w:rPr>
                <w:t>https://www.nhmrc.gov.au/</w:t>
              </w:r>
            </w:hyperlink>
          </w:p>
        </w:tc>
      </w:tr>
      <w:tr w:rsidR="00281127" w:rsidRPr="007D1918" w14:paraId="194B0C16" w14:textId="77777777" w:rsidTr="00281127">
        <w:tc>
          <w:tcPr>
            <w:tcW w:w="5954" w:type="dxa"/>
          </w:tcPr>
          <w:p w14:paraId="2EA82111"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US Department of Health and Human Services (reports and publications)</w:t>
            </w:r>
          </w:p>
        </w:tc>
        <w:tc>
          <w:tcPr>
            <w:tcW w:w="3118" w:type="dxa"/>
          </w:tcPr>
          <w:p w14:paraId="03095D40" w14:textId="4204BD63" w:rsidR="00281127" w:rsidRPr="007D1918" w:rsidRDefault="002814BF" w:rsidP="00DE4B4A">
            <w:pPr>
              <w:keepNext/>
              <w:spacing w:before="40" w:after="40"/>
              <w:rPr>
                <w:rFonts w:ascii="Arial Narrow" w:hAnsi="Arial Narrow"/>
                <w:sz w:val="20"/>
                <w:lang w:eastAsia="en-US"/>
              </w:rPr>
            </w:pPr>
            <w:hyperlink r:id="rId68" w:tooltip="Website link" w:history="1">
              <w:r w:rsidR="00281127" w:rsidRPr="007D1918">
                <w:rPr>
                  <w:rStyle w:val="Hyperlink"/>
                  <w:rFonts w:ascii="Arial Narrow" w:hAnsi="Arial Narrow"/>
                  <w:sz w:val="20"/>
                  <w:lang w:eastAsia="en-US"/>
                </w:rPr>
                <w:t>http://www.hhs.gov/</w:t>
              </w:r>
            </w:hyperlink>
            <w:r w:rsidR="00281127" w:rsidRPr="007D1918">
              <w:rPr>
                <w:rFonts w:ascii="Arial Narrow" w:hAnsi="Arial Narrow"/>
                <w:sz w:val="20"/>
                <w:lang w:eastAsia="en-US"/>
              </w:rPr>
              <w:t xml:space="preserve"> </w:t>
            </w:r>
          </w:p>
        </w:tc>
      </w:tr>
      <w:tr w:rsidR="00281127" w:rsidRPr="007D1918" w14:paraId="0B076C59" w14:textId="77777777" w:rsidTr="00281127">
        <w:tc>
          <w:tcPr>
            <w:tcW w:w="5954" w:type="dxa"/>
          </w:tcPr>
          <w:p w14:paraId="5A302C16"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Trip database</w:t>
            </w:r>
          </w:p>
        </w:tc>
        <w:tc>
          <w:tcPr>
            <w:tcW w:w="3118" w:type="dxa"/>
          </w:tcPr>
          <w:p w14:paraId="051829C7" w14:textId="16FBA9FF" w:rsidR="00281127" w:rsidRPr="007D1918" w:rsidRDefault="002814BF" w:rsidP="00DE4B4A">
            <w:pPr>
              <w:keepNext/>
              <w:spacing w:before="40" w:after="40"/>
              <w:rPr>
                <w:rFonts w:ascii="Arial Narrow" w:hAnsi="Arial Narrow"/>
                <w:color w:val="0000FF"/>
                <w:sz w:val="20"/>
                <w:u w:val="single"/>
                <w:lang w:eastAsia="en-US"/>
              </w:rPr>
            </w:pPr>
            <w:hyperlink r:id="rId69" w:tooltip="Website link" w:history="1">
              <w:r w:rsidR="00281127" w:rsidRPr="007D1918">
                <w:rPr>
                  <w:rFonts w:ascii="Arial Narrow" w:hAnsi="Arial Narrow"/>
                  <w:color w:val="0000FF"/>
                  <w:sz w:val="20"/>
                  <w:u w:val="single"/>
                  <w:lang w:eastAsia="en-US"/>
                </w:rPr>
                <w:t>http://www.tripdatabase.com</w:t>
              </w:r>
            </w:hyperlink>
          </w:p>
        </w:tc>
      </w:tr>
      <w:tr w:rsidR="00281127" w:rsidRPr="007D1918" w14:paraId="5A5DCDB4" w14:textId="77777777" w:rsidTr="00281127">
        <w:tc>
          <w:tcPr>
            <w:tcW w:w="5954" w:type="dxa"/>
          </w:tcPr>
          <w:p w14:paraId="36D43686"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Current Controlled Trials metaRegister</w:t>
            </w:r>
          </w:p>
        </w:tc>
        <w:tc>
          <w:tcPr>
            <w:tcW w:w="3118" w:type="dxa"/>
          </w:tcPr>
          <w:p w14:paraId="063C8242" w14:textId="2B6F3497" w:rsidR="00281127" w:rsidRPr="007D1918" w:rsidRDefault="002814BF" w:rsidP="00DE4B4A">
            <w:pPr>
              <w:keepNext/>
              <w:spacing w:before="40" w:after="40"/>
              <w:rPr>
                <w:rFonts w:ascii="Arial Narrow" w:hAnsi="Arial Narrow"/>
                <w:color w:val="0000FF"/>
                <w:sz w:val="20"/>
                <w:u w:val="single"/>
                <w:lang w:eastAsia="en-US"/>
              </w:rPr>
            </w:pPr>
            <w:hyperlink r:id="rId70" w:tooltip="Website link" w:history="1">
              <w:r w:rsidR="00281127" w:rsidRPr="007D1918">
                <w:rPr>
                  <w:rFonts w:ascii="Arial Narrow" w:hAnsi="Arial Narrow"/>
                  <w:color w:val="0000FF"/>
                  <w:sz w:val="20"/>
                  <w:u w:val="single"/>
                  <w:lang w:eastAsia="en-US"/>
                </w:rPr>
                <w:t>http://controlled-trials.com/</w:t>
              </w:r>
            </w:hyperlink>
          </w:p>
        </w:tc>
      </w:tr>
      <w:tr w:rsidR="00281127" w:rsidRPr="007D1918" w14:paraId="535948BA" w14:textId="77777777" w:rsidTr="00281127">
        <w:tc>
          <w:tcPr>
            <w:tcW w:w="5954" w:type="dxa"/>
          </w:tcPr>
          <w:p w14:paraId="5BA96747"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National Library of Medicine Health Services/Technology Assessment Text</w:t>
            </w:r>
          </w:p>
        </w:tc>
        <w:tc>
          <w:tcPr>
            <w:tcW w:w="3118" w:type="dxa"/>
          </w:tcPr>
          <w:p w14:paraId="0CEBF66C" w14:textId="5EB8394D" w:rsidR="00281127" w:rsidRPr="007D1918" w:rsidRDefault="002814BF" w:rsidP="00DE4B4A">
            <w:pPr>
              <w:keepNext/>
              <w:spacing w:before="40" w:after="40"/>
              <w:rPr>
                <w:rFonts w:ascii="Arial Narrow" w:hAnsi="Arial Narrow"/>
                <w:color w:val="0000FF"/>
                <w:sz w:val="20"/>
                <w:u w:val="single"/>
                <w:lang w:eastAsia="en-US"/>
              </w:rPr>
            </w:pPr>
            <w:hyperlink r:id="rId71" w:tooltip="Website link" w:history="1">
              <w:r w:rsidR="00ED7F13" w:rsidRPr="007D1918">
                <w:rPr>
                  <w:rFonts w:ascii="Arial Narrow" w:hAnsi="Arial Narrow"/>
                  <w:color w:val="0000FF"/>
                  <w:sz w:val="20"/>
                  <w:u w:val="single"/>
                  <w:lang w:eastAsia="en-US"/>
                </w:rPr>
                <w:t>https://www.nlm.nih.gov</w:t>
              </w:r>
            </w:hyperlink>
          </w:p>
        </w:tc>
      </w:tr>
      <w:tr w:rsidR="00281127" w:rsidRPr="007D1918" w14:paraId="706134D9" w14:textId="77777777" w:rsidTr="00281127">
        <w:tc>
          <w:tcPr>
            <w:tcW w:w="5954" w:type="dxa"/>
          </w:tcPr>
          <w:p w14:paraId="2347E9F4"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U.K. National Research Register</w:t>
            </w:r>
          </w:p>
        </w:tc>
        <w:tc>
          <w:tcPr>
            <w:tcW w:w="3118" w:type="dxa"/>
          </w:tcPr>
          <w:p w14:paraId="18E6FC13" w14:textId="3FEE2BBF" w:rsidR="00281127" w:rsidRPr="007D1918" w:rsidRDefault="002814BF" w:rsidP="00ED7F13">
            <w:pPr>
              <w:keepNext/>
              <w:spacing w:before="40" w:after="40"/>
              <w:rPr>
                <w:rFonts w:ascii="Arial Narrow" w:hAnsi="Arial Narrow"/>
                <w:color w:val="0000FF"/>
                <w:sz w:val="20"/>
                <w:u w:val="single"/>
                <w:lang w:eastAsia="en-US"/>
              </w:rPr>
            </w:pPr>
            <w:hyperlink r:id="rId72" w:tooltip="Website link" w:history="1">
              <w:r w:rsidR="00B80276" w:rsidRPr="007D1918">
                <w:rPr>
                  <w:rStyle w:val="Hyperlink"/>
                  <w:rFonts w:ascii="Arial Narrow" w:hAnsi="Arial Narrow"/>
                  <w:sz w:val="20"/>
                  <w:lang w:eastAsia="en-US"/>
                </w:rPr>
                <w:t>https://www.nihr.ac.uk</w:t>
              </w:r>
            </w:hyperlink>
          </w:p>
        </w:tc>
      </w:tr>
      <w:tr w:rsidR="00281127" w:rsidRPr="007D1918" w14:paraId="6C5E4A49" w14:textId="77777777" w:rsidTr="00281127">
        <w:trPr>
          <w:trHeight w:val="70"/>
        </w:trPr>
        <w:tc>
          <w:tcPr>
            <w:tcW w:w="5954" w:type="dxa"/>
          </w:tcPr>
          <w:p w14:paraId="5C3561C4"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Google Scholar</w:t>
            </w:r>
          </w:p>
        </w:tc>
        <w:tc>
          <w:tcPr>
            <w:tcW w:w="3118" w:type="dxa"/>
          </w:tcPr>
          <w:p w14:paraId="06F47CA4" w14:textId="77777777" w:rsidR="00281127" w:rsidRPr="007D1918" w:rsidRDefault="00281127" w:rsidP="00DE4B4A">
            <w:pPr>
              <w:keepNext/>
              <w:spacing w:before="40" w:after="40"/>
              <w:rPr>
                <w:rFonts w:ascii="Arial Narrow" w:hAnsi="Arial Narrow"/>
                <w:color w:val="0000FF"/>
                <w:sz w:val="20"/>
                <w:u w:val="single"/>
                <w:lang w:eastAsia="en-US"/>
              </w:rPr>
            </w:pPr>
            <w:r w:rsidRPr="007D1918">
              <w:rPr>
                <w:rFonts w:ascii="Arial Narrow" w:hAnsi="Arial Narrow"/>
                <w:color w:val="0000FF"/>
                <w:sz w:val="20"/>
                <w:u w:val="single"/>
                <w:lang w:eastAsia="en-US"/>
              </w:rPr>
              <w:t>http://scholar.google.com/</w:t>
            </w:r>
          </w:p>
        </w:tc>
      </w:tr>
      <w:tr w:rsidR="00281127" w:rsidRPr="007D1918" w14:paraId="3F940319" w14:textId="77777777" w:rsidTr="00281127">
        <w:tc>
          <w:tcPr>
            <w:tcW w:w="5954" w:type="dxa"/>
          </w:tcPr>
          <w:p w14:paraId="7854C0E3"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Australian and New Zealand Clinical Trials Registry</w:t>
            </w:r>
          </w:p>
        </w:tc>
        <w:tc>
          <w:tcPr>
            <w:tcW w:w="3118" w:type="dxa"/>
          </w:tcPr>
          <w:p w14:paraId="6678B3BB" w14:textId="3FE2F6EC" w:rsidR="00281127" w:rsidRPr="007D1918" w:rsidRDefault="002814BF" w:rsidP="00DE4B4A">
            <w:pPr>
              <w:keepNext/>
              <w:spacing w:before="40" w:after="40"/>
              <w:rPr>
                <w:rFonts w:ascii="Arial Narrow" w:hAnsi="Arial Narrow"/>
                <w:color w:val="0000FF"/>
                <w:sz w:val="20"/>
                <w:u w:val="single"/>
                <w:lang w:eastAsia="en-US"/>
              </w:rPr>
            </w:pPr>
            <w:hyperlink r:id="rId73" w:tooltip="Website link" w:history="1">
              <w:r w:rsidR="00DF60E8" w:rsidRPr="007D1918">
                <w:rPr>
                  <w:rStyle w:val="Hyperlink"/>
                  <w:rFonts w:ascii="Arial Narrow" w:hAnsi="Arial Narrow"/>
                  <w:sz w:val="20"/>
                  <w:lang w:eastAsia="en-US"/>
                </w:rPr>
                <w:t>http://www.anzctr.org.au</w:t>
              </w:r>
            </w:hyperlink>
          </w:p>
        </w:tc>
      </w:tr>
      <w:tr w:rsidR="00281127" w:rsidRPr="007D1918" w14:paraId="7C3BDA1C" w14:textId="77777777" w:rsidTr="00281127">
        <w:tc>
          <w:tcPr>
            <w:tcW w:w="5954" w:type="dxa"/>
          </w:tcPr>
          <w:p w14:paraId="2C479AB8" w14:textId="77777777" w:rsidR="00281127" w:rsidRPr="007D1918" w:rsidRDefault="00281127" w:rsidP="00DE4B4A">
            <w:pPr>
              <w:keepNext/>
              <w:tabs>
                <w:tab w:val="left" w:pos="851"/>
              </w:tabs>
              <w:spacing w:before="40" w:after="40"/>
              <w:ind w:left="851" w:hanging="851"/>
              <w:rPr>
                <w:rFonts w:ascii="Arial Narrow" w:hAnsi="Arial Narrow"/>
                <w:b/>
                <w:sz w:val="20"/>
              </w:rPr>
            </w:pPr>
            <w:r w:rsidRPr="007D1918">
              <w:rPr>
                <w:rFonts w:ascii="Arial Narrow" w:hAnsi="Arial Narrow"/>
                <w:b/>
                <w:sz w:val="20"/>
              </w:rPr>
              <w:t>Pearling</w:t>
            </w:r>
          </w:p>
        </w:tc>
        <w:tc>
          <w:tcPr>
            <w:tcW w:w="3118" w:type="dxa"/>
          </w:tcPr>
          <w:p w14:paraId="52074701" w14:textId="77777777" w:rsidR="00281127" w:rsidRPr="007D1918" w:rsidRDefault="00281127" w:rsidP="00DE4B4A">
            <w:pPr>
              <w:keepNext/>
              <w:spacing w:before="40" w:after="40"/>
              <w:rPr>
                <w:rFonts w:ascii="Arial Narrow" w:hAnsi="Arial Narrow"/>
                <w:sz w:val="20"/>
                <w:lang w:eastAsia="en-US"/>
              </w:rPr>
            </w:pPr>
          </w:p>
        </w:tc>
      </w:tr>
      <w:tr w:rsidR="00281127" w:rsidRPr="007D1918" w14:paraId="764A0BD5" w14:textId="77777777" w:rsidTr="00281127">
        <w:tc>
          <w:tcPr>
            <w:tcW w:w="5954" w:type="dxa"/>
          </w:tcPr>
          <w:p w14:paraId="1F2B61D4" w14:textId="77777777" w:rsidR="00281127" w:rsidRPr="007D1918" w:rsidRDefault="00281127" w:rsidP="00DE4B4A">
            <w:pPr>
              <w:keepNext/>
              <w:spacing w:before="40" w:after="40"/>
              <w:rPr>
                <w:rFonts w:ascii="Arial Narrow" w:hAnsi="Arial Narrow"/>
                <w:sz w:val="20"/>
                <w:lang w:eastAsia="en-US"/>
              </w:rPr>
            </w:pPr>
            <w:r w:rsidRPr="007D1918">
              <w:rPr>
                <w:rFonts w:ascii="Arial Narrow" w:hAnsi="Arial Narrow"/>
                <w:sz w:val="20"/>
                <w:lang w:eastAsia="en-US"/>
              </w:rPr>
              <w:t>All included articles will have their reference lists searched for additional relevant source material</w:t>
            </w:r>
          </w:p>
        </w:tc>
        <w:tc>
          <w:tcPr>
            <w:tcW w:w="3118" w:type="dxa"/>
          </w:tcPr>
          <w:p w14:paraId="5E54CD04" w14:textId="77777777" w:rsidR="00281127" w:rsidRPr="007D1918" w:rsidRDefault="00281127" w:rsidP="00DE4B4A">
            <w:pPr>
              <w:keepNext/>
              <w:spacing w:before="40" w:after="40"/>
              <w:rPr>
                <w:rFonts w:ascii="Arial Narrow" w:hAnsi="Arial Narrow"/>
                <w:sz w:val="20"/>
                <w:lang w:eastAsia="en-US"/>
              </w:rPr>
            </w:pPr>
          </w:p>
        </w:tc>
      </w:tr>
      <w:bookmarkEnd w:id="587"/>
      <w:bookmarkEnd w:id="588"/>
      <w:bookmarkEnd w:id="589"/>
      <w:bookmarkEnd w:id="590"/>
      <w:bookmarkEnd w:id="591"/>
      <w:bookmarkEnd w:id="592"/>
      <w:bookmarkEnd w:id="593"/>
    </w:tbl>
    <w:p w14:paraId="262BDC05" w14:textId="69AA64FA" w:rsidR="00214C6A" w:rsidRPr="007D1918" w:rsidRDefault="00214C6A" w:rsidP="00CE2A67"/>
    <w:p w14:paraId="7BA470AC" w14:textId="77777777" w:rsidR="009A3655" w:rsidRPr="007D1918" w:rsidRDefault="009A3655" w:rsidP="00DF343F">
      <w:pPr>
        <w:pStyle w:val="Heading1"/>
        <w:jc w:val="both"/>
        <w:sectPr w:rsidR="009A3655" w:rsidRPr="007D1918" w:rsidSect="00945DB8">
          <w:footerReference w:type="even" r:id="rId74"/>
          <w:type w:val="oddPage"/>
          <w:pgSz w:w="11906" w:h="16838"/>
          <w:pgMar w:top="1440" w:right="1440" w:bottom="1440" w:left="1440" w:header="720" w:footer="720" w:gutter="0"/>
          <w:paperSrc w:first="7" w:other="7"/>
          <w:cols w:space="720"/>
        </w:sectPr>
      </w:pPr>
      <w:bookmarkStart w:id="594" w:name="_Ref170808567"/>
      <w:bookmarkStart w:id="595" w:name="_Toc460813781"/>
      <w:bookmarkStart w:id="596" w:name="_Ref170792604"/>
    </w:p>
    <w:p w14:paraId="6E8373E9" w14:textId="77777777" w:rsidR="007A7960" w:rsidRPr="007D1918" w:rsidRDefault="00193B87" w:rsidP="00DF343F">
      <w:pPr>
        <w:pStyle w:val="Heading1"/>
        <w:jc w:val="both"/>
      </w:pPr>
      <w:bookmarkStart w:id="597" w:name="_Ref364237249"/>
      <w:bookmarkStart w:id="598" w:name="_Ref190841600"/>
      <w:bookmarkStart w:id="599" w:name="_Toc379118101"/>
      <w:bookmarkStart w:id="600" w:name="_Toc381796504"/>
      <w:bookmarkStart w:id="601" w:name="_Toc23767024"/>
      <w:bookmarkEnd w:id="594"/>
      <w:r w:rsidRPr="007D1918">
        <w:lastRenderedPageBreak/>
        <w:t xml:space="preserve">Appendix </w:t>
      </w:r>
      <w:r w:rsidR="000B6AFD" w:rsidRPr="007D1918">
        <w:rPr>
          <w:noProof/>
        </w:rPr>
        <w:fldChar w:fldCharType="begin"/>
      </w:r>
      <w:r w:rsidR="000B6AFD" w:rsidRPr="007D1918">
        <w:rPr>
          <w:noProof/>
        </w:rPr>
        <w:instrText xml:space="preserve"> SEQ Appendix \* ALPHABETIC </w:instrText>
      </w:r>
      <w:r w:rsidR="000B6AFD" w:rsidRPr="007D1918">
        <w:rPr>
          <w:noProof/>
        </w:rPr>
        <w:fldChar w:fldCharType="separate"/>
      </w:r>
      <w:r w:rsidR="009A4D6B" w:rsidRPr="007D1918">
        <w:rPr>
          <w:noProof/>
        </w:rPr>
        <w:t>C</w:t>
      </w:r>
      <w:r w:rsidR="000B6AFD" w:rsidRPr="007D1918">
        <w:rPr>
          <w:noProof/>
        </w:rPr>
        <w:fldChar w:fldCharType="end"/>
      </w:r>
      <w:bookmarkEnd w:id="597"/>
      <w:r w:rsidR="008F59A8" w:rsidRPr="007D1918">
        <w:tab/>
        <w:t>S</w:t>
      </w:r>
      <w:r w:rsidR="00591A6D" w:rsidRPr="007D1918">
        <w:t>tudies included in the Systematic R</w:t>
      </w:r>
      <w:r w:rsidR="008F59A8" w:rsidRPr="007D1918">
        <w:t>eview</w:t>
      </w:r>
      <w:bookmarkEnd w:id="595"/>
      <w:bookmarkEnd w:id="596"/>
      <w:bookmarkEnd w:id="598"/>
      <w:bookmarkEnd w:id="599"/>
      <w:bookmarkEnd w:id="600"/>
      <w:bookmarkEnd w:id="601"/>
      <w:r w:rsidR="008F59A8" w:rsidRPr="007D1918">
        <w:t xml:space="preserve"> </w:t>
      </w:r>
    </w:p>
    <w:p w14:paraId="130D4F59" w14:textId="342C1E42" w:rsidR="008D42C5" w:rsidRPr="007D1918" w:rsidRDefault="001C1433" w:rsidP="001C1433">
      <w:pPr>
        <w:pStyle w:val="Caption"/>
      </w:pPr>
      <w:bookmarkStart w:id="602" w:name="_Toc23769588"/>
      <w:bookmarkStart w:id="603" w:name="_Toc381796505"/>
      <w:r w:rsidRPr="007D1918">
        <w:t xml:space="preserve">Table </w:t>
      </w:r>
      <w:r w:rsidR="00F9011F" w:rsidRPr="007D1918">
        <w:rPr>
          <w:noProof/>
        </w:rPr>
        <w:fldChar w:fldCharType="begin"/>
      </w:r>
      <w:r w:rsidR="00F9011F" w:rsidRPr="007D1918">
        <w:rPr>
          <w:noProof/>
        </w:rPr>
        <w:instrText xml:space="preserve"> SEQ Table \* ARABIC </w:instrText>
      </w:r>
      <w:r w:rsidR="00F9011F" w:rsidRPr="007D1918">
        <w:rPr>
          <w:noProof/>
        </w:rPr>
        <w:fldChar w:fldCharType="separate"/>
      </w:r>
      <w:r w:rsidR="00B865E7" w:rsidRPr="007D1918">
        <w:rPr>
          <w:noProof/>
        </w:rPr>
        <w:t>101</w:t>
      </w:r>
      <w:r w:rsidR="00F9011F" w:rsidRPr="007D1918">
        <w:rPr>
          <w:noProof/>
        </w:rPr>
        <w:fldChar w:fldCharType="end"/>
      </w:r>
      <w:r w:rsidRPr="007D1918">
        <w:tab/>
        <w:t xml:space="preserve">Systematic reviews comparing </w:t>
      </w:r>
      <w:r w:rsidR="00E54BD2" w:rsidRPr="007D1918">
        <w:t>immunoglobuli</w:t>
      </w:r>
      <w:r w:rsidRPr="007D1918">
        <w:t xml:space="preserve">n with </w:t>
      </w:r>
      <w:r w:rsidR="00803192" w:rsidRPr="007D1918">
        <w:t>plasma exchange</w:t>
      </w:r>
      <w:r w:rsidRPr="007D1918">
        <w:t xml:space="preserve"> or other therapies</w:t>
      </w:r>
      <w:r w:rsidR="00E54BD2" w:rsidRPr="007D1918">
        <w:t xml:space="preserve"> for myasthenia gravis</w:t>
      </w:r>
      <w:r w:rsidRPr="007D1918">
        <w:t xml:space="preserve"> included in the assessment</w:t>
      </w:r>
      <w:bookmarkEnd w:id="602"/>
      <w:r w:rsidRPr="007D1918">
        <w:t xml:space="preserve"> </w:t>
      </w:r>
    </w:p>
    <w:tbl>
      <w:tblPr>
        <w:tblStyle w:val="TableGrid5"/>
        <w:tblW w:w="15168" w:type="dxa"/>
        <w:tblInd w:w="-5" w:type="dxa"/>
        <w:tblLayout w:type="fixed"/>
        <w:tblLook w:val="04A0" w:firstRow="1" w:lastRow="0" w:firstColumn="1" w:lastColumn="0" w:noHBand="0" w:noVBand="1"/>
        <w:tblCaption w:val="Table 58 Systematic reviews comparing immunoglobulin with plasma exchange or other therapies for myasthenia gravis included in the assessment "/>
        <w:tblDescription w:val="Profiles of three systematic reviews included in the assessment."/>
      </w:tblPr>
      <w:tblGrid>
        <w:gridCol w:w="1843"/>
        <w:gridCol w:w="1559"/>
        <w:gridCol w:w="2835"/>
        <w:gridCol w:w="1418"/>
        <w:gridCol w:w="1559"/>
        <w:gridCol w:w="2977"/>
        <w:gridCol w:w="1701"/>
        <w:gridCol w:w="1276"/>
      </w:tblGrid>
      <w:tr w:rsidR="00B16A17" w:rsidRPr="007D1918" w14:paraId="7B9AC367" w14:textId="77777777" w:rsidTr="00B320A1">
        <w:trPr>
          <w:trHeight w:val="792"/>
          <w:tblHeader/>
        </w:trPr>
        <w:tc>
          <w:tcPr>
            <w:tcW w:w="1843" w:type="dxa"/>
          </w:tcPr>
          <w:p w14:paraId="101364FA"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Author, Year</w:t>
            </w:r>
          </w:p>
          <w:p w14:paraId="531583D7"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Country</w:t>
            </w:r>
          </w:p>
          <w:p w14:paraId="7B6FB1B5"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 xml:space="preserve">Quality </w:t>
            </w:r>
          </w:p>
        </w:tc>
        <w:tc>
          <w:tcPr>
            <w:tcW w:w="1559" w:type="dxa"/>
          </w:tcPr>
          <w:p w14:paraId="07016E75"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 xml:space="preserve">K studies </w:t>
            </w:r>
          </w:p>
          <w:p w14:paraId="5CF7422A"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N patients (total)</w:t>
            </w:r>
          </w:p>
          <w:p w14:paraId="14B21FED"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Objectives</w:t>
            </w:r>
          </w:p>
        </w:tc>
        <w:tc>
          <w:tcPr>
            <w:tcW w:w="2835" w:type="dxa"/>
          </w:tcPr>
          <w:p w14:paraId="107F7256"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Population characteristics</w:t>
            </w:r>
          </w:p>
          <w:p w14:paraId="0451F94E" w14:textId="77777777" w:rsidR="00B16A17" w:rsidRPr="007D1918" w:rsidRDefault="00B16A17" w:rsidP="00B16A17">
            <w:pPr>
              <w:keepNext/>
              <w:spacing w:after="40" w:line="240" w:lineRule="auto"/>
              <w:rPr>
                <w:rFonts w:ascii="Arial Narrow" w:hAnsi="Arial Narrow"/>
                <w:b/>
                <w:sz w:val="18"/>
                <w:szCs w:val="18"/>
              </w:rPr>
            </w:pPr>
          </w:p>
        </w:tc>
        <w:tc>
          <w:tcPr>
            <w:tcW w:w="1418" w:type="dxa"/>
          </w:tcPr>
          <w:p w14:paraId="57D5D151"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 xml:space="preserve">Eligibility criteria </w:t>
            </w:r>
          </w:p>
          <w:p w14:paraId="40CC022B" w14:textId="77777777" w:rsidR="00B16A17" w:rsidRPr="007D1918" w:rsidRDefault="00B16A17" w:rsidP="00B16A17">
            <w:pPr>
              <w:keepNext/>
              <w:spacing w:after="40" w:line="240" w:lineRule="auto"/>
              <w:rPr>
                <w:rFonts w:ascii="Arial Narrow" w:hAnsi="Arial Narrow"/>
                <w:b/>
                <w:sz w:val="18"/>
                <w:szCs w:val="18"/>
              </w:rPr>
            </w:pPr>
          </w:p>
        </w:tc>
        <w:tc>
          <w:tcPr>
            <w:tcW w:w="1559" w:type="dxa"/>
          </w:tcPr>
          <w:p w14:paraId="6D7BFB1E"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Intervention</w:t>
            </w:r>
          </w:p>
          <w:p w14:paraId="485DA363"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 xml:space="preserve">Comparator </w:t>
            </w:r>
          </w:p>
        </w:tc>
        <w:tc>
          <w:tcPr>
            <w:tcW w:w="2977" w:type="dxa"/>
          </w:tcPr>
          <w:p w14:paraId="4B51DF9C"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Outcomes assessed</w:t>
            </w:r>
          </w:p>
          <w:p w14:paraId="1EFC4AED"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Duration of follow-up</w:t>
            </w:r>
          </w:p>
        </w:tc>
        <w:tc>
          <w:tcPr>
            <w:tcW w:w="1701" w:type="dxa"/>
          </w:tcPr>
          <w:p w14:paraId="4FD3251D"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Statistical analysis</w:t>
            </w:r>
          </w:p>
          <w:p w14:paraId="72439A28"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Sub-group analysis</w:t>
            </w:r>
          </w:p>
        </w:tc>
        <w:tc>
          <w:tcPr>
            <w:tcW w:w="1276" w:type="dxa"/>
          </w:tcPr>
          <w:p w14:paraId="267DDB75"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Comments</w:t>
            </w:r>
          </w:p>
          <w:p w14:paraId="4558D2C6" w14:textId="77777777" w:rsidR="00B16A17" w:rsidRPr="007D1918" w:rsidRDefault="00B16A17" w:rsidP="00B16A17">
            <w:pPr>
              <w:keepNext/>
              <w:spacing w:after="40" w:line="240" w:lineRule="auto"/>
              <w:rPr>
                <w:rFonts w:ascii="Arial Narrow" w:hAnsi="Arial Narrow"/>
                <w:b/>
                <w:sz w:val="18"/>
                <w:szCs w:val="18"/>
              </w:rPr>
            </w:pPr>
            <w:r w:rsidRPr="007D1918">
              <w:rPr>
                <w:rFonts w:ascii="Arial Narrow" w:hAnsi="Arial Narrow"/>
                <w:b/>
                <w:sz w:val="18"/>
                <w:szCs w:val="18"/>
              </w:rPr>
              <w:t>Funding source</w:t>
            </w:r>
          </w:p>
        </w:tc>
      </w:tr>
      <w:tr w:rsidR="00B16A17" w:rsidRPr="007D1918" w14:paraId="775EDFA9" w14:textId="77777777" w:rsidTr="00B320A1">
        <w:trPr>
          <w:trHeight w:val="293"/>
        </w:trPr>
        <w:tc>
          <w:tcPr>
            <w:tcW w:w="15168" w:type="dxa"/>
            <w:gridSpan w:val="8"/>
            <w:tcBorders>
              <w:bottom w:val="single" w:sz="4" w:space="0" w:color="auto"/>
            </w:tcBorders>
          </w:tcPr>
          <w:p w14:paraId="7B473F93" w14:textId="77777777" w:rsidR="00B16A17" w:rsidRPr="007D1918" w:rsidRDefault="00B16A17" w:rsidP="00B16A17">
            <w:pPr>
              <w:spacing w:after="40" w:line="240" w:lineRule="auto"/>
              <w:rPr>
                <w:rFonts w:ascii="Arial Narrow" w:hAnsi="Arial Narrow"/>
                <w:b/>
                <w:sz w:val="18"/>
                <w:szCs w:val="18"/>
              </w:rPr>
            </w:pPr>
            <w:r w:rsidRPr="007D1918">
              <w:rPr>
                <w:rFonts w:ascii="Arial Narrow" w:hAnsi="Arial Narrow"/>
                <w:b/>
                <w:sz w:val="18"/>
                <w:szCs w:val="18"/>
              </w:rPr>
              <w:t>Indication 1,2 &amp; 3</w:t>
            </w:r>
          </w:p>
        </w:tc>
      </w:tr>
      <w:tr w:rsidR="00B16A17" w:rsidRPr="007D1918" w14:paraId="280D1201" w14:textId="77777777" w:rsidTr="00B320A1">
        <w:trPr>
          <w:trHeight w:val="293"/>
        </w:trPr>
        <w:tc>
          <w:tcPr>
            <w:tcW w:w="1843" w:type="dxa"/>
            <w:tcBorders>
              <w:bottom w:val="single" w:sz="4" w:space="0" w:color="auto"/>
            </w:tcBorders>
          </w:tcPr>
          <w:p w14:paraId="0DB760F1" w14:textId="0BC24103"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fldChar w:fldCharType="begin"/>
            </w:r>
            <w:r w:rsidRPr="007D1918">
              <w:rPr>
                <w:rFonts w:ascii="Arial Narrow" w:hAnsi="Arial Narrow"/>
                <w:sz w:val="18"/>
                <w:szCs w:val="18"/>
              </w:rPr>
              <w:instrText xml:space="preserve"> ADDIN EN.CITE &lt;EndNote&gt;&lt;Cite&gt;&lt;Author&gt;Gajdos&lt;/Author&gt;&lt;Year&gt;2012&lt;/Year&gt;&lt;RecNum&gt;3&lt;/RecNum&gt;&lt;DisplayText&gt;(Gajdos, Chevret &amp;amp; Toyka 2012)&lt;/DisplayText&gt;&lt;record&gt;&lt;rec-number&gt;3&lt;/rec-number&gt;&lt;foreign-keys&gt;&lt;key app="EN" db-id="2aevrx2slsts5ve9sdavatf125dsx0av2v9d" timestamp="1556505895"&gt;3&lt;/key&gt;&lt;/foreign-keys&gt;&lt;ref-type name="Journal Article"&gt;17&lt;/ref-type&gt;&lt;contributors&gt;&lt;authors&gt;&lt;author&gt;Gajdos, P.&lt;/author&gt;&lt;author&gt;Chevret, S.&lt;/author&gt;&lt;author&gt;Toyka, K. V.&lt;/author&gt;&lt;/authors&gt;&lt;/contributors&gt;&lt;titles&gt;&lt;title&gt;Intravenous immunoglobulin for myasthenia gravis&lt;/title&gt;&lt;secondary-title&gt;Cochrane Database of Systematic Reviews&lt;/secondary-title&gt;&lt;/titles&gt;&lt;periodical&gt;&lt;full-title&gt;Cochrane Database of Systematic Reviews&lt;/full-title&gt;&lt;/periodical&gt;&lt;number&gt;12&lt;/number&gt;&lt;keywords&gt;&lt;keyword&gt;Chronic Disease&lt;/keyword&gt;&lt;keyword&gt;Disease Progression&lt;/keyword&gt;&lt;keyword&gt;Humans&lt;/keyword&gt;&lt;keyword&gt;Immunoglobulins, Intravenous [*therapeutic use]&lt;/keyword&gt;&lt;keyword&gt;Methylprednisolone [therapeutic use]&lt;/keyword&gt;&lt;keyword&gt;Myasthenia Gravis [*therapy]&lt;/keyword&gt;&lt;keyword&gt;Neuroprotective Agents [therapeutic use]&lt;/keyword&gt;&lt;keyword&gt;Plasma Exchange&lt;/keyword&gt;&lt;keyword&gt;Randomized Controlled Trials as Topic&lt;/keyword&gt;&lt;/keywords&gt;&lt;dates&gt;&lt;year&gt;2012&lt;/year&gt;&lt;/dates&gt;&lt;publisher&gt;John Wiley &amp;amp; Sons, Ltd&lt;/publisher&gt;&lt;isbn&gt;1465-1858&lt;/isbn&gt;&lt;accession-num&gt;CD002277&lt;/accession-num&gt;&lt;urls&gt;&lt;related-urls&gt;&lt;url&gt;http://dx.doi.org/10.1002/14651858.CD002277.pub4&lt;/url&gt;&lt;/related-urls&gt;&lt;/urls&gt;&lt;electronic-resource-num&gt;10.1002/14651858.CD002277.pub4&lt;/electronic-resource-num&gt;&lt;/record&gt;&lt;/Cite&gt;&lt;/EndNote&gt;</w:instrText>
            </w:r>
            <w:r w:rsidRPr="007D1918">
              <w:rPr>
                <w:rFonts w:ascii="Arial Narrow" w:hAnsi="Arial Narrow"/>
                <w:sz w:val="18"/>
                <w:szCs w:val="18"/>
              </w:rPr>
              <w:fldChar w:fldCharType="separate"/>
            </w:r>
            <w:r w:rsidRPr="007D1918">
              <w:rPr>
                <w:rFonts w:ascii="Arial Narrow" w:hAnsi="Arial Narrow"/>
                <w:sz w:val="18"/>
                <w:szCs w:val="18"/>
              </w:rPr>
              <w:t>(</w:t>
            </w:r>
            <w:hyperlink w:anchor="_ENREF_33" w:tooltip="Gajdos, 2012 #3" w:history="1">
              <w:r w:rsidR="007D4948" w:rsidRPr="007D1918">
                <w:rPr>
                  <w:rFonts w:ascii="Arial Narrow" w:hAnsi="Arial Narrow"/>
                  <w:sz w:val="18"/>
                  <w:szCs w:val="18"/>
                </w:rPr>
                <w:t>Gajdos, Chevret &amp; Toyka 2012</w:t>
              </w:r>
            </w:hyperlink>
            <w:r w:rsidRPr="007D1918">
              <w:rPr>
                <w:rFonts w:ascii="Arial Narrow" w:hAnsi="Arial Narrow"/>
                <w:sz w:val="18"/>
                <w:szCs w:val="18"/>
              </w:rPr>
              <w:t>)</w:t>
            </w:r>
            <w:r w:rsidRPr="007D1918">
              <w:rPr>
                <w:rFonts w:ascii="Arial Narrow" w:hAnsi="Arial Narrow"/>
                <w:sz w:val="18"/>
                <w:szCs w:val="18"/>
              </w:rPr>
              <w:fldChar w:fldCharType="end"/>
            </w:r>
          </w:p>
          <w:p w14:paraId="4F0EAB7B"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France</w:t>
            </w:r>
          </w:p>
          <w:p w14:paraId="00D574CA" w14:textId="7A886E4C"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Update on </w:t>
            </w:r>
            <w:r w:rsidRPr="007D1918">
              <w:rPr>
                <w:rFonts w:ascii="Arial Narrow" w:hAnsi="Arial Narrow"/>
                <w:sz w:val="18"/>
                <w:szCs w:val="18"/>
              </w:rPr>
              <w:fldChar w:fldCharType="begin">
                <w:fldData xml:space="preserve">PEVuZE5vdGU+PENpdGU+PEF1dGhvcj5HYWpkb3M8L0F1dGhvcj48WWVhcj4yMDA4PC9ZZWFyPjxS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</w:fldData>
              </w:fldChar>
            </w:r>
            <w:r w:rsidR="00C94EF9" w:rsidRPr="007D1918">
              <w:rPr>
                <w:rFonts w:ascii="Arial Narrow" w:hAnsi="Arial Narrow"/>
                <w:sz w:val="18"/>
                <w:szCs w:val="18"/>
              </w:rPr>
              <w:instrText xml:space="preserve"> ADDIN EN.CITE </w:instrText>
            </w:r>
            <w:r w:rsidR="00C94EF9" w:rsidRPr="007D1918">
              <w:rPr>
                <w:rFonts w:ascii="Arial Narrow" w:hAnsi="Arial Narrow"/>
                <w:sz w:val="18"/>
                <w:szCs w:val="18"/>
              </w:rPr>
              <w:fldChar w:fldCharType="begin">
                <w:fldData xml:space="preserve">PEVuZE5vdGU+PENpdGU+PEF1dGhvcj5HYWpkb3M8L0F1dGhvcj48WWVhcj4yMDA4PC9ZZWFyPjxS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</w:fldData>
              </w:fldChar>
            </w:r>
            <w:r w:rsidR="00C94EF9" w:rsidRPr="007D1918">
              <w:rPr>
                <w:rFonts w:ascii="Arial Narrow" w:hAnsi="Arial Narrow"/>
                <w:sz w:val="18"/>
                <w:szCs w:val="18"/>
              </w:rPr>
              <w:instrText xml:space="preserve"> ADDIN EN.CITE.DATA </w:instrText>
            </w:r>
            <w:r w:rsidR="00C94EF9" w:rsidRPr="007D1918">
              <w:rPr>
                <w:rFonts w:ascii="Arial Narrow" w:hAnsi="Arial Narrow"/>
                <w:sz w:val="18"/>
                <w:szCs w:val="18"/>
              </w:rPr>
            </w:r>
            <w:r w:rsidR="00C94EF9" w:rsidRPr="007D1918">
              <w:rPr>
                <w:rFonts w:ascii="Arial Narrow" w:hAnsi="Arial Narrow"/>
                <w:sz w:val="18"/>
                <w:szCs w:val="18"/>
              </w:rPr>
              <w:fldChar w:fldCharType="end"/>
            </w:r>
            <w:r w:rsidRPr="007D1918">
              <w:rPr>
                <w:rFonts w:ascii="Arial Narrow" w:hAnsi="Arial Narrow"/>
                <w:sz w:val="18"/>
                <w:szCs w:val="18"/>
              </w:rPr>
            </w:r>
            <w:r w:rsidRPr="007D1918">
              <w:rPr>
                <w:rFonts w:ascii="Arial Narrow" w:hAnsi="Arial Narrow"/>
                <w:sz w:val="18"/>
                <w:szCs w:val="18"/>
              </w:rPr>
              <w:fldChar w:fldCharType="separate"/>
            </w:r>
            <w:r w:rsidRPr="007D1918">
              <w:rPr>
                <w:rFonts w:ascii="Arial Narrow" w:hAnsi="Arial Narrow"/>
                <w:noProof/>
                <w:sz w:val="18"/>
                <w:szCs w:val="18"/>
              </w:rPr>
              <w:t>(</w:t>
            </w:r>
            <w:hyperlink w:anchor="_ENREF_32" w:tooltip="Gajdos, 2008 #78" w:history="1">
              <w:r w:rsidR="007D4948" w:rsidRPr="007D1918">
                <w:rPr>
                  <w:rFonts w:ascii="Arial Narrow" w:hAnsi="Arial Narrow"/>
                  <w:noProof/>
                  <w:sz w:val="18"/>
                  <w:szCs w:val="18"/>
                </w:rPr>
                <w:t>Gajdos, Chevret &amp; Toyka 2008</w:t>
              </w:r>
            </w:hyperlink>
            <w:r w:rsidRPr="007D1918">
              <w:rPr>
                <w:rFonts w:ascii="Arial Narrow" w:hAnsi="Arial Narrow"/>
                <w:noProof/>
                <w:sz w:val="18"/>
                <w:szCs w:val="18"/>
              </w:rPr>
              <w:t>)</w:t>
            </w:r>
            <w:r w:rsidRPr="007D1918">
              <w:rPr>
                <w:rFonts w:ascii="Arial Narrow" w:hAnsi="Arial Narrow"/>
                <w:sz w:val="18"/>
                <w:szCs w:val="18"/>
              </w:rPr>
              <w:fldChar w:fldCharType="end"/>
            </w:r>
            <w:r w:rsidRPr="007D1918">
              <w:rPr>
                <w:rFonts w:ascii="Arial Narrow" w:hAnsi="Arial Narrow"/>
                <w:sz w:val="18"/>
                <w:szCs w:val="18"/>
              </w:rPr>
              <w:t xml:space="preserve">, </w:t>
            </w:r>
            <w:r w:rsidRPr="007D1918">
              <w:rPr>
                <w:rFonts w:ascii="Arial Narrow" w:hAnsi="Arial Narrow"/>
                <w:sz w:val="18"/>
                <w:szCs w:val="18"/>
              </w:rPr>
              <w:fldChar w:fldCharType="begin"/>
            </w:r>
            <w:r w:rsidRPr="007D1918">
              <w:rPr>
                <w:rFonts w:ascii="Arial Narrow" w:hAnsi="Arial Narrow"/>
                <w:sz w:val="18"/>
                <w:szCs w:val="18"/>
              </w:rPr>
              <w:instrText xml:space="preserve"> ADDIN EN.CITE &lt;EndNote&gt;&lt;Cite&gt;&lt;Author&gt;Gajdos&lt;/Author&gt;&lt;Year&gt;2006&lt;/Year&gt;&lt;RecNum&gt;226&lt;/RecNum&gt;&lt;DisplayText&gt;(Gajdos, Chevret &amp;amp; Toyka 2006)&lt;/DisplayText&gt;&lt;record&gt;&lt;rec-number&gt;226&lt;/rec-number&gt;&lt;foreign-keys&gt;&lt;key app="EN" db-id="zsr92vdand9pdcev9z2pttv1r5ee5fvzva2v" timestamp="1554181287"&gt;226&lt;/key&gt;&lt;/foreign-keys&gt;&lt;ref-type name="Journal Article"&gt;17&lt;/ref-type&gt;&lt;contributors&gt;&lt;authors&gt;&lt;author&gt;Gajdos, P.&lt;/author&gt;&lt;author&gt;Chevret, S.&lt;/author&gt;&lt;author&gt;Toyka, K.&lt;/author&gt;&lt;/authors&gt;&lt;/contributors&gt;&lt;auth-address&gt;P. Gajdos, Raymond Poincaré Hospital, AP-HP, c/o Intensive Care Unit, 104, boulevard Raymond Poincaré, Garches, Ile de France, France, 92380.&lt;/auth-address&gt;&lt;titles&gt;&lt;title&gt;Intravenous immunoglobulin for myasthenia gravis&lt;/title&gt;&lt;secondary-title&gt;Cochrane database of systematic reviews (Online)&lt;/secondary-title&gt;&lt;/titles&gt;&lt;periodical&gt;&lt;full-title&gt;Cochrane database of systematic reviews (Online)&lt;/full-title&gt;&lt;/periodical&gt;&lt;pages&gt;CD002277&lt;/pages&gt;&lt;number&gt;2&lt;/number&gt;&lt;keywords&gt;&lt;keyword&gt;immunoglobulin&lt;/keyword&gt;&lt;keyword&gt;clinical trial&lt;/keyword&gt;&lt;keyword&gt;controlled clinical trial&lt;/keyword&gt;&lt;keyword&gt;human&lt;/keyword&gt;&lt;keyword&gt;meta analysis&lt;/keyword&gt;&lt;keyword&gt;myasthenia gravis&lt;/keyword&gt;&lt;keyword&gt;plasmapheresis&lt;/keyword&gt;&lt;keyword&gt;randomized controlled trial&lt;/keyword&gt;&lt;keyword&gt;review&lt;/keyword&gt;&lt;/keywords&gt;&lt;dates&gt;&lt;year&gt;2006&lt;/year&gt;&lt;/dates&gt;&lt;isbn&gt;1469-493X&lt;/isbn&gt;&lt;work-type&gt;Review&lt;/work-type&gt;&lt;urls&gt;&lt;related-urls&gt;&lt;url&gt;http://www.embase.com/search/results?subaction=viewrecord&amp;amp;from=export&amp;amp;id=L43868437&lt;/url&gt;&lt;/related-urls&gt;&lt;/urls&gt;&lt;custom5&gt;16625559&lt;/custom5&gt;&lt;remote-database-name&gt;Medline&lt;/remote-database-name&gt;&lt;language&gt;English&lt;/language&gt;&lt;/record&gt;&lt;/Cite&gt;&lt;/EndNote&gt;</w:instrText>
            </w:r>
            <w:r w:rsidRPr="007D1918">
              <w:rPr>
                <w:rFonts w:ascii="Arial Narrow" w:hAnsi="Arial Narrow"/>
                <w:sz w:val="18"/>
                <w:szCs w:val="18"/>
              </w:rPr>
              <w:fldChar w:fldCharType="separate"/>
            </w:r>
            <w:r w:rsidRPr="007D1918">
              <w:rPr>
                <w:rFonts w:ascii="Arial Narrow" w:hAnsi="Arial Narrow"/>
                <w:sz w:val="18"/>
                <w:szCs w:val="18"/>
              </w:rPr>
              <w:t>(</w:t>
            </w:r>
            <w:hyperlink w:anchor="_ENREF_31" w:tooltip="Gajdos, 2006 #226" w:history="1">
              <w:r w:rsidR="007D4948" w:rsidRPr="007D1918">
                <w:rPr>
                  <w:rFonts w:ascii="Arial Narrow" w:hAnsi="Arial Narrow"/>
                  <w:sz w:val="18"/>
                  <w:szCs w:val="18"/>
                </w:rPr>
                <w:t>Gajdos, Chevret &amp; Toyka 2006</w:t>
              </w:r>
            </w:hyperlink>
            <w:r w:rsidRPr="007D1918">
              <w:rPr>
                <w:rFonts w:ascii="Arial Narrow" w:hAnsi="Arial Narrow"/>
                <w:sz w:val="18"/>
                <w:szCs w:val="18"/>
              </w:rPr>
              <w:t>)</w:t>
            </w:r>
            <w:r w:rsidRPr="007D1918">
              <w:rPr>
                <w:rFonts w:ascii="Arial Narrow" w:hAnsi="Arial Narrow"/>
                <w:sz w:val="18"/>
                <w:szCs w:val="18"/>
              </w:rPr>
              <w:fldChar w:fldCharType="end"/>
            </w:r>
            <w:r w:rsidRPr="007D1918">
              <w:rPr>
                <w:rFonts w:ascii="Arial Narrow" w:hAnsi="Arial Narrow"/>
                <w:sz w:val="18"/>
                <w:szCs w:val="18"/>
              </w:rPr>
              <w:t xml:space="preserve"> &amp; </w:t>
            </w:r>
            <w:r w:rsidRPr="007D1918">
              <w:rPr>
                <w:rFonts w:ascii="Arial Narrow" w:hAnsi="Arial Narrow"/>
                <w:sz w:val="18"/>
                <w:szCs w:val="18"/>
              </w:rPr>
              <w:fldChar w:fldCharType="begin"/>
            </w:r>
            <w:r w:rsidRPr="007D1918">
              <w:rPr>
                <w:rFonts w:ascii="Arial Narrow" w:hAnsi="Arial Narrow"/>
                <w:sz w:val="18"/>
                <w:szCs w:val="18"/>
              </w:rPr>
              <w:instrText xml:space="preserve"> ADDIN EN.CITE &lt;EndNote&gt;&lt;Cite&gt;&lt;Author&gt;Gajdos&lt;/Author&gt;&lt;Year&gt;2003&lt;/Year&gt;&lt;RecNum&gt;225&lt;/RecNum&gt;&lt;DisplayText&gt;(Gajdos, Chevret &amp;amp; Toyka 2003)&lt;/DisplayText&gt;&lt;record&gt;&lt;rec-number&gt;225&lt;/rec-number&gt;&lt;foreign-keys&gt;&lt;key app="EN" db-id="zsr92vdand9pdcev9z2pttv1r5ee5fvzva2v" timestamp="1554181287"&gt;225&lt;/key&gt;&lt;/foreign-keys&gt;&lt;ref-type name="Journal Article"&gt;17&lt;/ref-type&gt;&lt;contributors&gt;&lt;authors&gt;&lt;author&gt;Gajdos, P.&lt;/author&gt;&lt;author&gt;Chevret, S.&lt;/author&gt;&lt;author&gt;Toyka, K.&lt;/author&gt;&lt;/authors&gt;&lt;/contributors&gt;&lt;auth-address&gt;P. Gajdos, Intensive Care Unit, Raymond Poincare Hospital, AP-HP, 104, boulevard Raymond Poincaré, Garches, Ile de France, France.&lt;/auth-address&gt;&lt;titles&gt;&lt;title&gt;Intravenous immunoglobulin for myasthenia gravis&lt;/title&gt;&lt;secondary-title&gt;Cochrane database of systematic reviews (Online)&lt;/secondary-title&gt;&lt;/titles&gt;&lt;periodical&gt;&lt;full-title&gt;Cochrane database of systematic reviews (Online)&lt;/full-title&gt;&lt;/periodical&gt;&lt;pages&gt;CD002277&lt;/pages&gt;&lt;number&gt;2&lt;/number&gt;&lt;keywords&gt;&lt;keyword&gt;immunoglobulin&lt;/keyword&gt;&lt;keyword&gt;clinical trial&lt;/keyword&gt;&lt;keyword&gt;controlled clinical trial&lt;/keyword&gt;&lt;keyword&gt;human&lt;/keyword&gt;&lt;keyword&gt;myasthenia gravis&lt;/keyword&gt;&lt;keyword&gt;plasmapheresis&lt;/keyword&gt;&lt;keyword&gt;randomized controlled trial&lt;/keyword&gt;&lt;keyword&gt;review&lt;/keyword&gt;&lt;/keywords&gt;&lt;dates&gt;&lt;year&gt;2003&lt;/year&gt;&lt;/dates&gt;&lt;isbn&gt;1469-493X&lt;/isbn&gt;&lt;work-type&gt;Review&lt;/work-type&gt;&lt;urls&gt;&lt;related-urls&gt;&lt;url&gt;http://www.embase.com/search/results?subaction=viewrecord&amp;amp;from=export&amp;amp;id=L36879521&lt;/url&gt;&lt;/related-urls&gt;&lt;/urls&gt;&lt;custom5&gt;12804431&lt;/custom5&gt;&lt;remote-database-name&gt;Medline&lt;/remote-database-name&gt;&lt;language&gt;English&lt;/language&gt;&lt;/record&gt;&lt;/Cite&gt;&lt;/EndNote&gt;</w:instrText>
            </w:r>
            <w:r w:rsidRPr="007D1918">
              <w:rPr>
                <w:rFonts w:ascii="Arial Narrow" w:hAnsi="Arial Narrow"/>
                <w:sz w:val="18"/>
                <w:szCs w:val="18"/>
              </w:rPr>
              <w:fldChar w:fldCharType="separate"/>
            </w:r>
            <w:r w:rsidRPr="007D1918">
              <w:rPr>
                <w:rFonts w:ascii="Arial Narrow" w:hAnsi="Arial Narrow"/>
                <w:sz w:val="18"/>
                <w:szCs w:val="18"/>
              </w:rPr>
              <w:t>(</w:t>
            </w:r>
            <w:hyperlink w:anchor="_ENREF_30" w:tooltip="Gajdos, 2003 #225" w:history="1">
              <w:r w:rsidR="007D4948" w:rsidRPr="007D1918">
                <w:rPr>
                  <w:rFonts w:ascii="Arial Narrow" w:hAnsi="Arial Narrow"/>
                  <w:sz w:val="18"/>
                  <w:szCs w:val="18"/>
                </w:rPr>
                <w:t>Gajdos, Chevret &amp; Toyka 2003</w:t>
              </w:r>
            </w:hyperlink>
            <w:r w:rsidRPr="007D1918">
              <w:rPr>
                <w:rFonts w:ascii="Arial Narrow" w:hAnsi="Arial Narrow"/>
                <w:sz w:val="18"/>
                <w:szCs w:val="18"/>
              </w:rPr>
              <w:t>)</w:t>
            </w:r>
            <w:r w:rsidRPr="007D1918">
              <w:rPr>
                <w:rFonts w:ascii="Arial Narrow" w:hAnsi="Arial Narrow"/>
                <w:sz w:val="18"/>
                <w:szCs w:val="18"/>
              </w:rPr>
              <w:fldChar w:fldCharType="end"/>
            </w:r>
          </w:p>
          <w:p w14:paraId="17EE1A77" w14:textId="3594CF7C"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Additional data provided by </w:t>
            </w:r>
            <w:r w:rsidRPr="007D1918">
              <w:rPr>
                <w:rFonts w:ascii="Arial Narrow" w:hAnsi="Arial Narrow"/>
                <w:sz w:val="18"/>
                <w:szCs w:val="18"/>
              </w:rPr>
              <w:fldChar w:fldCharType="begin">
                <w:fldData xml:space="preserve">PEVuZE5vdGU+PENpdGU+PEF1dGhvcj5HYWpkb3M8L0F1dGhvcj48WWVhcj4yMDA4PC9ZZWFyPjxS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</w:fldData>
              </w:fldChar>
            </w:r>
            <w:r w:rsidR="00995E14" w:rsidRPr="007D1918">
              <w:rPr>
                <w:rFonts w:ascii="Arial Narrow" w:hAnsi="Arial Narrow"/>
                <w:sz w:val="18"/>
                <w:szCs w:val="18"/>
              </w:rPr>
              <w:instrText xml:space="preserve"> ADDIN EN.CITE </w:instrText>
            </w:r>
            <w:r w:rsidR="00995E14" w:rsidRPr="007D1918">
              <w:rPr>
                <w:rFonts w:ascii="Arial Narrow" w:hAnsi="Arial Narrow"/>
                <w:sz w:val="18"/>
                <w:szCs w:val="18"/>
              </w:rPr>
              <w:fldChar w:fldCharType="begin">
                <w:fldData xml:space="preserve">PEVuZE5vdGU+PENpdGU+PEF1dGhvcj5HYWpkb3M8L0F1dGhvcj48WWVhcj4yMDA4PC9ZZWFyPjxS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</w:fldData>
              </w:fldChar>
            </w:r>
            <w:r w:rsidR="00995E14" w:rsidRPr="007D1918">
              <w:rPr>
                <w:rFonts w:ascii="Arial Narrow" w:hAnsi="Arial Narrow"/>
                <w:sz w:val="18"/>
                <w:szCs w:val="18"/>
              </w:rPr>
              <w:instrText xml:space="preserve"> ADDIN EN.CITE.DATA </w:instrText>
            </w:r>
            <w:r w:rsidR="00995E14" w:rsidRPr="007D1918">
              <w:rPr>
                <w:rFonts w:ascii="Arial Narrow" w:hAnsi="Arial Narrow"/>
                <w:sz w:val="18"/>
                <w:szCs w:val="18"/>
              </w:rPr>
            </w:r>
            <w:r w:rsidR="00995E14" w:rsidRPr="007D1918">
              <w:rPr>
                <w:rFonts w:ascii="Arial Narrow" w:hAnsi="Arial Narrow"/>
                <w:sz w:val="18"/>
                <w:szCs w:val="18"/>
              </w:rPr>
              <w:fldChar w:fldCharType="end"/>
            </w:r>
            <w:r w:rsidRPr="007D1918">
              <w:rPr>
                <w:rFonts w:ascii="Arial Narrow" w:hAnsi="Arial Narrow"/>
                <w:sz w:val="18"/>
                <w:szCs w:val="18"/>
              </w:rPr>
            </w:r>
            <w:r w:rsidRPr="007D1918">
              <w:rPr>
                <w:rFonts w:ascii="Arial Narrow" w:hAnsi="Arial Narrow"/>
                <w:sz w:val="18"/>
                <w:szCs w:val="18"/>
              </w:rPr>
              <w:fldChar w:fldCharType="separate"/>
            </w:r>
            <w:r w:rsidRPr="007D1918">
              <w:rPr>
                <w:rFonts w:ascii="Arial Narrow" w:hAnsi="Arial Narrow"/>
                <w:noProof/>
                <w:sz w:val="18"/>
                <w:szCs w:val="18"/>
              </w:rPr>
              <w:t>(</w:t>
            </w:r>
            <w:hyperlink w:anchor="_ENREF_27" w:tooltip="Gajdos, 2008 #221" w:history="1">
              <w:r w:rsidR="007D4948" w:rsidRPr="007D1918">
                <w:rPr>
                  <w:rFonts w:ascii="Arial Narrow" w:hAnsi="Arial Narrow"/>
                  <w:noProof/>
                  <w:sz w:val="18"/>
                  <w:szCs w:val="18"/>
                </w:rPr>
                <w:t>Gajdos &amp; Chevret 2008</w:t>
              </w:r>
            </w:hyperlink>
            <w:r w:rsidRPr="007D1918">
              <w:rPr>
                <w:rFonts w:ascii="Arial Narrow" w:hAnsi="Arial Narrow"/>
                <w:noProof/>
                <w:sz w:val="18"/>
                <w:szCs w:val="18"/>
              </w:rPr>
              <w:t>)</w:t>
            </w:r>
            <w:r w:rsidRPr="007D1918">
              <w:rPr>
                <w:rFonts w:ascii="Arial Narrow" w:hAnsi="Arial Narrow"/>
                <w:sz w:val="18"/>
                <w:szCs w:val="18"/>
              </w:rPr>
              <w:fldChar w:fldCharType="end"/>
            </w:r>
          </w:p>
          <w:p w14:paraId="2479F9BC" w14:textId="651C36EE"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fldChar w:fldCharType="begin">
                <w:fldData xml:space="preserve">PEVuZE5vdGU+PENpdGU+PEF1dGhvcj5CcmlsPC9BdXRob3I+PFllYXI+MjAxMjwvWWVhcj48UmVj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</w:fldData>
              </w:fldChar>
            </w:r>
            <w:r w:rsidR="0077691B" w:rsidRPr="007D1918">
              <w:rPr>
                <w:rFonts w:ascii="Arial Narrow" w:hAnsi="Arial Narrow"/>
                <w:sz w:val="18"/>
                <w:szCs w:val="18"/>
              </w:rPr>
              <w:instrText xml:space="preserve"> ADDIN EN.CITE </w:instrText>
            </w:r>
            <w:r w:rsidR="0077691B" w:rsidRPr="007D1918">
              <w:rPr>
                <w:rFonts w:ascii="Arial Narrow" w:hAnsi="Arial Narrow"/>
                <w:sz w:val="18"/>
                <w:szCs w:val="18"/>
              </w:rPr>
              <w:fldChar w:fldCharType="begin">
                <w:fldData xml:space="preserve">PEVuZE5vdGU+PENpdGU+PEF1dGhvcj5CcmlsPC9BdXRob3I+PFllYXI+MjAxMjwvWWVhcj48UmVj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</w:fldData>
              </w:fldChar>
            </w:r>
            <w:r w:rsidR="0077691B" w:rsidRPr="007D1918">
              <w:rPr>
                <w:rFonts w:ascii="Arial Narrow" w:hAnsi="Arial Narrow"/>
                <w:sz w:val="18"/>
                <w:szCs w:val="18"/>
              </w:rPr>
              <w:instrText xml:space="preserve"> ADDIN EN.CITE.DATA </w:instrText>
            </w:r>
            <w:r w:rsidR="0077691B" w:rsidRPr="007D1918">
              <w:rPr>
                <w:rFonts w:ascii="Arial Narrow" w:hAnsi="Arial Narrow"/>
                <w:sz w:val="18"/>
                <w:szCs w:val="18"/>
              </w:rPr>
            </w:r>
            <w:r w:rsidR="0077691B" w:rsidRPr="007D1918">
              <w:rPr>
                <w:rFonts w:ascii="Arial Narrow" w:hAnsi="Arial Narrow"/>
                <w:sz w:val="18"/>
                <w:szCs w:val="18"/>
              </w:rPr>
              <w:fldChar w:fldCharType="end"/>
            </w:r>
            <w:r w:rsidRPr="007D1918">
              <w:rPr>
                <w:rFonts w:ascii="Arial Narrow" w:hAnsi="Arial Narrow"/>
                <w:sz w:val="18"/>
                <w:szCs w:val="18"/>
              </w:rPr>
            </w:r>
            <w:r w:rsidRPr="007D1918">
              <w:rPr>
                <w:rFonts w:ascii="Arial Narrow" w:hAnsi="Arial Narrow"/>
                <w:sz w:val="18"/>
                <w:szCs w:val="18"/>
              </w:rPr>
              <w:fldChar w:fldCharType="separate"/>
            </w:r>
            <w:r w:rsidRPr="007D1918">
              <w:rPr>
                <w:rFonts w:ascii="Arial Narrow" w:hAnsi="Arial Narrow"/>
                <w:noProof/>
                <w:sz w:val="18"/>
                <w:szCs w:val="18"/>
              </w:rPr>
              <w:t>(</w:t>
            </w:r>
            <w:hyperlink w:anchor="_ENREF_13" w:tooltip="Bril, 2012 #77" w:history="1">
              <w:r w:rsidR="007D4948" w:rsidRPr="007D1918">
                <w:rPr>
                  <w:rFonts w:ascii="Arial Narrow" w:hAnsi="Arial Narrow"/>
                  <w:noProof/>
                  <w:sz w:val="18"/>
                  <w:szCs w:val="18"/>
                </w:rPr>
                <w:t>Bril et al. 2012</w:t>
              </w:r>
            </w:hyperlink>
            <w:r w:rsidRPr="007D1918">
              <w:rPr>
                <w:rFonts w:ascii="Arial Narrow" w:hAnsi="Arial Narrow"/>
                <w:noProof/>
                <w:sz w:val="18"/>
                <w:szCs w:val="18"/>
              </w:rPr>
              <w:t>)</w:t>
            </w:r>
            <w:r w:rsidRPr="007D1918">
              <w:rPr>
                <w:rFonts w:ascii="Arial Narrow" w:hAnsi="Arial Narrow"/>
                <w:sz w:val="18"/>
                <w:szCs w:val="18"/>
              </w:rPr>
              <w:fldChar w:fldCharType="end"/>
            </w:r>
            <w:r w:rsidRPr="007D1918">
              <w:rPr>
                <w:rFonts w:ascii="Arial Narrow" w:hAnsi="Arial Narrow"/>
                <w:sz w:val="18"/>
                <w:szCs w:val="18"/>
              </w:rPr>
              <w:t xml:space="preserve"> (see also studies listed under the RCT Barth et al, 2011)</w:t>
            </w:r>
          </w:p>
          <w:p w14:paraId="766E709B"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Level I study (SR of RCTs)</w:t>
            </w:r>
          </w:p>
          <w:p w14:paraId="05E2E190"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Quality: high</w:t>
            </w:r>
          </w:p>
        </w:tc>
        <w:tc>
          <w:tcPr>
            <w:tcW w:w="1559" w:type="dxa"/>
          </w:tcPr>
          <w:p w14:paraId="6BF3F4C0"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K = 7</w:t>
            </w:r>
          </w:p>
          <w:p w14:paraId="090166BC"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N = 455</w:t>
            </w:r>
          </w:p>
          <w:p w14:paraId="15CEECE0"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Objectives</w:t>
            </w:r>
          </w:p>
          <w:p w14:paraId="3E621827"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To examine the efficacy of IVIg compared to PE, other treatments or placebo for the treating of exacerbations of MG or the chronic phase</w:t>
            </w:r>
          </w:p>
          <w:p w14:paraId="544574A5" w14:textId="77777777" w:rsidR="00B16A17" w:rsidRPr="007D1918" w:rsidRDefault="00B16A17" w:rsidP="00B16A17">
            <w:pPr>
              <w:spacing w:after="40" w:line="240" w:lineRule="auto"/>
              <w:rPr>
                <w:rFonts w:ascii="Arial Narrow" w:hAnsi="Arial Narrow"/>
                <w:sz w:val="18"/>
                <w:szCs w:val="18"/>
              </w:rPr>
            </w:pPr>
          </w:p>
        </w:tc>
        <w:tc>
          <w:tcPr>
            <w:tcW w:w="2835" w:type="dxa"/>
          </w:tcPr>
          <w:p w14:paraId="0798CE0A" w14:textId="77777777"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Barth et al 2011</w:t>
            </w:r>
            <w:r w:rsidRPr="007D1918">
              <w:rPr>
                <w:rFonts w:ascii="Arial Narrow" w:hAnsi="Arial Narrow"/>
                <w:i/>
                <w:sz w:val="18"/>
                <w:szCs w:val="18"/>
                <w:lang w:val="en-US" w:eastAsia="ja-JP"/>
              </w:rPr>
              <w:br/>
            </w:r>
            <w:r w:rsidRPr="007D1918">
              <w:rPr>
                <w:rFonts w:ascii="Arial Narrow" w:hAnsi="Arial Narrow"/>
                <w:sz w:val="18"/>
                <w:szCs w:val="18"/>
                <w:lang w:val="en-US" w:eastAsia="ja-JP"/>
              </w:rPr>
              <w:t>RCT, N = 84</w:t>
            </w:r>
            <w:r w:rsidRPr="007D1918">
              <w:rPr>
                <w:rFonts w:ascii="Arial Narrow" w:hAnsi="Arial Narrow"/>
                <w:sz w:val="18"/>
                <w:szCs w:val="18"/>
                <w:lang w:val="en-US" w:eastAsia="ja-JP"/>
              </w:rPr>
              <w:br/>
              <w:t>IVIg vs PE, moderate to severe MG with QMGS &gt; 10.5 and worsening weakness</w:t>
            </w:r>
          </w:p>
          <w:p w14:paraId="0C24FEEC" w14:textId="7154B40D" w:rsidR="00B16A17" w:rsidRPr="007D1918" w:rsidRDefault="00154E38"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Zinman, Ng and Bril</w:t>
            </w:r>
            <w:r w:rsidR="00B16A17" w:rsidRPr="007D1918">
              <w:rPr>
                <w:rFonts w:ascii="Arial Narrow" w:hAnsi="Arial Narrow"/>
                <w:i/>
                <w:sz w:val="18"/>
                <w:szCs w:val="18"/>
                <w:lang w:val="en-US" w:eastAsia="ja-JP"/>
              </w:rPr>
              <w:t xml:space="preserve"> 2007</w:t>
            </w:r>
            <w:r w:rsidR="00B16A17" w:rsidRPr="007D1918">
              <w:rPr>
                <w:rFonts w:ascii="Arial Narrow" w:hAnsi="Arial Narrow"/>
                <w:i/>
                <w:sz w:val="18"/>
                <w:szCs w:val="18"/>
                <w:lang w:val="en-US" w:eastAsia="ja-JP"/>
              </w:rPr>
              <w:br/>
            </w:r>
            <w:r w:rsidR="00B16A17" w:rsidRPr="007D1918">
              <w:rPr>
                <w:rFonts w:ascii="Arial Narrow" w:hAnsi="Arial Narrow"/>
                <w:sz w:val="18"/>
                <w:szCs w:val="18"/>
                <w:lang w:val="en-US" w:eastAsia="ja-JP"/>
              </w:rPr>
              <w:t>RCT, N = 51</w:t>
            </w:r>
            <w:r w:rsidR="00B16A17" w:rsidRPr="007D1918">
              <w:rPr>
                <w:rFonts w:ascii="Arial Narrow" w:hAnsi="Arial Narrow"/>
                <w:sz w:val="18"/>
                <w:szCs w:val="18"/>
                <w:lang w:val="en-US" w:eastAsia="ja-JP"/>
              </w:rPr>
              <w:br/>
              <w:t>IVIg vs placebo, MG with worsening weakness defined as increasing symptoms or signs judged by patients and physician to warrant therapy change</w:t>
            </w:r>
          </w:p>
          <w:p w14:paraId="02545A70" w14:textId="77777777"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Gajdos et al 2005</w:t>
            </w:r>
            <w:r w:rsidRPr="007D1918">
              <w:rPr>
                <w:rFonts w:ascii="Arial Narrow" w:hAnsi="Arial Narrow"/>
                <w:i/>
                <w:sz w:val="18"/>
                <w:szCs w:val="18"/>
                <w:lang w:val="en-US" w:eastAsia="ja-JP"/>
              </w:rPr>
              <w:br/>
            </w:r>
            <w:r w:rsidRPr="007D1918">
              <w:rPr>
                <w:rFonts w:ascii="Arial Narrow" w:hAnsi="Arial Narrow"/>
                <w:sz w:val="18"/>
                <w:szCs w:val="18"/>
                <w:lang w:val="en-US" w:eastAsia="ja-JP"/>
              </w:rPr>
              <w:t>RCT, N = 173</w:t>
            </w:r>
            <w:r w:rsidRPr="007D1918">
              <w:rPr>
                <w:rFonts w:ascii="Arial Narrow" w:hAnsi="Arial Narrow"/>
                <w:sz w:val="18"/>
                <w:szCs w:val="18"/>
                <w:lang w:val="en-US" w:eastAsia="ja-JP"/>
              </w:rPr>
              <w:br/>
              <w:t>IVIg 1g/kg vs IVIg 2g/kg, exacerbation with at least one of difficulty swallowing, acute respiratory failure or major functional disability leading to discontinuation of physical activity</w:t>
            </w:r>
          </w:p>
          <w:p w14:paraId="791E1EBA" w14:textId="4224565F"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Schuchardt et al 2002</w:t>
            </w:r>
            <w:r w:rsidRPr="007D1918">
              <w:rPr>
                <w:rFonts w:ascii="Arial Narrow" w:hAnsi="Arial Narrow"/>
                <w:i/>
                <w:sz w:val="18"/>
                <w:szCs w:val="18"/>
                <w:lang w:val="en-US" w:eastAsia="ja-JP"/>
              </w:rPr>
              <w:br/>
            </w:r>
            <w:r w:rsidRPr="007D1918">
              <w:rPr>
                <w:rFonts w:ascii="Arial Narrow" w:hAnsi="Arial Narrow"/>
                <w:sz w:val="18"/>
                <w:szCs w:val="18"/>
                <w:lang w:val="en-US" w:eastAsia="ja-JP"/>
              </w:rPr>
              <w:t>RCT, N = 33</w:t>
            </w:r>
            <w:r w:rsidRPr="007D1918">
              <w:rPr>
                <w:rFonts w:ascii="Arial Narrow" w:hAnsi="Arial Narrow"/>
                <w:sz w:val="18"/>
                <w:szCs w:val="18"/>
                <w:lang w:val="en-US" w:eastAsia="ja-JP"/>
              </w:rPr>
              <w:br/>
              <w:t>IVIG vs CS (</w:t>
            </w:r>
            <w:r w:rsidR="006B6C7E" w:rsidRPr="007D1918">
              <w:rPr>
                <w:rFonts w:ascii="Arial Narrow" w:hAnsi="Arial Narrow"/>
                <w:sz w:val="18"/>
                <w:szCs w:val="18"/>
                <w:lang w:val="en-US" w:eastAsia="ja-JP"/>
              </w:rPr>
              <w:t>methylprednisolone</w:t>
            </w:r>
            <w:r w:rsidRPr="007D1918">
              <w:rPr>
                <w:rFonts w:ascii="Arial Narrow" w:hAnsi="Arial Narrow"/>
                <w:sz w:val="18"/>
                <w:szCs w:val="18"/>
                <w:lang w:val="en-US" w:eastAsia="ja-JP"/>
              </w:rPr>
              <w:t>), increase of one point on the Oosterhuis scale and ≥3 on QMGS scale for worst 2 criteria</w:t>
            </w:r>
          </w:p>
          <w:p w14:paraId="138DAD93" w14:textId="187722D2"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Wolfe et al 2002</w:t>
            </w:r>
            <w:r w:rsidRPr="007D1918">
              <w:rPr>
                <w:rFonts w:ascii="Arial Narrow" w:hAnsi="Arial Narrow"/>
                <w:i/>
                <w:sz w:val="18"/>
                <w:szCs w:val="18"/>
                <w:lang w:val="en-US" w:eastAsia="ja-JP"/>
              </w:rPr>
              <w:br/>
            </w:r>
            <w:r w:rsidRPr="007D1918">
              <w:rPr>
                <w:rFonts w:ascii="Arial Narrow" w:hAnsi="Arial Narrow"/>
                <w:sz w:val="18"/>
                <w:szCs w:val="18"/>
                <w:lang w:val="en-US" w:eastAsia="ja-JP"/>
              </w:rPr>
              <w:t>RCT, N = 15</w:t>
            </w:r>
            <w:r w:rsidRPr="007D1918">
              <w:rPr>
                <w:rFonts w:ascii="Arial Narrow" w:hAnsi="Arial Narrow"/>
                <w:sz w:val="18"/>
                <w:szCs w:val="18"/>
                <w:lang w:val="en-US" w:eastAsia="ja-JP"/>
              </w:rPr>
              <w:br/>
              <w:t xml:space="preserve">IVIg vs placebo, patients with mild to moderate MG who have never taken CS or IS or with </w:t>
            </w:r>
            <w:r w:rsidR="00803192" w:rsidRPr="007D1918">
              <w:rPr>
                <w:rFonts w:ascii="Arial Narrow" w:hAnsi="Arial Narrow"/>
                <w:sz w:val="18"/>
                <w:szCs w:val="18"/>
                <w:lang w:val="en-US" w:eastAsia="ja-JP"/>
              </w:rPr>
              <w:t>persistent</w:t>
            </w:r>
            <w:r w:rsidRPr="007D1918">
              <w:rPr>
                <w:rFonts w:ascii="Arial Narrow" w:hAnsi="Arial Narrow"/>
                <w:sz w:val="18"/>
                <w:szCs w:val="18"/>
                <w:lang w:val="en-US" w:eastAsia="ja-JP"/>
              </w:rPr>
              <w:t xml:space="preserve"> MG </w:t>
            </w:r>
            <w:r w:rsidR="007D77DC" w:rsidRPr="007D1918">
              <w:rPr>
                <w:rFonts w:ascii="Arial Narrow" w:hAnsi="Arial Narrow"/>
                <w:sz w:val="18"/>
                <w:szCs w:val="18"/>
                <w:lang w:val="en-US" w:eastAsia="ja-JP"/>
              </w:rPr>
              <w:lastRenderedPageBreak/>
              <w:t>symptoms</w:t>
            </w:r>
            <w:r w:rsidRPr="007D1918">
              <w:rPr>
                <w:rFonts w:ascii="Arial Narrow" w:hAnsi="Arial Narrow"/>
                <w:sz w:val="18"/>
                <w:szCs w:val="18"/>
                <w:lang w:val="en-US" w:eastAsia="ja-JP"/>
              </w:rPr>
              <w:t xml:space="preserve"> and on </w:t>
            </w:r>
            <w:r w:rsidR="009473E3" w:rsidRPr="007D1918">
              <w:rPr>
                <w:rFonts w:ascii="Arial Narrow" w:hAnsi="Arial Narrow"/>
                <w:sz w:val="18"/>
                <w:szCs w:val="18"/>
                <w:lang w:val="en-US" w:eastAsia="ja-JP"/>
              </w:rPr>
              <w:t>PN</w:t>
            </w:r>
            <w:r w:rsidRPr="007D1918">
              <w:rPr>
                <w:rFonts w:ascii="Arial Narrow" w:hAnsi="Arial Narrow"/>
                <w:sz w:val="18"/>
                <w:szCs w:val="18"/>
                <w:lang w:val="en-US" w:eastAsia="ja-JP"/>
              </w:rPr>
              <w:t xml:space="preserve"> &gt;20 mg on alternate days</w:t>
            </w:r>
          </w:p>
          <w:p w14:paraId="3D48AF74" w14:textId="7FCE1EED"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R</w:t>
            </w:r>
            <w:r w:rsidR="00FC02BA" w:rsidRPr="007D1918">
              <w:rPr>
                <w:rFonts w:ascii="Arial Narrow" w:hAnsi="Arial Narrow"/>
                <w:i/>
                <w:sz w:val="16"/>
                <w:szCs w:val="16"/>
                <w:lang w:val="en-US" w:eastAsia="ja-JP"/>
              </w:rPr>
              <w:t>ø</w:t>
            </w:r>
            <w:r w:rsidRPr="007D1918">
              <w:rPr>
                <w:rFonts w:ascii="Arial Narrow" w:hAnsi="Arial Narrow"/>
                <w:i/>
                <w:sz w:val="18"/>
                <w:szCs w:val="18"/>
                <w:lang w:val="en-US" w:eastAsia="ja-JP"/>
              </w:rPr>
              <w:t>nager et al 2001</w:t>
            </w:r>
            <w:r w:rsidRPr="007D1918">
              <w:rPr>
                <w:rFonts w:ascii="Arial Narrow" w:hAnsi="Arial Narrow"/>
                <w:i/>
                <w:sz w:val="18"/>
                <w:szCs w:val="18"/>
                <w:lang w:val="en-US" w:eastAsia="ja-JP"/>
              </w:rPr>
              <w:br/>
            </w:r>
            <w:r w:rsidRPr="007D1918">
              <w:rPr>
                <w:rFonts w:ascii="Arial Narrow" w:hAnsi="Arial Narrow"/>
                <w:sz w:val="18"/>
                <w:szCs w:val="18"/>
                <w:lang w:val="en-US" w:eastAsia="ja-JP"/>
              </w:rPr>
              <w:t>RCT, N = 12</w:t>
            </w:r>
            <w:r w:rsidRPr="007D1918">
              <w:rPr>
                <w:rFonts w:ascii="Arial Narrow" w:hAnsi="Arial Narrow"/>
                <w:sz w:val="18"/>
                <w:szCs w:val="18"/>
                <w:lang w:val="en-US" w:eastAsia="ja-JP"/>
              </w:rPr>
              <w:br/>
              <w:t xml:space="preserve">IVIg vs PE, moderate to severe but stable MG, </w:t>
            </w:r>
          </w:p>
          <w:p w14:paraId="4814FD4C" w14:textId="5DBC3918" w:rsidR="00B16A17" w:rsidRPr="007D1918" w:rsidRDefault="00B16A17" w:rsidP="007732C9">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Gajdos et al 1997</w:t>
            </w:r>
            <w:r w:rsidRPr="007D1918">
              <w:rPr>
                <w:rFonts w:ascii="Arial Narrow" w:hAnsi="Arial Narrow"/>
                <w:i/>
                <w:sz w:val="18"/>
                <w:szCs w:val="18"/>
                <w:lang w:val="en-US" w:eastAsia="ja-JP"/>
              </w:rPr>
              <w:br/>
            </w:r>
            <w:r w:rsidRPr="007D1918">
              <w:rPr>
                <w:rFonts w:ascii="Arial Narrow" w:hAnsi="Arial Narrow"/>
                <w:sz w:val="18"/>
                <w:szCs w:val="18"/>
                <w:lang w:val="en-US" w:eastAsia="ja-JP"/>
              </w:rPr>
              <w:t>RCT, N = 87</w:t>
            </w:r>
            <w:r w:rsidRPr="007D1918">
              <w:rPr>
                <w:rFonts w:ascii="Arial Narrow" w:hAnsi="Arial Narrow"/>
                <w:sz w:val="18"/>
                <w:szCs w:val="18"/>
                <w:lang w:val="en-US" w:eastAsia="ja-JP"/>
              </w:rPr>
              <w:br/>
              <w:t>IVIg vs PE, exacerbation with at least one of difficulty swallowing, acute respiratory failure or major functional disability leading to discontinuation of physical activity</w:t>
            </w:r>
          </w:p>
        </w:tc>
        <w:tc>
          <w:tcPr>
            <w:tcW w:w="1418" w:type="dxa"/>
          </w:tcPr>
          <w:p w14:paraId="6846319C" w14:textId="33247132" w:rsidR="00B16A17" w:rsidRPr="007D1918" w:rsidRDefault="00B16A17" w:rsidP="00B16A17">
            <w:pPr>
              <w:widowControl w:val="0"/>
              <w:spacing w:after="40" w:line="240" w:lineRule="auto"/>
              <w:ind w:right="0"/>
              <w:rPr>
                <w:rFonts w:ascii="Arial Narrow" w:hAnsi="Arial Narrow"/>
                <w:sz w:val="18"/>
                <w:szCs w:val="18"/>
                <w:lang w:val="en-US" w:eastAsia="ja-JP"/>
              </w:rPr>
            </w:pPr>
            <w:r w:rsidRPr="007D1918">
              <w:rPr>
                <w:rFonts w:ascii="Arial Narrow" w:hAnsi="Arial Narrow"/>
                <w:sz w:val="18"/>
                <w:szCs w:val="18"/>
                <w:lang w:val="en-US" w:eastAsia="ja-JP"/>
              </w:rPr>
              <w:lastRenderedPageBreak/>
              <w:t>RCTs or quas</w:t>
            </w:r>
            <w:r w:rsidR="00816750" w:rsidRPr="007D1918">
              <w:rPr>
                <w:rFonts w:ascii="Arial Narrow" w:hAnsi="Arial Narrow"/>
                <w:sz w:val="18"/>
                <w:szCs w:val="18"/>
                <w:lang w:val="en-US" w:eastAsia="ja-JP"/>
              </w:rPr>
              <w:t>i-RCTS of patients with MG NBA I</w:t>
            </w:r>
            <w:r w:rsidRPr="007D1918">
              <w:rPr>
                <w:rFonts w:ascii="Arial Narrow" w:hAnsi="Arial Narrow"/>
                <w:sz w:val="18"/>
                <w:szCs w:val="18"/>
                <w:lang w:val="en-US" w:eastAsia="ja-JP"/>
              </w:rPr>
              <w:t>ndications 1,</w:t>
            </w:r>
            <w:r w:rsidR="00773DFA" w:rsidRPr="007D1918">
              <w:rPr>
                <w:rFonts w:ascii="Arial Narrow" w:hAnsi="Arial Narrow"/>
                <w:sz w:val="18"/>
                <w:szCs w:val="18"/>
                <w:lang w:val="en-US" w:eastAsia="ja-JP"/>
              </w:rPr>
              <w:t xml:space="preserve"> </w:t>
            </w:r>
            <w:r w:rsidRPr="007D1918">
              <w:rPr>
                <w:rFonts w:ascii="Arial Narrow" w:hAnsi="Arial Narrow"/>
                <w:sz w:val="18"/>
                <w:szCs w:val="18"/>
                <w:lang w:val="en-US" w:eastAsia="ja-JP"/>
              </w:rPr>
              <w:t>2 or 3.</w:t>
            </w:r>
          </w:p>
          <w:p w14:paraId="67EA282D" w14:textId="77777777" w:rsidR="00B16A17" w:rsidRPr="007D1918" w:rsidRDefault="00B16A17" w:rsidP="00B16A17">
            <w:pPr>
              <w:widowControl w:val="0"/>
              <w:spacing w:after="40" w:line="240" w:lineRule="auto"/>
              <w:ind w:right="0"/>
              <w:rPr>
                <w:rFonts w:ascii="Arial Narrow" w:hAnsi="Arial Narrow"/>
                <w:sz w:val="18"/>
                <w:szCs w:val="18"/>
                <w:lang w:val="en-US" w:eastAsia="ja-JP"/>
              </w:rPr>
            </w:pPr>
            <w:r w:rsidRPr="007D1918">
              <w:rPr>
                <w:rFonts w:ascii="Arial Narrow" w:hAnsi="Arial Narrow"/>
                <w:sz w:val="18"/>
                <w:szCs w:val="18"/>
                <w:lang w:val="en-US" w:eastAsia="ja-JP"/>
              </w:rPr>
              <w:t>1. Exacerbation or worsening of MG as described by authors of the trials</w:t>
            </w:r>
          </w:p>
          <w:p w14:paraId="1D1445E1"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2 &amp; 3. Chronic generalised MG (severe but stable) treated for reasons other than exacerbation (pre-operative management, chronic use of PE, refractory to CS or IS drugs</w:t>
            </w:r>
          </w:p>
        </w:tc>
        <w:tc>
          <w:tcPr>
            <w:tcW w:w="1559" w:type="dxa"/>
          </w:tcPr>
          <w:p w14:paraId="2DC9820F"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Intervention</w:t>
            </w:r>
          </w:p>
          <w:p w14:paraId="268F5191"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IVIg</w:t>
            </w:r>
          </w:p>
          <w:p w14:paraId="6338F287"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Comparator</w:t>
            </w:r>
          </w:p>
          <w:p w14:paraId="1ABD107E"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PE</w:t>
            </w:r>
          </w:p>
          <w:p w14:paraId="622E7761"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Oral methyl-prednisolone </w:t>
            </w:r>
          </w:p>
          <w:p w14:paraId="2BA6BAA0"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Placebo </w:t>
            </w:r>
          </w:p>
          <w:p w14:paraId="121306EC" w14:textId="0712431F"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IVIg (dose comparison)</w:t>
            </w:r>
          </w:p>
          <w:p w14:paraId="7EFD4F3E" w14:textId="77777777" w:rsidR="00B16A17" w:rsidRPr="007D1918" w:rsidRDefault="00B16A17" w:rsidP="00B16A17">
            <w:pPr>
              <w:spacing w:after="40" w:line="240" w:lineRule="auto"/>
              <w:rPr>
                <w:rFonts w:ascii="Arial Narrow" w:hAnsi="Arial Narrow"/>
                <w:sz w:val="18"/>
                <w:szCs w:val="18"/>
              </w:rPr>
            </w:pPr>
          </w:p>
        </w:tc>
        <w:tc>
          <w:tcPr>
            <w:tcW w:w="2977" w:type="dxa"/>
          </w:tcPr>
          <w:p w14:paraId="56D5F09D"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Primary outcomes</w:t>
            </w:r>
          </w:p>
          <w:p w14:paraId="687C90DF"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1. Change in a specific score from before and 7 to 15 days from treatment start or randomisation</w:t>
            </w:r>
          </w:p>
          <w:p w14:paraId="0DCEB30D"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2. Improvement by at least one grade in a functional scale between day before and at least 6 months after treatment start or randomisation </w:t>
            </w:r>
          </w:p>
          <w:p w14:paraId="4DB7ACC0"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Secondary outcomes</w:t>
            </w:r>
          </w:p>
          <w:p w14:paraId="1A6B0FFA" w14:textId="09C37DA9"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1. i) improvements by at least one grade in a functional scale (of 5 to 6 grades) from before day 7 to 15 after treatment start; ii) weaning from ventilation from before to day 15 of treatment; iii) absolute mean reduction in circulating concentrations of AChR</w:t>
            </w:r>
            <w:r w:rsidR="00803192" w:rsidRPr="007D1918">
              <w:rPr>
                <w:rFonts w:ascii="Arial Narrow" w:hAnsi="Arial Narrow"/>
                <w:sz w:val="18"/>
                <w:szCs w:val="18"/>
              </w:rPr>
              <w:t>Abs</w:t>
            </w:r>
            <w:r w:rsidRPr="007D1918">
              <w:rPr>
                <w:rFonts w:ascii="Arial Narrow" w:hAnsi="Arial Narrow"/>
                <w:sz w:val="18"/>
                <w:szCs w:val="18"/>
              </w:rPr>
              <w:t xml:space="preserve"> after treatment</w:t>
            </w:r>
          </w:p>
          <w:p w14:paraId="1850B593"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2. i) remission by 12 months after start of treatment; ii)delay of the first relapse</w:t>
            </w:r>
          </w:p>
          <w:p w14:paraId="6B529461"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3. AEs related to treatment including haemorrhage requiring blood transfusion or a surgical treatment, hypotension requiring vascular expansion, fever (&gt;38</w:t>
            </w:r>
            <w:r w:rsidRPr="007D1918">
              <w:rPr>
                <w:rFonts w:ascii="Arial Narrow" w:hAnsi="Arial Narrow"/>
                <w:sz w:val="18"/>
                <w:szCs w:val="18"/>
                <w:vertAlign w:val="superscript"/>
              </w:rPr>
              <w:t>o</w:t>
            </w:r>
            <w:r w:rsidRPr="007D1918">
              <w:rPr>
                <w:rFonts w:ascii="Arial Narrow" w:hAnsi="Arial Narrow"/>
                <w:sz w:val="18"/>
                <w:szCs w:val="18"/>
              </w:rPr>
              <w:t>C), acute renal failure, ascetic meningitis</w:t>
            </w:r>
          </w:p>
          <w:p w14:paraId="5A132E1F"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4. Treatment discontinuation due to AEs</w:t>
            </w:r>
          </w:p>
          <w:p w14:paraId="2CDD2FDB" w14:textId="77777777" w:rsidR="00B16A17" w:rsidRPr="007D1918" w:rsidRDefault="00B16A17" w:rsidP="00B16A17">
            <w:pPr>
              <w:spacing w:after="40" w:line="240" w:lineRule="auto"/>
              <w:rPr>
                <w:rFonts w:ascii="Arial Narrow" w:hAnsi="Arial Narrow"/>
                <w:sz w:val="18"/>
                <w:szCs w:val="18"/>
              </w:rPr>
            </w:pPr>
          </w:p>
        </w:tc>
        <w:tc>
          <w:tcPr>
            <w:tcW w:w="1701" w:type="dxa"/>
          </w:tcPr>
          <w:p w14:paraId="3C81C12C"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Meta-analysis planned but none performed due to differences in study populations and comparators</w:t>
            </w:r>
          </w:p>
          <w:p w14:paraId="58DC7BF1"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 xml:space="preserve">Subgroup analyses </w:t>
            </w:r>
          </w:p>
          <w:p w14:paraId="1D8BA6EB"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Patients becoming worse during the initiation of steroids</w:t>
            </w:r>
          </w:p>
          <w:p w14:paraId="118F3B19"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Patients treated before thymectomy</w:t>
            </w:r>
          </w:p>
          <w:p w14:paraId="3EDAEAA0"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Patients on IVIg or PE alone or who are simultaneously being treated with IVIg or PE and CS or IS drugs</w:t>
            </w:r>
          </w:p>
          <w:p w14:paraId="6F67CCF8" w14:textId="77777777" w:rsidR="00B16A17" w:rsidRPr="007D1918" w:rsidRDefault="00B16A17" w:rsidP="00B16A17">
            <w:pPr>
              <w:spacing w:after="40" w:line="240" w:lineRule="auto"/>
              <w:rPr>
                <w:rFonts w:ascii="Arial Narrow" w:hAnsi="Arial Narrow"/>
                <w:sz w:val="18"/>
                <w:szCs w:val="18"/>
              </w:rPr>
            </w:pPr>
          </w:p>
        </w:tc>
        <w:tc>
          <w:tcPr>
            <w:tcW w:w="1276" w:type="dxa"/>
          </w:tcPr>
          <w:p w14:paraId="7C2F45EB"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Assessment scales</w:t>
            </w:r>
          </w:p>
          <w:p w14:paraId="3C9A4414"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Oosterhuis class</w:t>
            </w:r>
          </w:p>
          <w:p w14:paraId="053288EA"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Osserman class</w:t>
            </w:r>
          </w:p>
          <w:p w14:paraId="7EBB1DB8"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QMGS (range: 0 (no MG findings) to 39 (most severe MG findings)</w:t>
            </w:r>
          </w:p>
          <w:p w14:paraId="46F689D9" w14:textId="77777777" w:rsidR="00B16A17" w:rsidRPr="007D1918" w:rsidRDefault="00B16A17" w:rsidP="00B16A17">
            <w:pPr>
              <w:spacing w:after="40" w:line="240" w:lineRule="auto"/>
              <w:rPr>
                <w:rFonts w:ascii="Arial Narrow" w:hAnsi="Arial Narrow"/>
                <w:sz w:val="18"/>
                <w:szCs w:val="18"/>
              </w:rPr>
            </w:pPr>
          </w:p>
          <w:p w14:paraId="7B132205" w14:textId="77777777" w:rsidR="00B16A17" w:rsidRPr="007D1918" w:rsidRDefault="00B16A17" w:rsidP="00B16A17">
            <w:pPr>
              <w:spacing w:after="40" w:line="240" w:lineRule="auto"/>
              <w:rPr>
                <w:rFonts w:ascii="Arial Narrow" w:hAnsi="Arial Narrow"/>
                <w:sz w:val="18"/>
                <w:szCs w:val="18"/>
              </w:rPr>
            </w:pPr>
          </w:p>
        </w:tc>
      </w:tr>
      <w:tr w:rsidR="00B16A17" w:rsidRPr="007D1918" w14:paraId="1EFD23B6" w14:textId="77777777" w:rsidTr="00B320A1">
        <w:trPr>
          <w:trHeight w:val="293"/>
        </w:trPr>
        <w:tc>
          <w:tcPr>
            <w:tcW w:w="1843" w:type="dxa"/>
            <w:tcBorders>
              <w:top w:val="single" w:sz="4" w:space="0" w:color="FFFFFF" w:themeColor="background1"/>
              <w:bottom w:val="single" w:sz="4" w:space="0" w:color="auto"/>
            </w:tcBorders>
          </w:tcPr>
          <w:p w14:paraId="18787154" w14:textId="63EE61C3"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Pr="007D1918">
              <w:rPr>
                <w:rFonts w:ascii="Arial Narrow" w:hAnsi="Arial Narrow"/>
                <w:sz w:val="18"/>
                <w:szCs w:val="18"/>
              </w:rPr>
              <w:instrText xml:space="preserve"> ADDIN EN.CITE </w:instrText>
            </w:r>
            <w:r w:rsidRPr="007D1918">
              <w:rPr>
                <w:rFonts w:ascii="Arial Narrow" w:hAnsi="Arial Narrow"/>
                <w:sz w:val="18"/>
                <w:szCs w:val="18"/>
              </w:rPr>
              <w:fldChar w:fldCharType="begin">
                <w:fldData xml:space="preserve">PEVuZE5vdGU+PENpdGU+PEF1dGhvcj5BbGFiZGFsaTwvQXV0aG9yPjxZZWFyPjIwMTQ8L1llYXI+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</w:fldData>
              </w:fldChar>
            </w:r>
            <w:r w:rsidRPr="007D1918">
              <w:rPr>
                <w:rFonts w:ascii="Arial Narrow" w:hAnsi="Arial Narrow"/>
                <w:sz w:val="18"/>
                <w:szCs w:val="18"/>
              </w:rPr>
              <w:instrText xml:space="preserve"> ADDIN EN.CITE.DATA </w:instrText>
            </w:r>
            <w:r w:rsidRPr="007D1918">
              <w:rPr>
                <w:rFonts w:ascii="Arial Narrow" w:hAnsi="Arial Narrow"/>
                <w:sz w:val="18"/>
                <w:szCs w:val="18"/>
              </w:rPr>
            </w:r>
            <w:r w:rsidRPr="007D1918">
              <w:rPr>
                <w:rFonts w:ascii="Arial Narrow" w:hAnsi="Arial Narrow"/>
                <w:sz w:val="18"/>
                <w:szCs w:val="18"/>
              </w:rPr>
              <w:fldChar w:fldCharType="end"/>
            </w:r>
            <w:r w:rsidRPr="007D1918">
              <w:rPr>
                <w:rFonts w:ascii="Arial Narrow" w:hAnsi="Arial Narrow"/>
                <w:sz w:val="18"/>
                <w:szCs w:val="18"/>
              </w:rPr>
            </w:r>
            <w:r w:rsidRPr="007D1918">
              <w:rPr>
                <w:rFonts w:ascii="Arial Narrow" w:hAnsi="Arial Narrow"/>
                <w:sz w:val="18"/>
                <w:szCs w:val="18"/>
              </w:rPr>
              <w:fldChar w:fldCharType="separate"/>
            </w:r>
            <w:r w:rsidRPr="007D1918">
              <w:rPr>
                <w:rFonts w:ascii="Arial Narrow" w:hAnsi="Arial Narrow"/>
                <w:sz w:val="18"/>
                <w:szCs w:val="18"/>
              </w:rPr>
              <w:t>(</w:t>
            </w:r>
            <w:hyperlink w:anchor="_ENREF_2" w:tooltip="Alabdali, 2014 #4" w:history="1">
              <w:r w:rsidR="007D4948" w:rsidRPr="007D1918">
                <w:rPr>
                  <w:rFonts w:ascii="Arial Narrow" w:hAnsi="Arial Narrow"/>
                  <w:sz w:val="18"/>
                  <w:szCs w:val="18"/>
                </w:rPr>
                <w:t>Alabdali et al. 2014</w:t>
              </w:r>
            </w:hyperlink>
            <w:r w:rsidRPr="007D1918">
              <w:rPr>
                <w:rFonts w:ascii="Arial Narrow" w:hAnsi="Arial Narrow"/>
                <w:sz w:val="18"/>
                <w:szCs w:val="18"/>
              </w:rPr>
              <w:t>)</w:t>
            </w:r>
            <w:r w:rsidRPr="007D1918">
              <w:rPr>
                <w:rFonts w:ascii="Arial Narrow" w:hAnsi="Arial Narrow"/>
                <w:sz w:val="18"/>
                <w:szCs w:val="18"/>
              </w:rPr>
              <w:fldChar w:fldCharType="end"/>
            </w:r>
          </w:p>
          <w:p w14:paraId="5FA0697F"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Canada </w:t>
            </w:r>
          </w:p>
          <w:p w14:paraId="27FC2001"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Level 1 study (SR of level II to IV studies)</w:t>
            </w:r>
          </w:p>
          <w:p w14:paraId="0E648B4D"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Quality: poor</w:t>
            </w:r>
          </w:p>
          <w:p w14:paraId="4240C0A5" w14:textId="77777777" w:rsidR="00B16A17" w:rsidRPr="007D1918" w:rsidRDefault="00B16A17" w:rsidP="00B16A17">
            <w:pPr>
              <w:spacing w:after="40" w:line="240" w:lineRule="auto"/>
              <w:rPr>
                <w:rFonts w:ascii="Arial Narrow" w:hAnsi="Arial Narrow"/>
                <w:sz w:val="18"/>
                <w:szCs w:val="18"/>
              </w:rPr>
            </w:pPr>
          </w:p>
        </w:tc>
        <w:tc>
          <w:tcPr>
            <w:tcW w:w="1559" w:type="dxa"/>
          </w:tcPr>
          <w:p w14:paraId="492B5235"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K = 8</w:t>
            </w:r>
          </w:p>
          <w:p w14:paraId="1DFD940C"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N = 529</w:t>
            </w:r>
          </w:p>
          <w:p w14:paraId="24254D34"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Objective</w:t>
            </w:r>
          </w:p>
          <w:p w14:paraId="460F8A40" w14:textId="148A3392"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To assess the efficacy of IVIg compared with placebo or </w:t>
            </w:r>
            <w:r w:rsidR="00902D07" w:rsidRPr="007D1918">
              <w:rPr>
                <w:rFonts w:ascii="Arial Narrow" w:hAnsi="Arial Narrow"/>
                <w:sz w:val="18"/>
                <w:szCs w:val="18"/>
              </w:rPr>
              <w:t>PE</w:t>
            </w:r>
            <w:r w:rsidRPr="007D1918">
              <w:rPr>
                <w:rFonts w:ascii="Arial Narrow" w:hAnsi="Arial Narrow"/>
                <w:sz w:val="18"/>
                <w:szCs w:val="18"/>
              </w:rPr>
              <w:t xml:space="preserve"> in patients myasthenia crisis, </w:t>
            </w:r>
          </w:p>
        </w:tc>
        <w:tc>
          <w:tcPr>
            <w:tcW w:w="2835" w:type="dxa"/>
          </w:tcPr>
          <w:p w14:paraId="5D37823B" w14:textId="2A54CFED"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Barth et al 2011</w:t>
            </w:r>
            <w:r w:rsidRPr="007D1918">
              <w:rPr>
                <w:rFonts w:ascii="Arial Narrow" w:hAnsi="Arial Narrow"/>
                <w:i/>
                <w:sz w:val="18"/>
                <w:szCs w:val="18"/>
                <w:lang w:val="en-US" w:eastAsia="ja-JP"/>
              </w:rPr>
              <w:br/>
            </w:r>
            <w:r w:rsidRPr="007D1918">
              <w:rPr>
                <w:rFonts w:ascii="Arial Narrow" w:hAnsi="Arial Narrow"/>
                <w:sz w:val="18"/>
                <w:szCs w:val="18"/>
                <w:lang w:val="en-US" w:eastAsia="ja-JP"/>
              </w:rPr>
              <w:t>(See Gajdos</w:t>
            </w:r>
            <w:r w:rsidR="0075378B" w:rsidRPr="007D1918">
              <w:rPr>
                <w:rFonts w:ascii="Arial Narrow" w:hAnsi="Arial Narrow"/>
                <w:sz w:val="18"/>
                <w:szCs w:val="18"/>
                <w:lang w:val="en-US" w:eastAsia="ja-JP"/>
              </w:rPr>
              <w:t>, Chevret &amp; Toyka</w:t>
            </w:r>
            <w:r w:rsidRPr="007D1918">
              <w:rPr>
                <w:rFonts w:ascii="Arial Narrow" w:hAnsi="Arial Narrow"/>
                <w:sz w:val="18"/>
                <w:szCs w:val="18"/>
                <w:lang w:val="en-US" w:eastAsia="ja-JP"/>
              </w:rPr>
              <w:t>, 2012)</w:t>
            </w:r>
          </w:p>
          <w:p w14:paraId="358BE820" w14:textId="1118008E"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Zinman</w:t>
            </w:r>
            <w:r w:rsidR="00154E38" w:rsidRPr="007D1918">
              <w:rPr>
                <w:rFonts w:ascii="Arial Narrow" w:hAnsi="Arial Narrow"/>
                <w:i/>
                <w:sz w:val="18"/>
                <w:szCs w:val="18"/>
                <w:lang w:val="en-US" w:eastAsia="ja-JP"/>
              </w:rPr>
              <w:t>, Ng and Bril</w:t>
            </w:r>
            <w:r w:rsidRPr="007D1918">
              <w:rPr>
                <w:rFonts w:ascii="Arial Narrow" w:hAnsi="Arial Narrow"/>
                <w:i/>
                <w:sz w:val="18"/>
                <w:szCs w:val="18"/>
                <w:lang w:val="en-US" w:eastAsia="ja-JP"/>
              </w:rPr>
              <w:t xml:space="preserve"> 2007</w:t>
            </w:r>
            <w:r w:rsidRPr="007D1918">
              <w:rPr>
                <w:rFonts w:ascii="Arial Narrow" w:hAnsi="Arial Narrow"/>
                <w:i/>
                <w:sz w:val="18"/>
                <w:szCs w:val="18"/>
                <w:lang w:val="en-US" w:eastAsia="ja-JP"/>
              </w:rPr>
              <w:br/>
            </w:r>
            <w:r w:rsidR="0075378B" w:rsidRPr="007D1918">
              <w:rPr>
                <w:rFonts w:ascii="Arial Narrow" w:hAnsi="Arial Narrow"/>
                <w:sz w:val="18"/>
                <w:szCs w:val="18"/>
                <w:lang w:val="en-US" w:eastAsia="ja-JP"/>
              </w:rPr>
              <w:t>(See Gajdos, Chevret &amp; Toyka, 2012)</w:t>
            </w:r>
          </w:p>
          <w:p w14:paraId="5354F388" w14:textId="4AFEE011"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Gajdos et al 2005</w:t>
            </w:r>
            <w:r w:rsidRPr="007D1918">
              <w:rPr>
                <w:rFonts w:ascii="Arial Narrow" w:hAnsi="Arial Narrow"/>
                <w:i/>
                <w:sz w:val="18"/>
                <w:szCs w:val="18"/>
                <w:lang w:val="en-US" w:eastAsia="ja-JP"/>
              </w:rPr>
              <w:br/>
            </w:r>
            <w:r w:rsidR="0075378B" w:rsidRPr="007D1918">
              <w:rPr>
                <w:rFonts w:ascii="Arial Narrow" w:hAnsi="Arial Narrow"/>
                <w:sz w:val="18"/>
                <w:szCs w:val="18"/>
                <w:lang w:val="en-US" w:eastAsia="ja-JP"/>
              </w:rPr>
              <w:t>(See Gajdos, Chevret &amp; Toyka, 2012)</w:t>
            </w:r>
          </w:p>
          <w:p w14:paraId="7D0F956C" w14:textId="143255D5"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R</w:t>
            </w:r>
            <w:r w:rsidR="00FC02BA" w:rsidRPr="007D1918">
              <w:rPr>
                <w:rFonts w:ascii="Arial Narrow" w:hAnsi="Arial Narrow"/>
                <w:i/>
                <w:sz w:val="18"/>
                <w:szCs w:val="18"/>
                <w:lang w:val="en-US" w:eastAsia="ja-JP"/>
              </w:rPr>
              <w:t>ø</w:t>
            </w:r>
            <w:r w:rsidRPr="007D1918">
              <w:rPr>
                <w:rFonts w:ascii="Arial Narrow" w:hAnsi="Arial Narrow"/>
                <w:i/>
                <w:sz w:val="18"/>
                <w:szCs w:val="18"/>
                <w:lang w:val="en-US" w:eastAsia="ja-JP"/>
              </w:rPr>
              <w:t>nager et al 2001</w:t>
            </w:r>
            <w:r w:rsidRPr="007D1918">
              <w:rPr>
                <w:rFonts w:ascii="Arial Narrow" w:hAnsi="Arial Narrow"/>
                <w:i/>
                <w:sz w:val="18"/>
                <w:szCs w:val="18"/>
                <w:lang w:val="en-US" w:eastAsia="ja-JP"/>
              </w:rPr>
              <w:br/>
            </w:r>
            <w:r w:rsidR="0075378B" w:rsidRPr="007D1918">
              <w:rPr>
                <w:rFonts w:ascii="Arial Narrow" w:hAnsi="Arial Narrow"/>
                <w:sz w:val="18"/>
                <w:szCs w:val="18"/>
                <w:lang w:val="en-US" w:eastAsia="ja-JP"/>
              </w:rPr>
              <w:t>(See Gajdos, Chevret &amp; Toyka, 2012)</w:t>
            </w:r>
          </w:p>
          <w:p w14:paraId="59E45B73" w14:textId="0D919AEF"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Gajdos et al 1997</w:t>
            </w:r>
            <w:r w:rsidRPr="007D1918">
              <w:rPr>
                <w:rFonts w:ascii="Arial Narrow" w:hAnsi="Arial Narrow"/>
                <w:i/>
                <w:sz w:val="18"/>
                <w:szCs w:val="18"/>
                <w:lang w:val="en-US" w:eastAsia="ja-JP"/>
              </w:rPr>
              <w:br/>
            </w:r>
            <w:r w:rsidR="0075378B" w:rsidRPr="007D1918">
              <w:rPr>
                <w:rFonts w:ascii="Arial Narrow" w:hAnsi="Arial Narrow"/>
                <w:sz w:val="18"/>
                <w:szCs w:val="18"/>
                <w:lang w:val="en-US" w:eastAsia="ja-JP"/>
              </w:rPr>
              <w:t>(See Gajdos, Chevret &amp; Toyka, 2012)</w:t>
            </w:r>
          </w:p>
          <w:p w14:paraId="28953780" w14:textId="77777777"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Hellmann et al, 2014</w:t>
            </w:r>
            <w:r w:rsidRPr="007D1918">
              <w:rPr>
                <w:rFonts w:ascii="Arial Narrow" w:hAnsi="Arial Narrow"/>
                <w:sz w:val="18"/>
                <w:szCs w:val="18"/>
                <w:lang w:val="en-US" w:eastAsia="ja-JP"/>
              </w:rPr>
              <w:br/>
              <w:t>Ret, N = 52</w:t>
            </w:r>
            <w:r w:rsidRPr="007D1918">
              <w:rPr>
                <w:rFonts w:ascii="Arial Narrow" w:hAnsi="Arial Narrow"/>
                <w:sz w:val="18"/>
                <w:szCs w:val="18"/>
                <w:lang w:val="en-US" w:eastAsia="ja-JP"/>
              </w:rPr>
              <w:br/>
              <w:t>IVIg for patients with chronic MG for a minimum of 1 year</w:t>
            </w:r>
          </w:p>
          <w:p w14:paraId="7F7EF27A" w14:textId="77777777" w:rsidR="00B16A17" w:rsidRPr="007D1918" w:rsidRDefault="00B16A17" w:rsidP="00B16A17">
            <w:pPr>
              <w:spacing w:after="40" w:line="240" w:lineRule="auto"/>
              <w:ind w:right="0"/>
              <w:rPr>
                <w:rFonts w:ascii="Arial Narrow" w:hAnsi="Arial Narrow"/>
                <w:sz w:val="18"/>
                <w:szCs w:val="18"/>
                <w:lang w:val="en-US" w:eastAsia="ja-JP"/>
              </w:rPr>
            </w:pPr>
            <w:r w:rsidRPr="007D1918">
              <w:rPr>
                <w:rFonts w:ascii="Arial Narrow" w:hAnsi="Arial Narrow"/>
                <w:i/>
                <w:sz w:val="18"/>
                <w:szCs w:val="18"/>
                <w:lang w:val="en-US" w:eastAsia="ja-JP"/>
              </w:rPr>
              <w:t>Liew et al, 2014</w:t>
            </w:r>
            <w:r w:rsidRPr="007D1918">
              <w:rPr>
                <w:rFonts w:ascii="Arial Narrow" w:hAnsi="Arial Narrow"/>
                <w:sz w:val="18"/>
                <w:szCs w:val="18"/>
                <w:lang w:val="en-US" w:eastAsia="ja-JP"/>
              </w:rPr>
              <w:br/>
              <w:t>Ret CCoh, N = 54</w:t>
            </w:r>
            <w:r w:rsidRPr="007D1918">
              <w:rPr>
                <w:rFonts w:ascii="Arial Narrow" w:hAnsi="Arial Narrow"/>
                <w:sz w:val="18"/>
                <w:szCs w:val="18"/>
                <w:lang w:val="en-US" w:eastAsia="ja-JP"/>
              </w:rPr>
              <w:br/>
              <w:t>IVIg vs PE  as treatments for chromic MG in children and adolescents</w:t>
            </w:r>
          </w:p>
          <w:p w14:paraId="44292F60" w14:textId="052DE7A7" w:rsidR="00B16A17" w:rsidRPr="007D1918" w:rsidRDefault="00B16A17" w:rsidP="00B16A17">
            <w:pPr>
              <w:spacing w:after="40" w:line="240" w:lineRule="auto"/>
              <w:ind w:right="0"/>
              <w:rPr>
                <w:rFonts w:ascii="Arial Narrow" w:hAnsi="Arial Narrow" w:cs="Times New Roman"/>
                <w:sz w:val="18"/>
                <w:szCs w:val="18"/>
                <w:lang w:val="en-US" w:eastAsia="en-US"/>
              </w:rPr>
            </w:pPr>
            <w:r w:rsidRPr="007D1918">
              <w:rPr>
                <w:rFonts w:ascii="Arial Narrow" w:hAnsi="Arial Narrow"/>
                <w:i/>
                <w:sz w:val="18"/>
                <w:szCs w:val="18"/>
                <w:lang w:val="en-US" w:eastAsia="ja-JP"/>
              </w:rPr>
              <w:t>Eienbr</w:t>
            </w:r>
            <w:r w:rsidR="00FC02BA" w:rsidRPr="007D1918">
              <w:rPr>
                <w:rFonts w:ascii="Arial Narrow" w:hAnsi="Arial Narrow"/>
                <w:i/>
                <w:sz w:val="18"/>
                <w:szCs w:val="18"/>
                <w:lang w:val="en-US" w:eastAsia="ja-JP"/>
              </w:rPr>
              <w:t>ö</w:t>
            </w:r>
            <w:r w:rsidRPr="007D1918">
              <w:rPr>
                <w:rFonts w:ascii="Arial Narrow" w:hAnsi="Arial Narrow"/>
                <w:i/>
                <w:sz w:val="18"/>
                <w:szCs w:val="18"/>
                <w:lang w:val="en-US" w:eastAsia="ja-JP"/>
              </w:rPr>
              <w:t>ker et al, 2014</w:t>
            </w:r>
            <w:r w:rsidRPr="007D1918">
              <w:rPr>
                <w:rFonts w:ascii="Arial Narrow" w:hAnsi="Arial Narrow"/>
                <w:sz w:val="18"/>
                <w:szCs w:val="18"/>
                <w:lang w:val="en-US" w:eastAsia="ja-JP"/>
              </w:rPr>
              <w:br/>
              <w:t>POb, N = 16</w:t>
            </w:r>
            <w:r w:rsidRPr="007D1918">
              <w:rPr>
                <w:rFonts w:ascii="Arial Narrow" w:hAnsi="Arial Narrow"/>
                <w:sz w:val="18"/>
                <w:szCs w:val="18"/>
                <w:lang w:val="en-US" w:eastAsia="ja-JP"/>
              </w:rPr>
              <w:br/>
              <w:t>IVIg 2g/kg, then 0.4 g/kg Q4-12 weeks as maintenance therapy</w:t>
            </w:r>
          </w:p>
        </w:tc>
        <w:tc>
          <w:tcPr>
            <w:tcW w:w="1418" w:type="dxa"/>
          </w:tcPr>
          <w:p w14:paraId="7B0B55DB" w14:textId="004D3E44"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RCTs, controlled cohort studies and ret</w:t>
            </w:r>
            <w:r w:rsidR="00816750" w:rsidRPr="007D1918">
              <w:rPr>
                <w:rFonts w:ascii="Arial Narrow" w:hAnsi="Arial Narrow"/>
                <w:sz w:val="18"/>
                <w:szCs w:val="18"/>
              </w:rPr>
              <w:t>rospective case series for NBA I</w:t>
            </w:r>
            <w:r w:rsidRPr="007D1918">
              <w:rPr>
                <w:rFonts w:ascii="Arial Narrow" w:hAnsi="Arial Narrow"/>
                <w:sz w:val="18"/>
                <w:szCs w:val="18"/>
              </w:rPr>
              <w:t>ndications 1 &amp; 3</w:t>
            </w:r>
          </w:p>
          <w:p w14:paraId="7CE9A68B"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1. Patients with acute or severe MG disease flare ups (myasthenic crisis)</w:t>
            </w:r>
          </w:p>
          <w:p w14:paraId="2AA72998"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3. worsening moderate to severe disease or on therapy for chronic disease  </w:t>
            </w:r>
          </w:p>
        </w:tc>
        <w:tc>
          <w:tcPr>
            <w:tcW w:w="1559" w:type="dxa"/>
          </w:tcPr>
          <w:p w14:paraId="69F372E0"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Intervention</w:t>
            </w:r>
          </w:p>
          <w:p w14:paraId="3B8AE03B"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IVIg</w:t>
            </w:r>
          </w:p>
          <w:p w14:paraId="59C8FDA4"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Comparator</w:t>
            </w:r>
          </w:p>
          <w:p w14:paraId="0EB75DFD"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PE</w:t>
            </w:r>
          </w:p>
          <w:p w14:paraId="2B9D6B7C"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Placebo</w:t>
            </w:r>
          </w:p>
          <w:p w14:paraId="51312CD8"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IVIg (dose comparison)</w:t>
            </w:r>
          </w:p>
          <w:p w14:paraId="6692282B" w14:textId="77777777" w:rsidR="00B16A17" w:rsidRPr="007D1918" w:rsidRDefault="00B16A17" w:rsidP="00B16A17">
            <w:pPr>
              <w:spacing w:after="40" w:line="240" w:lineRule="auto"/>
              <w:rPr>
                <w:rFonts w:ascii="Arial Narrow" w:hAnsi="Arial Narrow"/>
                <w:sz w:val="18"/>
                <w:szCs w:val="18"/>
              </w:rPr>
            </w:pPr>
          </w:p>
        </w:tc>
        <w:tc>
          <w:tcPr>
            <w:tcW w:w="2977" w:type="dxa"/>
          </w:tcPr>
          <w:p w14:paraId="101BE153"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Primary outcome</w:t>
            </w:r>
          </w:p>
          <w:p w14:paraId="189FEF9E"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Change in MG status at d 7, 14 or 15 post start of treatment (QMGS, MMS, MGFA, clinical evaluation)</w:t>
            </w:r>
          </w:p>
          <w:p w14:paraId="4AB8384B"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Secondary outcome</w:t>
            </w:r>
          </w:p>
          <w:p w14:paraId="1854826B" w14:textId="199CCB10"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Change in MG status at d 21 or 28, or at 24 m (SFEMG, PIS QMGS, A</w:t>
            </w:r>
            <w:r w:rsidR="00803192" w:rsidRPr="007D1918">
              <w:rPr>
                <w:rFonts w:ascii="Arial Narrow" w:hAnsi="Arial Narrow"/>
                <w:sz w:val="18"/>
                <w:szCs w:val="18"/>
              </w:rPr>
              <w:t>C</w:t>
            </w:r>
            <w:r w:rsidRPr="007D1918">
              <w:rPr>
                <w:rFonts w:ascii="Arial Narrow" w:hAnsi="Arial Narrow"/>
                <w:sz w:val="18"/>
                <w:szCs w:val="18"/>
              </w:rPr>
              <w:t>hRAb)</w:t>
            </w:r>
          </w:p>
          <w:p w14:paraId="7D1C0F4B"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Adverse events</w:t>
            </w:r>
          </w:p>
        </w:tc>
        <w:tc>
          <w:tcPr>
            <w:tcW w:w="1701" w:type="dxa"/>
          </w:tcPr>
          <w:p w14:paraId="3883BAF0"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No meta-analysis was performed</w:t>
            </w:r>
          </w:p>
          <w:p w14:paraId="30A76B6B"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Subgroup analysis</w:t>
            </w:r>
          </w:p>
          <w:p w14:paraId="21D0C6BC"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Juveniles with MG</w:t>
            </w:r>
          </w:p>
        </w:tc>
        <w:tc>
          <w:tcPr>
            <w:tcW w:w="1276" w:type="dxa"/>
          </w:tcPr>
          <w:p w14:paraId="6164CC1F"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Assessment scales</w:t>
            </w:r>
          </w:p>
          <w:p w14:paraId="72F7B972"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QMGS</w:t>
            </w:r>
          </w:p>
          <w:p w14:paraId="249231BE"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MMS</w:t>
            </w:r>
          </w:p>
          <w:p w14:paraId="178B0C16"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SFEMG</w:t>
            </w:r>
          </w:p>
          <w:p w14:paraId="4C5B5519" w14:textId="5BB18650"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A</w:t>
            </w:r>
            <w:r w:rsidR="007D77DC" w:rsidRPr="007D1918">
              <w:rPr>
                <w:rFonts w:ascii="Arial Narrow" w:hAnsi="Arial Narrow"/>
                <w:sz w:val="18"/>
                <w:szCs w:val="18"/>
              </w:rPr>
              <w:t>C</w:t>
            </w:r>
            <w:r w:rsidRPr="007D1918">
              <w:rPr>
                <w:rFonts w:ascii="Arial Narrow" w:hAnsi="Arial Narrow"/>
                <w:sz w:val="18"/>
                <w:szCs w:val="18"/>
              </w:rPr>
              <w:t>hRAb</w:t>
            </w:r>
          </w:p>
          <w:p w14:paraId="66DC8742"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Clinical  status</w:t>
            </w:r>
          </w:p>
          <w:p w14:paraId="353DCD63"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PIS</w:t>
            </w:r>
          </w:p>
        </w:tc>
      </w:tr>
      <w:tr w:rsidR="00B16A17" w:rsidRPr="007D1918" w14:paraId="6B1A2405" w14:textId="77777777" w:rsidTr="00B320A1">
        <w:trPr>
          <w:trHeight w:val="293"/>
        </w:trPr>
        <w:tc>
          <w:tcPr>
            <w:tcW w:w="1843" w:type="dxa"/>
            <w:tcBorders>
              <w:bottom w:val="single" w:sz="4" w:space="0" w:color="auto"/>
            </w:tcBorders>
          </w:tcPr>
          <w:p w14:paraId="704FC14D" w14:textId="59F679CD"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lastRenderedPageBreak/>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C437BA" w:rsidRPr="007D1918">
              <w:rPr>
                <w:rFonts w:ascii="Arial Narrow" w:hAnsi="Arial Narrow"/>
                <w:sz w:val="18"/>
                <w:szCs w:val="18"/>
              </w:rPr>
              <w:instrText xml:space="preserve"> ADDIN EN.CITE </w:instrText>
            </w:r>
            <w:r w:rsidR="00C437BA" w:rsidRPr="007D1918">
              <w:rPr>
                <w:rFonts w:ascii="Arial Narrow" w:hAnsi="Arial Narrow"/>
                <w:sz w:val="18"/>
                <w:szCs w:val="18"/>
              </w:rPr>
              <w:fldChar w:fldCharType="begin">
                <w:fldData xml:space="preserve">PEVuZE5vdGU+PENpdGU+PEF1dGhvcj5PcnRpei1TYWxhczwvQXV0aG9yPjxZZWFyPjIwMTY8L1ll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</w:fldData>
              </w:fldChar>
            </w:r>
            <w:r w:rsidR="00C437BA" w:rsidRPr="007D1918">
              <w:rPr>
                <w:rFonts w:ascii="Arial Narrow" w:hAnsi="Arial Narrow"/>
                <w:sz w:val="18"/>
                <w:szCs w:val="18"/>
              </w:rPr>
              <w:instrText xml:space="preserve"> ADDIN EN.CITE.DATA </w:instrText>
            </w:r>
            <w:r w:rsidR="00C437BA" w:rsidRPr="007D1918">
              <w:rPr>
                <w:rFonts w:ascii="Arial Narrow" w:hAnsi="Arial Narrow"/>
                <w:sz w:val="18"/>
                <w:szCs w:val="18"/>
              </w:rPr>
            </w:r>
            <w:r w:rsidR="00C437BA" w:rsidRPr="007D1918">
              <w:rPr>
                <w:rFonts w:ascii="Arial Narrow" w:hAnsi="Arial Narrow"/>
                <w:sz w:val="18"/>
                <w:szCs w:val="18"/>
              </w:rPr>
              <w:fldChar w:fldCharType="end"/>
            </w:r>
            <w:r w:rsidRPr="007D1918">
              <w:rPr>
                <w:rFonts w:ascii="Arial Narrow" w:hAnsi="Arial Narrow"/>
                <w:sz w:val="18"/>
                <w:szCs w:val="18"/>
              </w:rPr>
            </w:r>
            <w:r w:rsidRPr="007D1918">
              <w:rPr>
                <w:rFonts w:ascii="Arial Narrow" w:hAnsi="Arial Narrow"/>
                <w:sz w:val="18"/>
                <w:szCs w:val="18"/>
              </w:rPr>
              <w:fldChar w:fldCharType="separate"/>
            </w:r>
            <w:r w:rsidRPr="007D1918">
              <w:rPr>
                <w:rFonts w:ascii="Arial Narrow" w:hAnsi="Arial Narrow"/>
                <w:noProof/>
                <w:sz w:val="18"/>
                <w:szCs w:val="18"/>
              </w:rPr>
              <w:t>(</w:t>
            </w:r>
            <w:hyperlink w:anchor="_ENREF_74" w:tooltip="Ortiz-Salas, 2016 #2" w:history="1">
              <w:r w:rsidR="007D4948" w:rsidRPr="007D1918">
                <w:rPr>
                  <w:rFonts w:ascii="Arial Narrow" w:hAnsi="Arial Narrow"/>
                  <w:noProof/>
                  <w:sz w:val="18"/>
                  <w:szCs w:val="18"/>
                </w:rPr>
                <w:t>Ortiz-Salas et al. 2016</w:t>
              </w:r>
            </w:hyperlink>
            <w:r w:rsidRPr="007D1918">
              <w:rPr>
                <w:rFonts w:ascii="Arial Narrow" w:hAnsi="Arial Narrow"/>
                <w:noProof/>
                <w:sz w:val="18"/>
                <w:szCs w:val="18"/>
              </w:rPr>
              <w:t>)</w:t>
            </w:r>
            <w:r w:rsidRPr="007D1918">
              <w:rPr>
                <w:rFonts w:ascii="Arial Narrow" w:hAnsi="Arial Narrow"/>
                <w:sz w:val="18"/>
                <w:szCs w:val="18"/>
              </w:rPr>
              <w:fldChar w:fldCharType="end"/>
            </w:r>
          </w:p>
          <w:p w14:paraId="3EB78C0D"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Level I study (Meta-analysis of RCTs and SR of RCTs and observational studies)</w:t>
            </w:r>
          </w:p>
          <w:p w14:paraId="2284A9EA"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Quality: Low</w:t>
            </w:r>
          </w:p>
        </w:tc>
        <w:tc>
          <w:tcPr>
            <w:tcW w:w="1559" w:type="dxa"/>
          </w:tcPr>
          <w:p w14:paraId="56772BA8"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K = 10</w:t>
            </w:r>
          </w:p>
          <w:p w14:paraId="34D2A7F8"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 xml:space="preserve">N = </w:t>
            </w:r>
          </w:p>
          <w:p w14:paraId="1082AA11"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Objective</w:t>
            </w:r>
          </w:p>
          <w:p w14:paraId="7FC300E6"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To carry out a meta-analysis to evaluate the existing evidence that compares the efficacy and the side effects over a short time period of PE vs IVIg in the management of MG</w:t>
            </w:r>
          </w:p>
        </w:tc>
        <w:tc>
          <w:tcPr>
            <w:tcW w:w="2835" w:type="dxa"/>
          </w:tcPr>
          <w:p w14:paraId="770676A1" w14:textId="77777777" w:rsidR="00B16A17" w:rsidRPr="007D1918" w:rsidRDefault="00B16A17" w:rsidP="00B16A17">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Barth et al 2011</w:t>
            </w:r>
          </w:p>
          <w:p w14:paraId="636E9A02" w14:textId="77777777" w:rsidR="00991945" w:rsidRPr="007D1918" w:rsidRDefault="00991945" w:rsidP="00B16A17">
            <w:pPr>
              <w:spacing w:after="40" w:line="240" w:lineRule="auto"/>
              <w:rPr>
                <w:rFonts w:ascii="Arial Narrow" w:hAnsi="Arial Narrow"/>
                <w:sz w:val="18"/>
                <w:szCs w:val="18"/>
                <w:lang w:val="en-US" w:eastAsia="ja-JP"/>
              </w:rPr>
            </w:pPr>
            <w:r w:rsidRPr="007D1918">
              <w:rPr>
                <w:rFonts w:ascii="Arial Narrow" w:hAnsi="Arial Narrow"/>
                <w:sz w:val="18"/>
                <w:szCs w:val="18"/>
                <w:lang w:val="en-US" w:eastAsia="ja-JP"/>
              </w:rPr>
              <w:t>(See Gajdos, Chevret &amp; Toyka, 2012)</w:t>
            </w:r>
          </w:p>
          <w:p w14:paraId="1BA89D12" w14:textId="77777777" w:rsidR="00991945" w:rsidRPr="007D1918" w:rsidRDefault="00991945" w:rsidP="00991945">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Gajdos et al 1997</w:t>
            </w:r>
          </w:p>
          <w:p w14:paraId="2E9E8844" w14:textId="77777777" w:rsidR="00991945" w:rsidRPr="007D1918" w:rsidRDefault="00991945" w:rsidP="00991945">
            <w:pPr>
              <w:spacing w:after="40" w:line="240" w:lineRule="auto"/>
              <w:rPr>
                <w:rFonts w:ascii="Arial Narrow" w:hAnsi="Arial Narrow"/>
                <w:sz w:val="18"/>
                <w:szCs w:val="18"/>
                <w:lang w:val="en-US" w:eastAsia="ja-JP"/>
              </w:rPr>
            </w:pPr>
            <w:r w:rsidRPr="007D1918">
              <w:rPr>
                <w:rFonts w:ascii="Arial Narrow" w:hAnsi="Arial Narrow"/>
                <w:sz w:val="18"/>
                <w:szCs w:val="18"/>
                <w:lang w:val="en-US" w:eastAsia="ja-JP"/>
              </w:rPr>
              <w:t>(See Gajdos, Chevret &amp; Toyka, 2012)</w:t>
            </w:r>
          </w:p>
          <w:p w14:paraId="3B0C8AB4" w14:textId="77777777" w:rsidR="00991945" w:rsidRPr="007D1918" w:rsidRDefault="00991945" w:rsidP="00991945">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Rønager et al 2001</w:t>
            </w:r>
          </w:p>
          <w:p w14:paraId="6B31E3D8" w14:textId="77777777" w:rsidR="00991945" w:rsidRPr="007D1918" w:rsidRDefault="00991945" w:rsidP="00991945">
            <w:pPr>
              <w:spacing w:after="40" w:line="240" w:lineRule="auto"/>
              <w:rPr>
                <w:rFonts w:ascii="Arial Narrow" w:hAnsi="Arial Narrow"/>
                <w:sz w:val="18"/>
                <w:szCs w:val="18"/>
                <w:lang w:val="en-US" w:eastAsia="ja-JP"/>
              </w:rPr>
            </w:pPr>
            <w:r w:rsidRPr="007D1918">
              <w:rPr>
                <w:rFonts w:ascii="Arial Narrow" w:hAnsi="Arial Narrow"/>
                <w:sz w:val="18"/>
                <w:szCs w:val="18"/>
                <w:lang w:val="en-US" w:eastAsia="ja-JP"/>
              </w:rPr>
              <w:t>(See Gajdos, Chevret &amp; Toyka, 2012)</w:t>
            </w:r>
          </w:p>
          <w:p w14:paraId="3DF099E9" w14:textId="25172575" w:rsidR="00B16A17" w:rsidRPr="007D1918" w:rsidRDefault="00B16A17" w:rsidP="00B16A17">
            <w:pPr>
              <w:spacing w:after="40" w:line="240" w:lineRule="auto"/>
              <w:rPr>
                <w:rFonts w:ascii="Arial Narrow" w:hAnsi="Arial Narrow"/>
                <w:sz w:val="18"/>
                <w:szCs w:val="18"/>
                <w:lang w:val="en-US" w:eastAsia="ja-JP"/>
              </w:rPr>
            </w:pPr>
            <w:r w:rsidRPr="007D1918">
              <w:rPr>
                <w:rFonts w:ascii="Arial Narrow" w:hAnsi="Arial Narrow"/>
                <w:i/>
                <w:sz w:val="18"/>
                <w:szCs w:val="18"/>
                <w:lang w:val="en-US" w:eastAsia="ja-JP"/>
              </w:rPr>
              <w:t>Mandawat et al 2010</w:t>
            </w:r>
            <w:r w:rsidRPr="007D1918">
              <w:rPr>
                <w:rFonts w:ascii="Arial Narrow" w:hAnsi="Arial Narrow"/>
                <w:i/>
                <w:sz w:val="18"/>
                <w:szCs w:val="18"/>
                <w:lang w:val="en-US" w:eastAsia="ja-JP"/>
              </w:rPr>
              <w:br/>
            </w:r>
            <w:r w:rsidRPr="007D1918">
              <w:rPr>
                <w:rFonts w:ascii="Arial Narrow" w:hAnsi="Arial Narrow"/>
                <w:sz w:val="18"/>
                <w:szCs w:val="18"/>
                <w:lang w:val="en-US" w:eastAsia="ja-JP"/>
              </w:rPr>
              <w:t>Retrospective study, N = 1606 patients hospitalis</w:t>
            </w:r>
            <w:r w:rsidRPr="007D1918">
              <w:rPr>
                <w:rFonts w:ascii="Arial Narrow" w:hAnsi="Arial Narrow"/>
                <w:sz w:val="18"/>
                <w:szCs w:val="18"/>
                <w:lang w:eastAsia="ja-JP"/>
              </w:rPr>
              <w:t>ed between 2000 – 2005 with severe stable chronic MG or myasthenic crisis</w:t>
            </w:r>
            <w:r w:rsidRPr="007D1918">
              <w:rPr>
                <w:rFonts w:ascii="Arial Narrow" w:hAnsi="Arial Narrow"/>
                <w:sz w:val="18"/>
                <w:szCs w:val="18"/>
                <w:lang w:val="en-US" w:eastAsia="ja-JP"/>
              </w:rPr>
              <w:br/>
              <w:t>IVIg vs PE: n = 340 vs n=1266, respectively</w:t>
            </w:r>
          </w:p>
          <w:p w14:paraId="3B75B037" w14:textId="4BFFB8A1" w:rsidR="00B16A17" w:rsidRPr="007D1918" w:rsidRDefault="00B16A17" w:rsidP="00B16A17">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Liu et al 2009</w:t>
            </w:r>
          </w:p>
          <w:p w14:paraId="2CF5EF3F" w14:textId="77777777" w:rsidR="00B16A17" w:rsidRPr="007D1918" w:rsidRDefault="00B16A17" w:rsidP="00B16A17">
            <w:pPr>
              <w:spacing w:after="40" w:line="240" w:lineRule="auto"/>
              <w:rPr>
                <w:rFonts w:ascii="Arial Narrow" w:hAnsi="Arial Narrow"/>
                <w:sz w:val="18"/>
                <w:szCs w:val="18"/>
                <w:lang w:val="en-US" w:eastAsia="ja-JP"/>
              </w:rPr>
            </w:pPr>
            <w:r w:rsidRPr="007D1918">
              <w:rPr>
                <w:rFonts w:ascii="Arial Narrow" w:hAnsi="Arial Narrow"/>
                <w:sz w:val="18"/>
                <w:szCs w:val="18"/>
                <w:lang w:val="en-US" w:eastAsia="ja-JP"/>
              </w:rPr>
              <w:t>RCT, N = 30 late-onset MG patients (mean age 53 years)</w:t>
            </w:r>
            <w:r w:rsidRPr="007D1918">
              <w:rPr>
                <w:rFonts w:ascii="Arial Narrow" w:hAnsi="Arial Narrow"/>
                <w:sz w:val="18"/>
                <w:szCs w:val="18"/>
                <w:lang w:val="en-US" w:eastAsia="ja-JP"/>
              </w:rPr>
              <w:br/>
              <w:t>IVIg vs PE: n = 15 both groups</w:t>
            </w:r>
          </w:p>
          <w:p w14:paraId="71E7FF61" w14:textId="77777777" w:rsidR="00B16A17" w:rsidRPr="007D1918" w:rsidRDefault="00B16A17" w:rsidP="00B16A17">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Perez-Nellar et al 2001</w:t>
            </w:r>
          </w:p>
          <w:p w14:paraId="6C3D0E9E" w14:textId="77777777" w:rsidR="00B16A17" w:rsidRPr="007D1918" w:rsidRDefault="00B16A17" w:rsidP="00B16A17">
            <w:pPr>
              <w:spacing w:after="40" w:line="240" w:lineRule="auto"/>
              <w:rPr>
                <w:rFonts w:ascii="Arial Narrow" w:hAnsi="Arial Narrow"/>
                <w:sz w:val="18"/>
                <w:szCs w:val="18"/>
                <w:lang w:val="en-US" w:eastAsia="ja-JP"/>
              </w:rPr>
            </w:pPr>
            <w:r w:rsidRPr="007D1918">
              <w:rPr>
                <w:rFonts w:ascii="Arial Narrow" w:hAnsi="Arial Narrow"/>
                <w:sz w:val="18"/>
                <w:szCs w:val="18"/>
                <w:lang w:val="en-US" w:eastAsia="ja-JP"/>
              </w:rPr>
              <w:t xml:space="preserve">Retrospective study; N = 71 MG patients </w:t>
            </w:r>
            <w:r w:rsidRPr="007D1918">
              <w:rPr>
                <w:rFonts w:ascii="Arial Narrow" w:hAnsi="Arial Narrow"/>
                <w:sz w:val="18"/>
                <w:szCs w:val="18"/>
                <w:lang w:val="en-US" w:eastAsia="ja-JP"/>
              </w:rPr>
              <w:br/>
            </w:r>
            <w:r w:rsidRPr="007D1918">
              <w:rPr>
                <w:rFonts w:ascii="Arial Narrow" w:hAnsi="Arial Narrow"/>
                <w:sz w:val="18"/>
                <w:szCs w:val="18"/>
                <w:lang w:eastAsia="ja-JP"/>
              </w:rPr>
              <w:t>33 MG patients treated with IVIg (prospective)</w:t>
            </w:r>
            <w:r w:rsidRPr="007D1918">
              <w:rPr>
                <w:rFonts w:ascii="Arial Narrow" w:hAnsi="Arial Narrow"/>
                <w:sz w:val="18"/>
                <w:szCs w:val="18"/>
                <w:lang w:val="en-US" w:eastAsia="ja-JP"/>
              </w:rPr>
              <w:t xml:space="preserve"> and </w:t>
            </w:r>
            <w:r w:rsidRPr="007D1918">
              <w:rPr>
                <w:rFonts w:ascii="Arial Narrow" w:hAnsi="Arial Narrow"/>
                <w:sz w:val="18"/>
                <w:szCs w:val="18"/>
                <w:lang w:eastAsia="ja-JP"/>
              </w:rPr>
              <w:t>38 medical records of patients managed with PE during the perioperative period before thymectomy</w:t>
            </w:r>
          </w:p>
          <w:p w14:paraId="7D66B044" w14:textId="77777777" w:rsidR="00B16A17" w:rsidRPr="007D1918" w:rsidRDefault="00B16A17" w:rsidP="00B16A17">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Jensen et al 2008</w:t>
            </w:r>
          </w:p>
          <w:p w14:paraId="67851E0E" w14:textId="77777777" w:rsidR="00B16A17" w:rsidRPr="007D1918" w:rsidRDefault="00B16A17" w:rsidP="00B16A17">
            <w:pPr>
              <w:spacing w:after="40" w:line="240" w:lineRule="auto"/>
              <w:rPr>
                <w:rFonts w:ascii="Arial Narrow" w:hAnsi="Arial Narrow"/>
                <w:i/>
                <w:sz w:val="18"/>
                <w:szCs w:val="18"/>
                <w:lang w:val="en-US" w:eastAsia="ja-JP"/>
              </w:rPr>
            </w:pPr>
            <w:r w:rsidRPr="007D1918">
              <w:rPr>
                <w:rFonts w:ascii="Arial Narrow" w:hAnsi="Arial Narrow"/>
                <w:sz w:val="18"/>
                <w:szCs w:val="18"/>
                <w:lang w:val="en-US" w:eastAsia="ja-JP"/>
              </w:rPr>
              <w:t>Retrospective study; N = 43 pre-operative patients with MG of whom 9 received IVIG alone and were matched to 9 who received PE alone</w:t>
            </w:r>
          </w:p>
          <w:p w14:paraId="78DEFAF0" w14:textId="77777777" w:rsidR="00B16A17" w:rsidRPr="007D1918" w:rsidRDefault="00B16A17" w:rsidP="00B16A17">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Pittayanoon et al 2009</w:t>
            </w:r>
          </w:p>
          <w:p w14:paraId="1D4DD30F" w14:textId="77777777" w:rsidR="00B16A17" w:rsidRPr="007D1918" w:rsidRDefault="00B16A17" w:rsidP="00B16A17">
            <w:pPr>
              <w:spacing w:after="40" w:line="240" w:lineRule="auto"/>
              <w:rPr>
                <w:rFonts w:ascii="Arial Narrow" w:hAnsi="Arial Narrow"/>
                <w:sz w:val="18"/>
                <w:szCs w:val="18"/>
                <w:lang w:val="en-US" w:eastAsia="ja-JP"/>
              </w:rPr>
            </w:pPr>
            <w:r w:rsidRPr="007D1918">
              <w:rPr>
                <w:rFonts w:ascii="Arial Narrow" w:hAnsi="Arial Narrow"/>
                <w:sz w:val="18"/>
                <w:szCs w:val="18"/>
                <w:lang w:val="en-US" w:eastAsia="ja-JP"/>
              </w:rPr>
              <w:t>Retrospective study; N = 33 patients with myasthenic crisis reviewed between 2001 and 2006</w:t>
            </w:r>
            <w:r w:rsidRPr="007D1918">
              <w:rPr>
                <w:rFonts w:ascii="Arial Narrow" w:hAnsi="Arial Narrow"/>
                <w:sz w:val="18"/>
                <w:szCs w:val="18"/>
                <w:lang w:val="en-US" w:eastAsia="ja-JP"/>
              </w:rPr>
              <w:br/>
              <w:t>IVIg vs PE: n = 10 and n = 23, respectively</w:t>
            </w:r>
          </w:p>
          <w:p w14:paraId="4DA6A251" w14:textId="77777777" w:rsidR="00B16A17" w:rsidRPr="007D1918" w:rsidRDefault="00B16A17" w:rsidP="00B16A17">
            <w:pPr>
              <w:spacing w:after="40" w:line="240" w:lineRule="auto"/>
              <w:rPr>
                <w:rFonts w:ascii="Arial Narrow" w:hAnsi="Arial Narrow"/>
                <w:i/>
                <w:sz w:val="18"/>
                <w:szCs w:val="18"/>
                <w:lang w:val="en-US" w:eastAsia="ja-JP"/>
              </w:rPr>
            </w:pPr>
            <w:r w:rsidRPr="007D1918">
              <w:rPr>
                <w:rFonts w:ascii="Arial Narrow" w:hAnsi="Arial Narrow"/>
                <w:i/>
                <w:sz w:val="18"/>
                <w:szCs w:val="18"/>
                <w:lang w:val="en-US" w:eastAsia="ja-JP"/>
              </w:rPr>
              <w:t>Murthy et al 2005</w:t>
            </w:r>
          </w:p>
          <w:p w14:paraId="0CADDC4A" w14:textId="77777777" w:rsidR="00B16A17" w:rsidRPr="007D1918" w:rsidRDefault="00B16A17" w:rsidP="00B16A17">
            <w:pPr>
              <w:spacing w:after="40" w:line="240" w:lineRule="auto"/>
              <w:rPr>
                <w:rFonts w:ascii="Arial Narrow" w:hAnsi="Arial Narrow"/>
                <w:sz w:val="18"/>
                <w:szCs w:val="18"/>
                <w:lang w:eastAsia="ja-JP"/>
              </w:rPr>
            </w:pPr>
            <w:r w:rsidRPr="007D1918">
              <w:rPr>
                <w:rFonts w:ascii="Arial Narrow" w:hAnsi="Arial Narrow"/>
                <w:sz w:val="18"/>
                <w:szCs w:val="18"/>
                <w:lang w:val="en-US" w:eastAsia="ja-JP"/>
              </w:rPr>
              <w:lastRenderedPageBreak/>
              <w:t>Retrospective study, N = 21 patients (9 with thymoma) with 23 episodes of myasthenic crisis</w:t>
            </w:r>
            <w:r w:rsidRPr="007D1918">
              <w:rPr>
                <w:rFonts w:ascii="Arial Narrow" w:hAnsi="Arial Narrow"/>
                <w:sz w:val="18"/>
                <w:szCs w:val="18"/>
                <w:lang w:val="en-US" w:eastAsia="ja-JP"/>
              </w:rPr>
              <w:br/>
              <w:t>IVIg vs PE: n = 8 and n = 15 episodes treated, respectively</w:t>
            </w:r>
            <w:r w:rsidRPr="007D1918">
              <w:rPr>
                <w:rFonts w:ascii="Arial Narrow" w:hAnsi="Arial Narrow"/>
                <w:sz w:val="18"/>
                <w:szCs w:val="18"/>
                <w:lang w:val="en-US" w:eastAsia="ja-JP"/>
              </w:rPr>
              <w:br/>
            </w:r>
            <w:r w:rsidRPr="007D1918">
              <w:rPr>
                <w:rFonts w:ascii="Arial Narrow" w:hAnsi="Arial Narrow"/>
                <w:sz w:val="18"/>
                <w:szCs w:val="18"/>
                <w:lang w:eastAsia="ja-JP"/>
              </w:rPr>
              <w:t>Average age  40 years (range 28 – 75 years)</w:t>
            </w:r>
          </w:p>
          <w:p w14:paraId="5FC48D83" w14:textId="59E9E630" w:rsidR="00B16A17" w:rsidRPr="007D1918" w:rsidRDefault="00B16A17" w:rsidP="00B16A17">
            <w:pPr>
              <w:spacing w:after="40" w:line="240" w:lineRule="auto"/>
              <w:rPr>
                <w:rFonts w:ascii="Arial Narrow" w:hAnsi="Arial Narrow"/>
                <w:i/>
                <w:sz w:val="18"/>
                <w:szCs w:val="18"/>
                <w:vertAlign w:val="superscript"/>
                <w:lang w:val="en-US" w:eastAsia="ja-JP"/>
              </w:rPr>
            </w:pPr>
            <w:r w:rsidRPr="007D1918">
              <w:rPr>
                <w:rFonts w:ascii="Arial Narrow" w:hAnsi="Arial Narrow"/>
                <w:i/>
                <w:sz w:val="18"/>
                <w:szCs w:val="18"/>
                <w:lang w:val="en-US" w:eastAsia="ja-JP"/>
              </w:rPr>
              <w:t>Qureshi et al 1999</w:t>
            </w:r>
            <w:r w:rsidR="007732C9" w:rsidRPr="007D1918">
              <w:rPr>
                <w:rFonts w:ascii="Arial Narrow" w:hAnsi="Arial Narrow"/>
                <w:i/>
                <w:sz w:val="18"/>
                <w:szCs w:val="18"/>
                <w:vertAlign w:val="superscript"/>
                <w:lang w:val="en-US" w:eastAsia="ja-JP"/>
              </w:rPr>
              <w:t>a</w:t>
            </w:r>
          </w:p>
          <w:p w14:paraId="1275C704" w14:textId="77777777" w:rsidR="00B16A17" w:rsidRPr="007D1918" w:rsidRDefault="00B16A17" w:rsidP="00B16A17">
            <w:pPr>
              <w:spacing w:after="40" w:line="240" w:lineRule="auto"/>
              <w:rPr>
                <w:rFonts w:ascii="Arial Narrow" w:hAnsi="Arial Narrow"/>
                <w:sz w:val="18"/>
                <w:szCs w:val="18"/>
                <w:lang w:val="en-US" w:eastAsia="ja-JP"/>
              </w:rPr>
            </w:pPr>
            <w:r w:rsidRPr="007D1918">
              <w:rPr>
                <w:rFonts w:ascii="Arial Narrow" w:hAnsi="Arial Narrow"/>
                <w:sz w:val="18"/>
                <w:szCs w:val="18"/>
                <w:lang w:val="en-US" w:eastAsia="ja-JP"/>
              </w:rPr>
              <w:t>Retrospective, N = 51 patients / 54 episodes of myasthenic crisis</w:t>
            </w:r>
            <w:r w:rsidRPr="007D1918">
              <w:rPr>
                <w:rFonts w:ascii="Arial Narrow" w:hAnsi="Arial Narrow"/>
                <w:sz w:val="18"/>
                <w:szCs w:val="18"/>
                <w:lang w:val="en-US" w:eastAsia="ja-JP"/>
              </w:rPr>
              <w:br/>
              <w:t>IVIg vs PE: n = 24 and n = 27, respectively</w:t>
            </w:r>
            <w:r w:rsidRPr="007D1918">
              <w:rPr>
                <w:rFonts w:ascii="Arial Narrow" w:hAnsi="Arial Narrow"/>
                <w:sz w:val="18"/>
                <w:szCs w:val="18"/>
                <w:lang w:val="en-US" w:eastAsia="ja-JP"/>
              </w:rPr>
              <w:br/>
              <w:t>PE group received 5 to 6 exchanges and the IVIG group a dose of 0,4 gr7Kg/ day for 5 days.</w:t>
            </w:r>
          </w:p>
          <w:p w14:paraId="4B60918F" w14:textId="37F1385B" w:rsidR="00B16A17" w:rsidRPr="007D1918" w:rsidRDefault="00B16A17" w:rsidP="00B16A17">
            <w:pPr>
              <w:spacing w:after="40" w:line="240" w:lineRule="auto"/>
              <w:rPr>
                <w:rFonts w:ascii="Arial Narrow" w:hAnsi="Arial Narrow"/>
                <w:sz w:val="18"/>
                <w:szCs w:val="18"/>
                <w:lang w:val="en-US" w:eastAsia="ja-JP"/>
              </w:rPr>
            </w:pPr>
          </w:p>
        </w:tc>
        <w:tc>
          <w:tcPr>
            <w:tcW w:w="1418" w:type="dxa"/>
          </w:tcPr>
          <w:p w14:paraId="52BD0220"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lastRenderedPageBreak/>
              <w:t>RCT or observational studies of more than 10 cases that compared management with PE vs IVIg in patients with MG</w:t>
            </w:r>
          </w:p>
        </w:tc>
        <w:tc>
          <w:tcPr>
            <w:tcW w:w="1559" w:type="dxa"/>
          </w:tcPr>
          <w:p w14:paraId="38076409"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Intervention</w:t>
            </w:r>
          </w:p>
          <w:p w14:paraId="0E958204"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IVIg</w:t>
            </w:r>
          </w:p>
          <w:p w14:paraId="18A997A4"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Comparator</w:t>
            </w:r>
          </w:p>
          <w:p w14:paraId="3D2B2D4B"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PE</w:t>
            </w:r>
          </w:p>
        </w:tc>
        <w:tc>
          <w:tcPr>
            <w:tcW w:w="2977" w:type="dxa"/>
          </w:tcPr>
          <w:p w14:paraId="3C75715C"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Primary outcome</w:t>
            </w:r>
          </w:p>
          <w:p w14:paraId="008AAB78"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Efficacy of management according to commonly used methods. No. of patients who improved, not episodes in which changes occurred were taken as the basis of the primary outcome: changes in the MMS, or QMGS between day 1 and 15 days after treatment commenced, or following randomisation</w:t>
            </w:r>
          </w:p>
          <w:p w14:paraId="62E0D449"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Secondary outcomes</w:t>
            </w:r>
          </w:p>
          <w:p w14:paraId="663CEF7A"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Adverse event frequency</w:t>
            </w:r>
          </w:p>
          <w:p w14:paraId="4ABC0365"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Length of hospital stay</w:t>
            </w:r>
          </w:p>
          <w:p w14:paraId="29DB1EFF"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Ventilator support time</w:t>
            </w:r>
          </w:p>
        </w:tc>
        <w:tc>
          <w:tcPr>
            <w:tcW w:w="1701" w:type="dxa"/>
          </w:tcPr>
          <w:p w14:paraId="5640E64A" w14:textId="77777777" w:rsidR="00B16A17" w:rsidRPr="007D1918" w:rsidRDefault="00B16A17" w:rsidP="00B16A17">
            <w:pPr>
              <w:spacing w:afterLines="40" w:after="96" w:line="240" w:lineRule="auto"/>
              <w:rPr>
                <w:rFonts w:ascii="Arial Narrow" w:hAnsi="Arial Narrow"/>
                <w:sz w:val="18"/>
                <w:szCs w:val="18"/>
              </w:rPr>
            </w:pPr>
            <w:r w:rsidRPr="007D1918">
              <w:rPr>
                <w:rFonts w:ascii="Arial Narrow" w:hAnsi="Arial Narrow"/>
                <w:sz w:val="18"/>
                <w:szCs w:val="18"/>
              </w:rPr>
              <w:t>Publications that reported a RR or an OR with CIs, or reported results that enabled calculation of the RR or OR were included for meta-analysis</w:t>
            </w:r>
          </w:p>
          <w:p w14:paraId="12CF93EE" w14:textId="77777777" w:rsidR="00B16A17" w:rsidRPr="007D1918" w:rsidRDefault="00B16A17" w:rsidP="00B16A17">
            <w:pPr>
              <w:spacing w:afterLines="40" w:after="96" w:line="240" w:lineRule="auto"/>
              <w:rPr>
                <w:rFonts w:ascii="Arial Narrow" w:hAnsi="Arial Narrow"/>
                <w:sz w:val="18"/>
                <w:szCs w:val="18"/>
              </w:rPr>
            </w:pPr>
            <w:r w:rsidRPr="007D1918">
              <w:rPr>
                <w:rFonts w:ascii="Arial Narrow" w:hAnsi="Arial Narrow"/>
                <w:sz w:val="18"/>
                <w:szCs w:val="18"/>
              </w:rPr>
              <w:t>Meta-analysis conducted using Comprehensive Meta-analysis (2004; Biostat, Englewood, NJ)</w:t>
            </w:r>
          </w:p>
          <w:p w14:paraId="406ACC48" w14:textId="77777777" w:rsidR="00B16A17" w:rsidRPr="007D1918" w:rsidRDefault="00B16A17" w:rsidP="00B16A17">
            <w:pPr>
              <w:spacing w:afterLines="40" w:after="96" w:line="240" w:lineRule="auto"/>
              <w:rPr>
                <w:rFonts w:ascii="Arial Narrow" w:hAnsi="Arial Narrow"/>
                <w:sz w:val="18"/>
                <w:szCs w:val="18"/>
              </w:rPr>
            </w:pPr>
            <w:r w:rsidRPr="007D1918">
              <w:rPr>
                <w:rFonts w:ascii="Arial Narrow" w:hAnsi="Arial Narrow"/>
                <w:sz w:val="18"/>
                <w:szCs w:val="18"/>
              </w:rPr>
              <w:t>Standardised effect sizes were calculated and log transformation (log OR and SE) was undertaken to enable a pooled result to be reported on effectiveness and adverse event frequency, (but not severity) across studies using different outcome measures</w:t>
            </w:r>
          </w:p>
          <w:p w14:paraId="5C2BB02F" w14:textId="77777777" w:rsidR="00B16A17" w:rsidRPr="007D1918" w:rsidRDefault="00B16A17" w:rsidP="00B16A17">
            <w:pPr>
              <w:spacing w:afterLines="40" w:after="96" w:line="240" w:lineRule="auto"/>
              <w:rPr>
                <w:rFonts w:ascii="Arial Narrow" w:hAnsi="Arial Narrow"/>
                <w:sz w:val="18"/>
                <w:szCs w:val="18"/>
              </w:rPr>
            </w:pPr>
            <w:r w:rsidRPr="007D1918">
              <w:rPr>
                <w:rFonts w:ascii="Arial Narrow" w:hAnsi="Arial Narrow"/>
                <w:sz w:val="18"/>
                <w:szCs w:val="18"/>
              </w:rPr>
              <w:t>Length of hospital stay and ventilator support time were compared using the SMD with 95% CI, accepting p&lt;0.05 as a statistically significant difference</w:t>
            </w:r>
          </w:p>
        </w:tc>
        <w:tc>
          <w:tcPr>
            <w:tcW w:w="1276" w:type="dxa"/>
          </w:tcPr>
          <w:p w14:paraId="1312E699" w14:textId="77777777" w:rsidR="00B16A17" w:rsidRPr="007D1918" w:rsidRDefault="00B16A17" w:rsidP="00B16A17">
            <w:pPr>
              <w:spacing w:after="40" w:line="240" w:lineRule="auto"/>
              <w:rPr>
                <w:rFonts w:ascii="Arial Narrow" w:hAnsi="Arial Narrow"/>
                <w:i/>
                <w:sz w:val="18"/>
                <w:szCs w:val="18"/>
              </w:rPr>
            </w:pPr>
            <w:r w:rsidRPr="007D1918">
              <w:rPr>
                <w:rFonts w:ascii="Arial Narrow" w:hAnsi="Arial Narrow"/>
                <w:i/>
                <w:sz w:val="18"/>
                <w:szCs w:val="18"/>
              </w:rPr>
              <w:t>Assessment scales</w:t>
            </w:r>
          </w:p>
          <w:p w14:paraId="57254828" w14:textId="77777777"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ORs of standardised effect sizes calculated from the MMS, QMGS and frequency of adverse events</w:t>
            </w:r>
          </w:p>
          <w:p w14:paraId="4C4E18CC" w14:textId="50EA8C5B" w:rsidR="00B16A17" w:rsidRPr="007D1918" w:rsidRDefault="00B16A17" w:rsidP="00B16A17">
            <w:pPr>
              <w:spacing w:after="40" w:line="240" w:lineRule="auto"/>
              <w:rPr>
                <w:rFonts w:ascii="Arial Narrow" w:hAnsi="Arial Narrow"/>
                <w:sz w:val="18"/>
                <w:szCs w:val="18"/>
              </w:rPr>
            </w:pPr>
            <w:r w:rsidRPr="007D1918">
              <w:rPr>
                <w:rFonts w:ascii="Arial Narrow" w:hAnsi="Arial Narrow"/>
                <w:sz w:val="18"/>
                <w:szCs w:val="18"/>
              </w:rPr>
              <w:t>Comparisons for length of hospital stay and ventilator support time were measured in days (SMD [</w:t>
            </w:r>
            <w:r w:rsidR="00781376" w:rsidRPr="007D1918">
              <w:rPr>
                <w:rFonts w:ascii="Arial Narrow" w:hAnsi="Arial Narrow"/>
                <w:sz w:val="18"/>
                <w:szCs w:val="18"/>
              </w:rPr>
              <w:t>95% CI</w:t>
            </w:r>
            <w:r w:rsidRPr="007D1918">
              <w:rPr>
                <w:rFonts w:ascii="Arial Narrow" w:hAnsi="Arial Narrow"/>
                <w:sz w:val="18"/>
                <w:szCs w:val="18"/>
              </w:rPr>
              <w:t>])</w:t>
            </w:r>
          </w:p>
        </w:tc>
      </w:tr>
    </w:tbl>
    <w:p w14:paraId="11E250D6" w14:textId="751C8D88" w:rsidR="001C1433" w:rsidRPr="007D1918" w:rsidRDefault="001C1433" w:rsidP="007732C9">
      <w:pPr>
        <w:widowControl w:val="0"/>
        <w:spacing w:after="80" w:line="240" w:lineRule="auto"/>
        <w:rPr>
          <w:rFonts w:ascii="Arial Narrow" w:eastAsia="SimSun" w:hAnsi="Arial Narrow" w:cs="Arial"/>
          <w:snapToGrid w:val="0"/>
          <w:sz w:val="16"/>
          <w:szCs w:val="16"/>
          <w:lang w:val="en-US" w:eastAsia="en-US"/>
        </w:rPr>
      </w:pPr>
      <w:r w:rsidRPr="007D1918">
        <w:rPr>
          <w:rFonts w:ascii="Arial Narrow" w:eastAsia="SimSun" w:hAnsi="Arial Narrow" w:cs="Arial"/>
          <w:snapToGrid w:val="0"/>
          <w:sz w:val="16"/>
          <w:szCs w:val="16"/>
          <w:lang w:val="en-US" w:eastAsia="en-US"/>
        </w:rPr>
        <w:t>A</w:t>
      </w:r>
      <w:r w:rsidR="007D77DC" w:rsidRPr="007D1918">
        <w:rPr>
          <w:rFonts w:ascii="Arial Narrow" w:eastAsia="SimSun" w:hAnsi="Arial Narrow" w:cs="Arial"/>
          <w:snapToGrid w:val="0"/>
          <w:sz w:val="16"/>
          <w:szCs w:val="16"/>
          <w:lang w:val="en-US" w:eastAsia="en-US"/>
        </w:rPr>
        <w:t>C</w:t>
      </w:r>
      <w:r w:rsidRPr="007D1918">
        <w:rPr>
          <w:rFonts w:ascii="Arial Narrow" w:eastAsia="SimSun" w:hAnsi="Arial Narrow" w:cs="Arial"/>
          <w:snapToGrid w:val="0"/>
          <w:sz w:val="16"/>
          <w:szCs w:val="16"/>
          <w:lang w:val="en-US" w:eastAsia="en-US"/>
        </w:rPr>
        <w:t>hRAb –</w:t>
      </w:r>
      <w:r w:rsidR="004270D8" w:rsidRPr="007D1918">
        <w:rPr>
          <w:rFonts w:ascii="Arial Narrow" w:eastAsia="SimSun" w:hAnsi="Arial Narrow" w:cs="Arial"/>
          <w:snapToGrid w:val="0"/>
          <w:sz w:val="16"/>
          <w:szCs w:val="16"/>
          <w:lang w:val="en-US" w:eastAsia="en-US"/>
        </w:rPr>
        <w:t xml:space="preserve"> acetylcholine receptor antibodies</w:t>
      </w:r>
      <w:r w:rsidRPr="007D1918">
        <w:rPr>
          <w:rFonts w:ascii="Arial Narrow" w:eastAsia="SimSun" w:hAnsi="Arial Narrow" w:cs="Arial"/>
          <w:snapToGrid w:val="0"/>
          <w:sz w:val="16"/>
          <w:szCs w:val="16"/>
          <w:lang w:val="en-US" w:eastAsia="en-US"/>
        </w:rPr>
        <w:t>; AEs = adverse events; CCoh = comparative cohort study; CS = corticosteroid</w:t>
      </w:r>
      <w:r w:rsidR="00803192" w:rsidRPr="007D1918">
        <w:rPr>
          <w:rFonts w:ascii="Arial Narrow" w:eastAsia="SimSun" w:hAnsi="Arial Narrow" w:cs="Arial"/>
          <w:snapToGrid w:val="0"/>
          <w:sz w:val="16"/>
          <w:szCs w:val="16"/>
          <w:lang w:val="en-US" w:eastAsia="en-US"/>
        </w:rPr>
        <w:t xml:space="preserve"> therapy</w:t>
      </w:r>
      <w:r w:rsidRPr="007D1918">
        <w:rPr>
          <w:rFonts w:ascii="Arial Narrow" w:eastAsia="SimSun" w:hAnsi="Arial Narrow" w:cs="Arial"/>
          <w:snapToGrid w:val="0"/>
          <w:sz w:val="16"/>
          <w:szCs w:val="16"/>
          <w:lang w:val="en-US" w:eastAsia="en-US"/>
        </w:rPr>
        <w:t xml:space="preserve">; GCS = glucocorticosteroid therapy; IM = immunomodulatory therapy; IS = immunosuppressive drugs; MG = myasthenia gravis; MMS = myasthenia muscle score; NBA = National Blood Authority; </w:t>
      </w:r>
      <w:r w:rsidR="007D77DC" w:rsidRPr="007D1918">
        <w:rPr>
          <w:rFonts w:ascii="Arial Narrow" w:eastAsia="SimSun" w:hAnsi="Arial Narrow" w:cs="Arial"/>
          <w:snapToGrid w:val="0"/>
          <w:sz w:val="16"/>
          <w:szCs w:val="16"/>
          <w:lang w:val="en-US" w:eastAsia="en-US"/>
        </w:rPr>
        <w:t xml:space="preserve">OR = odds ratio; </w:t>
      </w:r>
      <w:r w:rsidRPr="007D1918">
        <w:rPr>
          <w:rFonts w:ascii="Arial Narrow" w:eastAsia="SimSun" w:hAnsi="Arial Narrow" w:cs="Arial"/>
          <w:snapToGrid w:val="0"/>
          <w:sz w:val="16"/>
          <w:szCs w:val="16"/>
          <w:lang w:val="en-US" w:eastAsia="en-US"/>
        </w:rPr>
        <w:t>PE = plasma exchange; PIS = post</w:t>
      </w:r>
      <w:r w:rsidR="00803192" w:rsidRPr="007D1918">
        <w:rPr>
          <w:rFonts w:ascii="Arial Narrow" w:eastAsia="SimSun" w:hAnsi="Arial Narrow" w:cs="Arial"/>
          <w:snapToGrid w:val="0"/>
          <w:sz w:val="16"/>
          <w:szCs w:val="16"/>
          <w:lang w:val="en-US" w:eastAsia="en-US"/>
        </w:rPr>
        <w:t>-</w:t>
      </w:r>
      <w:r w:rsidRPr="007D1918">
        <w:rPr>
          <w:rFonts w:ascii="Arial Narrow" w:eastAsia="SimSun" w:hAnsi="Arial Narrow" w:cs="Arial"/>
          <w:snapToGrid w:val="0"/>
          <w:sz w:val="16"/>
          <w:szCs w:val="16"/>
          <w:lang w:val="en-US" w:eastAsia="en-US"/>
        </w:rPr>
        <w:t>intervention status; POb =  prospective observational study; QMGS = quantitative myasthenia gravis score; RCT = randomized controlled trial; Ret</w:t>
      </w:r>
      <w:r w:rsidR="00773DFA" w:rsidRPr="007D1918">
        <w:rPr>
          <w:rFonts w:ascii="Arial Narrow" w:eastAsia="SimSun" w:hAnsi="Arial Narrow" w:cs="Arial"/>
          <w:snapToGrid w:val="0"/>
          <w:sz w:val="16"/>
          <w:szCs w:val="16"/>
          <w:lang w:val="en-US" w:eastAsia="en-US"/>
        </w:rPr>
        <w:t xml:space="preserve"> </w:t>
      </w:r>
      <w:r w:rsidR="00803192" w:rsidRPr="007D1918">
        <w:rPr>
          <w:rFonts w:ascii="Arial Narrow" w:eastAsia="SimSun" w:hAnsi="Arial Narrow" w:cs="Arial"/>
          <w:snapToGrid w:val="0"/>
          <w:sz w:val="16"/>
          <w:szCs w:val="16"/>
          <w:lang w:val="en-US" w:eastAsia="en-US"/>
        </w:rPr>
        <w:t>CS</w:t>
      </w:r>
      <w:r w:rsidRPr="007D1918">
        <w:rPr>
          <w:rFonts w:ascii="Arial Narrow" w:eastAsia="SimSun" w:hAnsi="Arial Narrow" w:cs="Arial"/>
          <w:snapToGrid w:val="0"/>
          <w:sz w:val="16"/>
          <w:szCs w:val="16"/>
          <w:lang w:val="en-US" w:eastAsia="en-US"/>
        </w:rPr>
        <w:t xml:space="preserve"> = retrospective case series; </w:t>
      </w:r>
      <w:r w:rsidR="007D77DC" w:rsidRPr="007D1918">
        <w:rPr>
          <w:rFonts w:ascii="Arial Narrow" w:eastAsia="SimSun" w:hAnsi="Arial Narrow" w:cs="Arial"/>
          <w:snapToGrid w:val="0"/>
          <w:sz w:val="16"/>
          <w:szCs w:val="16"/>
          <w:lang w:val="en-US" w:eastAsia="en-US"/>
        </w:rPr>
        <w:t xml:space="preserve">RR = risk ratio; </w:t>
      </w:r>
      <w:r w:rsidRPr="007D1918">
        <w:rPr>
          <w:rFonts w:ascii="Arial Narrow" w:eastAsia="SimSun" w:hAnsi="Arial Narrow" w:cs="Arial"/>
          <w:snapToGrid w:val="0"/>
          <w:sz w:val="16"/>
          <w:szCs w:val="16"/>
          <w:lang w:val="en-US" w:eastAsia="en-US"/>
        </w:rPr>
        <w:t>SFEMG = single fiber electromyography; SR = systematic review</w:t>
      </w:r>
    </w:p>
    <w:p w14:paraId="3C0BD041" w14:textId="6D717F97" w:rsidR="007732C9" w:rsidRPr="007D1918" w:rsidRDefault="007732C9" w:rsidP="001C1433">
      <w:pPr>
        <w:widowControl w:val="0"/>
        <w:spacing w:line="240" w:lineRule="auto"/>
        <w:rPr>
          <w:rFonts w:ascii="Arial Narrow" w:eastAsia="SimSun" w:hAnsi="Arial Narrow" w:cs="Arial"/>
          <w:snapToGrid w:val="0"/>
          <w:sz w:val="16"/>
          <w:szCs w:val="16"/>
          <w:lang w:val="en-US" w:eastAsia="en-US"/>
        </w:rPr>
      </w:pPr>
      <w:r w:rsidRPr="007D1918">
        <w:rPr>
          <w:rFonts w:ascii="Arial Narrow" w:hAnsi="Arial Narrow"/>
          <w:sz w:val="18"/>
          <w:szCs w:val="18"/>
          <w:vertAlign w:val="superscript"/>
          <w:lang w:val="en-US" w:eastAsia="ja-JP"/>
        </w:rPr>
        <w:t>a</w:t>
      </w:r>
      <w:r w:rsidRPr="007D1918">
        <w:rPr>
          <w:rFonts w:ascii="Arial Narrow" w:hAnsi="Arial Narrow"/>
          <w:sz w:val="18"/>
          <w:szCs w:val="18"/>
          <w:lang w:val="en-US" w:eastAsia="ja-JP"/>
        </w:rPr>
        <w:t xml:space="preserve"> No details regarding specific designs of the included studies were specified by Ortiz-Salas et al. Further details on the patient populations and designs of included studies in the SR/meta-analysis are reported in the individual study profiles. Exception: Perez-Nellar et al 2001; article in Spanish and not included in our analysis.</w:t>
      </w:r>
    </w:p>
    <w:p w14:paraId="0A3BC8B2" w14:textId="77777777" w:rsidR="008D42C5" w:rsidRPr="007D1918" w:rsidRDefault="008D42C5" w:rsidP="008D42C5"/>
    <w:p w14:paraId="4402B48B" w14:textId="0CFBDB5D" w:rsidR="004D6547" w:rsidRPr="007D1918" w:rsidRDefault="008D42C5" w:rsidP="001C1433">
      <w:pPr>
        <w:pStyle w:val="Caption"/>
        <w:keepNext/>
        <w:keepLines/>
      </w:pPr>
      <w:bookmarkStart w:id="604" w:name="_Toc23769589"/>
      <w:r w:rsidRPr="007D1918">
        <w:lastRenderedPageBreak/>
        <w:t xml:space="preserve">Table </w:t>
      </w:r>
      <w:r w:rsidR="00F9011F" w:rsidRPr="007D1918">
        <w:rPr>
          <w:noProof/>
        </w:rPr>
        <w:fldChar w:fldCharType="begin"/>
      </w:r>
      <w:r w:rsidR="00F9011F" w:rsidRPr="007D1918">
        <w:rPr>
          <w:noProof/>
        </w:rPr>
        <w:instrText xml:space="preserve"> SEQ Table \* ARABIC </w:instrText>
      </w:r>
      <w:r w:rsidR="00F9011F" w:rsidRPr="007D1918">
        <w:rPr>
          <w:noProof/>
        </w:rPr>
        <w:fldChar w:fldCharType="separate"/>
      </w:r>
      <w:r w:rsidR="00942701" w:rsidRPr="007D1918">
        <w:rPr>
          <w:noProof/>
        </w:rPr>
        <w:t>102</w:t>
      </w:r>
      <w:r w:rsidR="00F9011F" w:rsidRPr="007D1918">
        <w:rPr>
          <w:noProof/>
        </w:rPr>
        <w:fldChar w:fldCharType="end"/>
      </w:r>
      <w:r w:rsidRPr="007D1918">
        <w:tab/>
      </w:r>
      <w:r w:rsidR="0077418B" w:rsidRPr="007D1918">
        <w:t>P</w:t>
      </w:r>
      <w:r w:rsidR="004D6547" w:rsidRPr="007D1918">
        <w:t xml:space="preserve">rofiles of </w:t>
      </w:r>
      <w:r w:rsidRPr="007D1918">
        <w:t xml:space="preserve">primary </w:t>
      </w:r>
      <w:r w:rsidR="004D6547" w:rsidRPr="007D1918">
        <w:t>studies on</w:t>
      </w:r>
      <w:bookmarkEnd w:id="603"/>
      <w:r w:rsidR="00591A6D" w:rsidRPr="007D1918">
        <w:t xml:space="preserve"> </w:t>
      </w:r>
      <w:r w:rsidRPr="007D1918">
        <w:t>immunoglobulin</w:t>
      </w:r>
      <w:r w:rsidR="00155AD0" w:rsidRPr="007D1918">
        <w:t xml:space="preserve"> for myasthenia gravis</w:t>
      </w:r>
      <w:r w:rsidR="0077418B" w:rsidRPr="007D1918">
        <w:t xml:space="preserve"> included in the </w:t>
      </w:r>
      <w:r w:rsidR="001C1433" w:rsidRPr="007D1918">
        <w:t>assessment</w:t>
      </w:r>
      <w:bookmarkEnd w:id="604"/>
    </w:p>
    <w:tbl>
      <w:tblPr>
        <w:tblStyle w:val="TableGrid4"/>
        <w:tblW w:w="15168" w:type="dxa"/>
        <w:tblInd w:w="-5" w:type="dxa"/>
        <w:tblLayout w:type="fixed"/>
        <w:tblLook w:val="04A0" w:firstRow="1" w:lastRow="0" w:firstColumn="1" w:lastColumn="0" w:noHBand="0" w:noVBand="1"/>
        <w:tblCaption w:val="Table 59 Profiles of primary studies on immunoglobulin for myasthenia gravis included in the assessment"/>
        <w:tblDescription w:val="Profiles of all primary studies included in the assessment."/>
      </w:tblPr>
      <w:tblGrid>
        <w:gridCol w:w="1134"/>
        <w:gridCol w:w="1560"/>
        <w:gridCol w:w="1134"/>
        <w:gridCol w:w="1984"/>
        <w:gridCol w:w="2268"/>
        <w:gridCol w:w="1701"/>
        <w:gridCol w:w="1701"/>
        <w:gridCol w:w="2268"/>
        <w:gridCol w:w="1418"/>
      </w:tblGrid>
      <w:tr w:rsidR="00F128B2" w:rsidRPr="007D1918" w14:paraId="3FA7EBD1" w14:textId="77777777" w:rsidTr="00EC62F5">
        <w:trPr>
          <w:tblHeader/>
        </w:trPr>
        <w:tc>
          <w:tcPr>
            <w:tcW w:w="1134" w:type="dxa"/>
          </w:tcPr>
          <w:p w14:paraId="3E9704B5"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Study</w:t>
            </w:r>
          </w:p>
          <w:p w14:paraId="429C6593"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Country</w:t>
            </w:r>
          </w:p>
        </w:tc>
        <w:tc>
          <w:tcPr>
            <w:tcW w:w="1560" w:type="dxa"/>
          </w:tcPr>
          <w:p w14:paraId="04F19FBB"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Study design</w:t>
            </w:r>
          </w:p>
          <w:p w14:paraId="44898EEB"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Study objectives</w:t>
            </w:r>
          </w:p>
        </w:tc>
        <w:tc>
          <w:tcPr>
            <w:tcW w:w="1134" w:type="dxa"/>
          </w:tcPr>
          <w:p w14:paraId="6C3C99DF"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Level of evidence</w:t>
            </w:r>
          </w:p>
          <w:p w14:paraId="6BE7EB4F"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Quality</w:t>
            </w:r>
          </w:p>
        </w:tc>
        <w:tc>
          <w:tcPr>
            <w:tcW w:w="1984" w:type="dxa"/>
          </w:tcPr>
          <w:p w14:paraId="3B3B13BC"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Study population</w:t>
            </w:r>
          </w:p>
        </w:tc>
        <w:tc>
          <w:tcPr>
            <w:tcW w:w="2268" w:type="dxa"/>
          </w:tcPr>
          <w:p w14:paraId="6470EBA3"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Eligibility criteria</w:t>
            </w:r>
          </w:p>
        </w:tc>
        <w:tc>
          <w:tcPr>
            <w:tcW w:w="1701" w:type="dxa"/>
          </w:tcPr>
          <w:p w14:paraId="5B0CABF9"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Intervention</w:t>
            </w:r>
          </w:p>
        </w:tc>
        <w:tc>
          <w:tcPr>
            <w:tcW w:w="1701" w:type="dxa"/>
          </w:tcPr>
          <w:p w14:paraId="102E4E8B"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Comparator</w:t>
            </w:r>
          </w:p>
        </w:tc>
        <w:tc>
          <w:tcPr>
            <w:tcW w:w="2268" w:type="dxa"/>
          </w:tcPr>
          <w:p w14:paraId="5B87F13A"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Outcomes assessed</w:t>
            </w:r>
          </w:p>
          <w:p w14:paraId="093E29E5"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Statistical analyses</w:t>
            </w:r>
          </w:p>
        </w:tc>
        <w:tc>
          <w:tcPr>
            <w:tcW w:w="1418" w:type="dxa"/>
          </w:tcPr>
          <w:p w14:paraId="30D9F848"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Comments</w:t>
            </w:r>
          </w:p>
          <w:p w14:paraId="35169D93"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Funding source</w:t>
            </w:r>
          </w:p>
        </w:tc>
      </w:tr>
      <w:tr w:rsidR="008D42C5" w:rsidRPr="007D1918" w14:paraId="4EA3ED42" w14:textId="77777777" w:rsidTr="00AE64EC">
        <w:tc>
          <w:tcPr>
            <w:tcW w:w="15168" w:type="dxa"/>
            <w:gridSpan w:val="9"/>
            <w:shd w:val="clear" w:color="auto" w:fill="EEECE1" w:themeFill="background2"/>
          </w:tcPr>
          <w:p w14:paraId="280E7B7B" w14:textId="77777777" w:rsidR="008D42C5" w:rsidRPr="007D1918" w:rsidRDefault="008D42C5" w:rsidP="001C1433">
            <w:pPr>
              <w:keepNext/>
              <w:keepLines/>
              <w:spacing w:before="40" w:after="40" w:line="240" w:lineRule="auto"/>
              <w:ind w:left="0"/>
              <w:rPr>
                <w:rFonts w:ascii="Arial Narrow" w:hAnsi="Arial Narrow"/>
                <w:b/>
                <w:sz w:val="18"/>
                <w:szCs w:val="18"/>
              </w:rPr>
            </w:pPr>
            <w:r w:rsidRPr="007D1918">
              <w:rPr>
                <w:rFonts w:ascii="Arial Narrow" w:hAnsi="Arial Narrow"/>
                <w:b/>
                <w:sz w:val="18"/>
                <w:szCs w:val="18"/>
              </w:rPr>
              <w:t>Indication 1 exacerbation/crisis</w:t>
            </w:r>
          </w:p>
        </w:tc>
      </w:tr>
      <w:tr w:rsidR="00F128B2" w:rsidRPr="007D1918" w14:paraId="39A1AAC3" w14:textId="77777777" w:rsidTr="00EC62F5">
        <w:tc>
          <w:tcPr>
            <w:tcW w:w="1134" w:type="dxa"/>
          </w:tcPr>
          <w:p w14:paraId="01D1D313" w14:textId="262DA4B2" w:rsidR="008D42C5" w:rsidRPr="007D1918" w:rsidRDefault="003736AC" w:rsidP="001C1433">
            <w:pPr>
              <w:keepNext/>
              <w:keepLines/>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PEVuZE5vdGU+PENpdGU+PEF1dGhvcj5HYWpkb3M8L0F1dGhvcj48WWVhcj4xOTk3PC9ZZWFyPjxS
ZWNOdW0+NDU8L1JlY051bT48RGlzcGxheVRleHQ+KEdhamRvcyBldCBhbC4gMTk5Nyk8L0Rpc3Bs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L0NpdGU+PC9FbmROb3RlPgB=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28" w:tooltip="Gajdos, 1997 #45" w:history="1">
              <w:r w:rsidR="007D4948" w:rsidRPr="007D1918">
                <w:rPr>
                  <w:rFonts w:ascii="Arial Narrow" w:eastAsiaTheme="minorHAnsi" w:hAnsi="Arial Narrow" w:cstheme="minorHAnsi"/>
                  <w:noProof/>
                  <w:sz w:val="18"/>
                  <w:szCs w:val="18"/>
                  <w:lang w:eastAsia="en-US"/>
                </w:rPr>
                <w:t>Gajdos et al. 1997</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699B2810" w14:textId="77777777" w:rsidR="008D42C5" w:rsidRPr="007D1918" w:rsidRDefault="008D42C5" w:rsidP="001C1433">
            <w:pPr>
              <w:keepNext/>
              <w:keepLines/>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France</w:t>
            </w:r>
          </w:p>
          <w:p w14:paraId="005CD572" w14:textId="77777777" w:rsidR="008D42C5" w:rsidRPr="007D1918" w:rsidRDefault="008D42C5" w:rsidP="001C1433">
            <w:pPr>
              <w:keepNext/>
              <w:keepLines/>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Additional data from</w:t>
            </w:r>
          </w:p>
          <w:p w14:paraId="0475228D" w14:textId="503DD894" w:rsidR="008D42C5" w:rsidRPr="007D1918" w:rsidRDefault="003736AC" w:rsidP="007D4948">
            <w:pPr>
              <w:keepNext/>
              <w:keepLines/>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r>
            <w:r w:rsidR="00C437BA" w:rsidRPr="007D1918">
              <w:rPr>
                <w:rFonts w:ascii="Arial Narrow" w:eastAsiaTheme="minorHAnsi" w:hAnsi="Arial Narrow" w:cstheme="minorHAnsi"/>
                <w:sz w:val="18"/>
                <w:szCs w:val="18"/>
                <w:lang w:eastAsia="en-US"/>
              </w:rPr>
              <w:instrText xml:space="preserve"> ADDIN EN.CITE &lt;EndNote&gt;&lt;Cite&gt;&lt;Author&gt;Gajdos&lt;/Author&gt;&lt;Year&gt;1998&lt;/Year&gt;&lt;RecNum&gt;46&lt;/RecNum&gt;&lt;DisplayText&gt;(Gajdos et al. 1998)&lt;/DisplayText&gt;&lt;record&gt;&lt;rec-number&gt;46&lt;/rec-number&gt;&lt;foreign-keys&gt;&lt;key app="EN" db-id="2aevrx2slsts5ve9sdavatf125dsx0av2v9d" timestamp="1562810981"&gt;46&lt;/key&gt;&lt;/foreign-keys&gt;&lt;ref-type name="Journal Article"&gt;17&lt;/ref-type&gt;&lt;contributors&gt;&lt;authors&gt;&lt;author&gt;Gajdos, P.&lt;/author&gt;&lt;author&gt;Chevret, S.&lt;/author&gt;&lt;author&gt;Clair, B.&lt;/author&gt;&lt;author&gt;Tranchant, C.&lt;/author&gt;&lt;author&gt;Chastang, C.&lt;/author&gt;&lt;/authors&gt;&lt;/contributors&gt;&lt;titles&gt;&lt;title&gt;Plasma exchange and intravenous immunoglobulin in autoimmune myasthenia gravis&lt;/title&gt;&lt;secondary-title&gt;Annals of the new york academy of sciences&lt;/secondary-title&gt;&lt;/titles&gt;&lt;periodical&gt;&lt;full-title&gt;Annals of the new york academy of sciences&lt;/full-title&gt;&lt;/periodical&gt;&lt;pages&gt;720</w:instrText>
            </w:r>
            <w:r w:rsidR="00C437BA" w:rsidRPr="007D1918">
              <w:rPr>
                <w:rFonts w:ascii="Cambria Math" w:eastAsiaTheme="minorHAnsi" w:hAnsi="Cambria Math" w:cs="Cambria Math"/>
                <w:sz w:val="18"/>
                <w:szCs w:val="18"/>
                <w:lang w:eastAsia="en-US"/>
              </w:rPr>
              <w:instrText>‐</w:instrText>
            </w:r>
            <w:r w:rsidR="00C437BA" w:rsidRPr="007D1918">
              <w:rPr>
                <w:rFonts w:ascii="Arial Narrow" w:eastAsiaTheme="minorHAnsi" w:hAnsi="Arial Narrow" w:cstheme="minorHAnsi"/>
                <w:sz w:val="18"/>
                <w:szCs w:val="18"/>
                <w:lang w:eastAsia="en-US"/>
              </w:rPr>
              <w:instrText>726&lt;/pages&gt;&lt;volume&gt;841&lt;/volume&gt;&lt;keywords&gt;&lt;keyword&gt;Clinical Protocols&lt;/keyword&gt;&lt;keyword&gt;Confidence Intervals&lt;/keyword&gt;&lt;keyword&gt;Humans&lt;/keyword&gt;&lt;keyword&gt;Immunoglobulins, Intravenous [adverse effects, *therapeutic use]&lt;/keyword&gt;&lt;keyword&gt;Myasthenia Gravis [*therapy]&lt;/keyword&gt;&lt;keyword&gt;Plasma Exchange [adverse effects]&lt;/keyword&gt;&lt;keyword&gt;Time Factors&lt;/keyword&gt;&lt;/keywords&gt;&lt;dates&gt;&lt;year&gt;1998&lt;/year&gt;&lt;/dates&gt;&lt;accession-num&gt;CN-00687779&lt;/accession-num&gt;&lt;work-type&gt;Clinical Trial; Comparative Study; Journal Article; Randomized Controlled Trial; Research Support, Non</w:instrText>
            </w:r>
            <w:r w:rsidR="00C437BA" w:rsidRPr="007D1918">
              <w:rPr>
                <w:rFonts w:ascii="Cambria Math" w:eastAsiaTheme="minorHAnsi" w:hAnsi="Cambria Math" w:cs="Cambria Math"/>
                <w:sz w:val="18"/>
                <w:szCs w:val="18"/>
                <w:lang w:eastAsia="en-US"/>
              </w:rPr>
              <w:instrText>‐</w:instrText>
            </w:r>
            <w:r w:rsidR="00C437BA" w:rsidRPr="007D1918">
              <w:rPr>
                <w:rFonts w:ascii="Arial Narrow" w:eastAsiaTheme="minorHAnsi" w:hAnsi="Arial Narrow" w:cstheme="minorHAnsi"/>
                <w:sz w:val="18"/>
                <w:szCs w:val="18"/>
                <w:lang w:eastAsia="en-US"/>
              </w:rPr>
              <w:instrText>U.S. Gov&amp;apos;t&lt;/work-type&gt;&lt;urls&gt;&lt;related-urls&gt;&lt;url&gt;https://www.cochranelibrary.com/central/doi/10.1002/central/CN-00687779/full&lt;/url&gt;&lt;url&gt;https://nyaspubs.onlinelibrary.wiley.com/doi/pdf/10.1111/j.1749-6632.1998.tb11008.x&lt;/url&gt;&lt;/related-urls&gt;&lt;/urls&gt;&lt;custom3&gt;PUBMED 9668320&lt;/custom3&gt;&lt;/record&gt;&lt;/Cite&gt;&lt;/EndNote&gt;</w:instrText>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29" w:tooltip="Gajdos, 1998 #46" w:history="1">
              <w:r w:rsidR="007D4948" w:rsidRPr="007D1918">
                <w:rPr>
                  <w:rFonts w:ascii="Arial Narrow" w:eastAsiaTheme="minorHAnsi" w:hAnsi="Arial Narrow" w:cstheme="minorHAnsi"/>
                  <w:noProof/>
                  <w:sz w:val="18"/>
                  <w:szCs w:val="18"/>
                  <w:lang w:eastAsia="en-US"/>
                </w:rPr>
                <w:t>Gajdos et al. 1998</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tc>
        <w:tc>
          <w:tcPr>
            <w:tcW w:w="1560" w:type="dxa"/>
          </w:tcPr>
          <w:p w14:paraId="1CBB2E2E" w14:textId="77777777" w:rsidR="008D42C5" w:rsidRPr="007D1918" w:rsidRDefault="008D42C5" w:rsidP="001C1433">
            <w:pPr>
              <w:keepNext/>
              <w:keepLines/>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RCT (multicentre, unblinded)</w:t>
            </w:r>
          </w:p>
          <w:p w14:paraId="53E749FA" w14:textId="77777777" w:rsidR="008D42C5" w:rsidRPr="007D1918" w:rsidRDefault="008D42C5" w:rsidP="001C1433">
            <w:pPr>
              <w:keepNext/>
              <w:keepLines/>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6B0DD65E" w14:textId="77777777" w:rsidR="008D42C5" w:rsidRPr="007D1918" w:rsidRDefault="008D42C5" w:rsidP="001C1433">
            <w:pPr>
              <w:keepNext/>
              <w:keepLines/>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assess the efficacy and tolerance of IVIg with PE in MG, and to compare two difference dosing schedules of IVIg</w:t>
            </w:r>
          </w:p>
        </w:tc>
        <w:tc>
          <w:tcPr>
            <w:tcW w:w="1134" w:type="dxa"/>
          </w:tcPr>
          <w:p w14:paraId="0CE5D4E1" w14:textId="77777777" w:rsidR="008D42C5" w:rsidRPr="007D1918" w:rsidRDefault="008D42C5" w:rsidP="001C1433">
            <w:pPr>
              <w:keepNext/>
              <w:keepLines/>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6824719C" w14:textId="77777777" w:rsidR="008D42C5" w:rsidRPr="007D1918" w:rsidRDefault="008D42C5" w:rsidP="001C1433">
            <w:pPr>
              <w:keepNext/>
              <w:keepLines/>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moderate risk of bias</w:t>
            </w:r>
          </w:p>
          <w:p w14:paraId="59275E83" w14:textId="77777777" w:rsidR="008D42C5" w:rsidRPr="007D1918" w:rsidRDefault="008D42C5" w:rsidP="001C1433">
            <w:pPr>
              <w:keepNext/>
              <w:keepLines/>
              <w:spacing w:before="40" w:after="40" w:line="240" w:lineRule="auto"/>
              <w:ind w:left="0"/>
              <w:rPr>
                <w:rFonts w:ascii="Arial Narrow" w:hAnsi="Arial Narrow" w:cs="Times New Roman"/>
                <w:sz w:val="18"/>
                <w:szCs w:val="18"/>
                <w:lang w:eastAsia="en-US"/>
              </w:rPr>
            </w:pPr>
          </w:p>
        </w:tc>
        <w:tc>
          <w:tcPr>
            <w:tcW w:w="1984" w:type="dxa"/>
          </w:tcPr>
          <w:p w14:paraId="5661B68F" w14:textId="77777777" w:rsidR="008D42C5" w:rsidRPr="007D1918" w:rsidRDefault="008D42C5" w:rsidP="001C1433">
            <w:pPr>
              <w:keepNext/>
              <w:keepLines/>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47</w:t>
            </w:r>
          </w:p>
          <w:p w14:paraId="7DA56629" w14:textId="77777777" w:rsidR="008D42C5" w:rsidRPr="007D1918" w:rsidRDefault="008D42C5" w:rsidP="001C1433">
            <w:pPr>
              <w:keepNext/>
              <w:keepLines/>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IVIg 49.4 ± 16.6; PE 50.5 ± 20.5</w:t>
            </w:r>
          </w:p>
          <w:p w14:paraId="4D4D2768" w14:textId="77777777" w:rsidR="008D42C5" w:rsidRPr="007D1918" w:rsidRDefault="008D42C5" w:rsidP="001C1433">
            <w:pPr>
              <w:keepNext/>
              <w:keepLines/>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time since onset ± SD (y): IVIg 3.7 3 ± 4.4; PE 4.3 ± 5.9</w:t>
            </w:r>
          </w:p>
          <w:p w14:paraId="23EDAC01" w14:textId="77777777" w:rsidR="008D42C5" w:rsidRPr="007D1918" w:rsidRDefault="008D42C5" w:rsidP="001C1433">
            <w:pPr>
              <w:keepNext/>
              <w:keepLines/>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MG stage prior to exacerbation: IVIg 1-2 11%, 3 22%, 4-5 67%; PE 1-2 15%, 3 24%, 4-5 61%</w:t>
            </w:r>
          </w:p>
        </w:tc>
        <w:tc>
          <w:tcPr>
            <w:tcW w:w="2268" w:type="dxa"/>
          </w:tcPr>
          <w:p w14:paraId="6FEC796D" w14:textId="77777777" w:rsidR="008D42C5" w:rsidRPr="007D1918" w:rsidRDefault="008D42C5" w:rsidP="001C1433">
            <w:pPr>
              <w:keepNext/>
              <w:keepLines/>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5DFB4D59"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Consecutive MG patients with exacerbation defined as the appearance of at least one of difficulty swallowing, acute respiratory failure or major functional disability responsible for the discontinuation of physical activity (grade 4 or 5 on the study’s functional score of 1-5)</w:t>
            </w:r>
          </w:p>
          <w:p w14:paraId="0CD327D3" w14:textId="77777777" w:rsidR="008D42C5" w:rsidRPr="007D1918" w:rsidRDefault="008D42C5" w:rsidP="001C1433">
            <w:pPr>
              <w:keepNext/>
              <w:keepLines/>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1BAB90FD"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Known allergy to Ig or with contraindications to PE, ie coagulation disorders, cardiovascular instability,  coronary insufficiency, uncontrolled infection or pregnancy</w:t>
            </w:r>
          </w:p>
        </w:tc>
        <w:tc>
          <w:tcPr>
            <w:tcW w:w="1701" w:type="dxa"/>
          </w:tcPr>
          <w:p w14:paraId="1FE5EA64"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IVIg (0.4 gm/kg/day for either 3 or 5 consecutive days)</w:t>
            </w:r>
          </w:p>
        </w:tc>
        <w:tc>
          <w:tcPr>
            <w:tcW w:w="1701" w:type="dxa"/>
          </w:tcPr>
          <w:p w14:paraId="525DC5CF"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PE (3 x 1.5 volumes performed on days 1,3 &amp; 5 after randomisation)</w:t>
            </w:r>
          </w:p>
        </w:tc>
        <w:tc>
          <w:tcPr>
            <w:tcW w:w="2268" w:type="dxa"/>
          </w:tcPr>
          <w:p w14:paraId="727A7AFA" w14:textId="77777777" w:rsidR="008D42C5" w:rsidRPr="007D1918" w:rsidRDefault="008D42C5" w:rsidP="001C1433">
            <w:pPr>
              <w:keepNext/>
              <w:keepLines/>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5FCCAE6C"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Change in MMS</w:t>
            </w:r>
          </w:p>
          <w:p w14:paraId="4A4C4AC3" w14:textId="77777777" w:rsidR="008D42C5" w:rsidRPr="007D1918" w:rsidRDefault="008D42C5" w:rsidP="001C1433">
            <w:pPr>
              <w:keepNext/>
              <w:keepLines/>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6BDCF966"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Need for mechanical ventilation or nasogastric tube</w:t>
            </w:r>
          </w:p>
          <w:p w14:paraId="1758A0BD"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AChRAb</w:t>
            </w:r>
          </w:p>
          <w:p w14:paraId="3E1B2EAE"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Adverse events</w:t>
            </w:r>
          </w:p>
          <w:p w14:paraId="33DA8FA5" w14:textId="77777777" w:rsidR="008D42C5" w:rsidRPr="007D1918" w:rsidRDefault="008D42C5" w:rsidP="001C1433">
            <w:pPr>
              <w:keepNext/>
              <w:keepLines/>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62C57CE3"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ITT using the Wilcoxon, Kruskal-Wallis and Fisher exact tests</w:t>
            </w:r>
          </w:p>
          <w:p w14:paraId="4D550966"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Kaplan-Meier and log rank tests for failure time data</w:t>
            </w:r>
          </w:p>
          <w:p w14:paraId="52566E56"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SAS and BMDP software were used</w:t>
            </w:r>
          </w:p>
          <w:p w14:paraId="58D3C2BD" w14:textId="77777777" w:rsidR="008D42C5" w:rsidRPr="007D1918" w:rsidRDefault="008D42C5" w:rsidP="001C1433">
            <w:pPr>
              <w:keepNext/>
              <w:keepLines/>
              <w:spacing w:before="40" w:after="40" w:line="240" w:lineRule="auto"/>
              <w:ind w:left="0"/>
              <w:rPr>
                <w:rFonts w:ascii="Arial Narrow" w:hAnsi="Arial Narrow"/>
                <w:sz w:val="18"/>
                <w:szCs w:val="18"/>
              </w:rPr>
            </w:pPr>
          </w:p>
        </w:tc>
        <w:tc>
          <w:tcPr>
            <w:tcW w:w="1418" w:type="dxa"/>
          </w:tcPr>
          <w:p w14:paraId="4EE2C345"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Immunosuppressive CS, AC or other drugs were given as required or continued as before the study</w:t>
            </w:r>
          </w:p>
          <w:p w14:paraId="6C6A1C82"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Follow-up at 0, 2, 4, 6, 9, 12 &amp; 15 days</w:t>
            </w:r>
          </w:p>
          <w:p w14:paraId="3DD49D64" w14:textId="77777777" w:rsidR="008D42C5" w:rsidRPr="007D1918" w:rsidRDefault="008D42C5" w:rsidP="001C1433">
            <w:pPr>
              <w:keepNext/>
              <w:keepLines/>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20A6CA0A" w14:textId="77777777" w:rsidR="008D42C5" w:rsidRPr="007D1918" w:rsidRDefault="008D42C5" w:rsidP="001C1433">
            <w:pPr>
              <w:keepNext/>
              <w:keepLines/>
              <w:spacing w:before="40" w:after="40" w:line="240" w:lineRule="auto"/>
              <w:ind w:left="0"/>
              <w:rPr>
                <w:rFonts w:ascii="Arial Narrow" w:hAnsi="Arial Narrow"/>
                <w:sz w:val="18"/>
                <w:szCs w:val="18"/>
              </w:rPr>
            </w:pPr>
            <w:r w:rsidRPr="007D1918">
              <w:rPr>
                <w:rFonts w:ascii="Arial Narrow" w:hAnsi="Arial Narrow"/>
                <w:sz w:val="18"/>
                <w:szCs w:val="18"/>
              </w:rPr>
              <w:t>Supported by various French research bodies</w:t>
            </w:r>
          </w:p>
        </w:tc>
      </w:tr>
      <w:tr w:rsidR="00F128B2" w:rsidRPr="007D1918" w14:paraId="25334A4F" w14:textId="77777777" w:rsidTr="00EC62F5">
        <w:tc>
          <w:tcPr>
            <w:tcW w:w="1134" w:type="dxa"/>
          </w:tcPr>
          <w:p w14:paraId="0A20DF79" w14:textId="51234FA6"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PEVuZE5vdGU+PENpdGU+PEF1dGhvcj5HYWpkb3M8L0F1dGhvcj48WWVhcj4yMDA1PC9ZZWFyPjxS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35" w:tooltip="Gajdos, 2005 #14" w:history="1">
              <w:r w:rsidR="007D4948" w:rsidRPr="007D1918">
                <w:rPr>
                  <w:rFonts w:ascii="Arial Narrow" w:eastAsiaTheme="minorHAnsi" w:hAnsi="Arial Narrow" w:cstheme="minorHAnsi"/>
                  <w:noProof/>
                  <w:sz w:val="18"/>
                  <w:szCs w:val="18"/>
                  <w:lang w:eastAsia="en-US"/>
                </w:rPr>
                <w:t>Gajdos et al. 2005</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2A29D64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France</w:t>
            </w:r>
          </w:p>
          <w:p w14:paraId="220D8FC0"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p>
        </w:tc>
        <w:tc>
          <w:tcPr>
            <w:tcW w:w="1560" w:type="dxa"/>
          </w:tcPr>
          <w:p w14:paraId="7D507032" w14:textId="17D4A45C"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RCT (multicentre</w:t>
            </w:r>
            <w:r w:rsidR="00F3738F" w:rsidRPr="007D1918">
              <w:rPr>
                <w:rFonts w:ascii="Arial Narrow" w:eastAsiaTheme="minorHAnsi" w:hAnsi="Arial Narrow" w:cstheme="minorHAnsi"/>
                <w:sz w:val="18"/>
                <w:szCs w:val="18"/>
                <w:lang w:eastAsia="en-US"/>
              </w:rPr>
              <w:t>,</w:t>
            </w:r>
            <w:r w:rsidRPr="007D1918">
              <w:rPr>
                <w:rFonts w:ascii="Arial Narrow" w:eastAsiaTheme="minorHAnsi" w:hAnsi="Arial Narrow" w:cstheme="minorHAnsi"/>
                <w:sz w:val="18"/>
                <w:szCs w:val="18"/>
                <w:lang w:eastAsia="en-US"/>
              </w:rPr>
              <w:t xml:space="preserve"> double-blind)</w:t>
            </w:r>
          </w:p>
          <w:p w14:paraId="11ED17E4"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4FBA44B1"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determine the optimal dose of IVIg for treating MG exacerbation</w:t>
            </w:r>
          </w:p>
        </w:tc>
        <w:tc>
          <w:tcPr>
            <w:tcW w:w="1134" w:type="dxa"/>
          </w:tcPr>
          <w:p w14:paraId="37EA235A"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2C5B0080"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tc>
        <w:tc>
          <w:tcPr>
            <w:tcW w:w="1984" w:type="dxa"/>
          </w:tcPr>
          <w:p w14:paraId="3A2EE8F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168</w:t>
            </w:r>
          </w:p>
          <w:p w14:paraId="34AB597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[range] (y): group 1 55 [43-71]; group 2 55 [37-71]</w:t>
            </w:r>
          </w:p>
          <w:p w14:paraId="2C9403F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Male: group 1 31 (38.3%); group 2 35 (40.2%)</w:t>
            </w:r>
          </w:p>
          <w:p w14:paraId="456A185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Disease duration [range] (y): group 1 1 [0-6]; group 2 2 [1-7]</w:t>
            </w:r>
          </w:p>
          <w:p w14:paraId="12349F1E" w14:textId="22429C98" w:rsidR="008D42C5" w:rsidRPr="007D1918" w:rsidRDefault="008D42C5" w:rsidP="00F3738F">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MG stage prior to exacerbation: </w:t>
            </w:r>
            <w:r w:rsidR="00F3738F" w:rsidRPr="007D1918">
              <w:rPr>
                <w:rFonts w:ascii="Arial Narrow" w:hAnsi="Arial Narrow" w:cs="Times New Roman"/>
                <w:sz w:val="18"/>
                <w:szCs w:val="18"/>
                <w:lang w:eastAsia="en-US"/>
              </w:rPr>
              <w:t>G</w:t>
            </w:r>
            <w:r w:rsidRPr="007D1918">
              <w:rPr>
                <w:rFonts w:ascii="Arial Narrow" w:hAnsi="Arial Narrow" w:cs="Times New Roman"/>
                <w:sz w:val="18"/>
                <w:szCs w:val="18"/>
                <w:lang w:eastAsia="en-US"/>
              </w:rPr>
              <w:t xml:space="preserve">roup 1 1-2 51.8%, 3 38.3%, 4 9.9%; </w:t>
            </w:r>
            <w:r w:rsidR="00F3738F" w:rsidRPr="007D1918">
              <w:rPr>
                <w:rFonts w:ascii="Arial Narrow" w:hAnsi="Arial Narrow" w:cs="Times New Roman"/>
                <w:sz w:val="18"/>
                <w:szCs w:val="18"/>
                <w:lang w:eastAsia="en-US"/>
              </w:rPr>
              <w:t>G</w:t>
            </w:r>
            <w:r w:rsidRPr="007D1918">
              <w:rPr>
                <w:rFonts w:ascii="Arial Narrow" w:hAnsi="Arial Narrow" w:cs="Times New Roman"/>
                <w:sz w:val="18"/>
                <w:szCs w:val="18"/>
                <w:lang w:eastAsia="en-US"/>
              </w:rPr>
              <w:t>roup 2 1-2 40.2%, 3 44.8%, 4 14.9%</w:t>
            </w:r>
          </w:p>
        </w:tc>
        <w:tc>
          <w:tcPr>
            <w:tcW w:w="2268" w:type="dxa"/>
          </w:tcPr>
          <w:p w14:paraId="07C90FC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476E080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Consecutive MG patients with exacerbation defined as the appearance of at least one of difficulty swallowing, acute respiratory failure or major functional disability responsible for the discontinuation of physical activity</w:t>
            </w:r>
          </w:p>
          <w:p w14:paraId="6336AEC3"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43DB4DD9" w14:textId="37398100"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CS medication begun or modified within 1 month prior to treatment, PE within prior 6 weeks, IVIg within prior</w:t>
            </w:r>
            <w:r w:rsidR="00F32053" w:rsidRPr="007D1918">
              <w:rPr>
                <w:rFonts w:ascii="Arial Narrow" w:hAnsi="Arial Narrow"/>
                <w:sz w:val="18"/>
                <w:szCs w:val="18"/>
              </w:rPr>
              <w:t xml:space="preserve"> </w:t>
            </w:r>
            <w:r w:rsidRPr="007D1918">
              <w:rPr>
                <w:rFonts w:ascii="Arial Narrow" w:hAnsi="Arial Narrow"/>
                <w:sz w:val="18"/>
                <w:szCs w:val="18"/>
              </w:rPr>
              <w:t xml:space="preserve">3 months, allergy to IVIg, serum creatinine &gt; 1.4 mg/dL </w:t>
            </w:r>
            <w:r w:rsidRPr="007D1918">
              <w:rPr>
                <w:rFonts w:ascii="Arial Narrow" w:hAnsi="Arial Narrow"/>
                <w:sz w:val="18"/>
                <w:szCs w:val="18"/>
              </w:rPr>
              <w:lastRenderedPageBreak/>
              <w:t>(&gt;120µmol/L or clearance &lt; 60 ml/L), body weight &gt; 100kg, pregnancy, younger than 15 y.</w:t>
            </w:r>
          </w:p>
        </w:tc>
        <w:tc>
          <w:tcPr>
            <w:tcW w:w="1701" w:type="dxa"/>
          </w:tcPr>
          <w:p w14:paraId="4F4663F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 xml:space="preserve">IVIg (1g/kg on day 1 &amp; placebo on day 2) </w:t>
            </w:r>
          </w:p>
        </w:tc>
        <w:tc>
          <w:tcPr>
            <w:tcW w:w="1701" w:type="dxa"/>
          </w:tcPr>
          <w:p w14:paraId="5A759DF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(1 g/kg on day 1 and day 2)</w:t>
            </w:r>
          </w:p>
        </w:tc>
        <w:tc>
          <w:tcPr>
            <w:tcW w:w="2268" w:type="dxa"/>
          </w:tcPr>
          <w:p w14:paraId="6D3934FD"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46B2B33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Change in MMS </w:t>
            </w:r>
          </w:p>
          <w:p w14:paraId="50920EA2"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0E484BE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FVC</w:t>
            </w:r>
          </w:p>
          <w:p w14:paraId="0694716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Need for mechanical ventilation or nasogastric tube</w:t>
            </w:r>
          </w:p>
          <w:p w14:paraId="07CE39E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AChRAb titre</w:t>
            </w:r>
          </w:p>
          <w:p w14:paraId="0D903E7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w:t>
            </w:r>
          </w:p>
          <w:p w14:paraId="71B841A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44BA896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ITT using the Wilcoxon rank sum for continuous variables</w:t>
            </w:r>
          </w:p>
          <w:p w14:paraId="43359B5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Fisher exact tests for categorical variables</w:t>
            </w:r>
          </w:p>
          <w:p w14:paraId="7A94520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Mixed linear models &amp; linear model with generalised estimating equations for repeated measures over time and treatment response respectively</w:t>
            </w:r>
          </w:p>
          <w:p w14:paraId="271BF46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Kaplan-Meier and log rank tests for failure time data</w:t>
            </w:r>
          </w:p>
          <w:p w14:paraId="767C7BE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SAS version 8.2 &amp; S-PLUS 2000 software were used</w:t>
            </w:r>
          </w:p>
        </w:tc>
        <w:tc>
          <w:tcPr>
            <w:tcW w:w="1418" w:type="dxa"/>
          </w:tcPr>
          <w:p w14:paraId="20AAD86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IVIg source: Tegeline; LFB Laboratories, Les Ulis, France)</w:t>
            </w:r>
          </w:p>
          <w:p w14:paraId="553D1FA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Immunosuppressive CS, AC or other drugs were given as required or continued as before the study</w:t>
            </w:r>
          </w:p>
          <w:p w14:paraId="24F4AFB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Follow-up at 0, 2, 4, 6, 9, 12 &amp; 15 days</w:t>
            </w:r>
          </w:p>
          <w:p w14:paraId="5A0531E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Patients were at a lower level of </w:t>
            </w:r>
            <w:r w:rsidRPr="007D1918">
              <w:rPr>
                <w:rFonts w:ascii="Arial Narrow" w:hAnsi="Arial Narrow"/>
                <w:sz w:val="18"/>
                <w:szCs w:val="18"/>
              </w:rPr>
              <w:lastRenderedPageBreak/>
              <w:t>severity then Gajdos 1997</w:t>
            </w:r>
          </w:p>
          <w:p w14:paraId="1459516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4193A88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Supported by LFB Laboratories &amp; the Association Française Contre les Myopathies, Paris, France.</w:t>
            </w:r>
          </w:p>
          <w:p w14:paraId="58B4A538" w14:textId="77777777" w:rsidR="008D42C5" w:rsidRPr="007D1918" w:rsidRDefault="008D42C5" w:rsidP="008D42C5">
            <w:pPr>
              <w:spacing w:before="40" w:after="40" w:line="240" w:lineRule="auto"/>
              <w:ind w:left="0"/>
              <w:rPr>
                <w:rFonts w:ascii="Arial Narrow" w:hAnsi="Arial Narrow"/>
                <w:sz w:val="18"/>
                <w:szCs w:val="18"/>
              </w:rPr>
            </w:pPr>
          </w:p>
        </w:tc>
      </w:tr>
      <w:tr w:rsidR="00F128B2" w:rsidRPr="007D1918" w14:paraId="5B952B8D" w14:textId="77777777" w:rsidTr="00EC62F5">
        <w:tc>
          <w:tcPr>
            <w:tcW w:w="1134" w:type="dxa"/>
          </w:tcPr>
          <w:p w14:paraId="3BB680EE" w14:textId="56A97309"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eastAsiaTheme="minorHAnsi" w:hAnsi="Arial Narrow" w:cstheme="minorHAnsi"/>
                <w:sz w:val="18"/>
                <w:szCs w:val="18"/>
                <w:lang w:eastAsia="en-US"/>
              </w:rPr>
              <w:instrText xml:space="preserve"> ADDIN EN.CITE </w:instrText>
            </w:r>
            <w:r w:rsidR="007F4CDE" w:rsidRPr="007D1918">
              <w:rPr>
                <w:rFonts w:ascii="Arial Narrow" w:eastAsiaTheme="minorHAnsi" w:hAnsi="Arial Narrow" w:cstheme="minorHAnsi"/>
                <w:sz w:val="18"/>
                <w:szCs w:val="18"/>
                <w:lang w:eastAsia="en-US"/>
              </w:rPr>
              <w:fldChar w:fldCharType="begin">
                <w:fldData xml:space="preserve">PEVuZE5vdGU+PENpdGU+PEF1dGhvcj5NYW5kYXdhdDwvQXV0aG9yPjxZZWFyPjIwMTA8L1llYXI+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</w:fldData>
              </w:fldChar>
            </w:r>
            <w:r w:rsidR="007F4CDE" w:rsidRPr="007D1918">
              <w:rPr>
                <w:rFonts w:ascii="Arial Narrow" w:eastAsiaTheme="minorHAnsi" w:hAnsi="Arial Narrow" w:cstheme="minorHAnsi"/>
                <w:sz w:val="18"/>
                <w:szCs w:val="18"/>
                <w:lang w:eastAsia="en-US"/>
              </w:rPr>
              <w:instrText xml:space="preserve"> ADDIN EN.CITE.DATA </w:instrText>
            </w:r>
            <w:r w:rsidR="007F4CDE" w:rsidRPr="007D1918">
              <w:rPr>
                <w:rFonts w:ascii="Arial Narrow" w:eastAsiaTheme="minorHAnsi" w:hAnsi="Arial Narrow" w:cstheme="minorHAnsi"/>
                <w:sz w:val="18"/>
                <w:szCs w:val="18"/>
                <w:lang w:eastAsia="en-US"/>
              </w:rPr>
            </w:r>
            <w:r w:rsidR="007F4CDE"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64" w:tooltip="Mandawat, 2010 #37" w:history="1">
              <w:r w:rsidR="007D4948" w:rsidRPr="007D1918">
                <w:rPr>
                  <w:rFonts w:ascii="Arial Narrow" w:eastAsiaTheme="minorHAnsi" w:hAnsi="Arial Narrow" w:cstheme="minorHAnsi"/>
                  <w:noProof/>
                  <w:sz w:val="18"/>
                  <w:szCs w:val="18"/>
                  <w:lang w:eastAsia="en-US"/>
                </w:rPr>
                <w:t>Mandawat et al. 2010</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637D083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USA</w:t>
            </w:r>
          </w:p>
        </w:tc>
        <w:tc>
          <w:tcPr>
            <w:tcW w:w="1560" w:type="dxa"/>
          </w:tcPr>
          <w:p w14:paraId="4EB048EB"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Retrospective cohort study</w:t>
            </w:r>
          </w:p>
          <w:p w14:paraId="5BEA48A5"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45F1C3A6"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compare clinical and economic outcomes following PE and IVIg in US hospital patients with primary diagnoses of MG (including crisis)</w:t>
            </w:r>
          </w:p>
        </w:tc>
        <w:tc>
          <w:tcPr>
            <w:tcW w:w="1134" w:type="dxa"/>
          </w:tcPr>
          <w:p w14:paraId="66EB8BB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III-2</w:t>
            </w:r>
          </w:p>
          <w:p w14:paraId="755D136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Moderate risk of bias</w:t>
            </w:r>
          </w:p>
        </w:tc>
        <w:tc>
          <w:tcPr>
            <w:tcW w:w="1984" w:type="dxa"/>
          </w:tcPr>
          <w:p w14:paraId="0EBF0BCD"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1,606</w:t>
            </w:r>
          </w:p>
          <w:p w14:paraId="52346ACC" w14:textId="46587FA8" w:rsidR="008D42C5" w:rsidRPr="007D1918" w:rsidRDefault="008D42C5" w:rsidP="008D42C5">
            <w:pPr>
              <w:spacing w:before="40" w:after="40" w:line="240" w:lineRule="auto"/>
              <w:ind w:left="0"/>
              <w:rPr>
                <w:rFonts w:ascii="Arial Narrow" w:hAnsi="Arial Narrow" w:cs="Times New Roman"/>
                <w:b/>
                <w:sz w:val="18"/>
                <w:szCs w:val="18"/>
                <w:lang w:eastAsia="en-US"/>
              </w:rPr>
            </w:pPr>
            <w:r w:rsidRPr="007D1918">
              <w:rPr>
                <w:rFonts w:ascii="Arial Narrow" w:hAnsi="Arial Narrow" w:cs="Times New Roman"/>
                <w:b/>
                <w:sz w:val="18"/>
                <w:szCs w:val="18"/>
                <w:lang w:eastAsia="en-US"/>
              </w:rPr>
              <w:t>MG</w:t>
            </w:r>
            <w:r w:rsidR="00F3738F" w:rsidRPr="007D1918">
              <w:rPr>
                <w:rFonts w:ascii="Arial Narrow" w:hAnsi="Arial Narrow" w:cs="Times New Roman"/>
                <w:b/>
                <w:sz w:val="18"/>
                <w:szCs w:val="18"/>
                <w:lang w:eastAsia="en-US"/>
              </w:rPr>
              <w:t xml:space="preserve"> -</w:t>
            </w:r>
            <w:r w:rsidRPr="007D1918">
              <w:rPr>
                <w:rFonts w:ascii="Arial Narrow" w:hAnsi="Arial Narrow" w:cs="Times New Roman"/>
                <w:b/>
                <w:sz w:val="18"/>
                <w:szCs w:val="18"/>
                <w:lang w:eastAsia="en-US"/>
              </w:rPr>
              <w:t xml:space="preserve"> crisis (n = 698):</w:t>
            </w:r>
          </w:p>
          <w:p w14:paraId="3FF1FE3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PE 58.9 ± 18.5; IVIg 56.3 ±  22.0</w:t>
            </w:r>
          </w:p>
          <w:p w14:paraId="41B218E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Male: PE 45.4%; IVIg 29.6%</w:t>
            </w:r>
          </w:p>
          <w:p w14:paraId="687189F0"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Charlson comorbidity index: PE 49.0% mild, 46.7% moderate, 4.35% severe; IVIg 56.8% mild, 39.6% moderate, 3.6% severe</w:t>
            </w:r>
          </w:p>
          <w:p w14:paraId="66C5B55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Admitted for acute respiratory failure with endotracheal intubation: PE 28.0%; IVIg 12.4%</w:t>
            </w:r>
          </w:p>
          <w:p w14:paraId="49CAE62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Admitted for acute respiratory failure with CPAP/BiPAP: PE 7.37%; IVIg 4.7%</w:t>
            </w:r>
          </w:p>
          <w:p w14:paraId="07EC69AC" w14:textId="0447951A" w:rsidR="008D42C5" w:rsidRPr="007D1918" w:rsidRDefault="008D42C5" w:rsidP="008D42C5">
            <w:pPr>
              <w:spacing w:before="40" w:after="40" w:line="240" w:lineRule="auto"/>
              <w:ind w:left="0"/>
              <w:rPr>
                <w:rFonts w:ascii="Arial Narrow" w:hAnsi="Arial Narrow" w:cs="Times New Roman"/>
                <w:b/>
                <w:sz w:val="18"/>
                <w:szCs w:val="18"/>
                <w:lang w:eastAsia="en-US"/>
              </w:rPr>
            </w:pPr>
            <w:r w:rsidRPr="007D1918">
              <w:rPr>
                <w:rFonts w:ascii="Arial Narrow" w:hAnsi="Arial Narrow" w:cs="Times New Roman"/>
                <w:b/>
                <w:sz w:val="18"/>
                <w:szCs w:val="18"/>
                <w:lang w:eastAsia="en-US"/>
              </w:rPr>
              <w:t xml:space="preserve">MG </w:t>
            </w:r>
            <w:r w:rsidR="00F3738F" w:rsidRPr="007D1918">
              <w:rPr>
                <w:rFonts w:ascii="Arial Narrow" w:hAnsi="Arial Narrow" w:cs="Times New Roman"/>
                <w:b/>
                <w:sz w:val="18"/>
                <w:szCs w:val="18"/>
                <w:lang w:eastAsia="en-US"/>
              </w:rPr>
              <w:t xml:space="preserve">- not crisis </w:t>
            </w:r>
            <w:r w:rsidRPr="007D1918">
              <w:rPr>
                <w:rFonts w:ascii="Arial Narrow" w:hAnsi="Arial Narrow" w:cs="Times New Roman"/>
                <w:b/>
                <w:sz w:val="18"/>
                <w:szCs w:val="18"/>
                <w:lang w:eastAsia="en-US"/>
              </w:rPr>
              <w:t>(n = 908)</w:t>
            </w:r>
          </w:p>
          <w:p w14:paraId="139E967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PE 53.2 ± 18.4; IVIg 50.7 ±  23.7</w:t>
            </w:r>
          </w:p>
          <w:p w14:paraId="460043A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Male: PE 34.3%; IVIg 37.4%</w:t>
            </w:r>
          </w:p>
          <w:p w14:paraId="13303C6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lastRenderedPageBreak/>
              <w:t>Charlson comorbidity index: PE 63.8% mild, 34.6% moderate, 1.6% severe; IVIg 58.5% mild, 39.8% moderate, 1.8% severe; excluded :acute respiratory failure</w:t>
            </w:r>
          </w:p>
        </w:tc>
        <w:tc>
          <w:tcPr>
            <w:tcW w:w="2268" w:type="dxa"/>
          </w:tcPr>
          <w:p w14:paraId="3C891F7E"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lastRenderedPageBreak/>
              <w:t>Inclusion</w:t>
            </w:r>
          </w:p>
          <w:p w14:paraId="7389FED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ICD-9-CM codes for primary diagnoses of MG (358.0) and MG crisis (358.01) to identify initial cohort</w:t>
            </w:r>
          </w:p>
          <w:p w14:paraId="10023E53"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411D9CE4"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sz w:val="18"/>
                <w:szCs w:val="18"/>
              </w:rPr>
              <w:t>Patients who received both PE and IVIg</w:t>
            </w:r>
          </w:p>
          <w:p w14:paraId="2818AD2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Secondary diagnoses of the following, according to ICD-9-CM criteria: neonatal MG, Lambert-Eaton myasthenic syndrome, chronic inflammatory demyelinating polyneuropathy, critical illness polyneuropathy, polyneuropathy due to other diseases classified elsewhere, acute poliomyelitis (with and without paralysis), acute transverse myelitis, acute alcohol intoxication, and poisoning by drug and biologic substances</w:t>
            </w:r>
          </w:p>
          <w:p w14:paraId="55B747D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To avoid double representation of the same patient, patients whose disposition or admission </w:t>
            </w:r>
            <w:r w:rsidRPr="007D1918">
              <w:rPr>
                <w:rFonts w:ascii="Arial Narrow" w:hAnsi="Arial Narrow"/>
                <w:sz w:val="18"/>
                <w:szCs w:val="18"/>
              </w:rPr>
              <w:lastRenderedPageBreak/>
              <w:t>type indicated a transfer to or from another short-term hospital</w:t>
            </w:r>
          </w:p>
          <w:p w14:paraId="734D114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Patients with a hospital charge less than $100, (as deemed likely to be incorrectly coded) and those with a negative length of stay or a stay exceeding 365 days</w:t>
            </w:r>
          </w:p>
        </w:tc>
        <w:tc>
          <w:tcPr>
            <w:tcW w:w="1701" w:type="dxa"/>
          </w:tcPr>
          <w:p w14:paraId="6E9C8D6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IVIg, no further details</w:t>
            </w:r>
          </w:p>
        </w:tc>
        <w:tc>
          <w:tcPr>
            <w:tcW w:w="1701" w:type="dxa"/>
          </w:tcPr>
          <w:p w14:paraId="06E9CD0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 no further details</w:t>
            </w:r>
          </w:p>
        </w:tc>
        <w:tc>
          <w:tcPr>
            <w:tcW w:w="2268" w:type="dxa"/>
          </w:tcPr>
          <w:p w14:paraId="526BAEA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Mortality</w:t>
            </w:r>
          </w:p>
          <w:p w14:paraId="08183B7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Complications</w:t>
            </w:r>
          </w:p>
          <w:p w14:paraId="24AD6B2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Length of hospital stay</w:t>
            </w:r>
          </w:p>
          <w:p w14:paraId="2BF41F0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Total hospital charges</w:t>
            </w:r>
          </w:p>
          <w:p w14:paraId="4F57B01A"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analyses</w:t>
            </w:r>
          </w:p>
          <w:p w14:paraId="720BBDB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Bivariate analysis of independent variables by outcomes was performed using Fisher’s exact test for categorical variables and Wilcoxon signed-rank test and Mood’s median test for continuous variables</w:t>
            </w:r>
          </w:p>
          <w:p w14:paraId="477B1C3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Significance set a priori at p&lt;0.05</w:t>
            </w:r>
          </w:p>
          <w:p w14:paraId="58F6E72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Stepwise multiple regression models fitted to determine the independent association of significant variables associated with use of IVIg over PE; Length of stay and total hospital charge were log-transformed to reduce skewness and meet normality assumptions. </w:t>
            </w:r>
          </w:p>
        </w:tc>
        <w:tc>
          <w:tcPr>
            <w:tcW w:w="1418" w:type="dxa"/>
          </w:tcPr>
          <w:p w14:paraId="130F0709"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 xml:space="preserve">Funding </w:t>
            </w:r>
          </w:p>
          <w:p w14:paraId="428D906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Research partially supported by grant from the National Institute of Neurological Disorders and Stroke</w:t>
            </w:r>
          </w:p>
          <w:p w14:paraId="4BE998B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Authors reported that they have no potential conflict of interest</w:t>
            </w:r>
          </w:p>
        </w:tc>
      </w:tr>
      <w:tr w:rsidR="00F128B2" w:rsidRPr="007D1918" w14:paraId="1482CE1D" w14:textId="77777777" w:rsidTr="00EC62F5">
        <w:tc>
          <w:tcPr>
            <w:tcW w:w="1134" w:type="dxa"/>
          </w:tcPr>
          <w:p w14:paraId="04B4B677" w14:textId="3A44D63B"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rFonts w:ascii="Arial Narrow" w:eastAsiaTheme="minorHAnsi" w:hAnsi="Arial Narrow" w:cstheme="minorHAnsi"/>
                <w:sz w:val="18"/>
                <w:szCs w:val="18"/>
                <w:lang w:eastAsia="en-US"/>
              </w:rPr>
              <w:instrText xml:space="preserve"> ADDIN EN.CITE </w:instrText>
            </w:r>
            <w:r w:rsidRPr="007D1918">
              <w:rPr>
                <w:rFonts w:ascii="Arial Narrow" w:eastAsiaTheme="minorHAnsi" w:hAnsi="Arial Narrow" w:cstheme="minorHAnsi"/>
                <w:sz w:val="18"/>
                <w:szCs w:val="18"/>
                <w:lang w:eastAsia="en-US"/>
              </w:rPr>
              <w:fldChar w:fldCharType="begin">
                <w:fldData xml:space="preserve">PEVuZE5vdGU+PENpdGU+PEF1dGhvcj5QaXR0YXlhbm9uPC9BdXRob3I+PFllYXI+MjAwOTwvWWVh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</w:fldData>
              </w:fldChar>
            </w:r>
            <w:r w:rsidRPr="007D1918">
              <w:rPr>
                <w:rFonts w:ascii="Arial Narrow" w:eastAsiaTheme="minorHAnsi" w:hAnsi="Arial Narrow" w:cstheme="minorHAnsi"/>
                <w:sz w:val="18"/>
                <w:szCs w:val="18"/>
                <w:lang w:eastAsia="en-US"/>
              </w:rPr>
              <w:instrText xml:space="preserve"> ADDIN EN.CITE.DATA </w:instrText>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79" w:tooltip="Pittayanon, 2009 #86" w:history="1">
              <w:r w:rsidR="007D4948" w:rsidRPr="007D1918">
                <w:rPr>
                  <w:rFonts w:ascii="Arial Narrow" w:eastAsiaTheme="minorHAnsi" w:hAnsi="Arial Narrow" w:cstheme="minorHAnsi"/>
                  <w:noProof/>
                  <w:sz w:val="18"/>
                  <w:szCs w:val="18"/>
                  <w:lang w:eastAsia="en-US"/>
                </w:rPr>
                <w:t>Pittayanon, Treeprasertsuk &amp; Phanthumchinda 2009</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r w:rsidR="008D42C5" w:rsidRPr="007D1918">
              <w:rPr>
                <w:rFonts w:ascii="Arial Narrow" w:eastAsiaTheme="minorHAnsi" w:hAnsi="Arial Narrow" w:cstheme="minorHAnsi"/>
                <w:sz w:val="18"/>
                <w:szCs w:val="18"/>
                <w:lang w:eastAsia="en-US"/>
              </w:rPr>
              <w:t>]</w:t>
            </w:r>
          </w:p>
          <w:p w14:paraId="23C89879"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Thailand</w:t>
            </w:r>
          </w:p>
        </w:tc>
        <w:tc>
          <w:tcPr>
            <w:tcW w:w="1560" w:type="dxa"/>
          </w:tcPr>
          <w:p w14:paraId="618E17FF"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Retrospective cohort study</w:t>
            </w:r>
          </w:p>
          <w:p w14:paraId="233B7AC3"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3BE15E9C"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evaluate the efficacy and outcomes of MG crisis treatment with PE or IVIg in King Chulalongkorn Hospital, Thailand</w:t>
            </w:r>
          </w:p>
        </w:tc>
        <w:tc>
          <w:tcPr>
            <w:tcW w:w="1134" w:type="dxa"/>
          </w:tcPr>
          <w:p w14:paraId="4FF7635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III-2</w:t>
            </w:r>
          </w:p>
          <w:p w14:paraId="60AB8E5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Low-Moderate risk of bias</w:t>
            </w:r>
          </w:p>
        </w:tc>
        <w:tc>
          <w:tcPr>
            <w:tcW w:w="1984" w:type="dxa"/>
          </w:tcPr>
          <w:p w14:paraId="3080C29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33 episodes of MG crisis with respiratory failure among 26 patients</w:t>
            </w:r>
          </w:p>
          <w:p w14:paraId="56B55DDD"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44.4 ± 15.0 (range 20–75)</w:t>
            </w:r>
          </w:p>
          <w:p w14:paraId="06DEC6A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Male: 9 (35%)</w:t>
            </w:r>
          </w:p>
          <w:p w14:paraId="2B7870BA"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duration of MG prior to crisis ± SD (y): 2.9 ± 5.9</w:t>
            </w:r>
          </w:p>
          <w:p w14:paraId="46896AE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First crisis presented within 2 years after the diagnosis of MG in 68% of patients</w:t>
            </w:r>
          </w:p>
          <w:p w14:paraId="20D7303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Comorbidities and associated disease: 13 patients (50%)</w:t>
            </w:r>
          </w:p>
        </w:tc>
        <w:tc>
          <w:tcPr>
            <w:tcW w:w="2268" w:type="dxa"/>
          </w:tcPr>
          <w:p w14:paraId="7A621B2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20B796B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Episodes of MG crisis between 1 June 2001 and 30 June 2006 in the study hospital were recruited retrospectively using the hospital database</w:t>
            </w:r>
          </w:p>
          <w:p w14:paraId="3E1D6FCD" w14:textId="49216BB4"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Diagnosis inde</w:t>
            </w:r>
            <w:r w:rsidR="00F3738F" w:rsidRPr="007D1918">
              <w:rPr>
                <w:rFonts w:ascii="Arial Narrow" w:hAnsi="Arial Narrow"/>
                <w:sz w:val="18"/>
                <w:szCs w:val="18"/>
              </w:rPr>
              <w:t>c</w:t>
            </w:r>
            <w:r w:rsidRPr="007D1918">
              <w:rPr>
                <w:rFonts w:ascii="Arial Narrow" w:hAnsi="Arial Narrow"/>
                <w:sz w:val="18"/>
                <w:szCs w:val="18"/>
              </w:rPr>
              <w:t>es using MG crisis and respiratory failure were searched for cases</w:t>
            </w:r>
          </w:p>
          <w:p w14:paraId="0A56E158" w14:textId="617F9054"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 diagnosed by clinical features, electro</w:t>
            </w:r>
            <w:r w:rsidR="007D77DC" w:rsidRPr="007D1918">
              <w:rPr>
                <w:rFonts w:ascii="Arial Narrow" w:hAnsi="Arial Narrow"/>
                <w:sz w:val="18"/>
                <w:szCs w:val="18"/>
              </w:rPr>
              <w:t>-</w:t>
            </w:r>
            <w:r w:rsidRPr="007D1918">
              <w:rPr>
                <w:rFonts w:ascii="Arial Narrow" w:hAnsi="Arial Narrow"/>
                <w:sz w:val="18"/>
                <w:szCs w:val="18"/>
              </w:rPr>
              <w:t>diagnostic test and therapeutic response to pyridostigmine</w:t>
            </w:r>
          </w:p>
          <w:p w14:paraId="420FA69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Crisis defined as weakness of respiration that required respiratory assistance</w:t>
            </w:r>
          </w:p>
        </w:tc>
        <w:tc>
          <w:tcPr>
            <w:tcW w:w="1701" w:type="dxa"/>
          </w:tcPr>
          <w:p w14:paraId="6D76BC7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dosed at 400 mg/kg/day for 5 days</w:t>
            </w:r>
          </w:p>
        </w:tc>
        <w:tc>
          <w:tcPr>
            <w:tcW w:w="1701" w:type="dxa"/>
          </w:tcPr>
          <w:p w14:paraId="7F299B6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 3–5 cycles of volume exchange on alternate days</w:t>
            </w:r>
          </w:p>
        </w:tc>
        <w:tc>
          <w:tcPr>
            <w:tcW w:w="2268" w:type="dxa"/>
          </w:tcPr>
          <w:p w14:paraId="7A3C1E8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Duration of intubation</w:t>
            </w:r>
          </w:p>
          <w:p w14:paraId="6F6C05F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Length of hospital stay</w:t>
            </w:r>
          </w:p>
          <w:p w14:paraId="1E2DEEB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Complications during hospital stay</w:t>
            </w:r>
          </w:p>
          <w:p w14:paraId="632B7A1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Discharge status</w:t>
            </w:r>
          </w:p>
          <w:p w14:paraId="15F759CA"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4D3C4BE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SPSS version 13 was used for data analysis</w:t>
            </w:r>
          </w:p>
          <w:p w14:paraId="1D3905F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Methods included unpaired t-test, Fisher’s exact test, Pearson Chi-square (exact) test and Mann-Whitney U-test, where appropriate</w:t>
            </w:r>
          </w:p>
          <w:p w14:paraId="2FA6597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Statistical significance accepted at the p&lt;0.05 level</w:t>
            </w:r>
          </w:p>
        </w:tc>
        <w:tc>
          <w:tcPr>
            <w:tcW w:w="1418" w:type="dxa"/>
          </w:tcPr>
          <w:p w14:paraId="1BC27BA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0F0D83B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No statement regarding the funding of the study or any potential conflicts of interest were provided by the study authors</w:t>
            </w:r>
          </w:p>
        </w:tc>
      </w:tr>
      <w:tr w:rsidR="00F128B2" w:rsidRPr="007D1918" w14:paraId="45D3544E" w14:textId="77777777" w:rsidTr="00EC62F5">
        <w:tc>
          <w:tcPr>
            <w:tcW w:w="1134" w:type="dxa"/>
          </w:tcPr>
          <w:p w14:paraId="7929DEB6" w14:textId="607A6679"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PEVuZE5vdGU+PENpdGU+PEF1dGhvcj5NdXJ0aHk8L0F1dGhvcj48WWVhcj4yMDA1PC9ZZWFyPjxS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68" w:tooltip="Murthy, 2005 #38" w:history="1">
              <w:r w:rsidR="007D4948" w:rsidRPr="007D1918">
                <w:rPr>
                  <w:rFonts w:ascii="Arial Narrow" w:eastAsiaTheme="minorHAnsi" w:hAnsi="Arial Narrow" w:cstheme="minorHAnsi"/>
                  <w:noProof/>
                  <w:sz w:val="18"/>
                  <w:szCs w:val="18"/>
                  <w:lang w:eastAsia="en-US"/>
                </w:rPr>
                <w:t>Murthy et al. 2005</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5651E47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India</w:t>
            </w:r>
          </w:p>
        </w:tc>
        <w:tc>
          <w:tcPr>
            <w:tcW w:w="1560" w:type="dxa"/>
          </w:tcPr>
          <w:p w14:paraId="1EB6053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Retrospective cohort study</w:t>
            </w:r>
          </w:p>
          <w:p w14:paraId="47F1F47A"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Objectives</w:t>
            </w:r>
          </w:p>
          <w:p w14:paraId="283CD7B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Not stated</w:t>
            </w:r>
          </w:p>
        </w:tc>
        <w:tc>
          <w:tcPr>
            <w:tcW w:w="1134" w:type="dxa"/>
          </w:tcPr>
          <w:p w14:paraId="412B864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III-2</w:t>
            </w:r>
          </w:p>
          <w:p w14:paraId="3DCC327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High risk of bias</w:t>
            </w:r>
          </w:p>
        </w:tc>
        <w:tc>
          <w:tcPr>
            <w:tcW w:w="1984" w:type="dxa"/>
          </w:tcPr>
          <w:p w14:paraId="5DB971D9"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21 patients with 23 episodes of MG crisis</w:t>
            </w:r>
          </w:p>
          <w:p w14:paraId="2E517184"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Median age crisis onset: 40 years (range 28–75)</w:t>
            </w:r>
          </w:p>
          <w:p w14:paraId="057CAD1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Ratio of men to women 1.3:1. </w:t>
            </w:r>
          </w:p>
          <w:p w14:paraId="1B08566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Median duration of the crisis episode: 11 days (range 7-39 days)</w:t>
            </w:r>
          </w:p>
        </w:tc>
        <w:tc>
          <w:tcPr>
            <w:tcW w:w="2268" w:type="dxa"/>
          </w:tcPr>
          <w:p w14:paraId="29E725C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cs="Times New Roman"/>
                <w:sz w:val="18"/>
                <w:szCs w:val="18"/>
                <w:lang w:eastAsia="en-US"/>
              </w:rPr>
              <w:t>All patients with episodes of MG crisis identified from the case records of the patients with MG seen by the senior author</w:t>
            </w:r>
          </w:p>
        </w:tc>
        <w:tc>
          <w:tcPr>
            <w:tcW w:w="1701" w:type="dxa"/>
          </w:tcPr>
          <w:p w14:paraId="23A108E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w:t>
            </w:r>
          </w:p>
        </w:tc>
        <w:tc>
          <w:tcPr>
            <w:tcW w:w="1701" w:type="dxa"/>
          </w:tcPr>
          <w:p w14:paraId="73DF55F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w:t>
            </w:r>
          </w:p>
        </w:tc>
        <w:tc>
          <w:tcPr>
            <w:tcW w:w="2268" w:type="dxa"/>
          </w:tcPr>
          <w:p w14:paraId="59F0D81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Duration of crisis episode</w:t>
            </w:r>
          </w:p>
          <w:p w14:paraId="079EC69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Median intensive care unit stay</w:t>
            </w:r>
          </w:p>
          <w:p w14:paraId="71357FB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Time to stabilisation/Median number of days for extubation</w:t>
            </w:r>
          </w:p>
          <w:p w14:paraId="2C70BEA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Complications</w:t>
            </w:r>
          </w:p>
          <w:p w14:paraId="7C4E272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Mortality, crisis-related and all-cause</w:t>
            </w:r>
          </w:p>
          <w:p w14:paraId="5D406532"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0A77163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None reported</w:t>
            </w:r>
          </w:p>
        </w:tc>
        <w:tc>
          <w:tcPr>
            <w:tcW w:w="1418" w:type="dxa"/>
          </w:tcPr>
          <w:p w14:paraId="159B2647"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7C18286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The study authors reported that there were not sources of support to declare, nor any conflicts of interest</w:t>
            </w:r>
          </w:p>
        </w:tc>
      </w:tr>
      <w:tr w:rsidR="00F128B2" w:rsidRPr="007D1918" w14:paraId="516E3F14" w14:textId="77777777" w:rsidTr="00EC62F5">
        <w:tc>
          <w:tcPr>
            <w:tcW w:w="1134" w:type="dxa"/>
          </w:tcPr>
          <w:p w14:paraId="57562075" w14:textId="283CBC0F"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fldChar w:fldCharType="begin">
                <w:fldData xml:space="preserve">PEVuZE5vdGU+PENpdGU+PEF1dGhvcj5QYW5kYTwvQXV0aG9yPjxZZWFyPjIwMDQ8L1llYXI+PFJl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PEVuZE5vdGU+PENpdGU+PEF1dGhvcj5QYW5kYTwvQXV0aG9yPjxZZWFyPjIwMDQ8L1llYXI+PFJl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76" w:tooltip="Panda, 2004 #39" w:history="1">
              <w:r w:rsidR="007D4948" w:rsidRPr="007D1918">
                <w:rPr>
                  <w:rFonts w:ascii="Arial Narrow" w:eastAsiaTheme="minorHAnsi" w:hAnsi="Arial Narrow" w:cstheme="minorHAnsi"/>
                  <w:noProof/>
                  <w:sz w:val="18"/>
                  <w:szCs w:val="18"/>
                  <w:lang w:eastAsia="en-US"/>
                </w:rPr>
                <w:t>Panda et al. 2004</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1E280677"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India</w:t>
            </w:r>
          </w:p>
        </w:tc>
        <w:tc>
          <w:tcPr>
            <w:tcW w:w="1560" w:type="dxa"/>
          </w:tcPr>
          <w:p w14:paraId="008CD488"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Retrospective cohort study</w:t>
            </w:r>
          </w:p>
          <w:p w14:paraId="35C21BF4"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72B74278"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study the demographic, clinical and treatment-related characteristics of patients who developed MG crisis and admitted to a tertiary care centre in India</w:t>
            </w:r>
          </w:p>
        </w:tc>
        <w:tc>
          <w:tcPr>
            <w:tcW w:w="1134" w:type="dxa"/>
          </w:tcPr>
          <w:p w14:paraId="7B7DF14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III-2</w:t>
            </w:r>
          </w:p>
          <w:p w14:paraId="299EEC9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tc>
        <w:tc>
          <w:tcPr>
            <w:tcW w:w="1984" w:type="dxa"/>
          </w:tcPr>
          <w:p w14:paraId="50E8348D"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11 patients admitted to hospital with 12 episodes of MG crisis</w:t>
            </w:r>
          </w:p>
          <w:p w14:paraId="7734E62D"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at presentation ± SD (y) = 39.8 ± 13.2 9 (range 22-66)</w:t>
            </w:r>
          </w:p>
          <w:p w14:paraId="436F4E3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3:1 ratio M:F</w:t>
            </w:r>
          </w:p>
          <w:p w14:paraId="2017CC20"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Median disease duration prior to MC: 20.02 + 22.93 months (median of 8 months, range 7 days–5 years)</w:t>
            </w:r>
          </w:p>
          <w:p w14:paraId="4BFEBA0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Concomitant medication to intervention/comparator: 100% AC, 75% pyridostigmine, 33% on neostigmine. 60% steroids, 42% azathioprine</w:t>
            </w:r>
          </w:p>
        </w:tc>
        <w:tc>
          <w:tcPr>
            <w:tcW w:w="2268" w:type="dxa"/>
          </w:tcPr>
          <w:p w14:paraId="063430B6"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Inclusion</w:t>
            </w:r>
          </w:p>
          <w:p w14:paraId="1B3D5B2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Patients admitted to the neurology ward and ICU with MG crisis from February 1999 to August 2001.</w:t>
            </w:r>
          </w:p>
          <w:p w14:paraId="1BDDF6D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cs="Times New Roman"/>
                <w:sz w:val="18"/>
                <w:szCs w:val="18"/>
                <w:lang w:eastAsia="en-US"/>
              </w:rPr>
              <w:t>Diagnosis of MG was based on evidence of muscle weakness, fatigability and diurnal fluctuation of symptoms, and clinical examination, supplemented by positive decrement response on repetitive nerve stimulation test and improvement with edrophonium or neostigmine testing.</w:t>
            </w:r>
          </w:p>
        </w:tc>
        <w:tc>
          <w:tcPr>
            <w:tcW w:w="1701" w:type="dxa"/>
          </w:tcPr>
          <w:p w14:paraId="2D53D85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3 (25%) episodes of MG crisis treated with IVIg</w:t>
            </w:r>
          </w:p>
          <w:p w14:paraId="049E947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cs="Times New Roman"/>
                <w:sz w:val="18"/>
                <w:szCs w:val="18"/>
                <w:lang w:eastAsia="en-US"/>
              </w:rPr>
              <w:t xml:space="preserve">Mean volume of plasma exchange per cycle was 854 mL(range, 600-980) per day </w:t>
            </w:r>
          </w:p>
        </w:tc>
        <w:tc>
          <w:tcPr>
            <w:tcW w:w="1701" w:type="dxa"/>
          </w:tcPr>
          <w:p w14:paraId="52B14D9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8 (66.7%) patients treated with PE</w:t>
            </w:r>
          </w:p>
          <w:p w14:paraId="76F9E5C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1/8 (12.5%) patients also received IVIg</w:t>
            </w:r>
          </w:p>
        </w:tc>
        <w:tc>
          <w:tcPr>
            <w:tcW w:w="2268" w:type="dxa"/>
          </w:tcPr>
          <w:p w14:paraId="6BF0FA4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Perceptible improvement of MG crisis (defined as the point of weaning off the ventilator)</w:t>
            </w:r>
          </w:p>
          <w:p w14:paraId="16BE60B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Proportions of patients able to walk unsupported and feed orally</w:t>
            </w:r>
          </w:p>
          <w:p w14:paraId="20912E1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Mortality</w:t>
            </w:r>
          </w:p>
          <w:p w14:paraId="7CA2DC02"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0EDF31E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None reported</w:t>
            </w:r>
          </w:p>
        </w:tc>
        <w:tc>
          <w:tcPr>
            <w:tcW w:w="1418" w:type="dxa"/>
          </w:tcPr>
          <w:p w14:paraId="2389A05E"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71D9F3E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The study authors did not provide any statement regarding funding or potential conflicts of interest</w:t>
            </w:r>
          </w:p>
        </w:tc>
      </w:tr>
      <w:tr w:rsidR="00F128B2" w:rsidRPr="007D1918" w14:paraId="2A378064" w14:textId="77777777" w:rsidTr="00EC62F5">
        <w:tc>
          <w:tcPr>
            <w:tcW w:w="1134" w:type="dxa"/>
          </w:tcPr>
          <w:p w14:paraId="0D76C699" w14:textId="5E34C2B0"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r>
            <w:r w:rsidR="00C437BA" w:rsidRPr="007D1918">
              <w:rPr>
                <w:rFonts w:ascii="Arial Narrow" w:eastAsiaTheme="minorHAnsi" w:hAnsi="Arial Narrow" w:cstheme="minorHAnsi"/>
                <w:sz w:val="18"/>
                <w:szCs w:val="18"/>
                <w:lang w:eastAsia="en-US"/>
              </w:rPr>
              <w:instrText xml:space="preserve"> ADDIN EN.CITE &lt;EndNote&gt;&lt;Cite&gt;&lt;Author&gt;Qureshi&lt;/Author&gt;&lt;Year&gt;1999&lt;/Year&gt;&lt;RecNum&gt;40&lt;/RecNum&gt;&lt;DisplayText&gt;(Qureshi et al. 1999)&lt;/DisplayText&gt;&lt;record&gt;&lt;rec-number&gt;40&lt;/rec-number&gt;&lt;foreign-keys&gt;&lt;key app="EN" db-id="2aevrx2slsts5ve9sdavatf125dsx0av2v9d" timestamp="1562810907"&gt;40&lt;/key&gt;&lt;/foreign-keys&gt;&lt;ref-type name="Journal Article"&gt;17&lt;/ref-type&gt;&lt;contributors&gt;&lt;authors&gt;&lt;author&gt;Qureshi, A. I.&lt;/author&gt;&lt;author&gt;Choudhry, M. A.&lt;/author&gt;&lt;author&gt;Akbar, M. S.&lt;/author&gt;&lt;author&gt;Mohammad, Y.&lt;/author&gt;&lt;author&gt;Chua, H. C.&lt;/author&gt;&lt;author&gt;Yahia, A. M.&lt;/author&gt;&lt;author&gt;Ulatowski, J. A.&lt;/author&gt;&lt;author&gt;Krendel, D. A.&lt;/author&gt;&lt;author&gt;Leshner, R. T.&lt;/author&gt;&lt;/authors&gt;&lt;/contributors&gt;&lt;auth-address&gt;Department of Neurology at The Johns Hopkins Hospital, Baltimore, MD, USA.&lt;/auth-address&gt;&lt;titles&gt;&lt;title&gt;Plasma exchange versus intravenous immunoglobulin treatment in myasthenic crisis&lt;/title&gt;&lt;secondary-title&gt;Neurology&lt;/secondary-title&gt;&lt;/titles&gt;&lt;periodical&gt;&lt;full-title&gt;Neurology&lt;/full-title&gt;&lt;/periodical&gt;&lt;pages&gt;629-32&lt;/pages&gt;&lt;volume&gt;52&lt;/volume&gt;&lt;number&gt;3&lt;/number&gt;&lt;edition&gt;1999/02/20&lt;/edition&gt;&lt;keywords&gt;&lt;keyword&gt;Adult&lt;/keyword&gt;&lt;keyword&gt;Aged&lt;/keyword&gt;&lt;keyword&gt;Female&lt;/keyword&gt;&lt;keyword&gt;Humans&lt;/keyword&gt;&lt;keyword&gt;Immunoglobulins, Intravenous/ therapeutic use&lt;/keyword&gt;&lt;keyword&gt;Male&lt;/keyword&gt;&lt;keyword&gt;Middle Aged&lt;/keyword&gt;&lt;keyword&gt;Myasthenia Gravis/physiopathology/ therapy&lt;/keyword&gt;&lt;keyword&gt;Plasma Exchange&lt;/keyword&gt;&lt;keyword&gt;Prognosis&lt;/keyword&gt;&lt;keyword&gt;Retrospective Studies&lt;/keyword&gt;&lt;/keywords&gt;&lt;dates&gt;&lt;year&gt;1999&lt;/year&gt;&lt;pub-dates&gt;&lt;date&gt;Feb&lt;/date&gt;&lt;/pub-dates&gt;&lt;/dates&gt;&lt;isbn&gt;0028-3878 (Print)&amp;#xD;0028-3878 (Linking)&lt;/isbn&gt;&lt;accession-num&gt;10025801&lt;/accession-num&gt;&lt;urls&gt;&lt;/urls&gt;&lt;remote-database-provider&gt;NLM&lt;/remote-database-provider&gt;&lt;research-notes&gt;To extract; Table and Figure in higher resolution in supplementary attachments below&lt;/research-notes&gt;&lt;language&gt;eng&lt;/language&gt;&lt;/record&gt;&lt;/Cite&gt;&lt;/EndNote&gt;</w:instrText>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80" w:tooltip="Qureshi, 1999 #40" w:history="1">
              <w:r w:rsidR="007D4948" w:rsidRPr="007D1918">
                <w:rPr>
                  <w:rFonts w:ascii="Arial Narrow" w:eastAsiaTheme="minorHAnsi" w:hAnsi="Arial Narrow" w:cstheme="minorHAnsi"/>
                  <w:noProof/>
                  <w:sz w:val="18"/>
                  <w:szCs w:val="18"/>
                  <w:lang w:eastAsia="en-US"/>
                </w:rPr>
                <w:t>Qureshi et al. 1999</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20AD9761"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USA</w:t>
            </w:r>
          </w:p>
        </w:tc>
        <w:tc>
          <w:tcPr>
            <w:tcW w:w="1560" w:type="dxa"/>
          </w:tcPr>
          <w:p w14:paraId="3E9515C4"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Retrospective cohort study</w:t>
            </w:r>
          </w:p>
          <w:p w14:paraId="7870DC83"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1CC88567"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compare the efficacy and tolerance of PE and IVIg in the treatment of MG crisis</w:t>
            </w:r>
          </w:p>
        </w:tc>
        <w:tc>
          <w:tcPr>
            <w:tcW w:w="1134" w:type="dxa"/>
          </w:tcPr>
          <w:p w14:paraId="53B284FA"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Level III-2</w:t>
            </w:r>
          </w:p>
          <w:p w14:paraId="02A44C6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Moderate risk of bias</w:t>
            </w:r>
          </w:p>
        </w:tc>
        <w:tc>
          <w:tcPr>
            <w:tcW w:w="1984" w:type="dxa"/>
          </w:tcPr>
          <w:p w14:paraId="7412EBBE"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N = 54 episodes of MG</w:t>
            </w:r>
          </w:p>
          <w:p w14:paraId="14EAD54F"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26 episodes among 24 patients with primary treatment of IVIg</w:t>
            </w:r>
          </w:p>
          <w:p w14:paraId="1005F6DE"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28 episodes among 27 patients with primary treatment of PE</w:t>
            </w:r>
          </w:p>
          <w:p w14:paraId="4FDC5AD8"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Treatment based on local physician preference</w:t>
            </w:r>
          </w:p>
        </w:tc>
        <w:tc>
          <w:tcPr>
            <w:tcW w:w="2268" w:type="dxa"/>
          </w:tcPr>
          <w:p w14:paraId="5395F326"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Inclusion</w:t>
            </w:r>
          </w:p>
          <w:p w14:paraId="3A9DDB1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All patients with MG crisis who were treated with PE or IVIg in 4 US university-affiliated hospitals from January 1990 through December 1997.</w:t>
            </w:r>
          </w:p>
          <w:p w14:paraId="54EBA700"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MG crisis characterised by acute episode of respiratory muscle weakness, defined by forced vital capacity ≤1.0 L, negative inspiratory force ≤20 cm H</w:t>
            </w:r>
            <w:r w:rsidRPr="007D1918">
              <w:rPr>
                <w:rFonts w:ascii="Arial Narrow" w:eastAsiaTheme="minorHAnsi" w:hAnsi="Arial Narrow" w:cstheme="minorHAnsi"/>
                <w:sz w:val="18"/>
                <w:szCs w:val="18"/>
                <w:vertAlign w:val="subscript"/>
                <w:lang w:eastAsia="en-US"/>
              </w:rPr>
              <w:t>2</w:t>
            </w:r>
            <w:r w:rsidRPr="007D1918">
              <w:rPr>
                <w:rFonts w:ascii="Arial Narrow" w:eastAsiaTheme="minorHAnsi" w:hAnsi="Arial Narrow" w:cstheme="minorHAnsi"/>
                <w:sz w:val="18"/>
                <w:szCs w:val="18"/>
                <w:lang w:eastAsia="en-US"/>
              </w:rPr>
              <w:t>O, or requirement of mechanical ventilation</w:t>
            </w:r>
          </w:p>
          <w:p w14:paraId="6F727F11"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Episodes of respiratory failure 6 months apart in the same patient were considered as separate episodes</w:t>
            </w:r>
          </w:p>
          <w:p w14:paraId="1681A7BD"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Exclusion</w:t>
            </w:r>
          </w:p>
          <w:p w14:paraId="070CBB2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eastAsiaTheme="minorHAnsi" w:hAnsi="Arial Narrow" w:cstheme="minorHAnsi"/>
                <w:sz w:val="18"/>
                <w:szCs w:val="18"/>
                <w:lang w:eastAsia="en-US"/>
              </w:rPr>
              <w:lastRenderedPageBreak/>
              <w:t>Patients with perioperative respiratory crisis associated with thymectomy</w:t>
            </w:r>
          </w:p>
        </w:tc>
        <w:tc>
          <w:tcPr>
            <w:tcW w:w="1701" w:type="dxa"/>
          </w:tcPr>
          <w:p w14:paraId="0E758C0F"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t>IVIg</w:t>
            </w:r>
          </w:p>
          <w:p w14:paraId="4E8AE5B4"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400 mg/kg/day for 5 days</w:t>
            </w:r>
          </w:p>
          <w:p w14:paraId="419B0474"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Preparations included Gamimune N (Bayer, West Haven, CT), Gammagard (Baxter, Glendale, CA) and Sandoglobulin (Sandoz, East Hanover, NJ)</w:t>
            </w:r>
          </w:p>
          <w:p w14:paraId="7306BCB7"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Treatment prematurely terminated in 2 patients due to complications (n=2) or lack of response (n=1)</w:t>
            </w:r>
          </w:p>
        </w:tc>
        <w:tc>
          <w:tcPr>
            <w:tcW w:w="1701" w:type="dxa"/>
          </w:tcPr>
          <w:p w14:paraId="6482ABDE"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PE</w:t>
            </w:r>
          </w:p>
          <w:p w14:paraId="0408595D"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5 or 6 cycles on alternate days</w:t>
            </w:r>
          </w:p>
          <w:p w14:paraId="4F5905F9"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25–45 cc/kg of plasma exchanged per session</w:t>
            </w:r>
          </w:p>
          <w:p w14:paraId="2546FC59"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Treatment prematurely terminated in 3 patients due to early recover (n=1) or complications (n=2)</w:t>
            </w:r>
          </w:p>
        </w:tc>
        <w:tc>
          <w:tcPr>
            <w:tcW w:w="2268" w:type="dxa"/>
          </w:tcPr>
          <w:p w14:paraId="2F4BA279"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Outcomes recorded</w:t>
            </w:r>
          </w:p>
          <w:p w14:paraId="03A4C205"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1. Clinical severity of disease graded before and 7 days after initiation of treatment using standard scoring system: MSS</w:t>
            </w:r>
          </w:p>
          <w:p w14:paraId="62B3E6EC"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2. Ventilatory status, 2 weeks after initiation of treatment, divided into three categories: a) intubated but unable to extubate after primary treatment; b) intubated but successfully extubated; and c) did not require intubation.</w:t>
            </w:r>
          </w:p>
          <w:p w14:paraId="2AAED2EA"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3. Functional outcome, 1 month after initiation of treatment, divided into five categories: a) dead; b) require mechanical ventilation; c) tracheostomy without </w:t>
            </w:r>
            <w:r w:rsidRPr="007D1918">
              <w:rPr>
                <w:rFonts w:ascii="Arial Narrow" w:eastAsiaTheme="minorHAnsi" w:hAnsi="Arial Narrow" w:cstheme="minorHAnsi"/>
                <w:sz w:val="18"/>
                <w:szCs w:val="18"/>
                <w:lang w:eastAsia="en-US"/>
              </w:rPr>
              <w:lastRenderedPageBreak/>
              <w:t>mechanical ventilation; d) spontaneous breathing without tracheostomy but functional impairment (unable to resume baseline level of activity); e) spontaneous breathing without tracheostomy or functional impairment (complete resolution of admission symptoms).</w:t>
            </w:r>
          </w:p>
          <w:p w14:paraId="0FDE130F"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4. Requirement for second treatment of IVIg or PE as determined by the primary physician because of complications, lack of response, or secondary worsening of symptoms.</w:t>
            </w:r>
          </w:p>
        </w:tc>
        <w:tc>
          <w:tcPr>
            <w:tcW w:w="1418" w:type="dxa"/>
          </w:tcPr>
          <w:p w14:paraId="558DD4D4"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lastRenderedPageBreak/>
              <w:t>Funding</w:t>
            </w:r>
          </w:p>
          <w:p w14:paraId="3D2AB390"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Study authors reported no sources of funding, nor commented on conflicts of interest</w:t>
            </w:r>
          </w:p>
        </w:tc>
      </w:tr>
      <w:tr w:rsidR="008D42C5" w:rsidRPr="007D1918" w14:paraId="35385F18" w14:textId="77777777" w:rsidTr="00EC62F5">
        <w:tc>
          <w:tcPr>
            <w:tcW w:w="15168" w:type="dxa"/>
            <w:gridSpan w:val="9"/>
            <w:shd w:val="clear" w:color="auto" w:fill="EEECE1" w:themeFill="background2"/>
          </w:tcPr>
          <w:p w14:paraId="2E455771" w14:textId="77777777" w:rsidR="008D42C5" w:rsidRPr="007D1918" w:rsidRDefault="008D42C5" w:rsidP="008D42C5">
            <w:pPr>
              <w:spacing w:before="40" w:after="40" w:line="240" w:lineRule="auto"/>
              <w:ind w:left="0"/>
              <w:rPr>
                <w:rFonts w:ascii="Arial Narrow" w:hAnsi="Arial Narrow"/>
                <w:b/>
                <w:sz w:val="18"/>
                <w:szCs w:val="18"/>
              </w:rPr>
            </w:pPr>
            <w:r w:rsidRPr="007D1918">
              <w:rPr>
                <w:rFonts w:ascii="Arial Narrow" w:hAnsi="Arial Narrow"/>
                <w:b/>
                <w:sz w:val="18"/>
                <w:szCs w:val="18"/>
              </w:rPr>
              <w:t>Indication 2 surgery preparation</w:t>
            </w:r>
          </w:p>
        </w:tc>
      </w:tr>
      <w:tr w:rsidR="00F128B2" w:rsidRPr="007D1918" w14:paraId="5427EDDE" w14:textId="77777777" w:rsidTr="00EC62F5">
        <w:tc>
          <w:tcPr>
            <w:tcW w:w="1134" w:type="dxa"/>
          </w:tcPr>
          <w:p w14:paraId="4EA4FBC7" w14:textId="66C67460"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r>
            <w:r w:rsidR="00C437BA" w:rsidRPr="007D1918">
              <w:rPr>
                <w:rFonts w:ascii="Arial Narrow" w:eastAsiaTheme="minorHAnsi" w:hAnsi="Arial Narrow" w:cstheme="minorHAnsi"/>
                <w:sz w:val="18"/>
                <w:szCs w:val="18"/>
                <w:lang w:eastAsia="en-US"/>
              </w:rPr>
              <w:instrText xml:space="preserve"> ADDIN EN.CITE &lt;EndNote&gt;&lt;Cite&gt;&lt;Author&gt;Alipour-Faz&lt;/Author&gt;&lt;Year&gt;2017&lt;/Year&gt;&lt;RecNum&gt;64&lt;/RecNum&gt;&lt;DisplayText&gt;(Alipour-Faz et al. 2017)&lt;/DisplayText&gt;&lt;record&gt;&lt;rec-number&gt;64&lt;/rec-number&gt;&lt;foreign-keys&gt;&lt;key app="EN" db-id="2aevrx2slsts5ve9sdavatf125dsx0av2v9d" timestamp="1562811093"&gt;64&lt;/key&gt;&lt;/foreign-keys&gt;&lt;ref-type name="Journal Article"&gt;17&lt;/ref-type&gt;&lt;contributors&gt;&lt;authors&gt;&lt;author&gt;Alipour-Faz, A.&lt;/author&gt;&lt;author&gt;Shojaei, M.&lt;/author&gt;&lt;author&gt;Peyvandi, H.&lt;/author&gt;&lt;author&gt;Ramzi, D.&lt;/author&gt;&lt;author&gt;Oroei, M.&lt;/author&gt;&lt;author&gt;Ghadiri, F.&lt;/author&gt;&lt;author&gt;Peyvandi, M.&lt;/author&gt;&lt;/authors&gt;&lt;/contributors&gt;&lt;titles&gt;&lt;title&gt;A comparison between IVIG and plasma exchange as preparations before thymectomy in myasthenia gravis patients&lt;/title&gt;&lt;secondary-title&gt;Acta neurologica belgica&lt;/secondary-title&gt;&lt;/titles&gt;&lt;periodical&gt;&lt;full-title&gt;Acta neurologica belgica&lt;/full-title&gt;&lt;/periodical&gt;&lt;pages&gt;245</w:instrText>
            </w:r>
            <w:r w:rsidR="00C437BA" w:rsidRPr="007D1918">
              <w:rPr>
                <w:rFonts w:ascii="Cambria Math" w:eastAsiaTheme="minorHAnsi" w:hAnsi="Cambria Math" w:cs="Cambria Math"/>
                <w:sz w:val="18"/>
                <w:szCs w:val="18"/>
                <w:lang w:eastAsia="en-US"/>
              </w:rPr>
              <w:instrText>‐</w:instrText>
            </w:r>
            <w:r w:rsidR="00C437BA" w:rsidRPr="007D1918">
              <w:rPr>
                <w:rFonts w:ascii="Arial Narrow" w:eastAsiaTheme="minorHAnsi" w:hAnsi="Arial Narrow" w:cstheme="minorHAnsi"/>
                <w:sz w:val="18"/>
                <w:szCs w:val="18"/>
                <w:lang w:eastAsia="en-US"/>
              </w:rPr>
              <w:instrText>249&lt;/pages&gt;&lt;volume&gt;117&lt;/volume&gt;&lt;number&gt;1&lt;/number&gt;&lt;keywords&gt;&lt;keyword&gt;Adult&lt;/keyword&gt;&lt;keyword&gt;Female&lt;/keyword&gt;&lt;keyword&gt;Humans&lt;/keyword&gt;&lt;keyword&gt;Immunoglobulins, Intravenous [*therapeutic use]&lt;/keyword&gt;&lt;keyword&gt;Male&lt;/keyword&gt;&lt;keyword&gt;Middle Aged&lt;/keyword&gt;&lt;keyword&gt;Myasthenia Gravis [*therapy]&lt;/keyword&gt;&lt;keyword&gt;Neoadjuvant Therapy [*methods]&lt;/keyword&gt;&lt;keyword&gt;Plasma Exchange [*methods]&lt;/keyword&gt;&lt;keyword&gt;Thymectomy&lt;/keyword&gt;&lt;keyword&gt;Treatment Outcome&lt;/keyword&gt;&lt;/keywords&gt;&lt;dates&gt;&lt;year&gt;2017&lt;/year&gt;&lt;/dates&gt;&lt;accession-num&gt;CN-01307143&lt;/accession-num&gt;&lt;work-type&gt;Journal Article; Randomized Controlled Trial&lt;/work-type&gt;&lt;urls&gt;&lt;related-urls&gt;&lt;url&gt;https://www.cochranelibrary.com/central/doi/10.1002/central/CN-01307143/full&lt;/url&gt;&lt;url&gt;https://link.springer.com/content/pdf/10.1007%2Fs13760-016-0689-z.pdf&lt;/url&gt;&lt;/related-urls&gt;&lt;/urls&gt;&lt;custom3&gt;PUBMED 27530310&lt;/custom3&gt;&lt;electronic-resource-num&gt;10.1007/s13760-016-0689-z&lt;/electronic-resource-num&gt;&lt;/record&gt;&lt;/Cite&gt;&lt;/EndNote&gt;</w:instrText>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4" w:tooltip="Alipour-Faz, 2017 #64" w:history="1">
              <w:r w:rsidR="007D4948" w:rsidRPr="007D1918">
                <w:rPr>
                  <w:rFonts w:ascii="Arial Narrow" w:eastAsiaTheme="minorHAnsi" w:hAnsi="Arial Narrow" w:cstheme="minorHAnsi"/>
                  <w:noProof/>
                  <w:sz w:val="18"/>
                  <w:szCs w:val="18"/>
                  <w:lang w:eastAsia="en-US"/>
                </w:rPr>
                <w:t>Alipour-Faz et al. 2017</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2A5BD5E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Iran</w:t>
            </w:r>
          </w:p>
        </w:tc>
        <w:tc>
          <w:tcPr>
            <w:tcW w:w="1560" w:type="dxa"/>
          </w:tcPr>
          <w:p w14:paraId="20294214"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RCT (single centre, unblinded)</w:t>
            </w:r>
          </w:p>
          <w:p w14:paraId="69D8C038"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Objectives</w:t>
            </w:r>
          </w:p>
          <w:p w14:paraId="3B53251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investigate the effectiveness of PE and IVIg in patients undergoing thymectomy</w:t>
            </w:r>
          </w:p>
        </w:tc>
        <w:tc>
          <w:tcPr>
            <w:tcW w:w="1134" w:type="dxa"/>
          </w:tcPr>
          <w:p w14:paraId="7FC1FF9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5078800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moderate risk of bias</w:t>
            </w:r>
          </w:p>
          <w:p w14:paraId="39D483C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1984" w:type="dxa"/>
          </w:tcPr>
          <w:p w14:paraId="28CF5C94"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24</w:t>
            </w:r>
          </w:p>
          <w:p w14:paraId="361F6EF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36 ± 9.89</w:t>
            </w:r>
          </w:p>
          <w:p w14:paraId="6EF09AF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Female: 12 (50%)</w:t>
            </w:r>
          </w:p>
        </w:tc>
        <w:tc>
          <w:tcPr>
            <w:tcW w:w="2268" w:type="dxa"/>
          </w:tcPr>
          <w:p w14:paraId="1F771B5B"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3761292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Adults with generalised MG &amp; thymoma, positive AChRAb</w:t>
            </w:r>
          </w:p>
          <w:p w14:paraId="2573C43C"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653C053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Ocular MG, exacerbation due to current medications, infection, irregular medical treatment or dosage alterations, history of IVIg or albumin anaphylaxis, surgical contraindication</w:t>
            </w:r>
          </w:p>
        </w:tc>
        <w:tc>
          <w:tcPr>
            <w:tcW w:w="1701" w:type="dxa"/>
          </w:tcPr>
          <w:p w14:paraId="4AA0090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IVIg (1 g/kg/day for 2 consecutive days) </w:t>
            </w:r>
          </w:p>
        </w:tc>
        <w:tc>
          <w:tcPr>
            <w:tcW w:w="1701" w:type="dxa"/>
          </w:tcPr>
          <w:p w14:paraId="7886744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 (1 L plasma 5 x with 5% albumin replacement fluid every other day)</w:t>
            </w:r>
          </w:p>
        </w:tc>
        <w:tc>
          <w:tcPr>
            <w:tcW w:w="2268" w:type="dxa"/>
          </w:tcPr>
          <w:p w14:paraId="5926DC5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Length of hospital stay</w:t>
            </w:r>
          </w:p>
          <w:p w14:paraId="42E00A3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Length of ICU stay</w:t>
            </w:r>
          </w:p>
          <w:p w14:paraId="27F3B4B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Intubation period</w:t>
            </w:r>
          </w:p>
          <w:p w14:paraId="4B67E1A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Duration of surgery</w:t>
            </w:r>
          </w:p>
          <w:p w14:paraId="6B48F7C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Dose of steroid administered</w:t>
            </w:r>
          </w:p>
          <w:p w14:paraId="69571A0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Incidence of myasthenic crisis</w:t>
            </w:r>
          </w:p>
          <w:p w14:paraId="4D8FA045"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1A04435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SPSS version 2.0</w:t>
            </w:r>
          </w:p>
          <w:p w14:paraId="30985D5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Comparison of independent variables with t test or Mann-Whitney U test.</w:t>
            </w:r>
          </w:p>
          <w:p w14:paraId="60427CD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Chi-square used for some categorical variables</w:t>
            </w:r>
          </w:p>
        </w:tc>
        <w:tc>
          <w:tcPr>
            <w:tcW w:w="1418" w:type="dxa"/>
          </w:tcPr>
          <w:p w14:paraId="71BB5B6E"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3BAF6E5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No funding received</w:t>
            </w:r>
          </w:p>
        </w:tc>
      </w:tr>
      <w:tr w:rsidR="00F128B2" w:rsidRPr="007D1918" w14:paraId="082C27A7" w14:textId="77777777" w:rsidTr="00EC62F5">
        <w:tc>
          <w:tcPr>
            <w:tcW w:w="1134" w:type="dxa"/>
            <w:shd w:val="clear" w:color="auto" w:fill="auto"/>
          </w:tcPr>
          <w:p w14:paraId="1ADD52B0" w14:textId="45752998" w:rsidR="008D42C5" w:rsidRPr="007D1918" w:rsidRDefault="003736AC" w:rsidP="007D4948">
            <w:pPr>
              <w:spacing w:before="40" w:after="40" w:line="240" w:lineRule="auto"/>
              <w:ind w:left="0"/>
              <w:rPr>
                <w:rFonts w:ascii="Arial Narrow" w:hAnsi="Arial Narrow"/>
                <w:sz w:val="18"/>
                <w:szCs w:val="18"/>
              </w:rPr>
            </w:pPr>
            <w:r w:rsidRPr="007D1918">
              <w:rPr>
                <w:rFonts w:ascii="Arial Narrow" w:eastAsiaTheme="minorHAnsi" w:hAnsi="Arial Narrow" w:cstheme="minorHAnsi"/>
                <w:sz w:val="18"/>
                <w:szCs w:val="18"/>
                <w:lang w:eastAsia="en-US"/>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PEVuZE5vdGU+PENpdGU+PEF1dGhvcj5KZW5zZW48L0F1dGhvcj48WWVhcj4yMDA4PC9ZZWFyPjxS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56" w:tooltip="Jensen, 2008 #13" w:history="1">
              <w:r w:rsidR="007D4948" w:rsidRPr="007D1918">
                <w:rPr>
                  <w:rFonts w:ascii="Arial Narrow" w:eastAsiaTheme="minorHAnsi" w:hAnsi="Arial Narrow" w:cstheme="minorHAnsi"/>
                  <w:noProof/>
                  <w:sz w:val="18"/>
                  <w:szCs w:val="18"/>
                  <w:lang w:eastAsia="en-US"/>
                </w:rPr>
                <w:t>Jensen &amp; Bril 2008</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tc>
        <w:tc>
          <w:tcPr>
            <w:tcW w:w="1560" w:type="dxa"/>
            <w:shd w:val="clear" w:color="auto" w:fill="auto"/>
          </w:tcPr>
          <w:p w14:paraId="37B9F92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Comparative retrospective matched cohort</w:t>
            </w:r>
          </w:p>
          <w:p w14:paraId="74978D54"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Objectives</w:t>
            </w:r>
          </w:p>
          <w:p w14:paraId="7515B2A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 xml:space="preserve">To compare the efficacy of IVIg and PE in thymectomy patients </w:t>
            </w:r>
          </w:p>
        </w:tc>
        <w:tc>
          <w:tcPr>
            <w:tcW w:w="1134" w:type="dxa"/>
          </w:tcPr>
          <w:p w14:paraId="5C7349C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Level III-2</w:t>
            </w:r>
          </w:p>
          <w:p w14:paraId="4DE1DEB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Low risk of bias</w:t>
            </w:r>
          </w:p>
          <w:p w14:paraId="6D29C548" w14:textId="77777777" w:rsidR="008D42C5" w:rsidRPr="007D1918" w:rsidRDefault="008D42C5" w:rsidP="008D42C5">
            <w:pPr>
              <w:spacing w:before="40" w:after="40" w:line="240" w:lineRule="auto"/>
              <w:ind w:left="0"/>
              <w:rPr>
                <w:rFonts w:ascii="Arial Narrow" w:hAnsi="Arial Narrow"/>
                <w:sz w:val="18"/>
                <w:szCs w:val="18"/>
              </w:rPr>
            </w:pPr>
          </w:p>
        </w:tc>
        <w:tc>
          <w:tcPr>
            <w:tcW w:w="1984" w:type="dxa"/>
            <w:shd w:val="clear" w:color="auto" w:fill="auto"/>
          </w:tcPr>
          <w:p w14:paraId="76823AD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 = 18</w:t>
            </w:r>
          </w:p>
          <w:p w14:paraId="7D18224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Mean age ± SD (y): IVIg 46.0 ± 17.9; PE 44.5 ± 19.1</w:t>
            </w:r>
          </w:p>
          <w:p w14:paraId="21E88F8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Female: 10 (56%)</w:t>
            </w:r>
          </w:p>
          <w:p w14:paraId="71D6363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Baseline Osserman grade 2: 56%; grade 3: 44%</w:t>
            </w:r>
          </w:p>
        </w:tc>
        <w:tc>
          <w:tcPr>
            <w:tcW w:w="2268" w:type="dxa"/>
            <w:shd w:val="clear" w:color="auto" w:fill="FFFFFF" w:themeFill="background1"/>
          </w:tcPr>
          <w:p w14:paraId="41EB64A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lastRenderedPageBreak/>
              <w:t>Inclusion</w:t>
            </w:r>
          </w:p>
          <w:p w14:paraId="7E803D3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 patients who underwent thymectomy between 2001 and 2006, requiring preoperative immunomodulation</w:t>
            </w:r>
          </w:p>
          <w:p w14:paraId="18BA5BAD"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lastRenderedPageBreak/>
              <w:t xml:space="preserve">Exclusion </w:t>
            </w:r>
          </w:p>
          <w:p w14:paraId="405BC1E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Osserman Grade 4, patients who received both IVIg and PE</w:t>
            </w:r>
          </w:p>
        </w:tc>
        <w:tc>
          <w:tcPr>
            <w:tcW w:w="1701" w:type="dxa"/>
            <w:shd w:val="clear" w:color="auto" w:fill="auto"/>
          </w:tcPr>
          <w:p w14:paraId="1B2AB4C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IVIg</w:t>
            </w:r>
          </w:p>
        </w:tc>
        <w:tc>
          <w:tcPr>
            <w:tcW w:w="1701" w:type="dxa"/>
            <w:shd w:val="clear" w:color="auto" w:fill="auto"/>
          </w:tcPr>
          <w:p w14:paraId="506510E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w:t>
            </w:r>
          </w:p>
        </w:tc>
        <w:tc>
          <w:tcPr>
            <w:tcW w:w="2268" w:type="dxa"/>
            <w:shd w:val="clear" w:color="auto" w:fill="auto"/>
          </w:tcPr>
          <w:p w14:paraId="5047328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Post-operative Osserman grade (determined at first post-operative neuromuscular clinic)</w:t>
            </w:r>
          </w:p>
          <w:p w14:paraId="566979F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Operative complications</w:t>
            </w:r>
          </w:p>
          <w:p w14:paraId="277909A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Patients perceived treatment effect</w:t>
            </w:r>
          </w:p>
          <w:p w14:paraId="6973BDA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Side effects</w:t>
            </w:r>
          </w:p>
          <w:p w14:paraId="183FB12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Length of hospital stay</w:t>
            </w:r>
          </w:p>
          <w:p w14:paraId="5E7BAD7C"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49BB4E1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Comparison of Osserman grade ordinal values using contingency table analysis</w:t>
            </w:r>
          </w:p>
        </w:tc>
        <w:tc>
          <w:tcPr>
            <w:tcW w:w="1418" w:type="dxa"/>
            <w:shd w:val="clear" w:color="auto" w:fill="auto"/>
          </w:tcPr>
          <w:p w14:paraId="31B0366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 xml:space="preserve">Patients of the PE cohort were matched to the IVIg cohort of 9 identified in the </w:t>
            </w:r>
            <w:r w:rsidRPr="007D1918">
              <w:rPr>
                <w:rFonts w:ascii="Arial Narrow" w:hAnsi="Arial Narrow"/>
                <w:sz w:val="18"/>
                <w:szCs w:val="18"/>
              </w:rPr>
              <w:lastRenderedPageBreak/>
              <w:t>chart review of 105 MG patients referred for thymectomy</w:t>
            </w:r>
          </w:p>
          <w:p w14:paraId="5023EA07"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0CD5FBD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Unrestricted educational grant from Talecris Therapeutics</w:t>
            </w:r>
          </w:p>
        </w:tc>
      </w:tr>
      <w:tr w:rsidR="00F128B2" w:rsidRPr="007D1918" w14:paraId="6E25AF2B" w14:textId="77777777" w:rsidTr="00EC62F5">
        <w:tc>
          <w:tcPr>
            <w:tcW w:w="1134" w:type="dxa"/>
          </w:tcPr>
          <w:p w14:paraId="20F9E765" w14:textId="7E7A60B5"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PEVuZE5vdGU+PENpdGU+PEF1dGhvcj5MZXV6emk8L0F1dGhvcj48WWVhcj4yMDE0PC9ZZWFyPjxS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60" w:tooltip="Leuzzi, 2014 #63" w:history="1">
              <w:r w:rsidR="007D4948" w:rsidRPr="007D1918">
                <w:rPr>
                  <w:rFonts w:ascii="Arial Narrow" w:eastAsiaTheme="minorHAnsi" w:hAnsi="Arial Narrow" w:cstheme="minorHAnsi"/>
                  <w:noProof/>
                  <w:sz w:val="18"/>
                  <w:szCs w:val="18"/>
                  <w:lang w:eastAsia="en-US"/>
                </w:rPr>
                <w:t>Leuzzi et al. 2014</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2E2ECA3C"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Italy</w:t>
            </w:r>
          </w:p>
        </w:tc>
        <w:tc>
          <w:tcPr>
            <w:tcW w:w="1560" w:type="dxa"/>
          </w:tcPr>
          <w:p w14:paraId="541130A5"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Retrospective cohort study</w:t>
            </w:r>
          </w:p>
          <w:p w14:paraId="32840368"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Objectives</w:t>
            </w:r>
          </w:p>
          <w:p w14:paraId="0D8381FA"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To analyse factors affecting perioperative course, and predictors of post-thymectomy myasthenic crisis </w:t>
            </w:r>
          </w:p>
        </w:tc>
        <w:tc>
          <w:tcPr>
            <w:tcW w:w="1134" w:type="dxa"/>
          </w:tcPr>
          <w:p w14:paraId="091E1B7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III-2</w:t>
            </w:r>
          </w:p>
          <w:p w14:paraId="630FFD7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Moderate risk of bias</w:t>
            </w:r>
          </w:p>
        </w:tc>
        <w:tc>
          <w:tcPr>
            <w:tcW w:w="1984" w:type="dxa"/>
          </w:tcPr>
          <w:p w14:paraId="777CA82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177</w:t>
            </w:r>
          </w:p>
          <w:p w14:paraId="044B06A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Mean age ± SD (y): 45.8 ±16.8 </w:t>
            </w:r>
          </w:p>
          <w:p w14:paraId="4D4A2614"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Osserman stage: I-IIA 29%, IIB 39%,  III-IV: 11%</w:t>
            </w:r>
          </w:p>
          <w:p w14:paraId="30A3B41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2268" w:type="dxa"/>
          </w:tcPr>
          <w:p w14:paraId="133FD21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cs="Times New Roman"/>
                <w:sz w:val="18"/>
                <w:szCs w:val="18"/>
                <w:lang w:eastAsia="en-US"/>
              </w:rPr>
              <w:t>MG patients who underwent thymectomy identified in clinical records in the Department of Thoracic surgery at ‘Agostino Gemelli’ General Hospital</w:t>
            </w:r>
          </w:p>
        </w:tc>
        <w:tc>
          <w:tcPr>
            <w:tcW w:w="1701" w:type="dxa"/>
          </w:tcPr>
          <w:p w14:paraId="126C3F2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w:t>
            </w:r>
          </w:p>
        </w:tc>
        <w:tc>
          <w:tcPr>
            <w:tcW w:w="1701" w:type="dxa"/>
          </w:tcPr>
          <w:p w14:paraId="5DBFCA3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w:t>
            </w:r>
          </w:p>
          <w:p w14:paraId="21BD239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Immunosuppressive therapy</w:t>
            </w:r>
          </w:p>
        </w:tc>
        <w:tc>
          <w:tcPr>
            <w:tcW w:w="2268" w:type="dxa"/>
          </w:tcPr>
          <w:p w14:paraId="700AB3D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Post thymectomy myasthenic crisis</w:t>
            </w:r>
          </w:p>
        </w:tc>
        <w:tc>
          <w:tcPr>
            <w:tcW w:w="1418" w:type="dxa"/>
          </w:tcPr>
          <w:p w14:paraId="65A1249A"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7206137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r>
      <w:tr w:rsidR="008D42C5" w:rsidRPr="007D1918" w14:paraId="30BAFC32" w14:textId="77777777" w:rsidTr="00EC62F5">
        <w:tc>
          <w:tcPr>
            <w:tcW w:w="15168" w:type="dxa"/>
            <w:gridSpan w:val="9"/>
            <w:shd w:val="clear" w:color="auto" w:fill="EEECE1" w:themeFill="background2"/>
          </w:tcPr>
          <w:p w14:paraId="36BDF70A" w14:textId="77777777" w:rsidR="008D42C5" w:rsidRPr="007D1918" w:rsidRDefault="008D42C5" w:rsidP="008D42C5">
            <w:pPr>
              <w:spacing w:before="40" w:after="40" w:line="240" w:lineRule="auto"/>
              <w:ind w:left="0"/>
              <w:rPr>
                <w:rFonts w:ascii="Arial Narrow" w:hAnsi="Arial Narrow"/>
                <w:b/>
                <w:sz w:val="18"/>
                <w:szCs w:val="18"/>
              </w:rPr>
            </w:pPr>
            <w:r w:rsidRPr="007D1918">
              <w:rPr>
                <w:rFonts w:ascii="Arial Narrow" w:hAnsi="Arial Narrow"/>
                <w:b/>
                <w:sz w:val="18"/>
                <w:szCs w:val="18"/>
              </w:rPr>
              <w:t>Indication 3 maintenance</w:t>
            </w:r>
          </w:p>
        </w:tc>
      </w:tr>
      <w:tr w:rsidR="00F128B2" w:rsidRPr="007D1918" w14:paraId="669501BA" w14:textId="77777777" w:rsidTr="00EC62F5">
        <w:tc>
          <w:tcPr>
            <w:tcW w:w="1134" w:type="dxa"/>
          </w:tcPr>
          <w:p w14:paraId="1069E189" w14:textId="60009918" w:rsidR="008D42C5" w:rsidRPr="007D1918" w:rsidRDefault="003736AC" w:rsidP="008D42C5">
            <w:pPr>
              <w:spacing w:before="40" w:after="40" w:line="240" w:lineRule="auto"/>
              <w:ind w:left="0"/>
              <w:rPr>
                <w:rFonts w:ascii="Arial Narrow" w:hAnsi="Arial Narrow"/>
                <w:sz w:val="18"/>
                <w:szCs w:val="18"/>
              </w:rPr>
            </w:pPr>
            <w:r w:rsidRPr="007D1918">
              <w:rPr>
                <w:rFonts w:ascii="Arial Narrow" w:hAnsi="Arial Narrow"/>
                <w:sz w:val="18"/>
                <w:szCs w:val="18"/>
              </w:rPr>
              <w:fldChar w:fldCharType="begin"/>
            </w:r>
            <w:r w:rsidR="001A0E53" w:rsidRPr="007D1918">
              <w:rPr>
                <w:rFonts w:ascii="Arial Narrow" w:hAnsi="Arial Narrow"/>
                <w:sz w:val="18"/>
                <w:szCs w:val="18"/>
              </w:rPr>
              <w:instrText xml:space="preserve"> ADDIN EN.CITE &lt;EndNote&gt;&lt;Cite&gt;&lt;Author&gt;Barth&lt;/Author&gt;&lt;Year&gt;2011&lt;/Year&gt;&lt;RecNum&gt;48&lt;/RecNum&gt;&lt;DisplayText&gt;(Barth et al. 2011)&lt;/DisplayText&gt;&lt;record&gt;&lt;rec-number&gt;48&lt;/rec-number&gt;&lt;foreign-keys&gt;&lt;key app="EN" db-id="2aevrx2slsts5ve9sdavatf125dsx0av2v9d" timestamp="1562811027"&gt;48&lt;/key&gt;&lt;/foreign-keys&gt;&lt;ref-type name="Journal Article"&gt;17&lt;/ref-type&gt;&lt;contributors&gt;&lt;authors&gt;&lt;author&gt;Barth, D.&lt;/author&gt;&lt;author&gt;Nabavi Nouri, M.&lt;/author&gt;&lt;author&gt;Ng, E.&lt;/author&gt;&lt;author&gt;Nwe, P.&lt;/author&gt;&lt;author&gt;Bril, V.&lt;/author&gt;&lt;/authors&gt;&lt;/contributors&gt;&lt;titles&gt;&lt;title&gt;Comparison of IVIg and PLEX in patients with myasthenia gravis&lt;/title&gt;&lt;secondary-title&gt;Neurology&lt;/secondary-title&gt;&lt;/titles&gt;&lt;periodical&gt;&lt;full-title&gt;Neurology&lt;/full-title&gt;&lt;/periodical&gt;&lt;pages&gt;2017</w:instrText>
            </w:r>
            <w:r w:rsidR="001A0E53" w:rsidRPr="007D1918">
              <w:rPr>
                <w:rFonts w:ascii="Cambria Math" w:hAnsi="Cambria Math" w:cs="Cambria Math"/>
                <w:sz w:val="18"/>
                <w:szCs w:val="18"/>
              </w:rPr>
              <w:instrText>‐</w:instrText>
            </w:r>
            <w:r w:rsidR="001A0E53" w:rsidRPr="007D1918">
              <w:rPr>
                <w:rFonts w:ascii="Arial Narrow" w:hAnsi="Arial Narrow"/>
                <w:sz w:val="18"/>
                <w:szCs w:val="18"/>
              </w:rPr>
              <w:instrText>2023&lt;/pages&gt;&lt;volume&gt;76&lt;/volume&gt;&lt;number&gt;23&lt;/number&gt;&lt;keywords&gt;&lt;keyword&gt;Adult&lt;/keyword&gt;&lt;keyword&gt;Aged&lt;/keyword&gt;&lt;keyword&gt;Aged, 80 and over&lt;/keyword&gt;&lt;keyword&gt;Autoantibodies [biosynthesis, blood]&lt;/keyword&gt;&lt;keyword&gt;Disability Evaluation&lt;/keyword&gt;&lt;keyword&gt;Evidence</w:instrText>
            </w:r>
            <w:r w:rsidR="001A0E53" w:rsidRPr="007D1918">
              <w:rPr>
                <w:rFonts w:ascii="Cambria Math" w:hAnsi="Cambria Math" w:cs="Cambria Math"/>
                <w:sz w:val="18"/>
                <w:szCs w:val="18"/>
              </w:rPr>
              <w:instrText>‐</w:instrText>
            </w:r>
            <w:r w:rsidR="001A0E53" w:rsidRPr="007D1918">
              <w:rPr>
                <w:rFonts w:ascii="Arial Narrow" w:hAnsi="Arial Narrow"/>
                <w:sz w:val="18"/>
                <w:szCs w:val="18"/>
              </w:rPr>
              <w:instrText>Based Medicine [methods]&lt;/keyword&gt;&lt;keyword&gt;Female&lt;/keyword&gt;&lt;keyword&gt;Humans&lt;/keyword&gt;&lt;keyword&gt;Immunoglobulins, Intravenous [*therapeutic use]&lt;/keyword&gt;&lt;keyword&gt;Male&lt;/keyword&gt;&lt;keyword&gt;Middle Aged&lt;/keyword&gt;&lt;keyword&gt;Myasthenia Gravis [diagnosis, immunology, *therapy]&lt;/keyword&gt;&lt;keyword&gt;Outcome Assessment (Health Care) [*methods]&lt;/keyword&gt;&lt;keyword&gt;Plasma Exchange [*trends]&lt;/keyword&gt;&lt;keyword&gt;Severity of Illness Index&lt;/keyword&gt;&lt;keyword&gt;Treatment Outcome&lt;/keyword&gt;&lt;/keywords&gt;&lt;dates&gt;&lt;year&gt;2011&lt;/year&gt;&lt;/dates&gt;&lt;accession-num&gt;CN-00800084&lt;/accession-num&gt;&lt;work-type&gt;Comparative Study; Journal Article; Randomized Controlled Trial; Research Support, Non</w:instrText>
            </w:r>
            <w:r w:rsidR="001A0E53" w:rsidRPr="007D1918">
              <w:rPr>
                <w:rFonts w:ascii="Cambria Math" w:hAnsi="Cambria Math" w:cs="Cambria Math"/>
                <w:sz w:val="18"/>
                <w:szCs w:val="18"/>
              </w:rPr>
              <w:instrText>‐</w:instrText>
            </w:r>
            <w:r w:rsidR="001A0E53" w:rsidRPr="007D1918">
              <w:rPr>
                <w:rFonts w:ascii="Arial Narrow" w:hAnsi="Arial Narrow"/>
                <w:sz w:val="18"/>
                <w:szCs w:val="18"/>
              </w:rPr>
              <w:instrText>U.S. Gov&amp;apos;t&lt;/work-type&gt;&lt;urls&gt;&lt;related-urls&gt;&lt;url&gt;https://www.cochranelibrary.com/central/doi/10.1002/central/CN-00800084/full&lt;/url&gt;&lt;url&gt;https://www.ncbi.nlm.nih.gov/pmc/articles/PMC3109880/pdf/znl2017.pdf&lt;/url&gt;&lt;/related-urls&gt;&lt;/urls&gt;&lt;custom3&gt;PUBMED 21562253&lt;/custom3&gt;&lt;electronic-resource-num&gt;10.1212/WNL.0b013e31821e5505&lt;/electronic-resource-num&gt;&lt;/record&gt;&lt;/Cite&gt;&lt;/EndNote&gt;</w:instrText>
            </w:r>
            <w:r w:rsidRPr="007D1918">
              <w:rPr>
                <w:rFonts w:ascii="Arial Narrow" w:hAnsi="Arial Narrow"/>
                <w:sz w:val="18"/>
                <w:szCs w:val="18"/>
              </w:rPr>
              <w:fldChar w:fldCharType="separate"/>
            </w:r>
            <w:r w:rsidR="001A0E53" w:rsidRPr="007D1918">
              <w:rPr>
                <w:rFonts w:ascii="Arial Narrow" w:hAnsi="Arial Narrow"/>
                <w:noProof/>
                <w:sz w:val="18"/>
                <w:szCs w:val="18"/>
              </w:rPr>
              <w:t>(</w:t>
            </w:r>
            <w:hyperlink w:anchor="_ENREF_8" w:tooltip="Barth, 2011 #48" w:history="1">
              <w:r w:rsidR="007D4948" w:rsidRPr="007D1918">
                <w:rPr>
                  <w:rFonts w:ascii="Arial Narrow" w:hAnsi="Arial Narrow"/>
                  <w:noProof/>
                  <w:sz w:val="18"/>
                  <w:szCs w:val="18"/>
                </w:rPr>
                <w:t>Barth et al. 2011</w:t>
              </w:r>
            </w:hyperlink>
            <w:r w:rsidR="001A0E53" w:rsidRPr="007D1918">
              <w:rPr>
                <w:rFonts w:ascii="Arial Narrow" w:hAnsi="Arial Narrow"/>
                <w:noProof/>
                <w:sz w:val="18"/>
                <w:szCs w:val="18"/>
              </w:rPr>
              <w:t>)</w:t>
            </w:r>
            <w:r w:rsidRPr="007D1918">
              <w:rPr>
                <w:rFonts w:ascii="Arial Narrow" w:hAnsi="Arial Narrow"/>
                <w:sz w:val="18"/>
                <w:szCs w:val="18"/>
              </w:rPr>
              <w:fldChar w:fldCharType="end"/>
            </w:r>
          </w:p>
          <w:p w14:paraId="48FDF04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Additional data from</w:t>
            </w:r>
          </w:p>
          <w:p w14:paraId="50F8A844" w14:textId="43D8DDFC" w:rsidR="008D42C5" w:rsidRPr="007D1918" w:rsidRDefault="003736AC" w:rsidP="007D4948">
            <w:pPr>
              <w:spacing w:before="40" w:after="40" w:line="240" w:lineRule="auto"/>
              <w:ind w:left="0"/>
              <w:rPr>
                <w:rFonts w:ascii="Arial Narrow" w:hAnsi="Arial Narrow"/>
                <w:sz w:val="18"/>
                <w:szCs w:val="18"/>
              </w:rPr>
            </w:pPr>
            <w:r w:rsidRPr="007D1918">
              <w:rPr>
                <w:rFonts w:ascii="Arial Narrow" w:hAnsi="Arial Narrow"/>
                <w:sz w:val="18"/>
                <w:szCs w:val="18"/>
              </w:rPr>
              <w:fldChar w:fldCharType="begin"/>
            </w:r>
            <w:r w:rsidR="00C437BA" w:rsidRPr="007D1918">
              <w:rPr>
                <w:rFonts w:ascii="Arial Narrow" w:hAnsi="Arial Narrow"/>
                <w:sz w:val="18"/>
                <w:szCs w:val="18"/>
              </w:rPr>
              <w:instrText xml:space="preserve"> ADDIN EN.CITE &lt;EndNote&gt;&lt;Cite&gt;&lt;Author&gt;Barnett&lt;/Author&gt;&lt;Year&gt;2013&lt;/Year&gt;&lt;RecNum&gt;18&lt;/RecNum&gt;&lt;DisplayText&gt;(Barnett et al. 2013)&lt;/DisplayText&gt;&lt;record&gt;&lt;rec-number&gt;18&lt;/rec-number&gt;&lt;foreign-keys&gt;&lt;key app="EN" db-id="2aevrx2slsts5ve9sdavatf125dsx0av2v9d" timestamp="1558070750"&gt;18&lt;/key&gt;&lt;/foreign-keys&gt;&lt;ref-type name="Journal Article"&gt;17&lt;/ref-type&gt;&lt;contributors&gt;&lt;authors&gt;&lt;author&gt;Barnett, C.&lt;/author&gt;&lt;author&gt;Wilson, G.&lt;/author&gt;&lt;author&gt;Barth, D.&lt;/author&gt;&lt;author&gt;Katzberg, H. D.&lt;/author&gt;&lt;author&gt;Bril, V.&lt;/author&gt;&lt;/authors&gt;&lt;/contributors&gt;&lt;titles&gt;&lt;title&gt;Changes in quality of life scores with intravenous immunoglobulin or plasmapheresis in patients with myasthenia gravis&lt;/title&gt;&lt;secondary-title&gt;Journal of neurology, neurosurgery, and psychiatry&lt;/secondary-title&gt;&lt;/titles&gt;&lt;periodical&gt;&lt;full-title&gt;Journal of neurology, neurosurgery, and psychiatry&lt;/full-title&gt;&lt;/periodical&gt;&lt;pages&gt;94</w:instrText>
            </w:r>
            <w:r w:rsidR="00C437BA" w:rsidRPr="007D1918">
              <w:rPr>
                <w:rFonts w:ascii="Cambria Math" w:hAnsi="Cambria Math" w:cs="Cambria Math"/>
                <w:sz w:val="18"/>
                <w:szCs w:val="18"/>
              </w:rPr>
              <w:instrText>‐</w:instrText>
            </w:r>
            <w:r w:rsidR="00C437BA" w:rsidRPr="007D1918">
              <w:rPr>
                <w:rFonts w:ascii="Arial Narrow" w:hAnsi="Arial Narrow"/>
                <w:sz w:val="18"/>
                <w:szCs w:val="18"/>
              </w:rPr>
              <w:instrText>97&lt;/pages&gt;&lt;volume&gt;84&lt;/volume&gt;&lt;number&gt;1&lt;/number&gt;&lt;keywords&gt;&lt;keyword&gt;Female&lt;/keyword&gt;&lt;keyword&gt;Humans&lt;/keyword&gt;&lt;keyword&gt;Immunoglobulins, Intravenous [*therapeutic use]&lt;/keyword&gt;&lt;keyword&gt;Immunologic Factors [therapeutic use]&lt;/keyword&gt;&lt;keyword&gt;Male&lt;/keyword&gt;&lt;keyword&gt;Middle Aged&lt;/keyword&gt;&lt;keyword&gt;Myasthenia Gravis [*drug therapy, psychology, *therapy]&lt;/keyword&gt;&lt;keyword&gt;Plasmapheresis [methods, *psychology]&lt;/keyword&gt;&lt;keyword&gt;Quality of Life [*psychology]&lt;/keyword&gt;&lt;keyword&gt;Single</w:instrText>
            </w:r>
            <w:r w:rsidR="00C437BA" w:rsidRPr="007D1918">
              <w:rPr>
                <w:rFonts w:ascii="Cambria Math" w:hAnsi="Cambria Math" w:cs="Cambria Math"/>
                <w:sz w:val="18"/>
                <w:szCs w:val="18"/>
              </w:rPr>
              <w:instrText>‐</w:instrText>
            </w:r>
            <w:r w:rsidR="00C437BA" w:rsidRPr="007D1918">
              <w:rPr>
                <w:rFonts w:ascii="Arial Narrow" w:hAnsi="Arial Narrow"/>
                <w:sz w:val="18"/>
                <w:szCs w:val="18"/>
              </w:rPr>
              <w:instrText>Blind Method&lt;/keyword&gt;&lt;keyword&gt;Surveys and Questionnaires&lt;/keyword&gt;&lt;/keywords&gt;&lt;dates&gt;&lt;year&gt;2013&lt;/year&gt;&lt;/dates&gt;&lt;accession-num&gt;CN-00841730&lt;/accession-num&gt;&lt;work-type&gt;Journal Article; Randomized Controlled Trial&lt;/work-type&gt;&lt;urls&gt;&lt;related-urls&gt;&lt;url&gt;https://www.cochranelibrary.com/central/doi/10.1002/central/CN-00841730/full&lt;/url&gt;&lt;url&gt;https://jnnp.bmj.com/content/jnnp/84/1/94.full.pdf&lt;/url&gt;&lt;/related-urls&gt;&lt;/urls&gt;&lt;custom3&gt;PUBMED 23154126&lt;/custom3&gt;&lt;electronic-resource-num&gt;10.1136/jnnp-2011-301449&lt;/electronic-resource-num&gt;&lt;/record&gt;&lt;/Cite&gt;&lt;/EndNote&gt;</w:instrText>
            </w:r>
            <w:r w:rsidRPr="007D1918">
              <w:rPr>
                <w:rFonts w:ascii="Arial Narrow" w:hAnsi="Arial Narrow"/>
                <w:sz w:val="18"/>
                <w:szCs w:val="18"/>
              </w:rPr>
              <w:fldChar w:fldCharType="separate"/>
            </w:r>
            <w:r w:rsidRPr="007D1918">
              <w:rPr>
                <w:rFonts w:ascii="Arial Narrow" w:hAnsi="Arial Narrow"/>
                <w:noProof/>
                <w:sz w:val="18"/>
                <w:szCs w:val="18"/>
              </w:rPr>
              <w:t>(</w:t>
            </w:r>
            <w:hyperlink w:anchor="_ENREF_7" w:tooltip="Barnett, 2013 #18" w:history="1">
              <w:r w:rsidR="007D4948" w:rsidRPr="007D1918">
                <w:rPr>
                  <w:rFonts w:ascii="Arial Narrow" w:hAnsi="Arial Narrow"/>
                  <w:noProof/>
                  <w:sz w:val="18"/>
                  <w:szCs w:val="18"/>
                </w:rPr>
                <w:t>Barnett et al. 2013</w:t>
              </w:r>
            </w:hyperlink>
            <w:r w:rsidRPr="007D1918">
              <w:rPr>
                <w:rFonts w:ascii="Arial Narrow" w:hAnsi="Arial Narrow"/>
                <w:noProof/>
                <w:sz w:val="18"/>
                <w:szCs w:val="18"/>
              </w:rPr>
              <w:t>)</w:t>
            </w:r>
            <w:r w:rsidRPr="007D1918">
              <w:rPr>
                <w:rFonts w:ascii="Arial Narrow" w:hAnsi="Arial Narrow"/>
                <w:sz w:val="18"/>
                <w:szCs w:val="18"/>
              </w:rPr>
              <w:fldChar w:fldCharType="end"/>
            </w:r>
          </w:p>
        </w:tc>
        <w:tc>
          <w:tcPr>
            <w:tcW w:w="1560" w:type="dxa"/>
          </w:tcPr>
          <w:p w14:paraId="6E5C20E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RCT (single centre, single blind with masked evaluators)</w:t>
            </w:r>
          </w:p>
          <w:p w14:paraId="5F68175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Objectives</w:t>
            </w:r>
          </w:p>
          <w:p w14:paraId="3754262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To determine whether IVIg was comparable to PE for patients with worsening moderate to severe MG</w:t>
            </w:r>
          </w:p>
        </w:tc>
        <w:tc>
          <w:tcPr>
            <w:tcW w:w="1134" w:type="dxa"/>
          </w:tcPr>
          <w:p w14:paraId="324916FD"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3903B9C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p w14:paraId="5EFC022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1984" w:type="dxa"/>
          </w:tcPr>
          <w:p w14:paraId="04EA943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84</w:t>
            </w:r>
          </w:p>
          <w:p w14:paraId="3644CED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LTF = 4</w:t>
            </w:r>
          </w:p>
          <w:p w14:paraId="08C08F5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IVIg 57 ± 18; PE 58 ± 17</w:t>
            </w:r>
          </w:p>
          <w:p w14:paraId="5E479FA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Female: IVIg 24 (58%); PE 24 (55%)</w:t>
            </w:r>
          </w:p>
          <w:p w14:paraId="7CC5639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Baseline mean  QMGS ± SD: IVIg 14.26 ± 4.0; PE 14.44 ± 3.88</w:t>
            </w:r>
          </w:p>
        </w:tc>
        <w:tc>
          <w:tcPr>
            <w:tcW w:w="2268" w:type="dxa"/>
          </w:tcPr>
          <w:p w14:paraId="3B8BB84F"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7A2A77C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Adults (&gt;18 y) with moderate to severe MG with QMGS &gt;10.5 and worsening weakness sufficient to warrant change in treatment</w:t>
            </w:r>
          </w:p>
          <w:p w14:paraId="4A4104C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3B60FBD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Worsening secondary to concurrent medications (eg aminoglycosides) or infection, change in CS dosage in 2 weeks prior to treatment, Ig A deficiency, active renal or hepatic disease, significant cardiac disease, history of severe allergic response to IVIg or albumin, refractory to </w:t>
            </w:r>
            <w:r w:rsidRPr="007D1918">
              <w:rPr>
                <w:rFonts w:ascii="Arial Narrow" w:hAnsi="Arial Narrow"/>
                <w:sz w:val="18"/>
                <w:szCs w:val="18"/>
              </w:rPr>
              <w:lastRenderedPageBreak/>
              <w:t>IVIg or PE, poorly controlled hypertension, pregnancy, breastfeeding</w:t>
            </w:r>
          </w:p>
        </w:tc>
        <w:tc>
          <w:tcPr>
            <w:tcW w:w="1701" w:type="dxa"/>
          </w:tcPr>
          <w:p w14:paraId="12AB489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IVIg (Gamunex®, Talecris Biotherapeutics) 1g/kg/day for 2 days</w:t>
            </w:r>
          </w:p>
        </w:tc>
        <w:tc>
          <w:tcPr>
            <w:tcW w:w="1701" w:type="dxa"/>
          </w:tcPr>
          <w:p w14:paraId="500DAE7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 (Caridian Spectra) 1.0 plasma volume exchanges x 5</w:t>
            </w:r>
          </w:p>
        </w:tc>
        <w:tc>
          <w:tcPr>
            <w:tcW w:w="2268" w:type="dxa"/>
          </w:tcPr>
          <w:p w14:paraId="37EBCA2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 xml:space="preserve">Primary </w:t>
            </w:r>
          </w:p>
          <w:p w14:paraId="6BB609D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QMGS</w:t>
            </w:r>
          </w:p>
          <w:p w14:paraId="41A52DC4"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78D980F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QMGS at day 14, 21 &amp;28</w:t>
            </w:r>
          </w:p>
          <w:p w14:paraId="4B351F2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Clinical parameters</w:t>
            </w:r>
          </w:p>
          <w:p w14:paraId="4FF9079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SFEMG</w:t>
            </w:r>
          </w:p>
          <w:p w14:paraId="1FA4FF5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RNS</w:t>
            </w:r>
          </w:p>
          <w:p w14:paraId="17E3FA5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AChRAb titre</w:t>
            </w:r>
          </w:p>
          <w:p w14:paraId="200746E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Need for ICU</w:t>
            </w:r>
          </w:p>
          <w:p w14:paraId="5238C6D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Need for ventilation,  intubation or hospitalisation</w:t>
            </w:r>
          </w:p>
          <w:p w14:paraId="673110A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MG-QOL-60</w:t>
            </w:r>
          </w:p>
          <w:p w14:paraId="6058BBB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w:t>
            </w:r>
          </w:p>
          <w:p w14:paraId="4727698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Cost analysis</w:t>
            </w:r>
          </w:p>
          <w:p w14:paraId="4E07288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 xml:space="preserve">Immunomodulation response predictors </w:t>
            </w:r>
          </w:p>
          <w:p w14:paraId="03AB3C8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i/>
                <w:sz w:val="18"/>
                <w:szCs w:val="18"/>
              </w:rPr>
              <w:t>Statistical analysis</w:t>
            </w:r>
          </w:p>
          <w:p w14:paraId="5B3EE82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JMP SAS version 5</w:t>
            </w:r>
          </w:p>
          <w:p w14:paraId="175E095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ANOVA for repeated measures, </w:t>
            </w:r>
          </w:p>
          <w:p w14:paraId="0D987C1D" w14:textId="114F4CE4"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ANCOVA and χ</w:t>
            </w:r>
            <w:r w:rsidRPr="007D1918">
              <w:rPr>
                <w:rFonts w:ascii="Arial Narrow" w:hAnsi="Arial Narrow"/>
                <w:sz w:val="18"/>
                <w:szCs w:val="18"/>
                <w:vertAlign w:val="superscript"/>
              </w:rPr>
              <w:t>2</w:t>
            </w:r>
            <w:r w:rsidRPr="007D1918">
              <w:rPr>
                <w:rFonts w:ascii="Arial Narrow" w:hAnsi="Arial Narrow"/>
                <w:sz w:val="18"/>
                <w:szCs w:val="18"/>
              </w:rPr>
              <w:t xml:space="preserve"> for covariance and multi</w:t>
            </w:r>
            <w:r w:rsidR="007D77DC" w:rsidRPr="007D1918">
              <w:rPr>
                <w:rFonts w:ascii="Arial Narrow" w:hAnsi="Arial Narrow"/>
                <w:sz w:val="18"/>
                <w:szCs w:val="18"/>
              </w:rPr>
              <w:t>-</w:t>
            </w:r>
            <w:r w:rsidRPr="007D1918">
              <w:rPr>
                <w:rFonts w:ascii="Arial Narrow" w:hAnsi="Arial Narrow"/>
                <w:sz w:val="18"/>
                <w:szCs w:val="18"/>
              </w:rPr>
              <w:t>variance analyses</w:t>
            </w:r>
          </w:p>
        </w:tc>
        <w:tc>
          <w:tcPr>
            <w:tcW w:w="1418" w:type="dxa"/>
          </w:tcPr>
          <w:p w14:paraId="2DDE188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Follow-up: 14 days after treatment for primary, and 14, 21, 28 &amp; 60 days for secondary outcomes</w:t>
            </w:r>
          </w:p>
          <w:p w14:paraId="3C601BDB"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4E19837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Talecris Biotherapeutics provided an unrestricted educational grant but had no role in developing the protocol, </w:t>
            </w:r>
            <w:r w:rsidRPr="007D1918">
              <w:rPr>
                <w:rFonts w:ascii="Arial Narrow" w:hAnsi="Arial Narrow"/>
                <w:sz w:val="18"/>
                <w:szCs w:val="18"/>
              </w:rPr>
              <w:lastRenderedPageBreak/>
              <w:t>evaluation or writing the results</w:t>
            </w:r>
          </w:p>
          <w:p w14:paraId="43D53D1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Drs Barth and Bril receive research support from Talecris Biotherapeutics</w:t>
            </w:r>
          </w:p>
        </w:tc>
      </w:tr>
      <w:tr w:rsidR="00F128B2" w:rsidRPr="007D1918" w14:paraId="36D52167" w14:textId="77777777" w:rsidTr="00EC62F5">
        <w:tc>
          <w:tcPr>
            <w:tcW w:w="1134" w:type="dxa"/>
          </w:tcPr>
          <w:p w14:paraId="7D703820" w14:textId="2CD739BF" w:rsidR="008D42C5" w:rsidRPr="007D1918" w:rsidRDefault="003736AC"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fldChar w:fldCharType="begin"/>
            </w:r>
            <w:r w:rsidR="00C437BA" w:rsidRPr="007D1918">
              <w:rPr>
                <w:rFonts w:ascii="Arial Narrow" w:hAnsi="Arial Narrow"/>
                <w:sz w:val="18"/>
                <w:szCs w:val="18"/>
              </w:rPr>
              <w:instrText xml:space="preserve"> ADDIN EN.CITE &lt;EndNote&gt;&lt;Cite&gt;&lt;Author&gt;Eienbröker&lt;/Author&gt;&lt;Year&gt;2014&lt;/Year&gt;&lt;RecNum&gt;51&lt;/RecNum&gt;&lt;DisplayText&gt;(Eienbröker et al. 2014)&lt;/DisplayText&gt;&lt;record&gt;&lt;rec-number&gt;51&lt;/rec-number&gt;&lt;foreign-keys&gt;&lt;key app="EN" db-id="2aevrx2slsts5ve9sdavatf125dsx0av2v9d" timestamp="1562811028"&gt;51&lt;/key&gt;&lt;/foreign-keys&gt;&lt;ref-type name="Journal Article"&gt;17&lt;/ref-type&gt;&lt;contributors&gt;&lt;authors&gt;&lt;author&gt;Eienbröker, C.&lt;/author&gt;&lt;author&gt;Seitz, F.&lt;/author&gt;&lt;author&gt;Spengler, A.&lt;/author&gt;&lt;author&gt;Kurz, H.&lt;/author&gt;&lt;author&gt;Seipelt, M.&lt;/author&gt;&lt;author&gt;Sommer, N.&lt;/author&gt;&lt;author&gt;Oertel, W. H.&lt;/author&gt;&lt;author&gt;Timmesfeld, N.&lt;/author&gt;&lt;author&gt;Tackenberg, B.&lt;/author&gt;&lt;/authors&gt;&lt;/contributors&gt;&lt;titles&gt;&lt;title&gt;Intravenous immunoglobulin maintenance treatment in myasthenia gravis: a randomized, controlled trial sample size simulation&lt;/title&gt;&lt;secondary-title&gt;Muscle &amp;amp; nerve&lt;/secondary-title&gt;&lt;/titles&gt;&lt;periodical&gt;&lt;full-title&gt;Muscle &amp;amp; Nerve&lt;/full-title&gt;&lt;/periodical&gt;&lt;pages&gt;999</w:instrText>
            </w:r>
            <w:r w:rsidR="00C437BA" w:rsidRPr="007D1918">
              <w:rPr>
                <w:rFonts w:ascii="Cambria Math" w:hAnsi="Cambria Math" w:cs="Cambria Math"/>
                <w:sz w:val="18"/>
                <w:szCs w:val="18"/>
              </w:rPr>
              <w:instrText>‐</w:instrText>
            </w:r>
            <w:r w:rsidR="00C437BA" w:rsidRPr="007D1918">
              <w:rPr>
                <w:rFonts w:ascii="Arial Narrow" w:hAnsi="Arial Narrow"/>
                <w:sz w:val="18"/>
                <w:szCs w:val="18"/>
              </w:rPr>
              <w:instrText>1004&lt;/pages&gt;&lt;volume&gt;50&lt;/volume&gt;&lt;number&gt;6&lt;/number&gt;&lt;keywords&gt;&lt;keyword&gt;Adult&lt;/keyword&gt;&lt;keyword&gt;Aged&lt;/keyword&gt;&lt;keyword&gt;Endpoint Determination&lt;/keyword&gt;&lt;keyword&gt;Female&lt;/keyword&gt;&lt;keyword&gt;Humans&lt;/keyword&gt;&lt;keyword&gt;Immunoglobulins, Intravenous [*therapeutic use]&lt;/keyword&gt;&lt;keyword&gt;Male&lt;/keyword&gt;&lt;keyword&gt;Middle Aged&lt;/keyword&gt;&lt;keyword&gt;Myasthenia Gravis [*drug therapy]&lt;/keyword&gt;&lt;keyword&gt;Prospective Studies&lt;/keyword&gt;&lt;keyword&gt;Severity of Illness Index&lt;/keyword&gt;&lt;keyword&gt;Treatment Outcome&lt;/keyword&gt;&lt;/keywords&gt;&lt;dates&gt;&lt;year&gt;2014&lt;/year&gt;&lt;/dates&gt;&lt;accession-num&gt;CN-01117282&lt;/accession-num&gt;&lt;work-type&gt;Journal Article; Randomized Controlled Trial; Research Support, Non</w:instrText>
            </w:r>
            <w:r w:rsidR="00C437BA" w:rsidRPr="007D1918">
              <w:rPr>
                <w:rFonts w:ascii="Cambria Math" w:hAnsi="Cambria Math" w:cs="Cambria Math"/>
                <w:sz w:val="18"/>
                <w:szCs w:val="18"/>
              </w:rPr>
              <w:instrText>‐</w:instrText>
            </w:r>
            <w:r w:rsidR="00C437BA" w:rsidRPr="007D1918">
              <w:rPr>
                <w:rFonts w:ascii="Arial Narrow" w:hAnsi="Arial Narrow"/>
                <w:sz w:val="18"/>
                <w:szCs w:val="18"/>
              </w:rPr>
              <w:instrText>U.S. Gov&amp;apos;t&lt;/work-type&gt;&lt;urls&gt;&lt;related-urls&gt;&lt;url&gt;https://www.cochranelibrary.com/central/doi/10.1002/central/CN-01117282/full&lt;/url&gt;&lt;url&gt;https://onlinelibrary.wiley.com/doi/pdf/10.1002/mus.24259&lt;/url&gt;&lt;/related-urls&gt;&lt;/urls&gt;&lt;custom3&gt;PUBMED 24710856&lt;/custom3&gt;&lt;electronic-resource-num&gt;10.1002/mus.24259&lt;/electronic-resource-num&gt;&lt;/record&gt;&lt;/Cite&gt;&lt;/EndNote&gt;</w:instrText>
            </w:r>
            <w:r w:rsidRPr="007D1918">
              <w:rPr>
                <w:rFonts w:ascii="Arial Narrow" w:hAnsi="Arial Narrow"/>
                <w:sz w:val="18"/>
                <w:szCs w:val="18"/>
              </w:rPr>
              <w:fldChar w:fldCharType="separate"/>
            </w:r>
            <w:r w:rsidRPr="007D1918">
              <w:rPr>
                <w:rFonts w:ascii="Arial Narrow" w:hAnsi="Arial Narrow"/>
                <w:noProof/>
                <w:sz w:val="18"/>
                <w:szCs w:val="18"/>
              </w:rPr>
              <w:t>(</w:t>
            </w:r>
            <w:hyperlink w:anchor="_ENREF_23" w:tooltip="Eienbröker, 2014 #51" w:history="1">
              <w:r w:rsidR="007D4948" w:rsidRPr="007D1918">
                <w:rPr>
                  <w:rFonts w:ascii="Arial Narrow" w:hAnsi="Arial Narrow"/>
                  <w:noProof/>
                  <w:sz w:val="18"/>
                  <w:szCs w:val="18"/>
                </w:rPr>
                <w:t>Eienbröker et al. 2014</w:t>
              </w:r>
            </w:hyperlink>
            <w:r w:rsidRPr="007D1918">
              <w:rPr>
                <w:rFonts w:ascii="Arial Narrow" w:hAnsi="Arial Narrow"/>
                <w:noProof/>
                <w:sz w:val="18"/>
                <w:szCs w:val="18"/>
              </w:rPr>
              <w:t>)</w:t>
            </w:r>
            <w:r w:rsidRPr="007D1918">
              <w:rPr>
                <w:rFonts w:ascii="Arial Narrow" w:hAnsi="Arial Narrow"/>
                <w:sz w:val="18"/>
                <w:szCs w:val="18"/>
              </w:rPr>
              <w:fldChar w:fldCharType="end"/>
            </w:r>
          </w:p>
          <w:p w14:paraId="5526119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Germany</w:t>
            </w:r>
          </w:p>
        </w:tc>
        <w:tc>
          <w:tcPr>
            <w:tcW w:w="1560" w:type="dxa"/>
          </w:tcPr>
          <w:p w14:paraId="307ECD1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Retrospective case series with pre and post-treatment outcomes</w:t>
            </w:r>
          </w:p>
          <w:p w14:paraId="0B8FAEE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Objectives</w:t>
            </w:r>
          </w:p>
          <w:p w14:paraId="22356D7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To observe clinical endpoints in MG patients in response to IVIg therapy</w:t>
            </w:r>
          </w:p>
        </w:tc>
        <w:tc>
          <w:tcPr>
            <w:tcW w:w="1134" w:type="dxa"/>
          </w:tcPr>
          <w:p w14:paraId="76B56C1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Level IV </w:t>
            </w:r>
          </w:p>
          <w:p w14:paraId="29014E0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tc>
        <w:tc>
          <w:tcPr>
            <w:tcW w:w="1984" w:type="dxa"/>
          </w:tcPr>
          <w:p w14:paraId="321A627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16</w:t>
            </w:r>
          </w:p>
        </w:tc>
        <w:tc>
          <w:tcPr>
            <w:tcW w:w="2268" w:type="dxa"/>
          </w:tcPr>
          <w:p w14:paraId="3941455B"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180E75C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Incomplete response to standard long-term , high-dose IP therapy</w:t>
            </w:r>
          </w:p>
        </w:tc>
        <w:tc>
          <w:tcPr>
            <w:tcW w:w="1701" w:type="dxa"/>
          </w:tcPr>
          <w:p w14:paraId="7DC8EBD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w:t>
            </w:r>
          </w:p>
        </w:tc>
        <w:tc>
          <w:tcPr>
            <w:tcW w:w="1701" w:type="dxa"/>
          </w:tcPr>
          <w:p w14:paraId="200D93A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NA</w:t>
            </w:r>
          </w:p>
        </w:tc>
        <w:tc>
          <w:tcPr>
            <w:tcW w:w="2268" w:type="dxa"/>
          </w:tcPr>
          <w:p w14:paraId="43E6CFE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08C1AC8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QMG score</w:t>
            </w:r>
          </w:p>
        </w:tc>
        <w:tc>
          <w:tcPr>
            <w:tcW w:w="1418" w:type="dxa"/>
          </w:tcPr>
          <w:p w14:paraId="09047CF4"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0C3A622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r>
      <w:tr w:rsidR="00F128B2" w:rsidRPr="007D1918" w14:paraId="11E7DA23" w14:textId="77777777" w:rsidTr="00EC62F5">
        <w:tc>
          <w:tcPr>
            <w:tcW w:w="1134" w:type="dxa"/>
          </w:tcPr>
          <w:p w14:paraId="296F4A14" w14:textId="177C772E" w:rsidR="008D42C5" w:rsidRPr="007D1918" w:rsidRDefault="003736AC" w:rsidP="007D4948">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PEVuZE5vdGU+PENpdGU+PEF1dGhvcj5HcmlmZmluPC9BdXRob3I+PFllYXI+MjAxNzwvWWVhcj48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40" w:tooltip="Griffin, 2017 #62" w:history="1">
              <w:r w:rsidR="007D4948" w:rsidRPr="007D1918">
                <w:rPr>
                  <w:rFonts w:ascii="Arial Narrow" w:eastAsiaTheme="minorHAnsi" w:hAnsi="Arial Narrow" w:cstheme="minorHAnsi"/>
                  <w:noProof/>
                  <w:sz w:val="18"/>
                  <w:szCs w:val="18"/>
                  <w:lang w:eastAsia="en-US"/>
                </w:rPr>
                <w:t>Griffin et al. 2017b</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tc>
        <w:tc>
          <w:tcPr>
            <w:tcW w:w="1560" w:type="dxa"/>
          </w:tcPr>
          <w:p w14:paraId="2D79BD0E"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Abstract for an RCT with some data reported on clinicaltrials.gov</w:t>
            </w:r>
          </w:p>
          <w:p w14:paraId="3256891E"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NCT02473952</w:t>
            </w:r>
          </w:p>
        </w:tc>
        <w:tc>
          <w:tcPr>
            <w:tcW w:w="1134" w:type="dxa"/>
          </w:tcPr>
          <w:p w14:paraId="3CD7253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24BC206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Quality unknown</w:t>
            </w:r>
          </w:p>
        </w:tc>
        <w:tc>
          <w:tcPr>
            <w:tcW w:w="1984" w:type="dxa"/>
          </w:tcPr>
          <w:p w14:paraId="6033CC5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62</w:t>
            </w:r>
          </w:p>
        </w:tc>
        <w:tc>
          <w:tcPr>
            <w:tcW w:w="2268" w:type="dxa"/>
          </w:tcPr>
          <w:p w14:paraId="3E32CC9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 patients who are symptomatic on standard of care treatment with a QMGS &gt; 10 points at screening.</w:t>
            </w:r>
          </w:p>
        </w:tc>
        <w:tc>
          <w:tcPr>
            <w:tcW w:w="1701" w:type="dxa"/>
          </w:tcPr>
          <w:p w14:paraId="3DDEC1E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w:t>
            </w:r>
          </w:p>
        </w:tc>
        <w:tc>
          <w:tcPr>
            <w:tcW w:w="1701" w:type="dxa"/>
          </w:tcPr>
          <w:p w14:paraId="25C16BA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placebo</w:t>
            </w:r>
          </w:p>
        </w:tc>
        <w:tc>
          <w:tcPr>
            <w:tcW w:w="2268" w:type="dxa"/>
          </w:tcPr>
          <w:p w14:paraId="084A8F2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w:t>
            </w:r>
          </w:p>
          <w:p w14:paraId="2F627D3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Mortality</w:t>
            </w:r>
          </w:p>
        </w:tc>
        <w:tc>
          <w:tcPr>
            <w:tcW w:w="1418" w:type="dxa"/>
          </w:tcPr>
          <w:p w14:paraId="706AB41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Include data if necessary??</w:t>
            </w:r>
          </w:p>
          <w:p w14:paraId="488AF18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155FA91F" w14:textId="5CE0E39A" w:rsidR="008D42C5" w:rsidRPr="007D1918" w:rsidRDefault="00F3738F" w:rsidP="00F3738F">
            <w:pPr>
              <w:spacing w:before="40" w:after="40" w:line="240" w:lineRule="auto"/>
              <w:ind w:left="0"/>
              <w:rPr>
                <w:rFonts w:ascii="Arial Narrow" w:hAnsi="Arial Narrow"/>
                <w:sz w:val="18"/>
                <w:szCs w:val="18"/>
              </w:rPr>
            </w:pPr>
            <w:r w:rsidRPr="007D1918">
              <w:rPr>
                <w:rFonts w:ascii="Arial Narrow" w:hAnsi="Arial Narrow"/>
                <w:sz w:val="18"/>
                <w:szCs w:val="18"/>
              </w:rPr>
              <w:t>Sponsor: Grifols Therapeutics LLC</w:t>
            </w:r>
          </w:p>
        </w:tc>
      </w:tr>
      <w:tr w:rsidR="00F128B2" w:rsidRPr="007D1918" w14:paraId="0F43A553" w14:textId="77777777" w:rsidTr="00EC62F5">
        <w:tc>
          <w:tcPr>
            <w:tcW w:w="1134" w:type="dxa"/>
          </w:tcPr>
          <w:p w14:paraId="06A83C52" w14:textId="1A0C088D"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rPr>
                <w:rFonts w:ascii="Arial Narrow" w:eastAsiaTheme="minorHAnsi" w:hAnsi="Arial Narrow" w:cstheme="minorHAnsi"/>
                <w:sz w:val="18"/>
                <w:szCs w:val="18"/>
                <w:lang w:eastAsia="en-US"/>
              </w:rPr>
              <w:instrText xml:space="preserve"> ADDIN EN.CITE </w:instrText>
            </w:r>
            <w:r w:rsidR="007F4CDE" w:rsidRPr="007D1918">
              <w:rPr>
                <w:rFonts w:ascii="Arial Narrow" w:eastAsiaTheme="minorHAnsi" w:hAnsi="Arial Narrow" w:cstheme="minorHAnsi"/>
                <w:sz w:val="18"/>
                <w:szCs w:val="18"/>
                <w:lang w:eastAsia="en-US"/>
              </w:rPr>
              <w:fldChar w:fldCharType="begin">
                <w:fldData xml:space="preserve">PEVuZE5vdGU+PENpdGU+PEF1dGhvcj5IZWxsbWFubjwvQXV0aG9yPjxZZWFyPjIwMTQ8L1llYXI+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</w:fldData>
              </w:fldChar>
            </w:r>
            <w:r w:rsidR="007F4CDE" w:rsidRPr="007D1918">
              <w:rPr>
                <w:rFonts w:ascii="Arial Narrow" w:eastAsiaTheme="minorHAnsi" w:hAnsi="Arial Narrow" w:cstheme="minorHAnsi"/>
                <w:sz w:val="18"/>
                <w:szCs w:val="18"/>
                <w:lang w:eastAsia="en-US"/>
              </w:rPr>
              <w:instrText xml:space="preserve"> ADDIN EN.CITE.DATA </w:instrText>
            </w:r>
            <w:r w:rsidR="007F4CDE" w:rsidRPr="007D1918">
              <w:rPr>
                <w:rFonts w:ascii="Arial Narrow" w:eastAsiaTheme="minorHAnsi" w:hAnsi="Arial Narrow" w:cstheme="minorHAnsi"/>
                <w:sz w:val="18"/>
                <w:szCs w:val="18"/>
                <w:lang w:eastAsia="en-US"/>
              </w:rPr>
            </w:r>
            <w:r w:rsidR="007F4CDE"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49" w:tooltip="Hellmann, 2014 #53" w:history="1">
              <w:r w:rsidR="007D4948" w:rsidRPr="007D1918">
                <w:rPr>
                  <w:rFonts w:ascii="Arial Narrow" w:eastAsiaTheme="minorHAnsi" w:hAnsi="Arial Narrow" w:cstheme="minorHAnsi"/>
                  <w:noProof/>
                  <w:sz w:val="18"/>
                  <w:szCs w:val="18"/>
                  <w:lang w:eastAsia="en-US"/>
                </w:rPr>
                <w:t>Hellmann et al. 2014</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7F1ED3D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Israel</w:t>
            </w:r>
          </w:p>
        </w:tc>
        <w:tc>
          <w:tcPr>
            <w:tcW w:w="1560" w:type="dxa"/>
          </w:tcPr>
          <w:p w14:paraId="5CB1552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Case series with </w:t>
            </w:r>
            <w:r w:rsidRPr="007D1918">
              <w:rPr>
                <w:rFonts w:ascii="Arial Narrow" w:hAnsi="Arial Narrow"/>
                <w:sz w:val="18"/>
                <w:szCs w:val="18"/>
              </w:rPr>
              <w:t>pre and post-treatment outcomes</w:t>
            </w:r>
            <w:r w:rsidRPr="007D1918">
              <w:rPr>
                <w:rFonts w:ascii="Arial Narrow" w:eastAsiaTheme="minorHAnsi" w:hAnsi="Arial Narrow" w:cstheme="minorHAnsi"/>
                <w:sz w:val="18"/>
                <w:szCs w:val="18"/>
                <w:lang w:eastAsia="en-US"/>
              </w:rPr>
              <w:t xml:space="preserve"> (retrospective cohort study of cases identified on a database)</w:t>
            </w:r>
          </w:p>
          <w:p w14:paraId="1A1C19ED"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Objectives</w:t>
            </w:r>
          </w:p>
          <w:p w14:paraId="431B5664"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assess the impact of IVIg on disease severity and course, to identify indications for IVIg</w:t>
            </w:r>
          </w:p>
        </w:tc>
        <w:tc>
          <w:tcPr>
            <w:tcW w:w="1134" w:type="dxa"/>
          </w:tcPr>
          <w:p w14:paraId="0ACE042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IV</w:t>
            </w:r>
          </w:p>
          <w:p w14:paraId="1C8162F9"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tc>
        <w:tc>
          <w:tcPr>
            <w:tcW w:w="1984" w:type="dxa"/>
          </w:tcPr>
          <w:p w14:paraId="2ABE9D09"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52</w:t>
            </w:r>
          </w:p>
          <w:p w14:paraId="6D9B2D0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Average age at start of IVIg (y): 46.0</w:t>
            </w:r>
          </w:p>
          <w:p w14:paraId="751C09D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Average age at onset (y): 43.1</w:t>
            </w:r>
          </w:p>
          <w:p w14:paraId="4FB246E9"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Disease duration (y): 2.9</w:t>
            </w:r>
          </w:p>
          <w:p w14:paraId="05572F5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Females: 31 (60%)</w:t>
            </w:r>
          </w:p>
          <w:p w14:paraId="7CBFD62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2268" w:type="dxa"/>
          </w:tcPr>
          <w:p w14:paraId="66875CD3"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7200EF9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Patients of any MG class attending a single medical centre between Jan 1995 and 2012, failed to respond to other therapies or were contraindicated for them and therefore offered maintenance treatment with IVIg</w:t>
            </w:r>
          </w:p>
          <w:p w14:paraId="28F3F44F"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31F031C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c>
          <w:tcPr>
            <w:tcW w:w="1701" w:type="dxa"/>
          </w:tcPr>
          <w:p w14:paraId="66B23FC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2 g/kg over 5 days, followed by a maintenance dose of 0.4 g/kg every 3 to 6 weeks</w:t>
            </w:r>
          </w:p>
        </w:tc>
        <w:tc>
          <w:tcPr>
            <w:tcW w:w="1701" w:type="dxa"/>
          </w:tcPr>
          <w:p w14:paraId="5F46E1F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NA</w:t>
            </w:r>
          </w:p>
        </w:tc>
        <w:tc>
          <w:tcPr>
            <w:tcW w:w="2268" w:type="dxa"/>
          </w:tcPr>
          <w:p w14:paraId="3D57543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5A467E2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MGFA class</w:t>
            </w:r>
          </w:p>
          <w:p w14:paraId="5D624C2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w:t>
            </w:r>
          </w:p>
          <w:p w14:paraId="1F11220E"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6F54466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concurrent drug therapy dose from before to after IVIG therapy</w:t>
            </w:r>
          </w:p>
          <w:p w14:paraId="0F1DDD0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07B4EF8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Bootstrapping to estimate the sample distribution</w:t>
            </w:r>
          </w:p>
        </w:tc>
        <w:tc>
          <w:tcPr>
            <w:tcW w:w="1418" w:type="dxa"/>
          </w:tcPr>
          <w:p w14:paraId="4356827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Follow-up: treatment period range was 1-17 years</w:t>
            </w:r>
          </w:p>
          <w:p w14:paraId="68D7AFF9"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3586CBC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r>
      <w:tr w:rsidR="00F128B2" w:rsidRPr="007D1918" w14:paraId="5671F6F7" w14:textId="77777777" w:rsidTr="00EC62F5">
        <w:tc>
          <w:tcPr>
            <w:tcW w:w="1134" w:type="dxa"/>
          </w:tcPr>
          <w:p w14:paraId="312A1E72" w14:textId="1475DFA3" w:rsidR="008D42C5" w:rsidRPr="007D1918" w:rsidRDefault="003736AC"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rFonts w:ascii="Arial Narrow" w:hAnsi="Arial Narrow"/>
                <w:sz w:val="18"/>
                <w:szCs w:val="18"/>
              </w:rPr>
              <w:instrText xml:space="preserve"> ADDIN EN.CITE </w:instrText>
            </w:r>
            <w:r w:rsidR="00C437BA" w:rsidRPr="007D1918">
              <w:rPr>
                <w:rFonts w:ascii="Arial Narrow" w:hAnsi="Arial Narrow"/>
                <w:sz w:val="18"/>
                <w:szCs w:val="18"/>
              </w:rPr>
              <w:fldChar w:fldCharType="begin">
                <w:fldData xml:space="preserve">PEVuZE5vdGU+PENpdGU+PEF1dGhvcj5MaXU8L0F1dGhvcj48WWVhcj4yMDEwPC9ZZWFyPjxSZWNO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</w:fldData>
              </w:fldChar>
            </w:r>
            <w:r w:rsidR="00C437BA" w:rsidRPr="007D1918">
              <w:rPr>
                <w:rFonts w:ascii="Arial Narrow" w:hAnsi="Arial Narrow"/>
                <w:sz w:val="18"/>
                <w:szCs w:val="18"/>
              </w:rPr>
              <w:instrText xml:space="preserve"> ADDIN EN.CITE.DATA </w:instrText>
            </w:r>
            <w:r w:rsidR="00C437BA" w:rsidRPr="007D1918">
              <w:rPr>
                <w:rFonts w:ascii="Arial Narrow" w:hAnsi="Arial Narrow"/>
                <w:sz w:val="18"/>
                <w:szCs w:val="18"/>
              </w:rPr>
            </w:r>
            <w:r w:rsidR="00C437BA" w:rsidRPr="007D1918">
              <w:rPr>
                <w:rFonts w:ascii="Arial Narrow" w:hAnsi="Arial Narrow"/>
                <w:sz w:val="18"/>
                <w:szCs w:val="18"/>
              </w:rPr>
              <w:fldChar w:fldCharType="end"/>
            </w:r>
            <w:r w:rsidRPr="007D1918">
              <w:rPr>
                <w:rFonts w:ascii="Arial Narrow" w:hAnsi="Arial Narrow"/>
                <w:sz w:val="18"/>
                <w:szCs w:val="18"/>
              </w:rPr>
            </w:r>
            <w:r w:rsidRPr="007D1918">
              <w:rPr>
                <w:rFonts w:ascii="Arial Narrow" w:hAnsi="Arial Narrow"/>
                <w:sz w:val="18"/>
                <w:szCs w:val="18"/>
              </w:rPr>
              <w:fldChar w:fldCharType="separate"/>
            </w:r>
            <w:r w:rsidRPr="007D1918">
              <w:rPr>
                <w:rFonts w:ascii="Arial Narrow" w:hAnsi="Arial Narrow"/>
                <w:noProof/>
                <w:sz w:val="18"/>
                <w:szCs w:val="18"/>
              </w:rPr>
              <w:t>(</w:t>
            </w:r>
            <w:hyperlink w:anchor="_ENREF_63" w:tooltip="Liu, 2010 #56" w:history="1">
              <w:r w:rsidR="007D4948" w:rsidRPr="007D1918">
                <w:rPr>
                  <w:rFonts w:ascii="Arial Narrow" w:hAnsi="Arial Narrow"/>
                  <w:noProof/>
                  <w:sz w:val="18"/>
                  <w:szCs w:val="18"/>
                </w:rPr>
                <w:t>Liu et al. 2010</w:t>
              </w:r>
            </w:hyperlink>
            <w:r w:rsidRPr="007D1918">
              <w:rPr>
                <w:rFonts w:ascii="Arial Narrow" w:hAnsi="Arial Narrow"/>
                <w:noProof/>
                <w:sz w:val="18"/>
                <w:szCs w:val="18"/>
              </w:rPr>
              <w:t>)</w:t>
            </w:r>
            <w:r w:rsidRPr="007D1918">
              <w:rPr>
                <w:rFonts w:ascii="Arial Narrow" w:hAnsi="Arial Narrow"/>
                <w:sz w:val="18"/>
                <w:szCs w:val="18"/>
              </w:rPr>
              <w:fldChar w:fldCharType="end"/>
            </w:r>
          </w:p>
          <w:p w14:paraId="37DEC538"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hAnsi="Arial Narrow"/>
                <w:sz w:val="18"/>
                <w:szCs w:val="18"/>
              </w:rPr>
              <w:t>China</w:t>
            </w:r>
          </w:p>
        </w:tc>
        <w:tc>
          <w:tcPr>
            <w:tcW w:w="1560" w:type="dxa"/>
          </w:tcPr>
          <w:p w14:paraId="7840CBF5"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RCT (single centre, single blind) </w:t>
            </w:r>
          </w:p>
          <w:p w14:paraId="68DD754E"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Objectives</w:t>
            </w:r>
          </w:p>
          <w:p w14:paraId="12EA228E" w14:textId="1EA4BB3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To compare IA and PE with IVIg for clinical efficacy in late onset MG, and determine whether AChRAb levels are correlated with </w:t>
            </w:r>
            <w:r w:rsidR="00CF097D" w:rsidRPr="007D1918">
              <w:rPr>
                <w:rFonts w:ascii="Arial Narrow" w:eastAsiaTheme="minorHAnsi" w:hAnsi="Arial Narrow" w:cstheme="minorHAnsi"/>
                <w:sz w:val="18"/>
                <w:szCs w:val="18"/>
                <w:lang w:eastAsia="en-US"/>
              </w:rPr>
              <w:t>Q</w:t>
            </w:r>
            <w:r w:rsidRPr="007D1918">
              <w:rPr>
                <w:rFonts w:ascii="Arial Narrow" w:eastAsiaTheme="minorHAnsi" w:hAnsi="Arial Narrow" w:cstheme="minorHAnsi"/>
                <w:sz w:val="18"/>
                <w:szCs w:val="18"/>
                <w:lang w:eastAsia="en-US"/>
              </w:rPr>
              <w:t>MGS</w:t>
            </w:r>
          </w:p>
          <w:p w14:paraId="3B3C66AC"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p>
        </w:tc>
        <w:tc>
          <w:tcPr>
            <w:tcW w:w="1134" w:type="dxa"/>
          </w:tcPr>
          <w:p w14:paraId="173B9A1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64935AB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Quality: moderate risk of bias</w:t>
            </w:r>
          </w:p>
        </w:tc>
        <w:tc>
          <w:tcPr>
            <w:tcW w:w="1984" w:type="dxa"/>
          </w:tcPr>
          <w:p w14:paraId="040D049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40</w:t>
            </w:r>
          </w:p>
          <w:p w14:paraId="0274E47A"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IVIg 53.2 ± 1.7; PE 55.2 ± 1.4; IA 57.2 ± 2.4</w:t>
            </w:r>
          </w:p>
          <w:p w14:paraId="596DDFD4"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at onset ± SD (y): IVIg 52.7 ± 2.3; PE 51.8 ± 2.1; IA 54.5 ± 3.5</w:t>
            </w:r>
          </w:p>
          <w:p w14:paraId="6730BB1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Female: IVIg 47%; PE 40%; IA 40%</w:t>
            </w:r>
          </w:p>
          <w:p w14:paraId="5386EBA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Baseline QMGS ± SD: IVIg 16.5 ± 1.7; PE 19.4 ± 2.2; IA 16.3 ± 2.0</w:t>
            </w:r>
          </w:p>
          <w:p w14:paraId="7A0B2E4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2268" w:type="dxa"/>
          </w:tcPr>
          <w:p w14:paraId="19FB0DA5"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4F47411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Patients with late-onset MG attending the Huashan hospital</w:t>
            </w:r>
          </w:p>
          <w:p w14:paraId="7B98FA8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36CEF6F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c>
          <w:tcPr>
            <w:tcW w:w="1701" w:type="dxa"/>
          </w:tcPr>
          <w:p w14:paraId="3CE51BF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( 0.4 g/kg/day for 5 days)</w:t>
            </w:r>
          </w:p>
        </w:tc>
        <w:tc>
          <w:tcPr>
            <w:tcW w:w="1701" w:type="dxa"/>
          </w:tcPr>
          <w:p w14:paraId="3C6E184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 (3 x  volume exchange of 2500-3000 mL, every 24-48 hours)</w:t>
            </w:r>
          </w:p>
          <w:p w14:paraId="66A68EA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IA (protein A column HWT-52/65)</w:t>
            </w:r>
          </w:p>
        </w:tc>
        <w:tc>
          <w:tcPr>
            <w:tcW w:w="2268" w:type="dxa"/>
          </w:tcPr>
          <w:p w14:paraId="1EBB3FE3"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108EA92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AChRAb titre</w:t>
            </w:r>
          </w:p>
          <w:p w14:paraId="4BFD08A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QMGS</w:t>
            </w:r>
          </w:p>
          <w:p w14:paraId="4541B85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effects</w:t>
            </w:r>
          </w:p>
          <w:p w14:paraId="054910D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Remission time</w:t>
            </w:r>
          </w:p>
          <w:p w14:paraId="5F179C8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Number of respiratory supports</w:t>
            </w:r>
          </w:p>
          <w:p w14:paraId="27DE0A5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Length of hospital stay</w:t>
            </w:r>
          </w:p>
          <w:p w14:paraId="0C3F9722"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7E95999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Paired t-test for pre and post treatment outcomes</w:t>
            </w:r>
          </w:p>
          <w:p w14:paraId="4C311B9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Kruskal-Wallis test for changes between groups</w:t>
            </w:r>
          </w:p>
          <w:p w14:paraId="12FBD6C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Pearson’s correlation for relationship between AChRAb and QMGS</w:t>
            </w:r>
          </w:p>
          <w:p w14:paraId="626A89B8" w14:textId="77777777" w:rsidR="008D42C5" w:rsidRPr="007D1918" w:rsidRDefault="008D42C5" w:rsidP="008D42C5">
            <w:pPr>
              <w:spacing w:before="40" w:after="40" w:line="240" w:lineRule="auto"/>
              <w:ind w:left="0"/>
              <w:rPr>
                <w:rFonts w:ascii="Arial Narrow" w:hAnsi="Arial Narrow"/>
                <w:sz w:val="18"/>
                <w:szCs w:val="18"/>
              </w:rPr>
            </w:pPr>
          </w:p>
        </w:tc>
        <w:tc>
          <w:tcPr>
            <w:tcW w:w="1418" w:type="dxa"/>
          </w:tcPr>
          <w:p w14:paraId="2C324F5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Late onset population</w:t>
            </w:r>
          </w:p>
          <w:p w14:paraId="211B250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All groups received concurrent  PN treatment (0.6-0.8 mg/kg/d)</w:t>
            </w:r>
          </w:p>
          <w:p w14:paraId="29688EF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Follow-up at 14 days</w:t>
            </w:r>
          </w:p>
          <w:p w14:paraId="2B41FC5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1D796DB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r>
      <w:tr w:rsidR="00F128B2" w:rsidRPr="007D1918" w14:paraId="0857FE1B" w14:textId="77777777" w:rsidTr="00EC62F5">
        <w:tc>
          <w:tcPr>
            <w:tcW w:w="1134" w:type="dxa"/>
            <w:shd w:val="clear" w:color="auto" w:fill="FFFFFF" w:themeFill="background1"/>
          </w:tcPr>
          <w:p w14:paraId="6D1C4F7F" w14:textId="2363DC98"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PEVuZE5vdGU+PENpdGU+PEF1dGhvcj5MaWV3PC9BdXRob3I+PFllYXI+MjAxNDwvWWVhcj48UmVj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62" w:tooltip="Liew, 2014 #55" w:history="1">
              <w:r w:rsidR="007D4948" w:rsidRPr="007D1918">
                <w:rPr>
                  <w:rFonts w:ascii="Arial Narrow" w:eastAsiaTheme="minorHAnsi" w:hAnsi="Arial Narrow" w:cstheme="minorHAnsi"/>
                  <w:noProof/>
                  <w:sz w:val="18"/>
                  <w:szCs w:val="18"/>
                  <w:lang w:eastAsia="en-US"/>
                </w:rPr>
                <w:t>Liew et al. 2014</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7222BF4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eastAsiaTheme="minorHAnsi" w:hAnsi="Arial Narrow" w:cstheme="minorHAnsi"/>
                <w:sz w:val="18"/>
                <w:szCs w:val="18"/>
                <w:lang w:eastAsia="en-US"/>
              </w:rPr>
              <w:t>USA</w:t>
            </w:r>
          </w:p>
        </w:tc>
        <w:tc>
          <w:tcPr>
            <w:tcW w:w="1560" w:type="dxa"/>
            <w:shd w:val="clear" w:color="auto" w:fill="FFFFFF" w:themeFill="background1"/>
          </w:tcPr>
          <w:p w14:paraId="3A12236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Comparative retrospective cohort study</w:t>
            </w:r>
          </w:p>
          <w:p w14:paraId="64E5CB7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Objectives</w:t>
            </w:r>
          </w:p>
          <w:p w14:paraId="5EBB56E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To compare the efficacy of PE and IVIg for maintenance therapy in children and adolescents with MG</w:t>
            </w:r>
          </w:p>
        </w:tc>
        <w:tc>
          <w:tcPr>
            <w:tcW w:w="1134" w:type="dxa"/>
            <w:shd w:val="clear" w:color="auto" w:fill="FFFFFF" w:themeFill="background1"/>
          </w:tcPr>
          <w:p w14:paraId="5402422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Level III-2</w:t>
            </w:r>
          </w:p>
          <w:p w14:paraId="75B172C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Moderate risk of bias</w:t>
            </w:r>
          </w:p>
          <w:p w14:paraId="338DA34C" w14:textId="77777777" w:rsidR="008D42C5" w:rsidRPr="007D1918" w:rsidRDefault="008D42C5" w:rsidP="008D42C5">
            <w:pPr>
              <w:spacing w:before="40" w:after="40" w:line="240" w:lineRule="auto"/>
              <w:ind w:left="0"/>
              <w:rPr>
                <w:rFonts w:ascii="Arial Narrow" w:hAnsi="Arial Narrow"/>
                <w:sz w:val="18"/>
                <w:szCs w:val="18"/>
              </w:rPr>
            </w:pPr>
          </w:p>
        </w:tc>
        <w:tc>
          <w:tcPr>
            <w:tcW w:w="1984" w:type="dxa"/>
            <w:shd w:val="clear" w:color="auto" w:fill="FFFFFF" w:themeFill="background1"/>
          </w:tcPr>
          <w:p w14:paraId="5BBE747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 = 33</w:t>
            </w:r>
          </w:p>
          <w:p w14:paraId="3486317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Mean age at onset [Q1, Q3] (y): 8 [2,13]</w:t>
            </w:r>
          </w:p>
          <w:p w14:paraId="1B23E22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Female: 38 (70%)</w:t>
            </w:r>
          </w:p>
          <w:p w14:paraId="4AA859D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Treatments received: IVIg 26 (48%); PE 19 (35%); CS 17 (31%); PD 51 (94%)</w:t>
            </w:r>
          </w:p>
        </w:tc>
        <w:tc>
          <w:tcPr>
            <w:tcW w:w="2268" w:type="dxa"/>
            <w:shd w:val="clear" w:color="auto" w:fill="FFFFFF" w:themeFill="background1"/>
          </w:tcPr>
          <w:p w14:paraId="378BA59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035C377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Children and adolescents with a diagnosis of juvenile MG who were seen in 3 Boston clinics between 1979 and 2012 and underwent medical treatments</w:t>
            </w:r>
          </w:p>
          <w:p w14:paraId="03C8D77B"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4AFF37D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c>
          <w:tcPr>
            <w:tcW w:w="1701" w:type="dxa"/>
            <w:shd w:val="clear" w:color="auto" w:fill="FFFFFF" w:themeFill="background1"/>
          </w:tcPr>
          <w:p w14:paraId="3C0E08C0" w14:textId="77777777" w:rsidR="008D42C5" w:rsidRPr="007D1918" w:rsidDel="00BA20E1"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(1 g/kg for 1-2 daily treatments, every 2-3 weeks followed by a taper to complete withdrawal)</w:t>
            </w:r>
          </w:p>
        </w:tc>
        <w:tc>
          <w:tcPr>
            <w:tcW w:w="1701" w:type="dxa"/>
            <w:shd w:val="clear" w:color="auto" w:fill="FFFFFF" w:themeFill="background1"/>
          </w:tcPr>
          <w:p w14:paraId="017278D5" w14:textId="77777777" w:rsidR="008D42C5" w:rsidRPr="007D1918" w:rsidDel="00BA20E1"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 (3-5 plasma exchanges over 1-2 weeks, every 2-3 weeks followed by a taper to complete withdrawal)</w:t>
            </w:r>
          </w:p>
        </w:tc>
        <w:tc>
          <w:tcPr>
            <w:tcW w:w="2268" w:type="dxa"/>
            <w:shd w:val="clear" w:color="auto" w:fill="FFFFFF" w:themeFill="background1"/>
          </w:tcPr>
          <w:p w14:paraId="1F923702"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475500F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Objective physical exam (eg fatigability, MMT)</w:t>
            </w:r>
          </w:p>
          <w:p w14:paraId="23132D1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Patient reported improvement</w:t>
            </w:r>
          </w:p>
          <w:p w14:paraId="31B6427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Recovery per treatment</w:t>
            </w:r>
          </w:p>
          <w:p w14:paraId="3820D16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Adverse events </w:t>
            </w:r>
          </w:p>
        </w:tc>
        <w:tc>
          <w:tcPr>
            <w:tcW w:w="1418" w:type="dxa"/>
            <w:shd w:val="clear" w:color="auto" w:fill="FFFFFF" w:themeFill="background1"/>
          </w:tcPr>
          <w:p w14:paraId="5E0D63A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Juvenile population </w:t>
            </w:r>
          </w:p>
          <w:p w14:paraId="42B41F2F" w14:textId="156CC61C" w:rsidR="008D42C5" w:rsidRPr="007D1918" w:rsidRDefault="00CF097D" w:rsidP="008D42C5">
            <w:pPr>
              <w:spacing w:before="40" w:after="40" w:line="240" w:lineRule="auto"/>
              <w:ind w:left="0"/>
              <w:rPr>
                <w:rFonts w:ascii="Arial Narrow" w:hAnsi="Arial Narrow"/>
                <w:sz w:val="18"/>
                <w:szCs w:val="18"/>
              </w:rPr>
            </w:pPr>
            <w:r w:rsidRPr="007D1918">
              <w:rPr>
                <w:rFonts w:ascii="Arial Narrow" w:hAnsi="Arial Narrow"/>
                <w:sz w:val="18"/>
                <w:szCs w:val="18"/>
              </w:rPr>
              <w:t>Patients</w:t>
            </w:r>
            <w:r w:rsidR="008D42C5" w:rsidRPr="007D1918">
              <w:rPr>
                <w:rFonts w:ascii="Arial Narrow" w:hAnsi="Arial Narrow"/>
                <w:sz w:val="18"/>
                <w:szCs w:val="18"/>
              </w:rPr>
              <w:t xml:space="preserve"> with ocular MG and generalised MG </w:t>
            </w:r>
            <w:r w:rsidRPr="007D1918">
              <w:rPr>
                <w:rFonts w:ascii="Arial Narrow" w:hAnsi="Arial Narrow"/>
                <w:sz w:val="18"/>
                <w:szCs w:val="18"/>
              </w:rPr>
              <w:t xml:space="preserve">were separated </w:t>
            </w:r>
            <w:r w:rsidR="008D42C5" w:rsidRPr="007D1918">
              <w:rPr>
                <w:rFonts w:ascii="Arial Narrow" w:hAnsi="Arial Narrow"/>
                <w:sz w:val="18"/>
                <w:szCs w:val="18"/>
              </w:rPr>
              <w:t>for analysis</w:t>
            </w:r>
          </w:p>
          <w:p w14:paraId="131D260B" w14:textId="30BE2A8E" w:rsidR="008D42C5" w:rsidRPr="007D1918" w:rsidRDefault="00921FFD" w:rsidP="008D42C5">
            <w:pPr>
              <w:spacing w:before="40" w:after="40" w:line="240" w:lineRule="auto"/>
              <w:ind w:left="0"/>
              <w:rPr>
                <w:rFonts w:ascii="Arial Narrow" w:hAnsi="Arial Narrow"/>
                <w:sz w:val="18"/>
                <w:szCs w:val="18"/>
              </w:rPr>
            </w:pPr>
            <w:r w:rsidRPr="007D1918">
              <w:rPr>
                <w:rFonts w:ascii="Arial Narrow" w:hAnsi="Arial Narrow"/>
                <w:sz w:val="18"/>
                <w:szCs w:val="18"/>
              </w:rPr>
              <w:t>Some patients</w:t>
            </w:r>
            <w:r w:rsidR="008D42C5" w:rsidRPr="007D1918">
              <w:rPr>
                <w:rFonts w:ascii="Arial Narrow" w:hAnsi="Arial Narrow"/>
                <w:sz w:val="18"/>
                <w:szCs w:val="18"/>
              </w:rPr>
              <w:t xml:space="preserve"> receiving IVIg and PE treatments also received CS, PD, and/or thymectomy</w:t>
            </w:r>
          </w:p>
          <w:p w14:paraId="604930E9"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72E64E5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Athena Diagnostics</w:t>
            </w:r>
          </w:p>
        </w:tc>
      </w:tr>
      <w:tr w:rsidR="00F128B2" w:rsidRPr="007D1918" w14:paraId="7B8B2F2E" w14:textId="77777777" w:rsidTr="00EC62F5">
        <w:tc>
          <w:tcPr>
            <w:tcW w:w="1134" w:type="dxa"/>
          </w:tcPr>
          <w:p w14:paraId="32BC0297" w14:textId="0E448FB1"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Pr="007D1918">
              <w:rPr>
                <w:rFonts w:ascii="Arial Narrow" w:eastAsiaTheme="minorHAnsi" w:hAnsi="Arial Narrow" w:cstheme="minorHAnsi"/>
                <w:sz w:val="18"/>
                <w:szCs w:val="18"/>
                <w:lang w:eastAsia="en-US"/>
              </w:rPr>
              <w:instrText xml:space="preserve"> ADDIN EN.CITE </w:instrText>
            </w:r>
            <w:r w:rsidRPr="007D1918">
              <w:rPr>
                <w:rFonts w:ascii="Arial Narrow" w:eastAsiaTheme="minorHAnsi" w:hAnsi="Arial Narrow" w:cstheme="minorHAnsi"/>
                <w:sz w:val="18"/>
                <w:szCs w:val="18"/>
                <w:lang w:eastAsia="en-US"/>
              </w:rPr>
              <w:fldChar w:fldCharType="begin">
                <w:fldData xml:space="preserve">PEVuZE5vdGU+PENpdGU+PEF1dGhvcj5Ob3NhZGluaTwvQXV0aG9yPjxZZWFyPjIwMTY8L1llYXI+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</w:fldData>
              </w:fldChar>
            </w:r>
            <w:r w:rsidRPr="007D1918">
              <w:rPr>
                <w:rFonts w:ascii="Arial Narrow" w:eastAsiaTheme="minorHAnsi" w:hAnsi="Arial Narrow" w:cstheme="minorHAnsi"/>
                <w:sz w:val="18"/>
                <w:szCs w:val="18"/>
                <w:lang w:eastAsia="en-US"/>
              </w:rPr>
              <w:instrText xml:space="preserve"> ADDIN EN.CITE.DATA </w:instrText>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73" w:tooltip="Nosadini, 2016 #147" w:history="1">
              <w:r w:rsidR="007D4948" w:rsidRPr="007D1918">
                <w:rPr>
                  <w:rFonts w:ascii="Arial Narrow" w:eastAsiaTheme="minorHAnsi" w:hAnsi="Arial Narrow" w:cstheme="minorHAnsi"/>
                  <w:noProof/>
                  <w:sz w:val="18"/>
                  <w:szCs w:val="18"/>
                  <w:lang w:eastAsia="en-US"/>
                </w:rPr>
                <w:t>Nosadini et al. 2016</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71BC17D8"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Australia</w:t>
            </w:r>
          </w:p>
        </w:tc>
        <w:tc>
          <w:tcPr>
            <w:tcW w:w="1560" w:type="dxa"/>
          </w:tcPr>
          <w:p w14:paraId="57EBB420"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Case series with before and after treatment data</w:t>
            </w:r>
          </w:p>
          <w:p w14:paraId="086A16CE"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lastRenderedPageBreak/>
              <w:t>Objective</w:t>
            </w:r>
          </w:p>
          <w:p w14:paraId="68F994E1"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review current clinical practice in use of IVIg and paediatric neurology</w:t>
            </w:r>
          </w:p>
        </w:tc>
        <w:tc>
          <w:tcPr>
            <w:tcW w:w="1134" w:type="dxa"/>
          </w:tcPr>
          <w:p w14:paraId="49D176D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lastRenderedPageBreak/>
              <w:t>Level IV</w:t>
            </w:r>
          </w:p>
          <w:p w14:paraId="03C92705" w14:textId="77777777" w:rsidR="008D42C5" w:rsidRPr="007D1918" w:rsidDel="00BB7D9C"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Moderate risk of bias</w:t>
            </w:r>
          </w:p>
        </w:tc>
        <w:tc>
          <w:tcPr>
            <w:tcW w:w="1984" w:type="dxa"/>
          </w:tcPr>
          <w:p w14:paraId="56EAA98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12</w:t>
            </w:r>
          </w:p>
          <w:p w14:paraId="0376A186" w14:textId="7A02651B"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Children who received IVIg for </w:t>
            </w:r>
            <w:r w:rsidR="00952624" w:rsidRPr="007D1918">
              <w:rPr>
                <w:rFonts w:ascii="Arial Narrow" w:hAnsi="Arial Narrow" w:cs="Times New Roman"/>
                <w:sz w:val="18"/>
                <w:szCs w:val="18"/>
                <w:lang w:eastAsia="en-US"/>
              </w:rPr>
              <w:t>MG</w:t>
            </w:r>
            <w:r w:rsidRPr="007D1918">
              <w:rPr>
                <w:rFonts w:ascii="Arial Narrow" w:hAnsi="Arial Narrow" w:cs="Times New Roman"/>
                <w:sz w:val="18"/>
                <w:szCs w:val="18"/>
                <w:lang w:eastAsia="en-US"/>
              </w:rPr>
              <w:t xml:space="preserve"> at a single hospital</w:t>
            </w:r>
          </w:p>
          <w:p w14:paraId="791F405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lastRenderedPageBreak/>
              <w:t>Mean age at onset (for196 children with neuroimmunological conditions: 6y 5 mo</w:t>
            </w:r>
          </w:p>
          <w:p w14:paraId="3EF4E97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length of follow-up (range): 37.7 (4.5-123) mo</w:t>
            </w:r>
          </w:p>
        </w:tc>
        <w:tc>
          <w:tcPr>
            <w:tcW w:w="2268" w:type="dxa"/>
          </w:tcPr>
          <w:p w14:paraId="54ADE86D"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lastRenderedPageBreak/>
              <w:t>Inclusion</w:t>
            </w:r>
          </w:p>
          <w:p w14:paraId="2EBA882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Given IVIg at the Children’s Westmead hospital between </w:t>
            </w:r>
            <w:r w:rsidRPr="007D1918">
              <w:rPr>
                <w:rFonts w:ascii="Arial Narrow" w:hAnsi="Arial Narrow" w:cs="Times New Roman"/>
                <w:sz w:val="18"/>
                <w:szCs w:val="18"/>
                <w:lang w:eastAsia="en-US"/>
              </w:rPr>
              <w:lastRenderedPageBreak/>
              <w:t>Jan 2000 and June 2014 for any paediatric indication</w:t>
            </w:r>
          </w:p>
          <w:p w14:paraId="4505D885"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Exclusion</w:t>
            </w:r>
          </w:p>
          <w:p w14:paraId="0C50416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Non-neurological indications</w:t>
            </w:r>
          </w:p>
        </w:tc>
        <w:tc>
          <w:tcPr>
            <w:tcW w:w="1701" w:type="dxa"/>
          </w:tcPr>
          <w:p w14:paraId="7DEAEE0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IVIg</w:t>
            </w:r>
          </w:p>
        </w:tc>
        <w:tc>
          <w:tcPr>
            <w:tcW w:w="1701" w:type="dxa"/>
          </w:tcPr>
          <w:p w14:paraId="38B97C6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NA</w:t>
            </w:r>
          </w:p>
        </w:tc>
        <w:tc>
          <w:tcPr>
            <w:tcW w:w="2268" w:type="dxa"/>
          </w:tcPr>
          <w:p w14:paraId="3EE70FF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disease severity (modified Rankin Scale, mRS)</w:t>
            </w:r>
          </w:p>
        </w:tc>
        <w:tc>
          <w:tcPr>
            <w:tcW w:w="1418" w:type="dxa"/>
          </w:tcPr>
          <w:p w14:paraId="415CD45E"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214BFF3B" w14:textId="49CDEE92" w:rsidR="008D42C5" w:rsidRPr="007D1918" w:rsidDel="00BB7D9C" w:rsidRDefault="008D42C5" w:rsidP="00921FFD">
            <w:pPr>
              <w:spacing w:before="40" w:after="40" w:line="240" w:lineRule="auto"/>
              <w:ind w:left="0"/>
              <w:rPr>
                <w:rFonts w:ascii="Arial Narrow" w:hAnsi="Arial Narrow"/>
                <w:sz w:val="18"/>
                <w:szCs w:val="18"/>
              </w:rPr>
            </w:pPr>
            <w:r w:rsidRPr="007D1918">
              <w:rPr>
                <w:rFonts w:ascii="Arial Narrow" w:hAnsi="Arial Narrow"/>
                <w:sz w:val="18"/>
                <w:szCs w:val="18"/>
              </w:rPr>
              <w:t xml:space="preserve">Post-graduate </w:t>
            </w:r>
            <w:r w:rsidR="00921FFD" w:rsidRPr="007D1918">
              <w:rPr>
                <w:rFonts w:ascii="Arial Narrow" w:hAnsi="Arial Narrow"/>
                <w:sz w:val="18"/>
                <w:szCs w:val="18"/>
              </w:rPr>
              <w:t xml:space="preserve">NHMRC </w:t>
            </w:r>
            <w:r w:rsidRPr="007D1918">
              <w:rPr>
                <w:rFonts w:ascii="Arial Narrow" w:hAnsi="Arial Narrow"/>
                <w:sz w:val="18"/>
                <w:szCs w:val="18"/>
              </w:rPr>
              <w:lastRenderedPageBreak/>
              <w:t>scholarships &amp;</w:t>
            </w:r>
            <w:r w:rsidR="00921FFD" w:rsidRPr="007D1918">
              <w:rPr>
                <w:rFonts w:ascii="Arial Narrow" w:hAnsi="Arial Narrow"/>
                <w:sz w:val="18"/>
                <w:szCs w:val="18"/>
              </w:rPr>
              <w:t xml:space="preserve"> from</w:t>
            </w:r>
            <w:r w:rsidRPr="007D1918">
              <w:rPr>
                <w:rFonts w:ascii="Arial Narrow" w:hAnsi="Arial Narrow"/>
                <w:sz w:val="18"/>
                <w:szCs w:val="18"/>
              </w:rPr>
              <w:t xml:space="preserve"> Petre Foundation (Australia). Research funding from NHMRC, MS Research Australia, Star Scientific Assoc, University of Sydney &amp; the Petre Foundation.</w:t>
            </w:r>
          </w:p>
        </w:tc>
      </w:tr>
      <w:tr w:rsidR="00F128B2" w:rsidRPr="007D1918" w14:paraId="6CC53A2A" w14:textId="77777777" w:rsidTr="00EC62F5">
        <w:tc>
          <w:tcPr>
            <w:tcW w:w="1134" w:type="dxa"/>
          </w:tcPr>
          <w:p w14:paraId="259DF31F" w14:textId="1D0EFF32"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rFonts w:ascii="Arial Narrow" w:eastAsiaTheme="minorHAnsi" w:hAnsi="Arial Narrow" w:cstheme="minorHAnsi"/>
                <w:sz w:val="18"/>
                <w:szCs w:val="18"/>
                <w:lang w:eastAsia="en-US"/>
              </w:rPr>
              <w:instrText xml:space="preserve"> ADDIN EN.CITE </w:instrText>
            </w:r>
            <w:r w:rsidR="007F4CDE" w:rsidRPr="007D1918">
              <w:rPr>
                <w:rFonts w:ascii="Arial Narrow" w:eastAsiaTheme="minorHAnsi" w:hAnsi="Arial Narrow" w:cstheme="minorHAnsi"/>
                <w:sz w:val="18"/>
                <w:szCs w:val="18"/>
                <w:lang w:eastAsia="en-US"/>
              </w:rPr>
              <w:fldChar w:fldCharType="begin">
                <w:fldData xml:space="preserve">PEVuZE5vdGU+PENpdGU+PEF1dGhvcj5Sw7huYWdlcjwvQXV0aG9yPjxZZWFyPjIwMDE8L1llYXI+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</w:fldData>
              </w:fldChar>
            </w:r>
            <w:r w:rsidR="007F4CDE" w:rsidRPr="007D1918">
              <w:rPr>
                <w:rFonts w:ascii="Arial Narrow" w:eastAsiaTheme="minorHAnsi" w:hAnsi="Arial Narrow" w:cstheme="minorHAnsi"/>
                <w:sz w:val="18"/>
                <w:szCs w:val="18"/>
                <w:lang w:eastAsia="en-US"/>
              </w:rPr>
              <w:instrText xml:space="preserve"> ADDIN EN.CITE.DATA </w:instrText>
            </w:r>
            <w:r w:rsidR="007F4CDE" w:rsidRPr="007D1918">
              <w:rPr>
                <w:rFonts w:ascii="Arial Narrow" w:eastAsiaTheme="minorHAnsi" w:hAnsi="Arial Narrow" w:cstheme="minorHAnsi"/>
                <w:sz w:val="18"/>
                <w:szCs w:val="18"/>
                <w:lang w:eastAsia="en-US"/>
              </w:rPr>
            </w:r>
            <w:r w:rsidR="007F4CDE"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83" w:tooltip="Rønager, 2001 #41" w:history="1">
              <w:r w:rsidR="007D4948" w:rsidRPr="007D1918">
                <w:rPr>
                  <w:rFonts w:ascii="Arial Narrow" w:eastAsiaTheme="minorHAnsi" w:hAnsi="Arial Narrow" w:cstheme="minorHAnsi"/>
                  <w:noProof/>
                  <w:sz w:val="18"/>
                  <w:szCs w:val="18"/>
                  <w:lang w:eastAsia="en-US"/>
                </w:rPr>
                <w:t>Rønager et al. 2001</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3784A608"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Denmark</w:t>
            </w:r>
          </w:p>
        </w:tc>
        <w:tc>
          <w:tcPr>
            <w:tcW w:w="1560" w:type="dxa"/>
          </w:tcPr>
          <w:p w14:paraId="76E25C77"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RCT (crossover study)</w:t>
            </w:r>
          </w:p>
          <w:p w14:paraId="65024015"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22615367"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compare the efficacy of high-does IVIg treatment with PE in patients with moderate to severe, but stable, MG</w:t>
            </w:r>
          </w:p>
        </w:tc>
        <w:tc>
          <w:tcPr>
            <w:tcW w:w="1134" w:type="dxa"/>
          </w:tcPr>
          <w:p w14:paraId="0AC94DD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67BD010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High risk of bias</w:t>
            </w:r>
          </w:p>
        </w:tc>
        <w:tc>
          <w:tcPr>
            <w:tcW w:w="1984" w:type="dxa"/>
          </w:tcPr>
          <w:p w14:paraId="58DC8EE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12</w:t>
            </w:r>
          </w:p>
          <w:p w14:paraId="20622FD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not reported, age range included 18–75 years</w:t>
            </w:r>
          </w:p>
        </w:tc>
        <w:tc>
          <w:tcPr>
            <w:tcW w:w="2268" w:type="dxa"/>
          </w:tcPr>
          <w:p w14:paraId="71D15C35"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07CB640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Generalised moderate to severe MG on immunosuppressive treatment for at least 12 months</w:t>
            </w:r>
          </w:p>
          <w:p w14:paraId="20CA17D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Only patients in Osserman Classes 3 to 5 and with functional status 4 to 5 were include</w:t>
            </w:r>
          </w:p>
          <w:p w14:paraId="040294FD"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 criteria</w:t>
            </w:r>
          </w:p>
          <w:p w14:paraId="721A729E" w14:textId="577F5456" w:rsidR="008D42C5" w:rsidRPr="007D1918" w:rsidRDefault="008D42C5" w:rsidP="007D77DC">
            <w:pPr>
              <w:spacing w:before="40" w:after="40" w:line="240" w:lineRule="auto"/>
              <w:ind w:left="0"/>
              <w:rPr>
                <w:rFonts w:ascii="Arial Narrow" w:hAnsi="Arial Narrow"/>
                <w:sz w:val="18"/>
                <w:szCs w:val="18"/>
              </w:rPr>
            </w:pPr>
            <w:r w:rsidRPr="007D1918">
              <w:rPr>
                <w:rFonts w:ascii="Arial Narrow" w:hAnsi="Arial Narrow"/>
                <w:sz w:val="18"/>
                <w:szCs w:val="18"/>
              </w:rPr>
              <w:t>Known or suspected allergy against IVIg; hypogammaglobinemia; HIV antibody positive; i</w:t>
            </w:r>
            <w:r w:rsidR="007D77DC" w:rsidRPr="007D1918">
              <w:rPr>
                <w:rFonts w:ascii="Arial Narrow" w:hAnsi="Arial Narrow"/>
                <w:sz w:val="18"/>
                <w:szCs w:val="18"/>
              </w:rPr>
              <w:t>mpaired renal function; pregnancy;</w:t>
            </w:r>
            <w:r w:rsidRPr="007D1918">
              <w:rPr>
                <w:rFonts w:ascii="Arial Narrow" w:hAnsi="Arial Narrow"/>
                <w:sz w:val="18"/>
                <w:szCs w:val="18"/>
              </w:rPr>
              <w:t xml:space="preserve"> lactating </w:t>
            </w:r>
            <w:r w:rsidR="007D77DC" w:rsidRPr="007D1918">
              <w:rPr>
                <w:rFonts w:ascii="Arial Narrow" w:hAnsi="Arial Narrow"/>
                <w:sz w:val="18"/>
                <w:szCs w:val="18"/>
              </w:rPr>
              <w:t>or</w:t>
            </w:r>
            <w:r w:rsidRPr="007D1918">
              <w:rPr>
                <w:rFonts w:ascii="Arial Narrow" w:hAnsi="Arial Narrow"/>
                <w:sz w:val="18"/>
                <w:szCs w:val="18"/>
              </w:rPr>
              <w:t xml:space="preserve"> fertile women without use of acceptable contraception; psychosis; other major diseases </w:t>
            </w:r>
          </w:p>
        </w:tc>
        <w:tc>
          <w:tcPr>
            <w:tcW w:w="1701" w:type="dxa"/>
          </w:tcPr>
          <w:p w14:paraId="7BAC06E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(Gammagard S/D from Baxter, Glendale, CA)</w:t>
            </w:r>
          </w:p>
          <w:p w14:paraId="11913D7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400 mg/kg body weight administered as 5% solution on 5 subsequent days</w:t>
            </w:r>
          </w:p>
          <w:p w14:paraId="0BEF894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Minimum duration of each infusion was 4 hours</w:t>
            </w:r>
          </w:p>
        </w:tc>
        <w:tc>
          <w:tcPr>
            <w:tcW w:w="1701" w:type="dxa"/>
          </w:tcPr>
          <w:p w14:paraId="7F71044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PE</w:t>
            </w:r>
          </w:p>
          <w:p w14:paraId="2DBD580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Total of 5 treatments, with 1 given every other day</w:t>
            </w:r>
          </w:p>
          <w:p w14:paraId="53E6EEB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Plasma volume exchanged during 3 hours equivalent to 5% body weight</w:t>
            </w:r>
          </w:p>
        </w:tc>
        <w:tc>
          <w:tcPr>
            <w:tcW w:w="2268" w:type="dxa"/>
          </w:tcPr>
          <w:p w14:paraId="5D60CB14"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 outcomes</w:t>
            </w:r>
          </w:p>
          <w:p w14:paraId="655BADF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QMGS before and at follow-up visits after each treatment</w:t>
            </w:r>
          </w:p>
          <w:p w14:paraId="092E6FB9"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5580B12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w:t>
            </w:r>
          </w:p>
          <w:p w14:paraId="4518C75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62A4017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Time course of clinical effect assessed at 4, 8 and 16 weeks after each treatment course. Wilcoxon’s sign test was used. 2-sided testing was performed denoting statistical significance only with p-values of 0.05 or less. The SPPSS 7.5.2 was used for analysis.</w:t>
            </w:r>
          </w:p>
        </w:tc>
        <w:tc>
          <w:tcPr>
            <w:tcW w:w="1418" w:type="dxa"/>
          </w:tcPr>
          <w:p w14:paraId="7C464029" w14:textId="77777777" w:rsidR="00921FFD"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sz w:val="18"/>
                <w:szCs w:val="18"/>
              </w:rPr>
              <w:t>QMGS was assessed by one person who was blinded to treatment regimens</w:t>
            </w:r>
            <w:r w:rsidRPr="007D1918">
              <w:rPr>
                <w:rFonts w:ascii="Arial Narrow" w:hAnsi="Arial Narrow"/>
                <w:i/>
                <w:sz w:val="18"/>
                <w:szCs w:val="18"/>
              </w:rPr>
              <w:t xml:space="preserve"> </w:t>
            </w:r>
          </w:p>
          <w:p w14:paraId="48D9EAAE" w14:textId="2E185F0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6B0CFFF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The study authors acknowledged that Baxter A/S supplied the blood products (Gammagard and albumin) and gave financial support</w:t>
            </w:r>
          </w:p>
        </w:tc>
      </w:tr>
      <w:tr w:rsidR="00F128B2" w:rsidRPr="007D1918" w14:paraId="179DE5CD" w14:textId="77777777" w:rsidTr="00EC62F5">
        <w:tc>
          <w:tcPr>
            <w:tcW w:w="1134" w:type="dxa"/>
          </w:tcPr>
          <w:p w14:paraId="6555525E" w14:textId="3E03B6A9"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PEVuZE5vdGU+PENpdGU+PEF1dGhvcj5TZWxjZW48L0F1dGhvcj48WWVhcj4yMDAwPC9ZZWFyPjxS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</w:fldData>
              </w:fldChar>
            </w:r>
            <w:r w:rsidRPr="007D1918">
              <w:rPr>
                <w:rFonts w:ascii="Arial Narrow" w:eastAsiaTheme="minorHAnsi" w:hAnsi="Arial Narrow" w:cstheme="minorHAnsi"/>
                <w:sz w:val="18"/>
                <w:szCs w:val="18"/>
                <w:lang w:eastAsia="en-US"/>
              </w:rPr>
              <w:instrText xml:space="preserve"> ADDIN EN.CITE </w:instrText>
            </w:r>
            <w:r w:rsidRPr="007D1918">
              <w:rPr>
                <w:rFonts w:ascii="Arial Narrow" w:eastAsiaTheme="minorHAnsi" w:hAnsi="Arial Narrow" w:cstheme="minorHAnsi"/>
                <w:sz w:val="18"/>
                <w:szCs w:val="18"/>
                <w:lang w:eastAsia="en-US"/>
              </w:rPr>
              <w:fldChar w:fldCharType="begin">
                <w:fldData xml:space="preserve">PEVuZE5vdGU+PENpdGU+PEF1dGhvcj5TZWxjZW48L0F1dGhvcj48WWVhcj4yMDAwPC9ZZWFyPjxS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</w:fldData>
              </w:fldChar>
            </w:r>
            <w:r w:rsidRPr="007D1918">
              <w:rPr>
                <w:rFonts w:ascii="Arial Narrow" w:eastAsiaTheme="minorHAnsi" w:hAnsi="Arial Narrow" w:cstheme="minorHAnsi"/>
                <w:sz w:val="18"/>
                <w:szCs w:val="18"/>
                <w:lang w:eastAsia="en-US"/>
              </w:rPr>
              <w:instrText xml:space="preserve"> ADDIN EN.CITE.DATA </w:instrText>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88" w:tooltip="Selcen, 2000 #46" w:history="1">
              <w:r w:rsidR="007D4948" w:rsidRPr="007D1918">
                <w:rPr>
                  <w:rFonts w:ascii="Arial Narrow" w:eastAsiaTheme="minorHAnsi" w:hAnsi="Arial Narrow" w:cstheme="minorHAnsi"/>
                  <w:noProof/>
                  <w:sz w:val="18"/>
                  <w:szCs w:val="18"/>
                  <w:lang w:eastAsia="en-US"/>
                </w:rPr>
                <w:t>Selcen et al. 2000</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1545DCC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USA</w:t>
            </w:r>
          </w:p>
        </w:tc>
        <w:tc>
          <w:tcPr>
            <w:tcW w:w="1560" w:type="dxa"/>
          </w:tcPr>
          <w:p w14:paraId="3432B49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Case series with before and after treatment data</w:t>
            </w:r>
          </w:p>
          <w:p w14:paraId="18464ACA"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5BAFE3A0"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To evaluate juvenile patients for </w:t>
            </w:r>
            <w:r w:rsidRPr="007D1918">
              <w:rPr>
                <w:rFonts w:ascii="Arial Narrow" w:eastAsiaTheme="minorHAnsi" w:hAnsi="Arial Narrow" w:cstheme="minorHAnsi"/>
                <w:sz w:val="18"/>
                <w:szCs w:val="18"/>
                <w:lang w:eastAsia="en-US"/>
              </w:rPr>
              <w:lastRenderedPageBreak/>
              <w:t>responses to and complications from IVIg</w:t>
            </w:r>
          </w:p>
        </w:tc>
        <w:tc>
          <w:tcPr>
            <w:tcW w:w="1134" w:type="dxa"/>
          </w:tcPr>
          <w:p w14:paraId="05BC4C7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lastRenderedPageBreak/>
              <w:t>Level IV</w:t>
            </w:r>
          </w:p>
          <w:p w14:paraId="23CE34D1" w14:textId="77777777" w:rsidR="008D42C5" w:rsidRPr="007D1918" w:rsidDel="00BB7D9C"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Moderate risk of bias</w:t>
            </w:r>
          </w:p>
        </w:tc>
        <w:tc>
          <w:tcPr>
            <w:tcW w:w="1984" w:type="dxa"/>
          </w:tcPr>
          <w:p w14:paraId="38CD099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10</w:t>
            </w:r>
          </w:p>
          <w:p w14:paraId="2CF6EE7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Juvenile patients refractory to cholinesterase inhibitors, incomplete response to PE or </w:t>
            </w:r>
            <w:r w:rsidRPr="007D1918">
              <w:rPr>
                <w:rFonts w:ascii="Arial Narrow" w:hAnsi="Arial Narrow" w:cs="Times New Roman"/>
                <w:sz w:val="18"/>
                <w:szCs w:val="18"/>
                <w:lang w:eastAsia="en-US"/>
              </w:rPr>
              <w:lastRenderedPageBreak/>
              <w:t>complications from or failure of steroids</w:t>
            </w:r>
          </w:p>
          <w:p w14:paraId="1827B6B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Age range: 2-18 y</w:t>
            </w:r>
          </w:p>
          <w:p w14:paraId="4699F9CD"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MG duration range: 1-180 mo</w:t>
            </w:r>
          </w:p>
        </w:tc>
        <w:tc>
          <w:tcPr>
            <w:tcW w:w="2268" w:type="dxa"/>
          </w:tcPr>
          <w:p w14:paraId="1C110D75"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lastRenderedPageBreak/>
              <w:t>Inclusion</w:t>
            </w:r>
          </w:p>
          <w:p w14:paraId="553E0F2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Juvenile MG patients refractory to other treatments</w:t>
            </w:r>
          </w:p>
          <w:p w14:paraId="48D745B8"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Exclusion</w:t>
            </w:r>
          </w:p>
          <w:p w14:paraId="059A90C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NR</w:t>
            </w:r>
          </w:p>
        </w:tc>
        <w:tc>
          <w:tcPr>
            <w:tcW w:w="1701" w:type="dxa"/>
          </w:tcPr>
          <w:p w14:paraId="15B1734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w:t>
            </w:r>
          </w:p>
        </w:tc>
        <w:tc>
          <w:tcPr>
            <w:tcW w:w="1701" w:type="dxa"/>
          </w:tcPr>
          <w:p w14:paraId="539FE86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NA</w:t>
            </w:r>
          </w:p>
        </w:tc>
        <w:tc>
          <w:tcPr>
            <w:tcW w:w="2268" w:type="dxa"/>
          </w:tcPr>
          <w:p w14:paraId="38A34BB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functional status (University of Virginia modification of Osserman classification)</w:t>
            </w:r>
          </w:p>
        </w:tc>
        <w:tc>
          <w:tcPr>
            <w:tcW w:w="1418" w:type="dxa"/>
          </w:tcPr>
          <w:p w14:paraId="6B9CDAA9"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7B7D7928" w14:textId="77777777" w:rsidR="008D42C5" w:rsidRPr="007D1918" w:rsidDel="00BB7D9C"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NR</w:t>
            </w:r>
          </w:p>
        </w:tc>
      </w:tr>
      <w:tr w:rsidR="00F128B2" w:rsidRPr="007D1918" w14:paraId="2FEFAEF4" w14:textId="77777777" w:rsidTr="00EC62F5">
        <w:tc>
          <w:tcPr>
            <w:tcW w:w="1134" w:type="dxa"/>
          </w:tcPr>
          <w:p w14:paraId="1F859D1A" w14:textId="5217BBCE"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PEVuZE5vdGU+PENpdGU+PEF1dGhvcj5WYW5kZXJQbHV5bTwvQXV0aG9yPjxZZWFyPjIwMTM8L1ll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=
</w:fldData>
              </w:fldChar>
            </w:r>
            <w:r w:rsidRPr="007D1918">
              <w:rPr>
                <w:rFonts w:ascii="Arial Narrow" w:eastAsiaTheme="minorHAnsi" w:hAnsi="Arial Narrow" w:cstheme="minorHAnsi"/>
                <w:sz w:val="18"/>
                <w:szCs w:val="18"/>
                <w:lang w:eastAsia="en-US"/>
              </w:rPr>
              <w:instrText xml:space="preserve"> ADDIN EN.CITE </w:instrText>
            </w:r>
            <w:r w:rsidRPr="007D1918">
              <w:rPr>
                <w:rFonts w:ascii="Arial Narrow" w:eastAsiaTheme="minorHAnsi" w:hAnsi="Arial Narrow" w:cstheme="minorHAnsi"/>
                <w:sz w:val="18"/>
                <w:szCs w:val="18"/>
                <w:lang w:eastAsia="en-US"/>
              </w:rPr>
              <w:fldChar w:fldCharType="begin">
                <w:fldData xml:space="preserve">PEVuZE5vdGU+PENpdGU+PEF1dGhvcj5WYW5kZXJQbHV5bTwvQXV0aG9yPjxZZWFyPjIwMTM8L1ll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=
</w:fldData>
              </w:fldChar>
            </w:r>
            <w:r w:rsidRPr="007D1918">
              <w:rPr>
                <w:rFonts w:ascii="Arial Narrow" w:eastAsiaTheme="minorHAnsi" w:hAnsi="Arial Narrow" w:cstheme="minorHAnsi"/>
                <w:sz w:val="18"/>
                <w:szCs w:val="18"/>
                <w:lang w:eastAsia="en-US"/>
              </w:rPr>
              <w:instrText xml:space="preserve"> ADDIN EN.CITE.DATA </w:instrText>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101" w:tooltip="VanderPluym, 2013 #118" w:history="1">
              <w:r w:rsidR="007D4948" w:rsidRPr="007D1918">
                <w:rPr>
                  <w:rFonts w:ascii="Arial Narrow" w:eastAsiaTheme="minorHAnsi" w:hAnsi="Arial Narrow" w:cstheme="minorHAnsi"/>
                  <w:noProof/>
                  <w:sz w:val="18"/>
                  <w:szCs w:val="18"/>
                  <w:lang w:eastAsia="en-US"/>
                </w:rPr>
                <w:t>VanderPluym et al. 2013</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63E8A7B0"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Canada</w:t>
            </w:r>
          </w:p>
        </w:tc>
        <w:tc>
          <w:tcPr>
            <w:tcW w:w="1560" w:type="dxa"/>
          </w:tcPr>
          <w:p w14:paraId="6F76027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Case series with before and after treatment data</w:t>
            </w:r>
          </w:p>
          <w:p w14:paraId="1D48C4C1"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0BB0E4FA"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evaluate the incidence, clinical features, diagnostic and treatment trends of paediatric myasthenia in Canada</w:t>
            </w:r>
          </w:p>
        </w:tc>
        <w:tc>
          <w:tcPr>
            <w:tcW w:w="1134" w:type="dxa"/>
          </w:tcPr>
          <w:p w14:paraId="1C4CFB8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IV</w:t>
            </w:r>
          </w:p>
          <w:p w14:paraId="505A2011" w14:textId="77777777" w:rsidR="008D42C5" w:rsidRPr="007D1918" w:rsidDel="00BB7D9C"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Moderate risk of bias</w:t>
            </w:r>
          </w:p>
        </w:tc>
        <w:tc>
          <w:tcPr>
            <w:tcW w:w="1984" w:type="dxa"/>
          </w:tcPr>
          <w:p w14:paraId="2C8D049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34</w:t>
            </w:r>
          </w:p>
          <w:p w14:paraId="38F5FB9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Cases of PM identified through the Canadian paediatric Surveillance Program from Jan 2010 to Dec 2011</w:t>
            </w:r>
          </w:p>
          <w:p w14:paraId="4FC15E1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Age of onset: &lt;3y 8; 3-6y 2; &gt;6-9y 4; &gt;9-12y 7; &gt;12y 10; unknown 3</w:t>
            </w:r>
          </w:p>
        </w:tc>
        <w:tc>
          <w:tcPr>
            <w:tcW w:w="2268" w:type="dxa"/>
          </w:tcPr>
          <w:p w14:paraId="484385D3"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Inclusion</w:t>
            </w:r>
          </w:p>
          <w:p w14:paraId="6171D7F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Cases of generalised juvenile MG &lt;18y, ≥1 of typical clinical features, or positive for other diagnostic testing</w:t>
            </w:r>
          </w:p>
          <w:p w14:paraId="67767F7C"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 xml:space="preserve">Exclusion </w:t>
            </w:r>
          </w:p>
          <w:p w14:paraId="48059BB4"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Underlying primary muscle, nerve or metabolic disease, transient neonatal myasthenia</w:t>
            </w:r>
          </w:p>
        </w:tc>
        <w:tc>
          <w:tcPr>
            <w:tcW w:w="1701" w:type="dxa"/>
          </w:tcPr>
          <w:p w14:paraId="1A33123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w:t>
            </w:r>
          </w:p>
        </w:tc>
        <w:tc>
          <w:tcPr>
            <w:tcW w:w="1701" w:type="dxa"/>
          </w:tcPr>
          <w:p w14:paraId="344DDEC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NA</w:t>
            </w:r>
          </w:p>
        </w:tc>
        <w:tc>
          <w:tcPr>
            <w:tcW w:w="2268" w:type="dxa"/>
          </w:tcPr>
          <w:p w14:paraId="2A68779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Improvement</w:t>
            </w:r>
          </w:p>
        </w:tc>
        <w:tc>
          <w:tcPr>
            <w:tcW w:w="1418" w:type="dxa"/>
          </w:tcPr>
          <w:p w14:paraId="04C0F35D" w14:textId="3CE659BB" w:rsidR="008D42C5" w:rsidRPr="007D1918" w:rsidRDefault="00EC62F5" w:rsidP="008D42C5">
            <w:pPr>
              <w:spacing w:before="40" w:after="40" w:line="240" w:lineRule="auto"/>
              <w:ind w:left="0"/>
              <w:rPr>
                <w:rFonts w:ascii="Arial Narrow" w:hAnsi="Arial Narrow"/>
                <w:sz w:val="18"/>
                <w:szCs w:val="18"/>
              </w:rPr>
            </w:pPr>
            <w:r w:rsidRPr="007D1918">
              <w:rPr>
                <w:rFonts w:ascii="Arial Narrow" w:hAnsi="Arial Narrow"/>
                <w:sz w:val="18"/>
                <w:szCs w:val="18"/>
              </w:rPr>
              <w:t>PM</w:t>
            </w:r>
            <w:r w:rsidR="008D42C5" w:rsidRPr="007D1918">
              <w:rPr>
                <w:rFonts w:ascii="Arial Narrow" w:hAnsi="Arial Narrow"/>
                <w:sz w:val="18"/>
                <w:szCs w:val="18"/>
              </w:rPr>
              <w:t xml:space="preserve"> includes juvenile MG, congenital myasthenic syndromes and transient neonatal MG, Juvenile MG </w:t>
            </w:r>
            <w:r w:rsidRPr="007D1918">
              <w:rPr>
                <w:rFonts w:ascii="Arial Narrow" w:hAnsi="Arial Narrow"/>
                <w:sz w:val="18"/>
                <w:szCs w:val="18"/>
              </w:rPr>
              <w:t>being</w:t>
            </w:r>
            <w:r w:rsidR="008D42C5" w:rsidRPr="007D1918">
              <w:rPr>
                <w:rFonts w:ascii="Arial Narrow" w:hAnsi="Arial Narrow"/>
                <w:sz w:val="18"/>
                <w:szCs w:val="18"/>
              </w:rPr>
              <w:t xml:space="preserve"> the most common.</w:t>
            </w:r>
          </w:p>
          <w:p w14:paraId="7944F4E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65740BA5" w14:textId="544ABB73" w:rsidR="008D42C5" w:rsidRPr="007D1918" w:rsidDel="00BB7D9C" w:rsidRDefault="008D42C5" w:rsidP="007D77DC">
            <w:pPr>
              <w:spacing w:before="40" w:after="40" w:line="240" w:lineRule="auto"/>
              <w:ind w:left="0"/>
              <w:rPr>
                <w:rFonts w:ascii="Arial Narrow" w:hAnsi="Arial Narrow"/>
                <w:sz w:val="18"/>
                <w:szCs w:val="18"/>
              </w:rPr>
            </w:pPr>
            <w:r w:rsidRPr="007D1918">
              <w:rPr>
                <w:rFonts w:ascii="Arial Narrow" w:hAnsi="Arial Narrow"/>
                <w:sz w:val="18"/>
                <w:szCs w:val="18"/>
              </w:rPr>
              <w:t xml:space="preserve">Tara and Bobby Disenhouse Fund, Myasthenia Gravis </w:t>
            </w:r>
            <w:r w:rsidR="007D77DC" w:rsidRPr="007D1918">
              <w:rPr>
                <w:rFonts w:ascii="Arial Narrow" w:hAnsi="Arial Narrow"/>
                <w:sz w:val="18"/>
                <w:szCs w:val="18"/>
              </w:rPr>
              <w:t>Ontario Chapter-</w:t>
            </w:r>
            <w:r w:rsidRPr="007D1918">
              <w:rPr>
                <w:rFonts w:ascii="Arial Narrow" w:hAnsi="Arial Narrow"/>
                <w:sz w:val="18"/>
                <w:szCs w:val="18"/>
              </w:rPr>
              <w:t>Muscular Dystrophy Canada, Talecris Biotherapeutics, University of Alberta</w:t>
            </w:r>
          </w:p>
        </w:tc>
      </w:tr>
      <w:tr w:rsidR="00F128B2" w:rsidRPr="007D1918" w14:paraId="548704A3" w14:textId="77777777" w:rsidTr="00EC62F5">
        <w:tc>
          <w:tcPr>
            <w:tcW w:w="1134" w:type="dxa"/>
          </w:tcPr>
          <w:p w14:paraId="1917A3B4" w14:textId="12DD418E"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r>
            <w:r w:rsidR="00C437BA" w:rsidRPr="007D1918">
              <w:rPr>
                <w:rFonts w:ascii="Arial Narrow" w:eastAsiaTheme="minorHAnsi" w:hAnsi="Arial Narrow" w:cstheme="minorHAnsi"/>
                <w:sz w:val="18"/>
                <w:szCs w:val="18"/>
                <w:lang w:eastAsia="en-US"/>
              </w:rPr>
              <w:instrText xml:space="preserve"> ADDIN EN.CITE &lt;EndNote&gt;&lt;Cite&gt;&lt;Author&gt;Wang&lt;/Author&gt;&lt;Year&gt;2016&lt;/Year&gt;&lt;RecNum&gt;43&lt;/RecNum&gt;&lt;DisplayText&gt;(Wang et al. 2016)&lt;/DisplayText&gt;&lt;record&gt;&lt;rec-number&gt;43&lt;/rec-number&gt;&lt;foreign-keys&gt;&lt;key app="EN" db-id="2aevrx2slsts5ve9sdavatf125dsx0av2v9d" timestamp="1562810907"&gt;43&lt;/key&gt;&lt;/foreign-keys&gt;&lt;ref-type name="Journal Article"&gt;17&lt;/ref-type&gt;&lt;contributors&gt;&lt;authors&gt;&lt;author&gt;Wang, M. G.&lt;/author&gt;&lt;author&gt;Huang, X. X.&lt;/author&gt;&lt;author&gt;Yao, D.&lt;/author&gt;&lt;author&gt;An, Q.&lt;/author&gt;&lt;author&gt;Deng, X. Q.&lt;/author&gt;&lt;/authors&gt;&lt;/contributors&gt;&lt;titles&gt;&lt;title&gt;Effect of glucocorticoid combined with gamma globulin in treatment of children with myasthenia gravis and its effects on immune globulin and complement of children&lt;/title&gt;&lt;secondary-title&gt;European review for medical and pharmacological sciences&lt;/secondary-title&gt;&lt;/titles&gt;&lt;periodical&gt;&lt;full-title&gt;European review for medical and pharmacological sciences&lt;/full-title&gt;&lt;/periodical&gt;&lt;pages&gt;2404-2408&lt;/pages&gt;&lt;volume&gt;20&lt;/volume&gt;&lt;number&gt;11&lt;/number&gt;&lt;keywords&gt;&lt;keyword&gt;glucocorticoid&lt;/keyword&gt;&lt;keyword&gt;immunoglobulin&lt;/keyword&gt;&lt;keyword&gt;methylprednisolone&lt;/keyword&gt;&lt;keyword&gt;child&lt;/keyword&gt;&lt;keyword&gt;combination drug therapy&lt;/keyword&gt;&lt;keyword&gt;human&lt;/keyword&gt;&lt;keyword&gt;myasthenia gravis&lt;/keyword&gt;&lt;keyword&gt;retrospective study&lt;/keyword&gt;&lt;keyword&gt;treatment outcome&lt;/keyword&gt;&lt;/keywords&gt;&lt;dates&gt;&lt;year&gt;2016&lt;/year&gt;&lt;/dates&gt;&lt;isbn&gt;2284-0729&lt;/isbn&gt;&lt;work-type&gt;Article&lt;/work-type&gt;&lt;urls&gt;&lt;related-urls&gt;&lt;url&gt;http://www.embase.com/search/results?subaction=viewrecord&amp;amp;from=export&amp;amp;id=L617980967&lt;/url&gt;&lt;/related-urls&gt;&lt;/urls&gt;&lt;custom5&gt;27338067&lt;/custom5&gt;&lt;remote-database-name&gt;Medline&lt;/remote-database-name&gt;&lt;research-notes&gt;To extract&lt;/research-notes&gt;&lt;language&gt;English&lt;/language&gt;&lt;/record&gt;&lt;/Cite&gt;&lt;/EndNote&gt;</w:instrText>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104" w:tooltip="Wang, 2016 #43" w:history="1">
              <w:r w:rsidR="007D4948" w:rsidRPr="007D1918">
                <w:rPr>
                  <w:rFonts w:ascii="Arial Narrow" w:eastAsiaTheme="minorHAnsi" w:hAnsi="Arial Narrow" w:cstheme="minorHAnsi"/>
                  <w:noProof/>
                  <w:sz w:val="18"/>
                  <w:szCs w:val="18"/>
                  <w:lang w:eastAsia="en-US"/>
                </w:rPr>
                <w:t>Wang et al. 2016</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3AEFFAC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eastAsiaTheme="minorHAnsi" w:hAnsi="Arial Narrow" w:cstheme="minorHAnsi"/>
                <w:sz w:val="18"/>
                <w:szCs w:val="18"/>
                <w:lang w:eastAsia="en-US"/>
              </w:rPr>
              <w:t>China</w:t>
            </w:r>
          </w:p>
        </w:tc>
        <w:tc>
          <w:tcPr>
            <w:tcW w:w="1560" w:type="dxa"/>
          </w:tcPr>
          <w:p w14:paraId="237525C0"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Case-control study</w:t>
            </w:r>
          </w:p>
          <w:p w14:paraId="6035EEB8"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1013FCFC"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To analyse the comparative clinical effects of:</w:t>
            </w:r>
          </w:p>
          <w:p w14:paraId="69DD17DA"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Methylprednisolone + IVIg (observation group)</w:t>
            </w:r>
          </w:p>
          <w:p w14:paraId="61E8EAE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eastAsiaTheme="minorHAnsi" w:hAnsi="Arial Narrow" w:cstheme="minorHAnsi"/>
                <w:sz w:val="18"/>
                <w:szCs w:val="18"/>
                <w:lang w:eastAsia="en-US"/>
              </w:rPr>
              <w:t>Methylprednisolone  (control group)</w:t>
            </w:r>
          </w:p>
        </w:tc>
        <w:tc>
          <w:tcPr>
            <w:tcW w:w="1134" w:type="dxa"/>
          </w:tcPr>
          <w:p w14:paraId="3F88583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III-2</w:t>
            </w:r>
          </w:p>
          <w:p w14:paraId="6CAC131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High risk of bias</w:t>
            </w:r>
          </w:p>
        </w:tc>
        <w:tc>
          <w:tcPr>
            <w:tcW w:w="1984" w:type="dxa"/>
          </w:tcPr>
          <w:p w14:paraId="2065112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70 (35 patients per group)</w:t>
            </w:r>
          </w:p>
          <w:p w14:paraId="6050D1A0"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(y): observation 4 ± 1.5 (range 1–12) ; control 4.1 ± 1.7 (range 1.2–13)</w:t>
            </w:r>
          </w:p>
          <w:p w14:paraId="1786BEA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Male: observation 18 (5.14%); control 19 (54.3%)</w:t>
            </w:r>
          </w:p>
          <w:p w14:paraId="274C796A"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 xml:space="preserve">Disease duration: observation 1.5 months to </w:t>
            </w:r>
            <w:r w:rsidRPr="007D1918">
              <w:rPr>
                <w:rFonts w:ascii="Arial Narrow" w:hAnsi="Arial Narrow" w:cs="Times New Roman"/>
                <w:sz w:val="18"/>
                <w:szCs w:val="18"/>
                <w:lang w:eastAsia="en-US"/>
              </w:rPr>
              <w:lastRenderedPageBreak/>
              <w:t>1 year; control 3 months to 1.5 years</w:t>
            </w:r>
          </w:p>
          <w:p w14:paraId="3BDA973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Juvenile MG Types: observation Type I = 15 (42.9%), Type II = 16 (45.7%), Type III = 4 (11.4%); control Type I = 16 (45.7%), Type II = 15 (42.9%), Type III = 4 (11.4%)</w:t>
            </w:r>
          </w:p>
        </w:tc>
        <w:tc>
          <w:tcPr>
            <w:tcW w:w="2268" w:type="dxa"/>
          </w:tcPr>
          <w:p w14:paraId="4BE74223"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lastRenderedPageBreak/>
              <w:t>Inclusion</w:t>
            </w:r>
          </w:p>
          <w:p w14:paraId="01E124E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Diagnostic basis for inclusion: Pathological fatigue and daily unstable manifestation of myasthenia as well as positive neostigmine test result</w:t>
            </w:r>
          </w:p>
          <w:p w14:paraId="3551E39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At baseline all patients had AC for symptomatic treatment. The most frequently used AC at the study hospital was pyridostigmine, most commonly dosed at 5 </w:t>
            </w:r>
            <w:r w:rsidRPr="007D1918">
              <w:rPr>
                <w:rFonts w:ascii="Arial Narrow" w:hAnsi="Arial Narrow"/>
                <w:sz w:val="18"/>
                <w:szCs w:val="18"/>
              </w:rPr>
              <w:lastRenderedPageBreak/>
              <w:t>mg/kg/day (age &lt;5 years) or 7 mg/kg/day (age ≥5 years), and 3 to 4 times per day for both groups</w:t>
            </w:r>
          </w:p>
          <w:p w14:paraId="21944B9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Study authors state all patients were treated the same in all other respects, excepting the intervention and comparator treatments </w:t>
            </w:r>
          </w:p>
        </w:tc>
        <w:tc>
          <w:tcPr>
            <w:tcW w:w="1701" w:type="dxa"/>
          </w:tcPr>
          <w:p w14:paraId="5124610E"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t>MPN + IVIg (observation group)</w:t>
            </w:r>
          </w:p>
          <w:p w14:paraId="7BAC2C5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IV MPN 15-20 mg/kg/day (to max 1000 mg/day) for 3 to 5 days</w:t>
            </w:r>
          </w:p>
          <w:p w14:paraId="172D6EFB"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Oral PN 1.5-2 mg/kg/day for 1-2 months, reduced every 0.5-1 month </w:t>
            </w:r>
          </w:p>
          <w:p w14:paraId="45074C5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eastAsiaTheme="minorHAnsi" w:hAnsi="Arial Narrow" w:cstheme="minorHAnsi"/>
                <w:sz w:val="18"/>
                <w:szCs w:val="18"/>
                <w:lang w:eastAsia="en-US"/>
              </w:rPr>
              <w:t xml:space="preserve">IVIg (Chengdu Institute of Biological </w:t>
            </w:r>
            <w:r w:rsidRPr="007D1918">
              <w:rPr>
                <w:rFonts w:ascii="Arial Narrow" w:eastAsiaTheme="minorHAnsi" w:hAnsi="Arial Narrow" w:cstheme="minorHAnsi"/>
                <w:sz w:val="18"/>
                <w:szCs w:val="18"/>
                <w:lang w:eastAsia="en-US"/>
              </w:rPr>
              <w:lastRenderedPageBreak/>
              <w:t>Products) 0.4 g/kg/day, slow infusion, increasing over 5 days</w:t>
            </w:r>
          </w:p>
        </w:tc>
        <w:tc>
          <w:tcPr>
            <w:tcW w:w="1701" w:type="dxa"/>
          </w:tcPr>
          <w:p w14:paraId="4409093D"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t>IV MPN 15-20 mg/kg/day (to max 1000 mg/day) for 3 to 5 days</w:t>
            </w:r>
          </w:p>
          <w:p w14:paraId="29B43C4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Oral PN at 1.5–2 mg/kg/day for 1–2 months, reduced every 0.5–1 month according to patient condition until the minimum effective maintenance dose</w:t>
            </w:r>
          </w:p>
        </w:tc>
        <w:tc>
          <w:tcPr>
            <w:tcW w:w="2268" w:type="dxa"/>
          </w:tcPr>
          <w:p w14:paraId="0278745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 effectiveness</w:t>
            </w:r>
          </w:p>
          <w:p w14:paraId="6212EDB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sz w:val="18"/>
                <w:szCs w:val="18"/>
              </w:rPr>
              <w:t>Total effective rate (%) based on no. of patients showing a clinical improvement vs no clinical effect</w:t>
            </w:r>
            <w:r w:rsidRPr="007D1918">
              <w:rPr>
                <w:rFonts w:ascii="Arial Narrow" w:hAnsi="Arial Narrow"/>
                <w:sz w:val="18"/>
                <w:szCs w:val="18"/>
              </w:rPr>
              <w:br/>
              <w:t>Improvement categories: ‘Recovery’, ‘Basically cured’, ‘Evident effects’, ‘Improved’</w:t>
            </w:r>
            <w:r w:rsidRPr="007D1918">
              <w:rPr>
                <w:rFonts w:ascii="Arial Narrow" w:hAnsi="Arial Narrow"/>
                <w:sz w:val="18"/>
                <w:szCs w:val="18"/>
              </w:rPr>
              <w:br/>
              <w:t xml:space="preserve">Total effective rate was calculated from composite measures of mean ± SD absolute (severity) scores </w:t>
            </w:r>
            <w:r w:rsidRPr="007D1918">
              <w:rPr>
                <w:rFonts w:ascii="Arial Narrow" w:hAnsi="Arial Narrow"/>
                <w:sz w:val="18"/>
                <w:szCs w:val="18"/>
              </w:rPr>
              <w:lastRenderedPageBreak/>
              <w:t>before and after treatment</w:t>
            </w:r>
            <w:r w:rsidRPr="007D1918">
              <w:rPr>
                <w:rFonts w:ascii="Arial Narrow" w:hAnsi="Arial Narrow"/>
                <w:sz w:val="18"/>
                <w:szCs w:val="18"/>
              </w:rPr>
              <w:br/>
            </w:r>
            <w:r w:rsidRPr="007D1918">
              <w:rPr>
                <w:rFonts w:ascii="Arial Narrow" w:hAnsi="Arial Narrow"/>
                <w:i/>
                <w:sz w:val="18"/>
                <w:szCs w:val="18"/>
              </w:rPr>
              <w:t>Other effectiveness outcomes</w:t>
            </w:r>
          </w:p>
          <w:p w14:paraId="0B36585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Duration of symptom relief (days)</w:t>
            </w:r>
            <w:r w:rsidRPr="007D1918">
              <w:rPr>
                <w:rFonts w:ascii="Arial Narrow" w:hAnsi="Arial Narrow"/>
                <w:sz w:val="18"/>
                <w:szCs w:val="18"/>
              </w:rPr>
              <w:br/>
              <w:t>Length of hospital stay (days)</w:t>
            </w:r>
          </w:p>
          <w:p w14:paraId="3EE8617E"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Safety</w:t>
            </w:r>
          </w:p>
          <w:p w14:paraId="73F0EEB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w:t>
            </w:r>
            <w:r w:rsidRPr="007D1918">
              <w:rPr>
                <w:rFonts w:ascii="Arial Narrow" w:hAnsi="Arial Narrow"/>
                <w:sz w:val="18"/>
                <w:szCs w:val="18"/>
              </w:rPr>
              <w:br/>
              <w:t>No. patients requiring breathing machine/ventilator</w:t>
            </w:r>
          </w:p>
          <w:p w14:paraId="7D0301C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77680FB9"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hAnsi="Arial Narrow"/>
                <w:sz w:val="18"/>
                <w:szCs w:val="18"/>
              </w:rPr>
              <w:t>Analysis using SPSS 17.0 statistical software (SPSS Inc., Chicago, IL, USA)</w:t>
            </w:r>
            <w:r w:rsidRPr="007D1918">
              <w:rPr>
                <w:rFonts w:ascii="Arial Narrow" w:hAnsi="Arial Narrow"/>
                <w:sz w:val="18"/>
                <w:szCs w:val="18"/>
              </w:rPr>
              <w:br/>
              <w:t>Comparison between the groups tested by paired t test</w:t>
            </w:r>
            <w:r w:rsidRPr="007D1918">
              <w:rPr>
                <w:rFonts w:ascii="Arial Narrow" w:hAnsi="Arial Narrow"/>
                <w:sz w:val="18"/>
                <w:szCs w:val="18"/>
              </w:rPr>
              <w:br/>
              <w:t>Enumeration data were tested by χ2</w:t>
            </w:r>
          </w:p>
        </w:tc>
        <w:tc>
          <w:tcPr>
            <w:tcW w:w="1418" w:type="dxa"/>
          </w:tcPr>
          <w:p w14:paraId="6E3023B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 xml:space="preserve">Children with MG </w:t>
            </w:r>
          </w:p>
          <w:p w14:paraId="47D718E5"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Assessment scales</w:t>
            </w:r>
          </w:p>
          <w:p w14:paraId="21E2D4F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The metric for determination of clinical absolute scores was not stated</w:t>
            </w:r>
          </w:p>
          <w:p w14:paraId="161013E5"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01D7F2B7"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 xml:space="preserve">NR Authors state that they have no </w:t>
            </w:r>
            <w:r w:rsidRPr="007D1918">
              <w:rPr>
                <w:rFonts w:ascii="Arial Narrow" w:hAnsi="Arial Narrow"/>
                <w:sz w:val="18"/>
                <w:szCs w:val="18"/>
              </w:rPr>
              <w:lastRenderedPageBreak/>
              <w:t>conflicts of interest</w:t>
            </w:r>
          </w:p>
        </w:tc>
      </w:tr>
      <w:tr w:rsidR="00F128B2" w:rsidRPr="007D1918" w14:paraId="178BA3EF" w14:textId="77777777" w:rsidTr="00EC62F5">
        <w:tc>
          <w:tcPr>
            <w:tcW w:w="1134" w:type="dxa"/>
          </w:tcPr>
          <w:p w14:paraId="5AC9B6DC" w14:textId="4C3BB72C" w:rsidR="008D42C5" w:rsidRPr="007D1918" w:rsidRDefault="008131CF"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fldChar w:fldCharType="begin"/>
            </w:r>
            <w:r w:rsidRPr="007D1918">
              <w:rPr>
                <w:rFonts w:ascii="Arial Narrow" w:eastAsiaTheme="minorHAnsi" w:hAnsi="Arial Narrow" w:cstheme="minorHAnsi"/>
                <w:sz w:val="18"/>
                <w:szCs w:val="18"/>
                <w:lang w:eastAsia="en-US"/>
              </w:rPr>
              <w:instrText xml:space="preserve"> ADDIN EN.CITE &lt;EndNote&gt;&lt;Cite&gt;&lt;Author&gt;Zinman&lt;/Author&gt;&lt;Year&gt;2007&lt;/Year&gt;&lt;RecNum&gt;44&lt;/RecNum&gt;&lt;DisplayText&gt;(Zinman, Ng &amp;amp; Bril 2007)&lt;/DisplayText&gt;&lt;record&gt;&lt;rec-number&gt;44&lt;/rec-number&gt;&lt;foreign-keys&gt;&lt;key app="EN" db-id="2aevrx2slsts5ve9sdavatf125dsx0av2v9d" timestamp="1562810907"&gt;44&lt;/key&gt;&lt;/foreign-keys&gt;&lt;ref-type name="Journal Article"&gt;17&lt;/ref-type&gt;&lt;contributors&gt;&lt;authors&gt;&lt;author&gt;Zinman, L.&lt;/author&gt;&lt;author&gt;Ng, E.&lt;/author&gt;&lt;author&gt;Bril, V.&lt;/author&gt;&lt;/authors&gt;&lt;/contributors&gt;&lt;titles&gt;&lt;title&gt;IV immunoglobulin in patients with myasthenia gravis: a randomized controlled trial&lt;/title&gt;&lt;secondary-title&gt;Neurology&lt;/secondary-title&gt;&lt;/titles&gt;&lt;periodical&gt;&lt;full-title&gt;Neurology&lt;/full-title&gt;&lt;/periodical&gt;&lt;pages&gt;837</w:instrText>
            </w:r>
            <w:r w:rsidRPr="007D1918">
              <w:rPr>
                <w:rFonts w:ascii="Cambria Math" w:eastAsiaTheme="minorHAnsi" w:hAnsi="Cambria Math" w:cs="Cambria Math"/>
                <w:sz w:val="18"/>
                <w:szCs w:val="18"/>
                <w:lang w:eastAsia="en-US"/>
              </w:rPr>
              <w:instrText>‐</w:instrText>
            </w:r>
            <w:r w:rsidRPr="007D1918">
              <w:rPr>
                <w:rFonts w:ascii="Arial Narrow" w:eastAsiaTheme="minorHAnsi" w:hAnsi="Arial Narrow" w:cstheme="minorHAnsi"/>
                <w:sz w:val="18"/>
                <w:szCs w:val="18"/>
                <w:lang w:eastAsia="en-US"/>
              </w:rPr>
              <w:instrText>841&lt;/pages&gt;&lt;volume&gt;68&lt;/volume&gt;&lt;number&gt;11&lt;/number&gt;&lt;keywords&gt;&lt;keyword&gt;Adult&lt;/keyword&gt;&lt;keyword&gt;Aged&lt;/keyword&gt;&lt;keyword&gt;Aged, 80 and over&lt;/keyword&gt;&lt;keyword&gt;Double</w:instrText>
            </w:r>
            <w:r w:rsidRPr="007D1918">
              <w:rPr>
                <w:rFonts w:ascii="Cambria Math" w:eastAsiaTheme="minorHAnsi" w:hAnsi="Cambria Math" w:cs="Cambria Math"/>
                <w:sz w:val="18"/>
                <w:szCs w:val="18"/>
                <w:lang w:eastAsia="en-US"/>
              </w:rPr>
              <w:instrText>‐</w:instrText>
            </w:r>
            <w:r w:rsidRPr="007D1918">
              <w:rPr>
                <w:rFonts w:ascii="Arial Narrow" w:eastAsiaTheme="minorHAnsi" w:hAnsi="Arial Narrow" w:cstheme="minorHAnsi"/>
                <w:sz w:val="18"/>
                <w:szCs w:val="18"/>
                <w:lang w:eastAsia="en-US"/>
              </w:rPr>
              <w:instrText>Blind Method&lt;/keyword&gt;&lt;keyword&gt;Female&lt;/keyword&gt;&lt;keyword&gt;Humans&lt;/keyword&gt;&lt;keyword&gt;Immunoglobulins, Intravenous [*therapeutic use]&lt;/keyword&gt;&lt;keyword&gt;Male&lt;/keyword&gt;&lt;keyword&gt;Middle Aged&lt;/keyword&gt;&lt;keyword&gt;Myasthenia Gravis [epidemiology, *therapy]&lt;/keyword&gt;&lt;/keywords&gt;&lt;dates&gt;&lt;year&gt;2007&lt;/year&gt;&lt;/dates&gt;&lt;accession-num&gt;CN-00579165&lt;/accession-num&gt;&lt;work-type&gt;Comparative Study; Journal Article; Randomized Controlled Trial; Research Support, Non</w:instrText>
            </w:r>
            <w:r w:rsidRPr="007D1918">
              <w:rPr>
                <w:rFonts w:ascii="Cambria Math" w:eastAsiaTheme="minorHAnsi" w:hAnsi="Cambria Math" w:cs="Cambria Math"/>
                <w:sz w:val="18"/>
                <w:szCs w:val="18"/>
                <w:lang w:eastAsia="en-US"/>
              </w:rPr>
              <w:instrText>‐</w:instrText>
            </w:r>
            <w:r w:rsidRPr="007D1918">
              <w:rPr>
                <w:rFonts w:ascii="Arial Narrow" w:eastAsiaTheme="minorHAnsi" w:hAnsi="Arial Narrow" w:cstheme="minorHAnsi"/>
                <w:sz w:val="18"/>
                <w:szCs w:val="18"/>
                <w:lang w:eastAsia="en-US"/>
              </w:rPr>
              <w:instrText>U.S. Gov&amp;apos;t; Validation Studies&lt;/work-type&gt;&lt;urls&gt;&lt;related-urls&gt;&lt;url&gt;https://www.cochranelibrary.com/central/doi/10.1002/central/CN-00579165/full&lt;/url&gt;&lt;url&gt;https://n.neurology.org/content/68/11/837.long&lt;/url&gt;&lt;/related-urls&gt;&lt;/urls&gt;&lt;custom3&gt;PUBMED 17353471&lt;/custom3&gt;&lt;electronic-resource-num&gt;10.1212/01.wnl.0000256698.69121.45&lt;/electronic-resource-num&gt;&lt;research-notes&gt;See Zinman &amp;amp; Bril 2008&lt;/research-notes&gt;&lt;/record&gt;&lt;/Cite&gt;&lt;/EndNote&gt;</w:instrText>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109" w:tooltip="Zinman, 2007 #44" w:history="1">
              <w:r w:rsidR="007D4948" w:rsidRPr="007D1918">
                <w:rPr>
                  <w:rFonts w:ascii="Arial Narrow" w:eastAsiaTheme="minorHAnsi" w:hAnsi="Arial Narrow" w:cstheme="minorHAnsi"/>
                  <w:noProof/>
                  <w:sz w:val="18"/>
                  <w:szCs w:val="18"/>
                  <w:lang w:eastAsia="en-US"/>
                </w:rPr>
                <w:t>Zinman, Ng &amp; Bril 2007</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0778F80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Canada</w:t>
            </w:r>
          </w:p>
          <w:p w14:paraId="46CF0F49"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p>
        </w:tc>
        <w:tc>
          <w:tcPr>
            <w:tcW w:w="1560" w:type="dxa"/>
          </w:tcPr>
          <w:p w14:paraId="108A43F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Double blind, single centre RCT</w:t>
            </w:r>
          </w:p>
          <w:p w14:paraId="235DB8B7"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Objective</w:t>
            </w:r>
          </w:p>
          <w:p w14:paraId="5D840C7C"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hAnsi="Arial Narrow" w:cs="Times New Roman"/>
                <w:sz w:val="18"/>
                <w:szCs w:val="18"/>
                <w:lang w:eastAsia="en-US"/>
              </w:rPr>
              <w:t>To determine the effectiveness of IVIg compared with placebo in MG patients</w:t>
            </w:r>
          </w:p>
        </w:tc>
        <w:tc>
          <w:tcPr>
            <w:tcW w:w="1134" w:type="dxa"/>
          </w:tcPr>
          <w:p w14:paraId="2DDFE03E"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II</w:t>
            </w:r>
          </w:p>
          <w:p w14:paraId="00AA734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tc>
        <w:tc>
          <w:tcPr>
            <w:tcW w:w="1984" w:type="dxa"/>
          </w:tcPr>
          <w:p w14:paraId="261552F2"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51</w:t>
            </w:r>
          </w:p>
          <w:p w14:paraId="1B1BD3D3"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Mean age ± SD: IVIg 56.0 ± 17.20, PE 55.0 ± 17.12</w:t>
            </w:r>
          </w:p>
          <w:p w14:paraId="159A16B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Baseline QMGS: IVIg &lt; 10.5 45.8%, &gt; 10.5 54.2%; PE &lt; 10.5 44.4%, &gt; 10.5 55.6%</w:t>
            </w:r>
          </w:p>
        </w:tc>
        <w:tc>
          <w:tcPr>
            <w:tcW w:w="2268" w:type="dxa"/>
          </w:tcPr>
          <w:p w14:paraId="536535A4"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6CC7B2A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Adults with worsening weakness</w:t>
            </w:r>
          </w:p>
          <w:p w14:paraId="441D7933" w14:textId="77777777" w:rsidR="008D42C5" w:rsidRPr="007D1918" w:rsidRDefault="008D42C5" w:rsidP="008D42C5">
            <w:pPr>
              <w:spacing w:before="40" w:after="40" w:line="240" w:lineRule="auto"/>
              <w:ind w:left="0"/>
              <w:rPr>
                <w:rFonts w:ascii="Arial Narrow" w:hAnsi="Arial Narrow" w:cs="Times New Roman"/>
                <w:i/>
                <w:sz w:val="18"/>
                <w:szCs w:val="18"/>
                <w:lang w:eastAsia="en-US"/>
              </w:rPr>
            </w:pPr>
            <w:r w:rsidRPr="007D1918">
              <w:rPr>
                <w:rFonts w:ascii="Arial Narrow" w:hAnsi="Arial Narrow" w:cs="Times New Roman"/>
                <w:i/>
                <w:sz w:val="18"/>
                <w:szCs w:val="18"/>
                <w:lang w:eastAsia="en-US"/>
              </w:rPr>
              <w:t>Exclusion</w:t>
            </w:r>
          </w:p>
          <w:p w14:paraId="39BF6CC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cs="Times New Roman"/>
                <w:sz w:val="18"/>
                <w:szCs w:val="18"/>
                <w:lang w:eastAsia="en-US"/>
              </w:rPr>
              <w:t>Respiratory distress requiring ICU admission, severe swallowing difficulties, vital capacity &lt; 1 L, change in corticosteroid dosage in 2 weeks prior to screening</w:t>
            </w:r>
          </w:p>
        </w:tc>
        <w:tc>
          <w:tcPr>
            <w:tcW w:w="1701" w:type="dxa"/>
          </w:tcPr>
          <w:p w14:paraId="7FBCBA3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(2g/kg over 2 days)</w:t>
            </w:r>
          </w:p>
        </w:tc>
        <w:tc>
          <w:tcPr>
            <w:tcW w:w="1701" w:type="dxa"/>
          </w:tcPr>
          <w:p w14:paraId="0640214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Placebo (IV dextrose 5% in water over 2 days)</w:t>
            </w:r>
          </w:p>
        </w:tc>
        <w:tc>
          <w:tcPr>
            <w:tcW w:w="2268" w:type="dxa"/>
          </w:tcPr>
          <w:p w14:paraId="654A5AAA"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708527D6"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Change in QMGS</w:t>
            </w:r>
          </w:p>
          <w:p w14:paraId="3F563527"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6941EF1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SFEMG</w:t>
            </w:r>
          </w:p>
          <w:p w14:paraId="217EEC20"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RNS</w:t>
            </w:r>
          </w:p>
          <w:p w14:paraId="1D35512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AChRAb titre</w:t>
            </w:r>
          </w:p>
          <w:p w14:paraId="21764019"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5085C22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Χ</w:t>
            </w:r>
            <w:r w:rsidRPr="007D1918">
              <w:rPr>
                <w:rFonts w:ascii="Arial Narrow" w:hAnsi="Arial Narrow"/>
                <w:sz w:val="18"/>
                <w:szCs w:val="18"/>
                <w:vertAlign w:val="superscript"/>
              </w:rPr>
              <w:t>2</w:t>
            </w:r>
            <w:r w:rsidRPr="007D1918">
              <w:rPr>
                <w:rFonts w:ascii="Arial Narrow" w:hAnsi="Arial Narrow"/>
                <w:sz w:val="18"/>
                <w:szCs w:val="18"/>
              </w:rPr>
              <w:t xml:space="preserve"> or Fisher’s exact test for categorical variables</w:t>
            </w:r>
          </w:p>
          <w:p w14:paraId="3675CEB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ANCOVA for covariance</w:t>
            </w:r>
          </w:p>
        </w:tc>
        <w:tc>
          <w:tcPr>
            <w:tcW w:w="1418" w:type="dxa"/>
          </w:tcPr>
          <w:p w14:paraId="60885B6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Separate analysis performed in the moderate to high severity sub-population</w:t>
            </w:r>
          </w:p>
          <w:p w14:paraId="6A279A9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0C619B3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Bayer/Talecris provided an unrestricted education grant for this study</w:t>
            </w:r>
          </w:p>
        </w:tc>
      </w:tr>
      <w:tr w:rsidR="008D42C5" w:rsidRPr="007D1918" w14:paraId="623E7424" w14:textId="77777777" w:rsidTr="00EC62F5">
        <w:tc>
          <w:tcPr>
            <w:tcW w:w="15168" w:type="dxa"/>
            <w:gridSpan w:val="9"/>
            <w:shd w:val="clear" w:color="auto" w:fill="EEECE1" w:themeFill="background2"/>
          </w:tcPr>
          <w:p w14:paraId="631CC856" w14:textId="77777777" w:rsidR="008D42C5" w:rsidRPr="007D1918" w:rsidRDefault="008D42C5" w:rsidP="008D42C5">
            <w:pPr>
              <w:spacing w:before="40" w:after="40" w:line="240" w:lineRule="auto"/>
              <w:ind w:left="0"/>
              <w:rPr>
                <w:rFonts w:ascii="Arial Narrow" w:hAnsi="Arial Narrow"/>
                <w:b/>
                <w:sz w:val="18"/>
                <w:szCs w:val="18"/>
              </w:rPr>
            </w:pPr>
            <w:r w:rsidRPr="007D1918">
              <w:rPr>
                <w:rFonts w:ascii="Arial Narrow" w:eastAsiaTheme="minorHAnsi" w:hAnsi="Arial Narrow" w:cstheme="minorHAnsi"/>
                <w:b/>
                <w:sz w:val="18"/>
                <w:szCs w:val="18"/>
                <w:lang w:eastAsia="en-US"/>
              </w:rPr>
              <w:t>Maintenance – Subcutaneous delivery</w:t>
            </w:r>
          </w:p>
        </w:tc>
      </w:tr>
      <w:tr w:rsidR="00F128B2" w:rsidRPr="007D1918" w14:paraId="1B69C286" w14:textId="77777777" w:rsidTr="00EC62F5">
        <w:tc>
          <w:tcPr>
            <w:tcW w:w="1134" w:type="dxa"/>
          </w:tcPr>
          <w:p w14:paraId="10FA6E4F" w14:textId="69B866CB"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PEVuZE5vdGU+PENpdGU+PEF1dGhvcj5CZWVjaGVyPC9BdXRob3I+PFllYXI+MjAxNzwvWWVhcj48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9" w:tooltip="Beecher, 2017 #49" w:history="1">
              <w:r w:rsidR="007D4948" w:rsidRPr="007D1918">
                <w:rPr>
                  <w:rFonts w:ascii="Arial Narrow" w:eastAsiaTheme="minorHAnsi" w:hAnsi="Arial Narrow" w:cstheme="minorHAnsi"/>
                  <w:noProof/>
                  <w:sz w:val="18"/>
                  <w:szCs w:val="18"/>
                  <w:lang w:eastAsia="en-US"/>
                </w:rPr>
                <w:t>Beecher, Anderson &amp; Siddiqi 2017</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72668F6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Canada</w:t>
            </w:r>
          </w:p>
        </w:tc>
        <w:tc>
          <w:tcPr>
            <w:tcW w:w="1560" w:type="dxa"/>
          </w:tcPr>
          <w:p w14:paraId="639795C4"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Case series with before and after data (prospective, open-label single-arm phase 3 pilot trial)</w:t>
            </w:r>
          </w:p>
          <w:p w14:paraId="49596116"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w:t>
            </w:r>
          </w:p>
          <w:p w14:paraId="04EE5D84"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t>To assess the efficacy, safety and tolerability of SCIg in patients with mild to moderate MG</w:t>
            </w:r>
          </w:p>
        </w:tc>
        <w:tc>
          <w:tcPr>
            <w:tcW w:w="1134" w:type="dxa"/>
          </w:tcPr>
          <w:p w14:paraId="4786403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lastRenderedPageBreak/>
              <w:t>Level IV</w:t>
            </w:r>
          </w:p>
          <w:p w14:paraId="045B08E1"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p w14:paraId="3370535D"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1984" w:type="dxa"/>
          </w:tcPr>
          <w:p w14:paraId="773AF664"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22</w:t>
            </w:r>
          </w:p>
          <w:p w14:paraId="2C0B51D7"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Age range (y): 22-83</w:t>
            </w:r>
          </w:p>
          <w:p w14:paraId="494F7428"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Female: 16 (73%)</w:t>
            </w:r>
          </w:p>
          <w:p w14:paraId="0827EE3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Disease duration (mo): 1-480</w:t>
            </w:r>
          </w:p>
          <w:p w14:paraId="7EEA529F"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2268" w:type="dxa"/>
          </w:tcPr>
          <w:p w14:paraId="7E70A92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43152B2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18 y or older, mild to moderate MG, worsening symptoms (MGFA class I to II/III or class II to III)</w:t>
            </w:r>
          </w:p>
          <w:p w14:paraId="1E249098"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7BCBD78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Respiratory distress requiring ICU admission or VC &lt; 1L, severe swallowing difficulties with high risk of aspiration, change in CS in the 4 weeks prior to screening, IgA deficiency, pregnancy, breastfeeding, active renal or hepatic insufficiency, significant cardiac disease, worsening associated with infection, previous unresponsiveness to IVIg, MG crisis within last year</w:t>
            </w:r>
          </w:p>
        </w:tc>
        <w:tc>
          <w:tcPr>
            <w:tcW w:w="1701" w:type="dxa"/>
          </w:tcPr>
          <w:p w14:paraId="56176A3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 xml:space="preserve">SCIg (2 g/kg infused sub-cutaneously at weekly intervals over 4 weeks in a dose escalating manner (Hizentra, CSL </w:t>
            </w:r>
            <w:r w:rsidRPr="007D1918">
              <w:rPr>
                <w:rFonts w:ascii="Arial Narrow" w:hAnsi="Arial Narrow"/>
                <w:sz w:val="18"/>
                <w:szCs w:val="18"/>
              </w:rPr>
              <w:lastRenderedPageBreak/>
              <w:t>Behring AG, Berne Switzerland)</w:t>
            </w:r>
          </w:p>
        </w:tc>
        <w:tc>
          <w:tcPr>
            <w:tcW w:w="1701" w:type="dxa"/>
          </w:tcPr>
          <w:p w14:paraId="5B52D80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NA</w:t>
            </w:r>
          </w:p>
        </w:tc>
        <w:tc>
          <w:tcPr>
            <w:tcW w:w="2268" w:type="dxa"/>
          </w:tcPr>
          <w:p w14:paraId="1435B3A0"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6B38AE01"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QMGS</w:t>
            </w:r>
          </w:p>
          <w:p w14:paraId="787854FF"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3B61A58F"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w:t>
            </w:r>
          </w:p>
          <w:p w14:paraId="2C19409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MMT</w:t>
            </w:r>
          </w:p>
          <w:p w14:paraId="5FCF619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MG-ADL</w:t>
            </w:r>
          </w:p>
          <w:p w14:paraId="31E04A1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TSQM</w:t>
            </w:r>
          </w:p>
          <w:p w14:paraId="0487BCA3"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Statistical analysis</w:t>
            </w:r>
          </w:p>
          <w:p w14:paraId="665C6FF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Χ</w:t>
            </w:r>
            <w:r w:rsidRPr="007D1918">
              <w:rPr>
                <w:rFonts w:ascii="Arial Narrow" w:hAnsi="Arial Narrow"/>
                <w:sz w:val="18"/>
                <w:szCs w:val="18"/>
                <w:vertAlign w:val="superscript"/>
              </w:rPr>
              <w:t>2</w:t>
            </w:r>
            <w:r w:rsidRPr="007D1918">
              <w:rPr>
                <w:rFonts w:ascii="Arial Narrow" w:hAnsi="Arial Narrow"/>
                <w:sz w:val="18"/>
                <w:szCs w:val="18"/>
              </w:rPr>
              <w:t xml:space="preserve"> or Fisher’s exact test for categorical variables</w:t>
            </w:r>
          </w:p>
          <w:p w14:paraId="03410E4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ANCOVA for covariance</w:t>
            </w:r>
          </w:p>
        </w:tc>
        <w:tc>
          <w:tcPr>
            <w:tcW w:w="1418" w:type="dxa"/>
          </w:tcPr>
          <w:p w14:paraId="71CDC408"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Follow-up weekly for 6 weeks</w:t>
            </w:r>
          </w:p>
          <w:p w14:paraId="7DE66BFA"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0BC95D8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CSL Behring AG (Berne, Switzerland)</w:t>
            </w:r>
          </w:p>
          <w:p w14:paraId="471568FE"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lastRenderedPageBreak/>
              <w:t>Sponsors were not involved in the study design, data collection or analysis or publication preparation</w:t>
            </w:r>
          </w:p>
        </w:tc>
      </w:tr>
      <w:tr w:rsidR="00F128B2" w:rsidRPr="007D1918" w14:paraId="0A87E72A" w14:textId="77777777" w:rsidTr="00EC62F5">
        <w:tc>
          <w:tcPr>
            <w:tcW w:w="1134" w:type="dxa"/>
          </w:tcPr>
          <w:p w14:paraId="435857E2" w14:textId="6EEEFC97" w:rsidR="008D42C5" w:rsidRPr="007D1918" w:rsidRDefault="003736AC"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lastRenderedPageBreak/>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rPr>
                <w:rFonts w:ascii="Arial Narrow" w:eastAsiaTheme="minorHAnsi" w:hAnsi="Arial Narrow" w:cstheme="minorHAnsi"/>
                <w:sz w:val="18"/>
                <w:szCs w:val="18"/>
                <w:lang w:eastAsia="en-US"/>
              </w:rPr>
              <w:instrText xml:space="preserve"> ADDIN EN.CITE </w:instrText>
            </w:r>
            <w:r w:rsidR="00C437BA" w:rsidRPr="007D1918">
              <w:rPr>
                <w:rFonts w:ascii="Arial Narrow" w:eastAsiaTheme="minorHAnsi" w:hAnsi="Arial Narrow" w:cstheme="minorHAnsi"/>
                <w:sz w:val="18"/>
                <w:szCs w:val="18"/>
                <w:lang w:eastAsia="en-US"/>
              </w:rPr>
              <w:fldChar w:fldCharType="begin">
                <w:fldData xml:space="preserve">PEVuZE5vdGU+PENpdGU+PEF1dGhvcj5Cb3VycXVlPC9BdXRob3I+PFllYXI+MjAxNjwvWWVhcj48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</w:fldData>
              </w:fldChar>
            </w:r>
            <w:r w:rsidR="00C437BA" w:rsidRPr="007D1918">
              <w:rPr>
                <w:rFonts w:ascii="Arial Narrow" w:eastAsiaTheme="minorHAnsi" w:hAnsi="Arial Narrow" w:cstheme="minorHAnsi"/>
                <w:sz w:val="18"/>
                <w:szCs w:val="18"/>
                <w:lang w:eastAsia="en-US"/>
              </w:rPr>
              <w:instrText xml:space="preserve"> ADDIN EN.CITE.DATA </w:instrText>
            </w:r>
            <w:r w:rsidR="00C437BA" w:rsidRPr="007D1918">
              <w:rPr>
                <w:rFonts w:ascii="Arial Narrow" w:eastAsiaTheme="minorHAnsi" w:hAnsi="Arial Narrow" w:cstheme="minorHAnsi"/>
                <w:sz w:val="18"/>
                <w:szCs w:val="18"/>
                <w:lang w:eastAsia="en-US"/>
              </w:rPr>
            </w:r>
            <w:r w:rsidR="00C437BA" w:rsidRPr="007D1918">
              <w:rPr>
                <w:rFonts w:ascii="Arial Narrow" w:eastAsiaTheme="minorHAnsi" w:hAnsi="Arial Narrow" w:cstheme="minorHAnsi"/>
                <w:sz w:val="18"/>
                <w:szCs w:val="18"/>
                <w:lang w:eastAsia="en-US"/>
              </w:rPr>
              <w:fldChar w:fldCharType="end"/>
            </w:r>
            <w:r w:rsidRPr="007D1918">
              <w:rPr>
                <w:rFonts w:ascii="Arial Narrow" w:eastAsiaTheme="minorHAnsi" w:hAnsi="Arial Narrow" w:cstheme="minorHAnsi"/>
                <w:sz w:val="18"/>
                <w:szCs w:val="18"/>
                <w:lang w:eastAsia="en-US"/>
              </w:rPr>
            </w:r>
            <w:r w:rsidRPr="007D1918">
              <w:rPr>
                <w:rFonts w:ascii="Arial Narrow" w:eastAsiaTheme="minorHAnsi" w:hAnsi="Arial Narrow" w:cstheme="minorHAnsi"/>
                <w:sz w:val="18"/>
                <w:szCs w:val="18"/>
                <w:lang w:eastAsia="en-US"/>
              </w:rPr>
              <w:fldChar w:fldCharType="separate"/>
            </w:r>
            <w:r w:rsidRPr="007D1918">
              <w:rPr>
                <w:rFonts w:ascii="Arial Narrow" w:eastAsiaTheme="minorHAnsi" w:hAnsi="Arial Narrow" w:cstheme="minorHAnsi"/>
                <w:noProof/>
                <w:sz w:val="18"/>
                <w:szCs w:val="18"/>
                <w:lang w:eastAsia="en-US"/>
              </w:rPr>
              <w:t>(</w:t>
            </w:r>
            <w:hyperlink w:anchor="_ENREF_12" w:tooltip="Bourque, 2016 #50" w:history="1">
              <w:r w:rsidR="007D4948" w:rsidRPr="007D1918">
                <w:rPr>
                  <w:rFonts w:ascii="Arial Narrow" w:eastAsiaTheme="minorHAnsi" w:hAnsi="Arial Narrow" w:cstheme="minorHAnsi"/>
                  <w:noProof/>
                  <w:sz w:val="18"/>
                  <w:szCs w:val="18"/>
                  <w:lang w:eastAsia="en-US"/>
                </w:rPr>
                <w:t>Bourque et al. 2016</w:t>
              </w:r>
            </w:hyperlink>
            <w:r w:rsidRPr="007D1918">
              <w:rPr>
                <w:rFonts w:ascii="Arial Narrow" w:eastAsiaTheme="minorHAnsi" w:hAnsi="Arial Narrow" w:cstheme="minorHAnsi"/>
                <w:noProof/>
                <w:sz w:val="18"/>
                <w:szCs w:val="18"/>
                <w:lang w:eastAsia="en-US"/>
              </w:rPr>
              <w:t>)</w:t>
            </w:r>
            <w:r w:rsidRPr="007D1918">
              <w:rPr>
                <w:rFonts w:ascii="Arial Narrow" w:eastAsiaTheme="minorHAnsi" w:hAnsi="Arial Narrow" w:cstheme="minorHAnsi"/>
                <w:sz w:val="18"/>
                <w:szCs w:val="18"/>
                <w:lang w:eastAsia="en-US"/>
              </w:rPr>
              <w:fldChar w:fldCharType="end"/>
            </w:r>
          </w:p>
          <w:p w14:paraId="2F3064B3"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Canada</w:t>
            </w:r>
          </w:p>
        </w:tc>
        <w:tc>
          <w:tcPr>
            <w:tcW w:w="1560" w:type="dxa"/>
          </w:tcPr>
          <w:p w14:paraId="6E93FA92" w14:textId="77777777" w:rsidR="008D42C5" w:rsidRPr="007D1918" w:rsidRDefault="008D42C5" w:rsidP="008D42C5">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Case series with before and after data (retrospective cohort study of cases identified on a database)</w:t>
            </w:r>
          </w:p>
          <w:p w14:paraId="3E00A12F" w14:textId="77777777" w:rsidR="008D42C5" w:rsidRPr="007D1918" w:rsidRDefault="008D42C5" w:rsidP="008D42C5">
            <w:pPr>
              <w:spacing w:before="40" w:after="40" w:line="240" w:lineRule="auto"/>
              <w:ind w:left="0"/>
              <w:rPr>
                <w:rFonts w:ascii="Arial Narrow" w:eastAsiaTheme="minorHAnsi" w:hAnsi="Arial Narrow" w:cstheme="minorHAnsi"/>
                <w:i/>
                <w:sz w:val="18"/>
                <w:szCs w:val="18"/>
                <w:lang w:eastAsia="en-US"/>
              </w:rPr>
            </w:pPr>
            <w:r w:rsidRPr="007D1918">
              <w:rPr>
                <w:rFonts w:ascii="Arial Narrow" w:eastAsiaTheme="minorHAnsi" w:hAnsi="Arial Narrow" w:cstheme="minorHAnsi"/>
                <w:i/>
                <w:sz w:val="18"/>
                <w:szCs w:val="18"/>
                <w:lang w:eastAsia="en-US"/>
              </w:rPr>
              <w:t>Objectives</w:t>
            </w:r>
          </w:p>
          <w:p w14:paraId="39346283" w14:textId="2940D002" w:rsidR="008D42C5" w:rsidRPr="007D1918" w:rsidRDefault="008D42C5" w:rsidP="0067607E">
            <w:pPr>
              <w:spacing w:before="40" w:after="40" w:line="240" w:lineRule="auto"/>
              <w:ind w:left="0"/>
              <w:rPr>
                <w:rFonts w:ascii="Arial Narrow" w:eastAsiaTheme="minorHAnsi" w:hAnsi="Arial Narrow" w:cstheme="minorHAnsi"/>
                <w:sz w:val="18"/>
                <w:szCs w:val="18"/>
                <w:lang w:eastAsia="en-US"/>
              </w:rPr>
            </w:pPr>
            <w:r w:rsidRPr="007D1918">
              <w:rPr>
                <w:rFonts w:ascii="Arial Narrow" w:eastAsiaTheme="minorHAnsi" w:hAnsi="Arial Narrow" w:cstheme="minorHAnsi"/>
                <w:sz w:val="18"/>
                <w:szCs w:val="18"/>
                <w:lang w:eastAsia="en-US"/>
              </w:rPr>
              <w:t xml:space="preserve">To compare clinical response before and after initiation of </w:t>
            </w:r>
            <w:r w:rsidR="0067607E" w:rsidRPr="007D1918">
              <w:rPr>
                <w:rFonts w:ascii="Arial Narrow" w:eastAsiaTheme="minorHAnsi" w:hAnsi="Arial Narrow" w:cstheme="minorHAnsi"/>
                <w:sz w:val="18"/>
                <w:szCs w:val="18"/>
                <w:lang w:eastAsia="en-US"/>
              </w:rPr>
              <w:t>SCIg, and Ig dosage between SCIg</w:t>
            </w:r>
            <w:r w:rsidRPr="007D1918">
              <w:rPr>
                <w:rFonts w:ascii="Arial Narrow" w:eastAsiaTheme="minorHAnsi" w:hAnsi="Arial Narrow" w:cstheme="minorHAnsi"/>
                <w:sz w:val="18"/>
                <w:szCs w:val="18"/>
                <w:lang w:eastAsia="en-US"/>
              </w:rPr>
              <w:t xml:space="preserve"> and IVIg </w:t>
            </w:r>
          </w:p>
        </w:tc>
        <w:tc>
          <w:tcPr>
            <w:tcW w:w="1134" w:type="dxa"/>
          </w:tcPr>
          <w:p w14:paraId="29B41EA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Level IV</w:t>
            </w:r>
          </w:p>
          <w:p w14:paraId="7E087EB9"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Low risk of bias</w:t>
            </w:r>
          </w:p>
          <w:p w14:paraId="26F276CB"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p>
        </w:tc>
        <w:tc>
          <w:tcPr>
            <w:tcW w:w="1984" w:type="dxa"/>
          </w:tcPr>
          <w:p w14:paraId="3EC41FB0"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N = 9</w:t>
            </w:r>
          </w:p>
          <w:p w14:paraId="050089E5"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Age range (y): 21-83</w:t>
            </w:r>
          </w:p>
          <w:p w14:paraId="00B6B956"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Female: 7 (78%)</w:t>
            </w:r>
          </w:p>
          <w:p w14:paraId="7CF0D2FC" w14:textId="77777777" w:rsidR="008D42C5" w:rsidRPr="007D1918" w:rsidRDefault="008D42C5" w:rsidP="008D42C5">
            <w:pPr>
              <w:spacing w:before="40" w:after="40" w:line="240" w:lineRule="auto"/>
              <w:ind w:left="0"/>
              <w:rPr>
                <w:rFonts w:ascii="Arial Narrow" w:hAnsi="Arial Narrow" w:cs="Times New Roman"/>
                <w:sz w:val="18"/>
                <w:szCs w:val="18"/>
                <w:lang w:eastAsia="en-US"/>
              </w:rPr>
            </w:pPr>
            <w:r w:rsidRPr="007D1918">
              <w:rPr>
                <w:rFonts w:ascii="Arial Narrow" w:hAnsi="Arial Narrow" w:cs="Times New Roman"/>
                <w:sz w:val="18"/>
                <w:szCs w:val="18"/>
                <w:lang w:eastAsia="en-US"/>
              </w:rPr>
              <w:t>Disease duration prior to SCIg (y): 1.7-17</w:t>
            </w:r>
          </w:p>
        </w:tc>
        <w:tc>
          <w:tcPr>
            <w:tcW w:w="2268" w:type="dxa"/>
          </w:tcPr>
          <w:p w14:paraId="3DDAF6F9"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Inclusion</w:t>
            </w:r>
          </w:p>
          <w:p w14:paraId="1441835B"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Consecutive cases identified on The Ottawa Hospital Neuromuscular Disease Database between Jan and Dec 2015</w:t>
            </w:r>
          </w:p>
          <w:p w14:paraId="3058E5D1"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Exclusion</w:t>
            </w:r>
          </w:p>
          <w:p w14:paraId="5D755FC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Renal insufficiency, abnormal liver function, history of thrombotic event or at high risk of thrombosis</w:t>
            </w:r>
          </w:p>
        </w:tc>
        <w:tc>
          <w:tcPr>
            <w:tcW w:w="1701" w:type="dxa"/>
          </w:tcPr>
          <w:p w14:paraId="7AE797B3"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SCIg (20 g/100 ml Hizentra, CSL Behring AG, Berne Switzerland)</w:t>
            </w:r>
          </w:p>
        </w:tc>
        <w:tc>
          <w:tcPr>
            <w:tcW w:w="1701" w:type="dxa"/>
          </w:tcPr>
          <w:p w14:paraId="21B3A265"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IVIg (dosage comparison in 6 patients)</w:t>
            </w:r>
          </w:p>
        </w:tc>
        <w:tc>
          <w:tcPr>
            <w:tcW w:w="2268" w:type="dxa"/>
          </w:tcPr>
          <w:p w14:paraId="0369B39E"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Primary</w:t>
            </w:r>
          </w:p>
          <w:p w14:paraId="091C6D59"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MGFA class</w:t>
            </w:r>
          </w:p>
          <w:p w14:paraId="229BA49C"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MG-ADL</w:t>
            </w:r>
          </w:p>
          <w:p w14:paraId="4806ADC4"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MG-QOL-15</w:t>
            </w:r>
          </w:p>
          <w:p w14:paraId="434521C7"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Secondary</w:t>
            </w:r>
          </w:p>
          <w:p w14:paraId="4E2DA682"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VAS for overall subjective responsiveness</w:t>
            </w:r>
          </w:p>
          <w:p w14:paraId="4859B38D"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Adverse events bases on hospital files</w:t>
            </w:r>
          </w:p>
        </w:tc>
        <w:tc>
          <w:tcPr>
            <w:tcW w:w="1418" w:type="dxa"/>
          </w:tcPr>
          <w:p w14:paraId="3449F866"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sz w:val="18"/>
                <w:szCs w:val="18"/>
              </w:rPr>
              <w:t>Disease status was MGFA class II for 3 patients and class III for 6 patients at baseline</w:t>
            </w:r>
          </w:p>
          <w:p w14:paraId="14CB222C" w14:textId="77777777" w:rsidR="008D42C5" w:rsidRPr="007D1918" w:rsidRDefault="008D42C5" w:rsidP="008D42C5">
            <w:pPr>
              <w:spacing w:before="40" w:after="40" w:line="240" w:lineRule="auto"/>
              <w:ind w:left="0"/>
              <w:rPr>
                <w:rFonts w:ascii="Arial Narrow" w:hAnsi="Arial Narrow"/>
                <w:i/>
                <w:sz w:val="18"/>
                <w:szCs w:val="18"/>
              </w:rPr>
            </w:pPr>
            <w:r w:rsidRPr="007D1918">
              <w:rPr>
                <w:rFonts w:ascii="Arial Narrow" w:hAnsi="Arial Narrow"/>
                <w:i/>
                <w:sz w:val="18"/>
                <w:szCs w:val="18"/>
              </w:rPr>
              <w:t>Funding</w:t>
            </w:r>
          </w:p>
          <w:p w14:paraId="4FEA9F8A" w14:textId="77777777" w:rsidR="008D42C5" w:rsidRPr="007D1918" w:rsidRDefault="008D42C5" w:rsidP="008D42C5">
            <w:pPr>
              <w:spacing w:before="40" w:after="40" w:line="240" w:lineRule="auto"/>
              <w:ind w:left="0"/>
              <w:rPr>
                <w:rFonts w:ascii="Arial Narrow" w:hAnsi="Arial Narrow"/>
                <w:sz w:val="18"/>
                <w:szCs w:val="18"/>
              </w:rPr>
            </w:pPr>
            <w:r w:rsidRPr="007D1918">
              <w:rPr>
                <w:rFonts w:ascii="Arial Narrow" w:hAnsi="Arial Narrow"/>
                <w:sz w:val="18"/>
                <w:szCs w:val="18"/>
              </w:rPr>
              <w:t>The authors report there was no funding support</w:t>
            </w:r>
          </w:p>
          <w:p w14:paraId="76F75BC1" w14:textId="77777777" w:rsidR="008D42C5" w:rsidRPr="007D1918" w:rsidRDefault="008D42C5" w:rsidP="008D42C5">
            <w:pPr>
              <w:spacing w:before="40" w:after="40" w:line="240" w:lineRule="auto"/>
              <w:ind w:left="0"/>
              <w:rPr>
                <w:rFonts w:ascii="Arial Narrow" w:hAnsi="Arial Narrow"/>
                <w:sz w:val="18"/>
                <w:szCs w:val="18"/>
              </w:rPr>
            </w:pPr>
          </w:p>
        </w:tc>
      </w:tr>
    </w:tbl>
    <w:p w14:paraId="0F26FF21" w14:textId="31C8DCD6" w:rsidR="008D42C5" w:rsidRPr="007D1918" w:rsidRDefault="008D42C5" w:rsidP="008D42C5">
      <w:pPr>
        <w:spacing w:before="40" w:after="40" w:line="240" w:lineRule="auto"/>
        <w:rPr>
          <w:rFonts w:ascii="Arial Narrow" w:hAnsi="Arial Narrow"/>
          <w:sz w:val="16"/>
          <w:szCs w:val="16"/>
        </w:rPr>
      </w:pPr>
      <w:r w:rsidRPr="007D1918">
        <w:rPr>
          <w:rFonts w:ascii="Arial Narrow" w:hAnsi="Arial Narrow"/>
          <w:sz w:val="16"/>
          <w:szCs w:val="16"/>
        </w:rPr>
        <w:t xml:space="preserve">AC = anticholinesterase therapy; AChRAb = acetylcholine receptor antibodies; ANOVA = analysis of variance modelling; ANCOVA = analysis of covariance modelling CS = corticosteroid therapy; FVC = forced vital capacity; IA = immunoadsorption; IgA = immunoglobulin A; IVIg = intravenous immunoglobulin; LTF = lost to follow-up; </w:t>
      </w:r>
      <w:r w:rsidR="00EC62F5" w:rsidRPr="007D1918">
        <w:rPr>
          <w:rFonts w:ascii="Arial Narrow" w:hAnsi="Arial Narrow"/>
          <w:sz w:val="16"/>
          <w:szCs w:val="16"/>
        </w:rPr>
        <w:t xml:space="preserve">MG-ADL = MG activities of daily living; </w:t>
      </w:r>
      <w:r w:rsidRPr="007D1918">
        <w:rPr>
          <w:rFonts w:ascii="Arial Narrow" w:hAnsi="Arial Narrow"/>
          <w:sz w:val="16"/>
          <w:szCs w:val="16"/>
        </w:rPr>
        <w:t xml:space="preserve">MG-QOL-15/60 = myasthenia gravis quality of life 15 or 60 </w:t>
      </w:r>
      <w:r w:rsidR="00F3738F" w:rsidRPr="007D1918">
        <w:rPr>
          <w:rFonts w:ascii="Arial Narrow" w:hAnsi="Arial Narrow"/>
          <w:sz w:val="16"/>
          <w:szCs w:val="16"/>
        </w:rPr>
        <w:t>item</w:t>
      </w:r>
      <w:r w:rsidRPr="007D1918">
        <w:rPr>
          <w:rFonts w:ascii="Arial Narrow" w:hAnsi="Arial Narrow"/>
          <w:sz w:val="16"/>
          <w:szCs w:val="16"/>
        </w:rPr>
        <w:t xml:space="preserve"> score; MGFA = myasthenia gravis foundation of America clinical classification score; MMS = myasthenic muscular score (range 0 to 100 where 100 is normal); MMT = m</w:t>
      </w:r>
      <w:r w:rsidR="00AE64EC" w:rsidRPr="007D1918">
        <w:rPr>
          <w:rFonts w:ascii="Arial Narrow" w:hAnsi="Arial Narrow"/>
          <w:sz w:val="16"/>
          <w:szCs w:val="16"/>
        </w:rPr>
        <w:t xml:space="preserve">anual muscle test; </w:t>
      </w:r>
      <w:r w:rsidR="007D77DC" w:rsidRPr="007D1918">
        <w:rPr>
          <w:rFonts w:ascii="Arial Narrow" w:hAnsi="Arial Narrow"/>
          <w:sz w:val="16"/>
          <w:szCs w:val="16"/>
        </w:rPr>
        <w:t xml:space="preserve">mo = month; </w:t>
      </w:r>
      <w:r w:rsidR="00AE64EC" w:rsidRPr="007D1918">
        <w:rPr>
          <w:rFonts w:ascii="Arial Narrow" w:hAnsi="Arial Narrow"/>
          <w:sz w:val="16"/>
          <w:szCs w:val="16"/>
        </w:rPr>
        <w:t>MPN = methyl</w:t>
      </w:r>
      <w:r w:rsidRPr="007D1918">
        <w:rPr>
          <w:rFonts w:ascii="Arial Narrow" w:hAnsi="Arial Narrow"/>
          <w:sz w:val="16"/>
          <w:szCs w:val="16"/>
        </w:rPr>
        <w:t>prednisolone therapy; mRS = modified Rankin Scale; MSS = myasthenia severity scale (total score range 0-16, where 16 is normal and 0 is most severe); NA = not applicable; NR = not reported; QMGS = quantitative myasthenia gravis score; PD = pyridostigmine therapy; PE = plasma exchange;</w:t>
      </w:r>
      <w:r w:rsidR="00EC62F5" w:rsidRPr="007D1918">
        <w:rPr>
          <w:rFonts w:ascii="Arial Narrow" w:hAnsi="Arial Narrow"/>
          <w:sz w:val="16"/>
          <w:szCs w:val="16"/>
        </w:rPr>
        <w:t xml:space="preserve"> PM = paediatric myasthenia; </w:t>
      </w:r>
      <w:r w:rsidRPr="007D1918">
        <w:rPr>
          <w:rFonts w:ascii="Arial Narrow" w:hAnsi="Arial Narrow"/>
          <w:sz w:val="16"/>
          <w:szCs w:val="16"/>
        </w:rPr>
        <w:t xml:space="preserve">PN = prednisone therapy; </w:t>
      </w:r>
      <w:r w:rsidR="00CF097D" w:rsidRPr="007D1918">
        <w:rPr>
          <w:rFonts w:ascii="Arial Narrow" w:hAnsi="Arial Narrow"/>
          <w:sz w:val="16"/>
          <w:szCs w:val="16"/>
        </w:rPr>
        <w:t xml:space="preserve">RCT  =randomised controlled trial; RNS = repetitive nerve stimulation; </w:t>
      </w:r>
      <w:r w:rsidRPr="007D1918">
        <w:rPr>
          <w:rFonts w:ascii="Arial Narrow" w:hAnsi="Arial Narrow"/>
          <w:sz w:val="16"/>
          <w:szCs w:val="16"/>
        </w:rPr>
        <w:t xml:space="preserve">SCIg = sub-cutaneous </w:t>
      </w:r>
      <w:r w:rsidR="00AE64EC" w:rsidRPr="007D1918">
        <w:rPr>
          <w:rFonts w:ascii="Arial Narrow" w:hAnsi="Arial Narrow"/>
          <w:sz w:val="16"/>
          <w:szCs w:val="16"/>
        </w:rPr>
        <w:t>immunoglobulin therapy</w:t>
      </w:r>
      <w:r w:rsidRPr="007D1918">
        <w:rPr>
          <w:rFonts w:ascii="Arial Narrow" w:hAnsi="Arial Narrow"/>
          <w:sz w:val="16"/>
          <w:szCs w:val="16"/>
        </w:rPr>
        <w:t xml:space="preserve">; </w:t>
      </w:r>
      <w:r w:rsidR="00AE64EC" w:rsidRPr="007D1918">
        <w:rPr>
          <w:rFonts w:ascii="Arial Narrow" w:hAnsi="Arial Narrow"/>
          <w:sz w:val="16"/>
          <w:szCs w:val="16"/>
        </w:rPr>
        <w:t>SD = standard deviation;</w:t>
      </w:r>
      <w:r w:rsidR="00AE64EC" w:rsidRPr="007D1918">
        <w:rPr>
          <w:rFonts w:ascii="Arial Narrow" w:eastAsia="SimSun" w:hAnsi="Arial Narrow" w:cs="Arial"/>
          <w:snapToGrid w:val="0"/>
          <w:sz w:val="16"/>
          <w:szCs w:val="16"/>
          <w:lang w:val="en-US" w:eastAsia="en-US"/>
        </w:rPr>
        <w:t xml:space="preserve"> </w:t>
      </w:r>
      <w:r w:rsidRPr="007D1918">
        <w:rPr>
          <w:rFonts w:ascii="Arial Narrow" w:hAnsi="Arial Narrow"/>
          <w:sz w:val="16"/>
          <w:szCs w:val="16"/>
        </w:rPr>
        <w:t>TSQM = treatment satisfaction questionnaire for medication; VAS = subjective patient visual analogue scale; VC = vital capacity</w:t>
      </w:r>
    </w:p>
    <w:p w14:paraId="7ACA485C" w14:textId="77777777" w:rsidR="00855ADC" w:rsidRPr="007D1918" w:rsidRDefault="00855ADC" w:rsidP="00CF097D">
      <w:bookmarkStart w:id="605" w:name="_Ref192056948"/>
      <w:bookmarkStart w:id="606" w:name="_Ref169423889"/>
      <w:r w:rsidRPr="007D1918">
        <w:br w:type="page"/>
      </w:r>
    </w:p>
    <w:p w14:paraId="3D46DED1" w14:textId="77777777" w:rsidR="00855ADC" w:rsidRPr="007D1918" w:rsidRDefault="00855ADC" w:rsidP="00855ADC">
      <w:pPr>
        <w:pStyle w:val="Heading1"/>
        <w:jc w:val="both"/>
      </w:pPr>
      <w:bookmarkStart w:id="607" w:name="_Ref421017583"/>
      <w:bookmarkStart w:id="608" w:name="_Ref421017580"/>
      <w:bookmarkStart w:id="609" w:name="_Toc23767025"/>
      <w:r w:rsidRPr="007D1918">
        <w:lastRenderedPageBreak/>
        <w:t xml:space="preserve">Appendix </w:t>
      </w:r>
      <w:r w:rsidR="0021096F" w:rsidRPr="007D1918">
        <w:rPr>
          <w:noProof/>
        </w:rPr>
        <w:fldChar w:fldCharType="begin"/>
      </w:r>
      <w:r w:rsidR="0021096F" w:rsidRPr="007D1918">
        <w:rPr>
          <w:noProof/>
        </w:rPr>
        <w:instrText xml:space="preserve"> SEQ Appendix \* ALPHABETIC </w:instrText>
      </w:r>
      <w:r w:rsidR="0021096F" w:rsidRPr="007D1918">
        <w:rPr>
          <w:noProof/>
        </w:rPr>
        <w:fldChar w:fldCharType="separate"/>
      </w:r>
      <w:r w:rsidR="009A4D6B" w:rsidRPr="007D1918">
        <w:rPr>
          <w:noProof/>
        </w:rPr>
        <w:t>D</w:t>
      </w:r>
      <w:r w:rsidR="0021096F" w:rsidRPr="007D1918">
        <w:rPr>
          <w:noProof/>
        </w:rPr>
        <w:fldChar w:fldCharType="end"/>
      </w:r>
      <w:bookmarkEnd w:id="607"/>
      <w:r w:rsidRPr="007D1918">
        <w:tab/>
        <w:t>Evidence Profile Tables</w:t>
      </w:r>
      <w:bookmarkEnd w:id="608"/>
      <w:bookmarkEnd w:id="609"/>
      <w:r w:rsidRPr="007D1918">
        <w:t xml:space="preserve"> </w:t>
      </w:r>
    </w:p>
    <w:p w14:paraId="594F89D6" w14:textId="79432915" w:rsidR="00BA13FE" w:rsidRPr="007D1918" w:rsidRDefault="00BA13FE" w:rsidP="00254120">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pPr>
      <w:bookmarkStart w:id="610" w:name="_Ref421016260"/>
      <w:bookmarkStart w:id="611" w:name="_Toc23769590"/>
      <w:r w:rsidRPr="007D1918">
        <w:t xml:space="preserve">Table </w:t>
      </w:r>
      <w:r w:rsidR="000B6AFD" w:rsidRPr="007D1918">
        <w:rPr>
          <w:noProof/>
        </w:rPr>
        <w:fldChar w:fldCharType="begin"/>
      </w:r>
      <w:r w:rsidR="000B6AFD" w:rsidRPr="007D1918">
        <w:rPr>
          <w:noProof/>
        </w:rPr>
        <w:instrText xml:space="preserve"> SEQ Table \* ARABIC </w:instrText>
      </w:r>
      <w:r w:rsidR="000B6AFD" w:rsidRPr="007D1918">
        <w:rPr>
          <w:noProof/>
        </w:rPr>
        <w:fldChar w:fldCharType="separate"/>
      </w:r>
      <w:r w:rsidR="00942701" w:rsidRPr="007D1918">
        <w:rPr>
          <w:noProof/>
        </w:rPr>
        <w:t>103</w:t>
      </w:r>
      <w:r w:rsidR="000B6AFD" w:rsidRPr="007D1918">
        <w:rPr>
          <w:noProof/>
        </w:rPr>
        <w:fldChar w:fldCharType="end"/>
      </w:r>
      <w:bookmarkEnd w:id="610"/>
      <w:r w:rsidR="00A4198A" w:rsidRPr="007D1918">
        <w:tab/>
        <w:t>Safety e</w:t>
      </w:r>
      <w:r w:rsidRPr="007D1918">
        <w:t xml:space="preserve">vidence profile table for </w:t>
      </w:r>
      <w:r w:rsidR="002A1388" w:rsidRPr="007D1918">
        <w:t>IVIg</w:t>
      </w:r>
      <w:r w:rsidRPr="007D1918">
        <w:t xml:space="preserve"> </w:t>
      </w:r>
      <w:r w:rsidR="0027032B" w:rsidRPr="007D1918">
        <w:t xml:space="preserve">in </w:t>
      </w:r>
      <w:r w:rsidR="002A1388" w:rsidRPr="007D1918">
        <w:t>MG patients in or at risk of crisis</w:t>
      </w:r>
      <w:r w:rsidR="00B55FAD" w:rsidRPr="007D1918">
        <w:t xml:space="preserve"> (</w:t>
      </w:r>
      <w:r w:rsidR="0088065E" w:rsidRPr="007D1918">
        <w:rPr>
          <w:i/>
        </w:rPr>
        <w:t>Criteria V3</w:t>
      </w:r>
      <w:r w:rsidR="0088065E" w:rsidRPr="007D1918">
        <w:t xml:space="preserve"> </w:t>
      </w:r>
      <w:r w:rsidR="00B55FAD" w:rsidRPr="007D1918">
        <w:t>Indication 1)</w:t>
      </w:r>
      <w:bookmarkEnd w:id="611"/>
    </w:p>
    <w:tbl>
      <w:tblPr>
        <w:tblW w:w="5000" w:type="pct"/>
        <w:tblLook w:val="04A0" w:firstRow="1" w:lastRow="0" w:firstColumn="1" w:lastColumn="0" w:noHBand="0" w:noVBand="1"/>
        <w:tblCaption w:val="Table 60 Safety evidence profile table for IVIg in MG patients in or at risk of crisis (Criteria V3 Indication 1)"/>
        <w:tblDescription w:val="GRADE safety evidence profile for Indication 1"/>
      </w:tblPr>
      <w:tblGrid>
        <w:gridCol w:w="1845"/>
        <w:gridCol w:w="1556"/>
        <w:gridCol w:w="2001"/>
        <w:gridCol w:w="1698"/>
        <w:gridCol w:w="1698"/>
        <w:gridCol w:w="1426"/>
        <w:gridCol w:w="2270"/>
        <w:gridCol w:w="1277"/>
        <w:gridCol w:w="1365"/>
      </w:tblGrid>
      <w:tr w:rsidR="00254120" w:rsidRPr="007D1918" w14:paraId="0453C937" w14:textId="77777777" w:rsidTr="00947C4C">
        <w:tc>
          <w:tcPr>
            <w:tcW w:w="5000" w:type="pct"/>
            <w:gridSpan w:val="9"/>
            <w:tcBorders>
              <w:top w:val="single" w:sz="12" w:space="0" w:color="000000"/>
              <w:left w:val="nil"/>
              <w:bottom w:val="single" w:sz="12" w:space="0" w:color="000000"/>
              <w:right w:val="nil"/>
            </w:tcBorders>
            <w:shd w:val="clear" w:color="auto" w:fill="FFFFFF" w:themeFill="background1"/>
            <w:tcMar>
              <w:top w:w="45" w:type="dxa"/>
              <w:left w:w="45" w:type="dxa"/>
              <w:bottom w:w="45" w:type="dxa"/>
              <w:right w:w="45" w:type="dxa"/>
            </w:tcMar>
            <w:vAlign w:val="center"/>
            <w:hideMark/>
          </w:tcPr>
          <w:p w14:paraId="253A651F" w14:textId="2F8FFFEB" w:rsidR="00254120" w:rsidRPr="007D1918" w:rsidRDefault="00254120" w:rsidP="00254120">
            <w:pPr>
              <w:spacing w:before="40" w:after="40" w:line="240" w:lineRule="auto"/>
              <w:rPr>
                <w:rFonts w:ascii="Arial Narrow" w:hAnsi="Arial Narrow"/>
                <w:sz w:val="20"/>
                <w:szCs w:val="20"/>
                <w:lang w:eastAsia="en-US"/>
              </w:rPr>
            </w:pPr>
            <w:r w:rsidRPr="007D1918">
              <w:rPr>
                <w:rFonts w:ascii="Arial Narrow" w:hAnsi="Arial Narrow"/>
                <w:b/>
                <w:bCs/>
                <w:sz w:val="20"/>
                <w:szCs w:val="20"/>
                <w:lang w:eastAsia="en-US"/>
              </w:rPr>
              <w:t xml:space="preserve">Question: </w:t>
            </w:r>
            <w:r w:rsidR="005C4693" w:rsidRPr="007D1918">
              <w:rPr>
                <w:rFonts w:ascii="Arial Narrow" w:hAnsi="Arial Narrow"/>
                <w:bCs/>
                <w:sz w:val="20"/>
                <w:szCs w:val="20"/>
                <w:lang w:eastAsia="en-US"/>
              </w:rPr>
              <w:t>How safe is</w:t>
            </w:r>
            <w:r w:rsidR="005C4693" w:rsidRPr="007D1918">
              <w:rPr>
                <w:rFonts w:ascii="Arial Narrow" w:hAnsi="Arial Narrow"/>
                <w:b/>
                <w:bCs/>
                <w:sz w:val="20"/>
                <w:szCs w:val="20"/>
                <w:lang w:eastAsia="en-US"/>
              </w:rPr>
              <w:t xml:space="preserve"> </w:t>
            </w:r>
            <w:r w:rsidR="00533AD2" w:rsidRPr="007D1918">
              <w:rPr>
                <w:rFonts w:ascii="Arial Narrow" w:hAnsi="Arial Narrow"/>
                <w:sz w:val="20"/>
                <w:szCs w:val="20"/>
                <w:lang w:eastAsia="en-US"/>
              </w:rPr>
              <w:t xml:space="preserve">IVIg </w:t>
            </w:r>
            <w:r w:rsidR="005C4693" w:rsidRPr="007D1918">
              <w:rPr>
                <w:rFonts w:ascii="Arial Narrow" w:hAnsi="Arial Narrow"/>
                <w:sz w:val="20"/>
                <w:szCs w:val="20"/>
                <w:lang w:eastAsia="en-US"/>
              </w:rPr>
              <w:t>for patients with MG?</w:t>
            </w:r>
            <w:r w:rsidR="00533AD2" w:rsidRPr="007D1918">
              <w:rPr>
                <w:rFonts w:ascii="Arial Narrow" w:hAnsi="Arial Narrow"/>
                <w:sz w:val="20"/>
                <w:szCs w:val="20"/>
                <w:lang w:eastAsia="en-US"/>
              </w:rPr>
              <w:t xml:space="preserve"> </w:t>
            </w:r>
          </w:p>
          <w:p w14:paraId="1320EBC2" w14:textId="25BBC562" w:rsidR="005C4693" w:rsidRPr="007D1918" w:rsidRDefault="00254120" w:rsidP="005C4693">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 xml:space="preserve">Patient or population: </w:t>
            </w:r>
            <w:r w:rsidR="005C4693" w:rsidRPr="007D1918">
              <w:rPr>
                <w:rFonts w:ascii="Arial Narrow" w:hAnsi="Arial Narrow"/>
                <w:b/>
                <w:bCs/>
                <w:sz w:val="20"/>
                <w:szCs w:val="20"/>
                <w:lang w:eastAsia="en-US"/>
              </w:rPr>
              <w:t>P</w:t>
            </w:r>
            <w:r w:rsidR="005C4693" w:rsidRPr="007D1918">
              <w:rPr>
                <w:rFonts w:ascii="Arial Narrow" w:hAnsi="Arial Narrow"/>
                <w:sz w:val="20"/>
                <w:szCs w:val="20"/>
                <w:lang w:eastAsia="en-US"/>
              </w:rPr>
              <w:t>atients with moderate to severe MG in or at risk of myas</w:t>
            </w:r>
            <w:r w:rsidR="00AE37BE" w:rsidRPr="007D1918">
              <w:rPr>
                <w:rFonts w:ascii="Arial Narrow" w:hAnsi="Arial Narrow"/>
                <w:sz w:val="20"/>
                <w:szCs w:val="20"/>
                <w:lang w:eastAsia="en-US"/>
              </w:rPr>
              <w:t>thenic crisis</w:t>
            </w:r>
          </w:p>
          <w:p w14:paraId="531BE003" w14:textId="197FD9BA" w:rsidR="005C4693" w:rsidRPr="007D1918" w:rsidRDefault="00254120" w:rsidP="005C4693">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Intervention:</w:t>
            </w:r>
            <w:r w:rsidRPr="007D1918">
              <w:rPr>
                <w:rFonts w:ascii="Arial Narrow" w:hAnsi="Arial Narrow"/>
                <w:sz w:val="20"/>
                <w:szCs w:val="20"/>
                <w:lang w:eastAsia="en-US"/>
              </w:rPr>
              <w:t xml:space="preserve"> </w:t>
            </w:r>
            <w:r w:rsidR="005C4693" w:rsidRPr="007D1918">
              <w:rPr>
                <w:rFonts w:ascii="Arial Narrow" w:hAnsi="Arial Narrow"/>
                <w:sz w:val="20"/>
                <w:szCs w:val="20"/>
                <w:lang w:eastAsia="en-US"/>
              </w:rPr>
              <w:t>IVIg</w:t>
            </w:r>
            <w:r w:rsidR="004B49B5" w:rsidRPr="007D1918">
              <w:rPr>
                <w:rFonts w:ascii="Arial Narrow" w:hAnsi="Arial Narrow"/>
                <w:sz w:val="20"/>
                <w:szCs w:val="20"/>
                <w:lang w:eastAsia="en-US"/>
              </w:rPr>
              <w:t>;</w:t>
            </w:r>
            <w:r w:rsidR="002C5E0C" w:rsidRPr="007D1918">
              <w:rPr>
                <w:rFonts w:ascii="Arial Narrow" w:hAnsi="Arial Narrow"/>
                <w:sz w:val="20"/>
                <w:szCs w:val="20"/>
                <w:lang w:eastAsia="en-US"/>
              </w:rPr>
              <w:t xml:space="preserve"> IVIg 1g/kg</w:t>
            </w:r>
          </w:p>
          <w:p w14:paraId="4C4610A1" w14:textId="4E6823B4" w:rsidR="00254120" w:rsidRPr="007D1918" w:rsidRDefault="00254120" w:rsidP="005C4693">
            <w:pPr>
              <w:spacing w:before="40" w:after="40" w:line="240" w:lineRule="auto"/>
              <w:ind w:left="806" w:hanging="806"/>
              <w:rPr>
                <w:rFonts w:ascii="Arial Narrow" w:hAnsi="Arial Narrow"/>
                <w:b/>
                <w:bCs/>
                <w:sz w:val="20"/>
                <w:szCs w:val="20"/>
                <w:lang w:eastAsia="en-US"/>
              </w:rPr>
            </w:pPr>
            <w:r w:rsidRPr="007D1918">
              <w:rPr>
                <w:rFonts w:ascii="Arial Narrow" w:hAnsi="Arial Narrow"/>
                <w:b/>
                <w:bCs/>
                <w:sz w:val="20"/>
                <w:szCs w:val="20"/>
                <w:lang w:eastAsia="en-US"/>
              </w:rPr>
              <w:t xml:space="preserve">Comparison: </w:t>
            </w:r>
            <w:r w:rsidR="005C4693" w:rsidRPr="007D1918">
              <w:rPr>
                <w:rFonts w:ascii="Arial Narrow" w:hAnsi="Arial Narrow"/>
                <w:bCs/>
                <w:sz w:val="20"/>
                <w:szCs w:val="20"/>
                <w:lang w:eastAsia="en-US"/>
              </w:rPr>
              <w:t>PE</w:t>
            </w:r>
            <w:r w:rsidR="004B49B5" w:rsidRPr="007D1918">
              <w:rPr>
                <w:rFonts w:ascii="Arial Narrow" w:hAnsi="Arial Narrow"/>
                <w:bCs/>
                <w:sz w:val="20"/>
                <w:szCs w:val="20"/>
                <w:lang w:eastAsia="en-US"/>
              </w:rPr>
              <w:t>;</w:t>
            </w:r>
            <w:r w:rsidR="002C5E0C" w:rsidRPr="007D1918">
              <w:rPr>
                <w:rFonts w:ascii="Arial Narrow" w:hAnsi="Arial Narrow"/>
                <w:bCs/>
                <w:sz w:val="20"/>
                <w:szCs w:val="20"/>
                <w:lang w:eastAsia="en-US"/>
              </w:rPr>
              <w:t xml:space="preserve"> IVIg, 2g/kg</w:t>
            </w:r>
          </w:p>
          <w:p w14:paraId="36F8DD6F" w14:textId="2EB815E5" w:rsidR="00254120" w:rsidRPr="007D1918" w:rsidRDefault="00254120" w:rsidP="007D4948">
            <w:pPr>
              <w:spacing w:before="40" w:after="40" w:line="240" w:lineRule="auto"/>
              <w:jc w:val="both"/>
              <w:rPr>
                <w:rFonts w:ascii="Arial Narrow" w:hAnsi="Arial Narrow"/>
                <w:b/>
                <w:bCs/>
                <w:sz w:val="20"/>
                <w:szCs w:val="20"/>
                <w:lang w:eastAsia="en-US"/>
              </w:rPr>
            </w:pPr>
            <w:r w:rsidRPr="007D1918">
              <w:rPr>
                <w:rFonts w:ascii="Arial Narrow" w:hAnsi="Arial Narrow"/>
                <w:b/>
                <w:bCs/>
                <w:sz w:val="20"/>
                <w:szCs w:val="20"/>
                <w:lang w:eastAsia="en-US"/>
              </w:rPr>
              <w:t xml:space="preserve">Author(s): </w:t>
            </w:r>
            <w:r w:rsidR="003736AC" w:rsidRPr="007D1918">
              <w:rPr>
                <w:rFonts w:ascii="Arial Narrow" w:hAnsi="Arial Narrow"/>
                <w:b/>
                <w:bCs/>
                <w:sz w:val="20"/>
                <w:szCs w:val="20"/>
                <w:lang w:eastAsia="en-US"/>
              </w:rPr>
              <w:fldChar w:fldCharType="begin">
                <w:fldData xml:space="preserve">PEVuZE5vdGU+PENpdGU+PEF1dGhvcj5HYWpkb3M8L0F1dGhvcj48WWVhcj4xOTk3PC9ZZWFyPjxS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</w:fldData>
              </w:fldChar>
            </w:r>
            <w:r w:rsidR="007F4CDE" w:rsidRPr="007D1918">
              <w:rPr>
                <w:rFonts w:ascii="Arial Narrow" w:hAnsi="Arial Narrow"/>
                <w:b/>
                <w:bCs/>
                <w:sz w:val="20"/>
                <w:szCs w:val="20"/>
                <w:lang w:eastAsia="en-US"/>
              </w:rPr>
              <w:instrText xml:space="preserve"> ADDIN EN.CITE </w:instrText>
            </w:r>
            <w:r w:rsidR="007F4CDE" w:rsidRPr="007D1918">
              <w:rPr>
                <w:rFonts w:ascii="Arial Narrow" w:hAnsi="Arial Narrow"/>
                <w:b/>
                <w:bCs/>
                <w:sz w:val="20"/>
                <w:szCs w:val="20"/>
                <w:lang w:eastAsia="en-US"/>
              </w:rPr>
              <w:fldChar w:fldCharType="begin">
                <w:fldData xml:space="preserve">PEVuZE5vdGU+PENpdGU+PEF1dGhvcj5HYWpkb3M8L0F1dGhvcj48WWVhcj4xOTk3PC9ZZWFyPjxS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</w:fldData>
              </w:fldChar>
            </w:r>
            <w:r w:rsidR="007F4CDE" w:rsidRPr="007D1918">
              <w:rPr>
                <w:rFonts w:ascii="Arial Narrow" w:hAnsi="Arial Narrow"/>
                <w:b/>
                <w:bCs/>
                <w:sz w:val="20"/>
                <w:szCs w:val="20"/>
                <w:lang w:eastAsia="en-US"/>
              </w:rPr>
              <w:instrText xml:space="preserve"> ADDIN EN.CITE.DATA </w:instrText>
            </w:r>
            <w:r w:rsidR="007F4CDE" w:rsidRPr="007D1918">
              <w:rPr>
                <w:rFonts w:ascii="Arial Narrow" w:hAnsi="Arial Narrow"/>
                <w:b/>
                <w:bCs/>
                <w:sz w:val="20"/>
                <w:szCs w:val="20"/>
                <w:lang w:eastAsia="en-US"/>
              </w:rPr>
            </w:r>
            <w:r w:rsidR="007F4CDE" w:rsidRPr="007D1918">
              <w:rPr>
                <w:rFonts w:ascii="Arial Narrow" w:hAnsi="Arial Narrow"/>
                <w:b/>
                <w:bCs/>
                <w:sz w:val="20"/>
                <w:szCs w:val="20"/>
                <w:lang w:eastAsia="en-US"/>
              </w:rPr>
              <w:fldChar w:fldCharType="end"/>
            </w:r>
            <w:r w:rsidR="003736AC" w:rsidRPr="007D1918">
              <w:rPr>
                <w:rFonts w:ascii="Arial Narrow" w:hAnsi="Arial Narrow"/>
                <w:b/>
                <w:bCs/>
                <w:sz w:val="20"/>
                <w:szCs w:val="20"/>
                <w:lang w:eastAsia="en-US"/>
              </w:rPr>
            </w:r>
            <w:r w:rsidR="003736AC" w:rsidRPr="007D1918">
              <w:rPr>
                <w:rFonts w:ascii="Arial Narrow" w:hAnsi="Arial Narrow"/>
                <w:b/>
                <w:bCs/>
                <w:sz w:val="20"/>
                <w:szCs w:val="20"/>
                <w:lang w:eastAsia="en-US"/>
              </w:rPr>
              <w:fldChar w:fldCharType="separate"/>
            </w:r>
            <w:r w:rsidR="003736AC" w:rsidRPr="007D1918">
              <w:rPr>
                <w:rFonts w:ascii="Arial Narrow" w:hAnsi="Arial Narrow"/>
                <w:b/>
                <w:bCs/>
                <w:noProof/>
                <w:sz w:val="20"/>
                <w:szCs w:val="20"/>
                <w:lang w:eastAsia="en-US"/>
              </w:rPr>
              <w:t>(</w:t>
            </w:r>
            <w:hyperlink w:anchor="_ENREF_28" w:tooltip="Gajdos, 1997 #45" w:history="1">
              <w:r w:rsidR="007D4948" w:rsidRPr="007D1918">
                <w:rPr>
                  <w:rFonts w:ascii="Arial Narrow" w:hAnsi="Arial Narrow"/>
                  <w:b/>
                  <w:bCs/>
                  <w:noProof/>
                  <w:sz w:val="20"/>
                  <w:szCs w:val="20"/>
                  <w:lang w:eastAsia="en-US"/>
                </w:rPr>
                <w:t>Gajdos et al. 1997</w:t>
              </w:r>
            </w:hyperlink>
            <w:r w:rsidR="003736AC" w:rsidRPr="007D1918">
              <w:rPr>
                <w:rFonts w:ascii="Arial Narrow" w:hAnsi="Arial Narrow"/>
                <w:b/>
                <w:bCs/>
                <w:noProof/>
                <w:sz w:val="20"/>
                <w:szCs w:val="20"/>
                <w:lang w:eastAsia="en-US"/>
              </w:rPr>
              <w:t xml:space="preserve">; </w:t>
            </w:r>
            <w:hyperlink w:anchor="_ENREF_35" w:tooltip="Gajdos, 2005 #14" w:history="1">
              <w:r w:rsidR="007D4948" w:rsidRPr="007D1918">
                <w:rPr>
                  <w:rFonts w:ascii="Arial Narrow" w:hAnsi="Arial Narrow"/>
                  <w:b/>
                  <w:bCs/>
                  <w:noProof/>
                  <w:sz w:val="20"/>
                  <w:szCs w:val="20"/>
                  <w:lang w:eastAsia="en-US"/>
                </w:rPr>
                <w:t>Gajdos et al. 2005</w:t>
              </w:r>
            </w:hyperlink>
            <w:r w:rsidR="003736AC" w:rsidRPr="007D1918">
              <w:rPr>
                <w:rFonts w:ascii="Arial Narrow" w:hAnsi="Arial Narrow"/>
                <w:b/>
                <w:bCs/>
                <w:noProof/>
                <w:sz w:val="20"/>
                <w:szCs w:val="20"/>
                <w:lang w:eastAsia="en-US"/>
              </w:rPr>
              <w:t xml:space="preserve">; </w:t>
            </w:r>
            <w:hyperlink w:anchor="_ENREF_64" w:tooltip="Mandawat, 2010 #37" w:history="1">
              <w:r w:rsidR="007D4948" w:rsidRPr="007D1918">
                <w:rPr>
                  <w:rFonts w:ascii="Arial Narrow" w:hAnsi="Arial Narrow"/>
                  <w:b/>
                  <w:bCs/>
                  <w:noProof/>
                  <w:sz w:val="20"/>
                  <w:szCs w:val="20"/>
                  <w:lang w:eastAsia="en-US"/>
                </w:rPr>
                <w:t>Mandawat et al. 2010</w:t>
              </w:r>
            </w:hyperlink>
            <w:r w:rsidR="003736AC" w:rsidRPr="007D1918">
              <w:rPr>
                <w:rFonts w:ascii="Arial Narrow" w:hAnsi="Arial Narrow"/>
                <w:b/>
                <w:bCs/>
                <w:noProof/>
                <w:sz w:val="20"/>
                <w:szCs w:val="20"/>
                <w:lang w:eastAsia="en-US"/>
              </w:rPr>
              <w:t xml:space="preserve">; </w:t>
            </w:r>
            <w:hyperlink w:anchor="_ENREF_68" w:tooltip="Murthy, 2005 #38" w:history="1">
              <w:r w:rsidR="007D4948" w:rsidRPr="007D1918">
                <w:rPr>
                  <w:rFonts w:ascii="Arial Narrow" w:hAnsi="Arial Narrow"/>
                  <w:b/>
                  <w:bCs/>
                  <w:noProof/>
                  <w:sz w:val="20"/>
                  <w:szCs w:val="20"/>
                  <w:lang w:eastAsia="en-US"/>
                </w:rPr>
                <w:t>Murthy et al. 2005</w:t>
              </w:r>
            </w:hyperlink>
            <w:r w:rsidR="003736AC" w:rsidRPr="007D1918">
              <w:rPr>
                <w:rFonts w:ascii="Arial Narrow" w:hAnsi="Arial Narrow"/>
                <w:b/>
                <w:bCs/>
                <w:noProof/>
                <w:sz w:val="20"/>
                <w:szCs w:val="20"/>
                <w:lang w:eastAsia="en-US"/>
              </w:rPr>
              <w:t xml:space="preserve">; </w:t>
            </w:r>
            <w:hyperlink w:anchor="_ENREF_76" w:tooltip="Panda, 2004 #39" w:history="1">
              <w:r w:rsidR="007D4948" w:rsidRPr="007D1918">
                <w:rPr>
                  <w:rFonts w:ascii="Arial Narrow" w:hAnsi="Arial Narrow"/>
                  <w:b/>
                  <w:bCs/>
                  <w:noProof/>
                  <w:sz w:val="20"/>
                  <w:szCs w:val="20"/>
                  <w:lang w:eastAsia="en-US"/>
                </w:rPr>
                <w:t>Panda et al. 2004</w:t>
              </w:r>
            </w:hyperlink>
            <w:r w:rsidR="003736AC" w:rsidRPr="007D1918">
              <w:rPr>
                <w:rFonts w:ascii="Arial Narrow" w:hAnsi="Arial Narrow"/>
                <w:b/>
                <w:bCs/>
                <w:noProof/>
                <w:sz w:val="20"/>
                <w:szCs w:val="20"/>
                <w:lang w:eastAsia="en-US"/>
              </w:rPr>
              <w:t xml:space="preserve">; </w:t>
            </w:r>
            <w:hyperlink w:anchor="_ENREF_79" w:tooltip="Pittayanon, 2009 #86" w:history="1">
              <w:r w:rsidR="007D4948" w:rsidRPr="007D1918">
                <w:rPr>
                  <w:rFonts w:ascii="Arial Narrow" w:hAnsi="Arial Narrow"/>
                  <w:b/>
                  <w:bCs/>
                  <w:noProof/>
                  <w:sz w:val="20"/>
                  <w:szCs w:val="20"/>
                  <w:lang w:eastAsia="en-US"/>
                </w:rPr>
                <w:t>Pittayanon, Treeprasertsuk &amp; Phanthumchinda 2009</w:t>
              </w:r>
            </w:hyperlink>
            <w:r w:rsidR="003736AC" w:rsidRPr="007D1918">
              <w:rPr>
                <w:rFonts w:ascii="Arial Narrow" w:hAnsi="Arial Narrow"/>
                <w:b/>
                <w:bCs/>
                <w:noProof/>
                <w:sz w:val="20"/>
                <w:szCs w:val="20"/>
                <w:lang w:eastAsia="en-US"/>
              </w:rPr>
              <w:t xml:space="preserve">; </w:t>
            </w:r>
            <w:hyperlink w:anchor="_ENREF_80" w:tooltip="Qureshi, 1999 #40" w:history="1">
              <w:r w:rsidR="007D4948" w:rsidRPr="007D1918">
                <w:rPr>
                  <w:rFonts w:ascii="Arial Narrow" w:hAnsi="Arial Narrow"/>
                  <w:b/>
                  <w:bCs/>
                  <w:noProof/>
                  <w:sz w:val="20"/>
                  <w:szCs w:val="20"/>
                  <w:lang w:eastAsia="en-US"/>
                </w:rPr>
                <w:t>Qureshi et al. 1999</w:t>
              </w:r>
            </w:hyperlink>
            <w:r w:rsidR="003736AC" w:rsidRPr="007D1918">
              <w:rPr>
                <w:rFonts w:ascii="Arial Narrow" w:hAnsi="Arial Narrow"/>
                <w:b/>
                <w:bCs/>
                <w:noProof/>
                <w:sz w:val="20"/>
                <w:szCs w:val="20"/>
                <w:lang w:eastAsia="en-US"/>
              </w:rPr>
              <w:t>)</w:t>
            </w:r>
            <w:r w:rsidR="003736AC" w:rsidRPr="007D1918">
              <w:rPr>
                <w:rFonts w:ascii="Arial Narrow" w:hAnsi="Arial Narrow"/>
                <w:b/>
                <w:bCs/>
                <w:sz w:val="20"/>
                <w:szCs w:val="20"/>
                <w:lang w:eastAsia="en-US"/>
              </w:rPr>
              <w:fldChar w:fldCharType="end"/>
            </w:r>
          </w:p>
        </w:tc>
      </w:tr>
      <w:tr w:rsidR="00254120" w:rsidRPr="007D1918" w14:paraId="435AB2F2" w14:textId="77777777" w:rsidTr="003477D1">
        <w:tc>
          <w:tcPr>
            <w:tcW w:w="5000" w:type="pct"/>
            <w:gridSpan w:val="9"/>
            <w:tcBorders>
              <w:top w:val="single" w:sz="12" w:space="0" w:color="000000"/>
              <w:left w:val="nil"/>
              <w:bottom w:val="single" w:sz="4" w:space="0" w:color="auto"/>
              <w:right w:val="nil"/>
            </w:tcBorders>
            <w:shd w:val="clear" w:color="auto" w:fill="FFFFFF" w:themeFill="background1"/>
            <w:tcMar>
              <w:top w:w="45" w:type="dxa"/>
              <w:left w:w="45" w:type="dxa"/>
              <w:bottom w:w="45" w:type="dxa"/>
              <w:right w:w="45" w:type="dxa"/>
            </w:tcMar>
            <w:vAlign w:val="center"/>
          </w:tcPr>
          <w:p w14:paraId="1D5AE6F3" w14:textId="77777777" w:rsidR="00254120" w:rsidRPr="007D1918" w:rsidRDefault="00254120" w:rsidP="00254120">
            <w:pPr>
              <w:spacing w:before="40" w:after="40" w:line="240" w:lineRule="auto"/>
              <w:jc w:val="both"/>
              <w:rPr>
                <w:rFonts w:ascii="Arial Narrow" w:hAnsi="Arial Narrow"/>
                <w:b/>
                <w:bCs/>
                <w:sz w:val="16"/>
                <w:szCs w:val="16"/>
                <w:lang w:eastAsia="en-US"/>
              </w:rPr>
            </w:pPr>
          </w:p>
        </w:tc>
      </w:tr>
      <w:tr w:rsidR="00254120" w:rsidRPr="007D1918" w14:paraId="32F5C9B3" w14:textId="77777777" w:rsidTr="00947C4C">
        <w:trPr>
          <w:trHeight w:val="60"/>
          <w:tblHeader/>
        </w:trPr>
        <w:tc>
          <w:tcPr>
            <w:tcW w:w="1784" w:type="pct"/>
            <w:gridSpan w:val="3"/>
            <w:tcBorders>
              <w:top w:val="single" w:sz="4" w:space="0" w:color="auto"/>
              <w:bottom w:val="single" w:sz="4" w:space="0" w:color="auto"/>
              <w:right w:val="single" w:sz="4" w:space="0" w:color="auto"/>
            </w:tcBorders>
            <w:shd w:val="clear" w:color="auto" w:fill="EEECE1" w:themeFill="background2"/>
          </w:tcPr>
          <w:p w14:paraId="098FD060" w14:textId="77777777"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assessment</w:t>
            </w:r>
          </w:p>
        </w:tc>
        <w:tc>
          <w:tcPr>
            <w:tcW w:w="2343"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6D3999E9" w14:textId="77777777"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Pr>
          <w:p w14:paraId="55D271D6" w14:textId="77777777"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451" w:type="pct"/>
            <w:vMerge w:val="restart"/>
            <w:tcBorders>
              <w:top w:val="single" w:sz="4" w:space="0" w:color="auto"/>
              <w:left w:val="single" w:sz="4" w:space="0" w:color="auto"/>
              <w:bottom w:val="single" w:sz="4" w:space="0" w:color="auto"/>
            </w:tcBorders>
            <w:shd w:val="clear" w:color="auto" w:fill="EEECE1" w:themeFill="background2"/>
          </w:tcPr>
          <w:p w14:paraId="0565F1B1" w14:textId="77777777"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Importance</w:t>
            </w:r>
          </w:p>
        </w:tc>
      </w:tr>
      <w:tr w:rsidR="00254120" w:rsidRPr="007D1918" w14:paraId="56FC9AEB" w14:textId="77777777" w:rsidTr="00947C4C">
        <w:trPr>
          <w:trHeight w:val="60"/>
          <w:tblHeader/>
        </w:trPr>
        <w:tc>
          <w:tcPr>
            <w:tcW w:w="609" w:type="pct"/>
            <w:tcBorders>
              <w:top w:val="single" w:sz="4" w:space="0" w:color="auto"/>
              <w:bottom w:val="single" w:sz="4" w:space="0" w:color="auto"/>
              <w:right w:val="single" w:sz="4" w:space="0" w:color="auto"/>
            </w:tcBorders>
            <w:shd w:val="clear" w:color="auto" w:fill="EEECE1" w:themeFill="background2"/>
          </w:tcPr>
          <w:p w14:paraId="1D84848B" w14:textId="77777777" w:rsidR="00254120" w:rsidRPr="007D1918" w:rsidRDefault="00546864"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p w14:paraId="1A47ACEC" w14:textId="7FDD95E5" w:rsidR="00546864" w:rsidRPr="007D1918" w:rsidRDefault="00546864"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Comparison</w:t>
            </w:r>
          </w:p>
        </w:tc>
        <w:tc>
          <w:tcPr>
            <w:tcW w:w="514" w:type="pct"/>
            <w:tcBorders>
              <w:top w:val="single" w:sz="4" w:space="0" w:color="auto"/>
              <w:left w:val="single" w:sz="4" w:space="0" w:color="auto"/>
              <w:bottom w:val="single" w:sz="4" w:space="0" w:color="auto"/>
              <w:right w:val="single" w:sz="4" w:space="0" w:color="auto"/>
            </w:tcBorders>
            <w:shd w:val="clear" w:color="auto" w:fill="EEECE1" w:themeFill="background2"/>
          </w:tcPr>
          <w:p w14:paraId="100424C7" w14:textId="77777777"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4AC1ABDB" w14:textId="14C65756"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Studies</w:t>
            </w:r>
          </w:p>
        </w:tc>
        <w:tc>
          <w:tcPr>
            <w:tcW w:w="661" w:type="pct"/>
            <w:tcBorders>
              <w:top w:val="single" w:sz="4" w:space="0" w:color="auto"/>
              <w:left w:val="single" w:sz="4" w:space="0" w:color="auto"/>
              <w:bottom w:val="single" w:sz="4" w:space="0" w:color="auto"/>
              <w:right w:val="single" w:sz="4" w:space="0" w:color="auto"/>
            </w:tcBorders>
            <w:shd w:val="clear" w:color="auto" w:fill="EEECE1" w:themeFill="background2"/>
          </w:tcPr>
          <w:p w14:paraId="4FE1A289" w14:textId="77777777"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of evidence</w:t>
            </w:r>
          </w:p>
          <w:p w14:paraId="02EACD66" w14:textId="1E254667" w:rsidR="00DA47E5" w:rsidRPr="007D1918" w:rsidRDefault="00DA47E5" w:rsidP="00DA47E5">
            <w:pPr>
              <w:spacing w:before="40" w:after="40" w:line="240" w:lineRule="auto"/>
              <w:rPr>
                <w:rFonts w:ascii="Arial Narrow" w:hAnsi="Arial Narrow"/>
                <w:b/>
                <w:sz w:val="20"/>
                <w:szCs w:val="20"/>
                <w:lang w:eastAsia="en-US"/>
              </w:rPr>
            </w:pPr>
            <w:r w:rsidRPr="007D1918">
              <w:rPr>
                <w:rFonts w:ascii="Arial Narrow" w:hAnsi="Arial Narrow"/>
                <w:b/>
                <w:sz w:val="16"/>
                <w:szCs w:val="16"/>
                <w:lang w:eastAsia="en-US"/>
              </w:rPr>
              <w:t xml:space="preserve">Key: 0=not serious; </w:t>
            </w:r>
            <w:r w:rsidRPr="007D1918">
              <w:rPr>
                <w:rFonts w:ascii="Arial Narrow" w:hAnsi="Arial Narrow"/>
                <w:b/>
                <w:sz w:val="16"/>
                <w:szCs w:val="16"/>
                <w:lang w:eastAsia="en-US"/>
              </w:rPr>
              <w:br/>
              <w:t>-1=serious; -2=very serious</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04D6778F" w14:textId="0CFF8B9D"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Intervention result</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32B55097" w14:textId="6A065552"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Comparator result</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Pr>
          <w:p w14:paraId="70E17EB2" w14:textId="098E58D1"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Difference </w:t>
            </w:r>
          </w:p>
        </w:tc>
        <w:tc>
          <w:tcPr>
            <w:tcW w:w="750" w:type="pct"/>
            <w:tcBorders>
              <w:top w:val="single" w:sz="4" w:space="0" w:color="auto"/>
              <w:left w:val="single" w:sz="4" w:space="0" w:color="auto"/>
              <w:bottom w:val="single" w:sz="4" w:space="0" w:color="auto"/>
              <w:right w:val="single" w:sz="4" w:space="0" w:color="auto"/>
            </w:tcBorders>
            <w:shd w:val="clear" w:color="auto" w:fill="EEECE1" w:themeFill="background2"/>
          </w:tcPr>
          <w:p w14:paraId="15C6590E" w14:textId="5E3F8DCC" w:rsidR="00254120" w:rsidRPr="007D1918" w:rsidRDefault="00254120" w:rsidP="00254120">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Interpretation</w:t>
            </w:r>
          </w:p>
        </w:tc>
        <w:tc>
          <w:tcPr>
            <w:tcW w:w="422" w:type="pct"/>
            <w:vMerge/>
            <w:tcBorders>
              <w:top w:val="single" w:sz="4" w:space="0" w:color="auto"/>
              <w:left w:val="single" w:sz="4" w:space="0" w:color="auto"/>
              <w:bottom w:val="single" w:sz="4" w:space="0" w:color="auto"/>
              <w:right w:val="single" w:sz="4" w:space="0" w:color="auto"/>
            </w:tcBorders>
            <w:shd w:val="clear" w:color="auto" w:fill="EEECE1" w:themeFill="background2"/>
          </w:tcPr>
          <w:p w14:paraId="75533CFC" w14:textId="77777777" w:rsidR="00254120" w:rsidRPr="007D1918" w:rsidRDefault="00254120" w:rsidP="00254120">
            <w:pPr>
              <w:spacing w:before="40" w:after="40" w:line="240" w:lineRule="auto"/>
              <w:jc w:val="both"/>
              <w:rPr>
                <w:rFonts w:ascii="Arial Narrow" w:hAnsi="Arial Narrow"/>
                <w:b/>
                <w:sz w:val="20"/>
                <w:szCs w:val="20"/>
                <w:lang w:eastAsia="en-US"/>
              </w:rPr>
            </w:pPr>
          </w:p>
        </w:tc>
        <w:tc>
          <w:tcPr>
            <w:tcW w:w="451" w:type="pct"/>
            <w:vMerge/>
            <w:tcBorders>
              <w:top w:val="single" w:sz="4" w:space="0" w:color="auto"/>
              <w:left w:val="single" w:sz="4" w:space="0" w:color="auto"/>
              <w:bottom w:val="single" w:sz="4" w:space="0" w:color="auto"/>
            </w:tcBorders>
            <w:shd w:val="clear" w:color="auto" w:fill="EEECE1" w:themeFill="background2"/>
          </w:tcPr>
          <w:p w14:paraId="155773A7" w14:textId="77777777" w:rsidR="00254120" w:rsidRPr="007D1918" w:rsidRDefault="00254120" w:rsidP="00254120">
            <w:pPr>
              <w:spacing w:before="40" w:after="40" w:line="240" w:lineRule="auto"/>
              <w:jc w:val="both"/>
              <w:rPr>
                <w:rFonts w:ascii="Arial Narrow" w:hAnsi="Arial Narrow"/>
                <w:b/>
                <w:sz w:val="20"/>
                <w:szCs w:val="20"/>
                <w:lang w:eastAsia="en-US"/>
              </w:rPr>
            </w:pPr>
          </w:p>
        </w:tc>
      </w:tr>
      <w:tr w:rsidR="00254120" w:rsidRPr="007D1918" w14:paraId="186ED342" w14:textId="77777777" w:rsidTr="00EC5E62">
        <w:tc>
          <w:tcPr>
            <w:tcW w:w="609" w:type="pct"/>
            <w:tcBorders>
              <w:top w:val="single" w:sz="4" w:space="0" w:color="auto"/>
              <w:bottom w:val="single" w:sz="4" w:space="0" w:color="auto"/>
              <w:right w:val="single" w:sz="4" w:space="0" w:color="auto"/>
            </w:tcBorders>
          </w:tcPr>
          <w:p w14:paraId="18DE43D5" w14:textId="2F75ACFA" w:rsidR="00254120" w:rsidRPr="007D1918" w:rsidRDefault="00254120" w:rsidP="00BA6A0C">
            <w:pPr>
              <w:spacing w:before="40" w:after="40" w:line="240" w:lineRule="auto"/>
              <w:rPr>
                <w:rFonts w:ascii="Arial Narrow" w:hAnsi="Arial Narrow" w:cs="Arial"/>
                <w:sz w:val="18"/>
                <w:szCs w:val="18"/>
              </w:rPr>
            </w:pPr>
            <w:r w:rsidRPr="007D1918">
              <w:rPr>
                <w:rFonts w:ascii="Arial Narrow" w:hAnsi="Arial Narrow" w:cs="Arial"/>
                <w:sz w:val="18"/>
                <w:szCs w:val="18"/>
              </w:rPr>
              <w:t>Adverse events (</w:t>
            </w:r>
            <w:r w:rsidR="00BA6A0C" w:rsidRPr="007D1918">
              <w:rPr>
                <w:rFonts w:ascii="Arial Narrow" w:hAnsi="Arial Narrow" w:cs="Arial"/>
                <w:sz w:val="18"/>
                <w:szCs w:val="18"/>
              </w:rPr>
              <w:t>% patients with an event</w:t>
            </w:r>
            <w:r w:rsidRPr="007D1918">
              <w:rPr>
                <w:rFonts w:ascii="Arial Narrow" w:hAnsi="Arial Narrow" w:cs="Arial"/>
                <w:sz w:val="18"/>
                <w:szCs w:val="18"/>
              </w:rPr>
              <w:t>)</w:t>
            </w:r>
          </w:p>
          <w:p w14:paraId="33D00DA0" w14:textId="21DCFB54" w:rsidR="00254120" w:rsidRPr="007D1918" w:rsidRDefault="00254120" w:rsidP="00BA6A0C">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6D47CBE2" w14:textId="77777777"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n=897</w:t>
            </w:r>
          </w:p>
          <w:p w14:paraId="6A0B6F12" w14:textId="230DCC11"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 5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0311FC0B" w14:textId="2F2B3199"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003118DE" w:rsidRPr="007D1918">
              <w:rPr>
                <w:rFonts w:ascii="Arial Narrow" w:hAnsi="Arial Narrow"/>
                <w:sz w:val="18"/>
                <w:szCs w:val="18"/>
                <w:vertAlign w:val="superscript"/>
                <w:lang w:eastAsia="en-US"/>
              </w:rPr>
              <w:t>a</w:t>
            </w:r>
          </w:p>
          <w:p w14:paraId="63FEF26F" w14:textId="77777777"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46A76E42" w14:textId="77777777"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203DB3F8" w14:textId="59DD6E64"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49869813" w14:textId="56B4761C" w:rsidR="00254120" w:rsidRPr="007D1918" w:rsidRDefault="002E5787"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 c</w:t>
            </w:r>
            <w:r w:rsidR="00254120" w:rsidRPr="007D1918">
              <w:rPr>
                <w:rFonts w:ascii="Arial Narrow" w:hAnsi="Arial Narrow"/>
                <w:sz w:val="18"/>
                <w:szCs w:val="18"/>
                <w:lang w:eastAsia="en-US"/>
              </w:rPr>
              <w:t>onfounding likely</w:t>
            </w:r>
            <w:r w:rsidRPr="007D1918">
              <w:rPr>
                <w:rFonts w:ascii="Arial Narrow" w:hAnsi="Arial Narrow"/>
                <w:sz w:val="18"/>
                <w:szCs w:val="18"/>
                <w:lang w:eastAsia="en-US"/>
              </w:rPr>
              <w:t xml:space="preserve"> to give</w:t>
            </w:r>
            <w:r w:rsidR="00254120" w:rsidRPr="007D1918">
              <w:rPr>
                <w:rFonts w:ascii="Arial Narrow" w:hAnsi="Arial Narrow"/>
                <w:sz w:val="18"/>
                <w:szCs w:val="18"/>
                <w:lang w:eastAsia="en-US"/>
              </w:rPr>
              <w:t xml:space="preserve"> spurious effect</w:t>
            </w:r>
          </w:p>
        </w:tc>
        <w:tc>
          <w:tcPr>
            <w:tcW w:w="561" w:type="pct"/>
            <w:tcBorders>
              <w:top w:val="single" w:sz="4" w:space="0" w:color="auto"/>
              <w:left w:val="single" w:sz="4" w:space="0" w:color="auto"/>
              <w:bottom w:val="single" w:sz="4" w:space="0" w:color="auto"/>
              <w:right w:val="single" w:sz="4" w:space="0" w:color="auto"/>
            </w:tcBorders>
          </w:tcPr>
          <w:p w14:paraId="4B84E9FE" w14:textId="79C3FC18" w:rsidR="00254120" w:rsidRPr="007D1918" w:rsidRDefault="00533AD2"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rPr>
              <w:t>0%-19.2%</w:t>
            </w:r>
          </w:p>
        </w:tc>
        <w:tc>
          <w:tcPr>
            <w:tcW w:w="561" w:type="pct"/>
            <w:tcBorders>
              <w:top w:val="single" w:sz="4" w:space="0" w:color="auto"/>
              <w:left w:val="single" w:sz="4" w:space="0" w:color="auto"/>
              <w:bottom w:val="single" w:sz="4" w:space="0" w:color="auto"/>
              <w:right w:val="single" w:sz="4" w:space="0" w:color="auto"/>
            </w:tcBorders>
          </w:tcPr>
          <w:p w14:paraId="45118DFD" w14:textId="2B64E91E" w:rsidR="00254120" w:rsidRPr="007D1918" w:rsidRDefault="00533AD2"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rPr>
              <w:t>12.5%-46.4%</w:t>
            </w:r>
          </w:p>
        </w:tc>
        <w:tc>
          <w:tcPr>
            <w:tcW w:w="471" w:type="pct"/>
            <w:tcBorders>
              <w:top w:val="single" w:sz="4" w:space="0" w:color="auto"/>
              <w:left w:val="single" w:sz="4" w:space="0" w:color="auto"/>
              <w:bottom w:val="single" w:sz="4" w:space="0" w:color="auto"/>
              <w:right w:val="single" w:sz="4" w:space="0" w:color="auto"/>
            </w:tcBorders>
          </w:tcPr>
          <w:p w14:paraId="4D80FF25" w14:textId="0D9B5D3A" w:rsidR="00254120" w:rsidRPr="007D1918" w:rsidRDefault="00A1162A"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254120" w:rsidRPr="007D1918">
              <w:rPr>
                <w:rFonts w:ascii="Arial Narrow" w:hAnsi="Arial Narrow"/>
                <w:sz w:val="18"/>
                <w:szCs w:val="18"/>
                <w:lang w:eastAsia="en-US"/>
              </w:rPr>
              <w:t>A</w:t>
            </w:r>
          </w:p>
        </w:tc>
        <w:tc>
          <w:tcPr>
            <w:tcW w:w="750" w:type="pct"/>
            <w:tcBorders>
              <w:top w:val="single" w:sz="4" w:space="0" w:color="auto"/>
              <w:left w:val="single" w:sz="4" w:space="0" w:color="auto"/>
              <w:bottom w:val="single" w:sz="4" w:space="0" w:color="auto"/>
              <w:right w:val="single" w:sz="4" w:space="0" w:color="auto"/>
            </w:tcBorders>
          </w:tcPr>
          <w:p w14:paraId="68C91F48" w14:textId="6432E188" w:rsidR="00254120" w:rsidRPr="007D1918" w:rsidRDefault="002C5E0C" w:rsidP="002C5E0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Overall there were fewer AEs occurring in patients who received IVIg compared to PE</w:t>
            </w:r>
          </w:p>
        </w:tc>
        <w:tc>
          <w:tcPr>
            <w:tcW w:w="422" w:type="pct"/>
            <w:tcBorders>
              <w:top w:val="single" w:sz="4" w:space="0" w:color="auto"/>
              <w:left w:val="single" w:sz="4" w:space="0" w:color="auto"/>
              <w:bottom w:val="single" w:sz="4" w:space="0" w:color="auto"/>
              <w:right w:val="single" w:sz="4" w:space="0" w:color="auto"/>
            </w:tcBorders>
          </w:tcPr>
          <w:p w14:paraId="06C1FC21" w14:textId="48FC6A75" w:rsidR="00254120" w:rsidRPr="007D1918" w:rsidRDefault="00533AD2" w:rsidP="00254120">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5AF231D6" w14:textId="0477383B" w:rsidR="00254120" w:rsidRPr="007D1918" w:rsidRDefault="002E5787" w:rsidP="00254120">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254120" w:rsidRPr="007D1918" w14:paraId="3A8C67BB" w14:textId="77777777" w:rsidTr="00EC5E62">
        <w:tc>
          <w:tcPr>
            <w:tcW w:w="609" w:type="pct"/>
            <w:tcBorders>
              <w:top w:val="single" w:sz="4" w:space="0" w:color="auto"/>
              <w:bottom w:val="single" w:sz="4" w:space="0" w:color="auto"/>
              <w:right w:val="single" w:sz="4" w:space="0" w:color="auto"/>
            </w:tcBorders>
          </w:tcPr>
          <w:p w14:paraId="4B2E4B6B" w14:textId="77777777" w:rsidR="00533AD2" w:rsidRPr="007D1918" w:rsidRDefault="00533AD2" w:rsidP="00546864">
            <w:pPr>
              <w:spacing w:before="40" w:after="40" w:line="240" w:lineRule="auto"/>
              <w:rPr>
                <w:rFonts w:ascii="Arial Narrow" w:hAnsi="Arial Narrow" w:cs="Arial"/>
                <w:sz w:val="18"/>
                <w:szCs w:val="18"/>
              </w:rPr>
            </w:pPr>
            <w:r w:rsidRPr="007D1918">
              <w:rPr>
                <w:rFonts w:ascii="Arial Narrow" w:hAnsi="Arial Narrow" w:cs="Arial"/>
                <w:sz w:val="18"/>
                <w:szCs w:val="18"/>
              </w:rPr>
              <w:t>Adverse events (cumulative incidence)</w:t>
            </w:r>
          </w:p>
          <w:p w14:paraId="2C16BFEB" w14:textId="4A102EBF" w:rsidR="00254120" w:rsidRPr="007D1918" w:rsidRDefault="00533AD2" w:rsidP="00546864">
            <w:pPr>
              <w:spacing w:before="40" w:after="40" w:line="240" w:lineRule="auto"/>
              <w:rPr>
                <w:rFonts w:ascii="Arial Narrow" w:hAnsi="Arial Narrow"/>
                <w:sz w:val="18"/>
                <w:szCs w:val="18"/>
                <w:lang w:eastAsia="en-US"/>
              </w:rPr>
            </w:pPr>
            <w:r w:rsidRPr="007D1918">
              <w:rPr>
                <w:rFonts w:ascii="Arial Narrow" w:hAnsi="Arial Narrow" w:cs="Arial"/>
                <w:sz w:val="18"/>
                <w:szCs w:val="18"/>
              </w:rPr>
              <w:t>IVIg 1g/kg v IVIg 2g/kg</w:t>
            </w:r>
          </w:p>
        </w:tc>
        <w:tc>
          <w:tcPr>
            <w:tcW w:w="514" w:type="pct"/>
            <w:tcBorders>
              <w:top w:val="single" w:sz="4" w:space="0" w:color="auto"/>
              <w:left w:val="single" w:sz="4" w:space="0" w:color="auto"/>
              <w:bottom w:val="single" w:sz="4" w:space="0" w:color="auto"/>
              <w:right w:val="single" w:sz="4" w:space="0" w:color="auto"/>
            </w:tcBorders>
          </w:tcPr>
          <w:p w14:paraId="735808E8" w14:textId="77777777" w:rsidR="00533AD2" w:rsidRPr="007D1918" w:rsidRDefault="00533AD2" w:rsidP="00533AD2">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n=172</w:t>
            </w:r>
          </w:p>
          <w:p w14:paraId="05DF2517" w14:textId="135AACA3" w:rsidR="00254120" w:rsidRPr="007D1918" w:rsidRDefault="00533AD2" w:rsidP="00533AD2">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35B00591" w14:textId="2EB0F0EE" w:rsidR="00254120" w:rsidRPr="007D1918" w:rsidRDefault="00533AD2"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0</w:t>
            </w:r>
          </w:p>
          <w:p w14:paraId="3CD2618B" w14:textId="77777777"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6DF4F17A" w14:textId="77777777" w:rsidR="00254120" w:rsidRPr="007D1918" w:rsidRDefault="00254120"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68E0C94F" w14:textId="08616BAD" w:rsidR="00254120" w:rsidRPr="007D1918" w:rsidRDefault="00533AD2"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49A8CB16" w14:textId="1885D3C2" w:rsidR="00254120" w:rsidRPr="007D1918" w:rsidRDefault="002E5787"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254120" w:rsidRPr="007D1918">
              <w:rPr>
                <w:rFonts w:ascii="Arial Narrow" w:hAnsi="Arial Narrow"/>
                <w:sz w:val="18"/>
                <w:szCs w:val="18"/>
                <w:lang w:eastAsia="en-US"/>
              </w:rPr>
              <w:t>:</w:t>
            </w:r>
            <w:r w:rsidRPr="007D1918">
              <w:rPr>
                <w:rFonts w:ascii="Arial Narrow" w:hAnsi="Arial Narrow"/>
                <w:sz w:val="18"/>
                <w:szCs w:val="18"/>
                <w:lang w:eastAsia="en-US"/>
              </w:rPr>
              <w:t xml:space="preserve"> </w:t>
            </w:r>
            <w:r w:rsidR="00254120"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6B83F0AB" w14:textId="6BC0FCDA" w:rsidR="00254120" w:rsidRPr="007D1918" w:rsidRDefault="002C5E0C" w:rsidP="002C5E0C">
            <w:pPr>
              <w:spacing w:before="40" w:after="40" w:line="240" w:lineRule="auto"/>
              <w:jc w:val="both"/>
              <w:rPr>
                <w:rFonts w:ascii="Arial Narrow" w:hAnsi="Arial Narrow"/>
                <w:sz w:val="18"/>
                <w:szCs w:val="18"/>
                <w:lang w:eastAsia="en-US"/>
              </w:rPr>
            </w:pPr>
            <w:r w:rsidRPr="007D1918">
              <w:rPr>
                <w:rFonts w:ascii="Arial Narrow" w:hAnsi="Arial Narrow"/>
                <w:sz w:val="18"/>
                <w:szCs w:val="18"/>
              </w:rPr>
              <w:t>40.48 ± 5.36</w:t>
            </w:r>
          </w:p>
        </w:tc>
        <w:tc>
          <w:tcPr>
            <w:tcW w:w="561" w:type="pct"/>
            <w:tcBorders>
              <w:top w:val="single" w:sz="4" w:space="0" w:color="auto"/>
              <w:left w:val="single" w:sz="4" w:space="0" w:color="auto"/>
              <w:bottom w:val="single" w:sz="4" w:space="0" w:color="auto"/>
              <w:right w:val="single" w:sz="4" w:space="0" w:color="auto"/>
            </w:tcBorders>
          </w:tcPr>
          <w:p w14:paraId="13B4D3D7" w14:textId="425F4CB4" w:rsidR="00254120" w:rsidRPr="007D1918" w:rsidRDefault="002C5E0C" w:rsidP="002C5E0C">
            <w:pPr>
              <w:spacing w:before="40" w:after="40" w:line="240" w:lineRule="auto"/>
              <w:jc w:val="both"/>
              <w:rPr>
                <w:rFonts w:ascii="Arial Narrow" w:hAnsi="Arial Narrow"/>
                <w:sz w:val="18"/>
                <w:szCs w:val="18"/>
              </w:rPr>
            </w:pPr>
            <w:r w:rsidRPr="007D1918">
              <w:rPr>
                <w:rFonts w:ascii="Arial Narrow" w:hAnsi="Arial Narrow"/>
                <w:sz w:val="18"/>
                <w:szCs w:val="18"/>
              </w:rPr>
              <w:t>46.59 ± 5.32</w:t>
            </w:r>
          </w:p>
        </w:tc>
        <w:tc>
          <w:tcPr>
            <w:tcW w:w="471" w:type="pct"/>
            <w:tcBorders>
              <w:top w:val="single" w:sz="4" w:space="0" w:color="auto"/>
              <w:left w:val="single" w:sz="4" w:space="0" w:color="auto"/>
              <w:bottom w:val="single" w:sz="4" w:space="0" w:color="auto"/>
              <w:right w:val="single" w:sz="4" w:space="0" w:color="auto"/>
            </w:tcBorders>
          </w:tcPr>
          <w:p w14:paraId="1B2F9BCD" w14:textId="6C344317" w:rsidR="00254120" w:rsidRPr="007D1918" w:rsidRDefault="002C5E0C" w:rsidP="0025412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0.39</w:t>
            </w:r>
          </w:p>
        </w:tc>
        <w:tc>
          <w:tcPr>
            <w:tcW w:w="750" w:type="pct"/>
            <w:tcBorders>
              <w:top w:val="single" w:sz="4" w:space="0" w:color="auto"/>
              <w:left w:val="single" w:sz="4" w:space="0" w:color="auto"/>
              <w:bottom w:val="single" w:sz="4" w:space="0" w:color="auto"/>
              <w:right w:val="single" w:sz="4" w:space="0" w:color="auto"/>
            </w:tcBorders>
          </w:tcPr>
          <w:p w14:paraId="0C78BFE6" w14:textId="2BFEB9D3" w:rsidR="00254120" w:rsidRPr="007D1918" w:rsidRDefault="002C5E0C" w:rsidP="002C5E0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the number of AEs occurring between groups</w:t>
            </w:r>
          </w:p>
        </w:tc>
        <w:tc>
          <w:tcPr>
            <w:tcW w:w="422" w:type="pct"/>
            <w:tcBorders>
              <w:top w:val="single" w:sz="4" w:space="0" w:color="auto"/>
              <w:left w:val="single" w:sz="4" w:space="0" w:color="auto"/>
              <w:bottom w:val="single" w:sz="4" w:space="0" w:color="auto"/>
              <w:right w:val="single" w:sz="4" w:space="0" w:color="auto"/>
            </w:tcBorders>
          </w:tcPr>
          <w:p w14:paraId="0F66856B" w14:textId="6210FEF9" w:rsidR="00254120" w:rsidRPr="007D1918" w:rsidRDefault="00254120" w:rsidP="00254120">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00533AD2" w:rsidRPr="007D1918">
              <w:rPr>
                <w:rFonts w:ascii="Cambria Math" w:hAnsi="Cambria Math" w:cs="Cambria Math"/>
                <w:color w:val="00B050"/>
                <w:sz w:val="18"/>
                <w:szCs w:val="18"/>
              </w:rPr>
              <w:t>⊕⊕⊕</w:t>
            </w:r>
          </w:p>
        </w:tc>
        <w:tc>
          <w:tcPr>
            <w:tcW w:w="451" w:type="pct"/>
            <w:tcBorders>
              <w:top w:val="single" w:sz="4" w:space="0" w:color="auto"/>
              <w:left w:val="single" w:sz="4" w:space="0" w:color="auto"/>
              <w:bottom w:val="single" w:sz="4" w:space="0" w:color="auto"/>
            </w:tcBorders>
          </w:tcPr>
          <w:p w14:paraId="6B190973" w14:textId="77777777" w:rsidR="00254120" w:rsidRPr="007D1918" w:rsidRDefault="00254120" w:rsidP="00254120">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254120" w:rsidRPr="007D1918" w14:paraId="70E9AF01" w14:textId="77777777" w:rsidTr="002C5E0C">
        <w:tc>
          <w:tcPr>
            <w:tcW w:w="5000" w:type="pct"/>
            <w:gridSpan w:val="9"/>
            <w:tcBorders>
              <w:top w:val="single" w:sz="4" w:space="0" w:color="auto"/>
              <w:left w:val="nil"/>
              <w:bottom w:val="single" w:sz="12" w:space="0" w:color="000000"/>
              <w:right w:val="nil"/>
            </w:tcBorders>
            <w:tcMar>
              <w:top w:w="15" w:type="dxa"/>
              <w:left w:w="15" w:type="dxa"/>
              <w:bottom w:w="15" w:type="dxa"/>
              <w:right w:w="15" w:type="dxa"/>
            </w:tcMar>
            <w:vAlign w:val="center"/>
            <w:hideMark/>
          </w:tcPr>
          <w:p w14:paraId="2364E674" w14:textId="77777777" w:rsidR="00254120" w:rsidRPr="007D1918" w:rsidRDefault="00254120" w:rsidP="0025412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33B106E5" w14:textId="635A5ECC" w:rsidR="002C5E0C" w:rsidRPr="007D1918" w:rsidRDefault="00B85D55" w:rsidP="00A1162A">
      <w:pPr>
        <w:pStyle w:val="Tablenotes0"/>
        <w:spacing w:after="80"/>
        <w:contextualSpacing w:val="0"/>
      </w:pPr>
      <w:r w:rsidRPr="007D1918">
        <w:t xml:space="preserve">AE = adverse event; </w:t>
      </w:r>
      <w:r w:rsidR="002C5E0C" w:rsidRPr="007D1918">
        <w:t xml:space="preserve">IVIg = intravenous immunoglobulin therapy; MG = </w:t>
      </w:r>
      <w:r w:rsidR="00CF097D" w:rsidRPr="007D1918">
        <w:t>myasthenia</w:t>
      </w:r>
      <w:r w:rsidR="002C5E0C" w:rsidRPr="007D1918">
        <w:t xml:space="preserve"> gravis; </w:t>
      </w:r>
      <w:r w:rsidR="00A1162A" w:rsidRPr="007D1918">
        <w:t xml:space="preserve">NA = not applicable; </w:t>
      </w:r>
      <w:r w:rsidR="002C5E0C" w:rsidRPr="007D1918">
        <w:t>PE = plasma exchange therapy; R</w:t>
      </w:r>
      <w:r w:rsidR="00773DFA" w:rsidRPr="007D1918">
        <w:t xml:space="preserve">et </w:t>
      </w:r>
      <w:r w:rsidR="002C5E0C" w:rsidRPr="007D1918">
        <w:t xml:space="preserve">CoH = retrospective cohort study; RCT = randomised controlled trial; </w:t>
      </w:r>
    </w:p>
    <w:p w14:paraId="29624FBE" w14:textId="77777777" w:rsidR="002C5E0C" w:rsidRPr="007D1918" w:rsidRDefault="002C5E0C" w:rsidP="002C5E0C">
      <w:pPr>
        <w:pStyle w:val="Tablenotes0"/>
      </w:pPr>
      <w:r w:rsidRPr="007D1918">
        <w:rPr>
          <w:vertAlign w:val="superscript"/>
        </w:rPr>
        <w:t>a</w:t>
      </w:r>
      <w:r w:rsidRPr="007D1918">
        <w:t xml:space="preserve"> Selection bias could not be ruled out</w:t>
      </w:r>
    </w:p>
    <w:p w14:paraId="7E5B5D41" w14:textId="77777777" w:rsidR="00254120" w:rsidRPr="007D1918" w:rsidRDefault="00254120" w:rsidP="00044AD6">
      <w:pPr>
        <w:spacing w:after="0"/>
      </w:pPr>
    </w:p>
    <w:p w14:paraId="1F3CCD9D" w14:textId="208C0F7B" w:rsidR="0027032B" w:rsidRPr="007D1918" w:rsidRDefault="0027032B" w:rsidP="0027032B">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pPr>
      <w:bookmarkStart w:id="612" w:name="_Toc23769591"/>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104</w:t>
      </w:r>
      <w:r w:rsidRPr="007D1918">
        <w:rPr>
          <w:noProof/>
        </w:rPr>
        <w:fldChar w:fldCharType="end"/>
      </w:r>
      <w:r w:rsidRPr="007D1918">
        <w:tab/>
        <w:t>Safety evidence profile table for IVIg in MG patients preparing for surgery (</w:t>
      </w:r>
      <w:r w:rsidR="0088065E" w:rsidRPr="007D1918">
        <w:rPr>
          <w:i/>
        </w:rPr>
        <w:t>Criteria V3</w:t>
      </w:r>
      <w:r w:rsidR="0088065E" w:rsidRPr="007D1918">
        <w:t xml:space="preserve"> </w:t>
      </w:r>
      <w:r w:rsidRPr="007D1918">
        <w:t>Indication 2)</w:t>
      </w:r>
      <w:bookmarkEnd w:id="612"/>
    </w:p>
    <w:tbl>
      <w:tblPr>
        <w:tblW w:w="5000" w:type="pct"/>
        <w:tblLook w:val="04A0" w:firstRow="1" w:lastRow="0" w:firstColumn="1" w:lastColumn="0" w:noHBand="0" w:noVBand="1"/>
        <w:tblCaption w:val="Table 61 Safety evidence profile table for IVIg in MG patients preparing for surgery (Criteria V3 Indication 2)"/>
        <w:tblDescription w:val="GRADE safety evidence profile forr Indication 2."/>
      </w:tblPr>
      <w:tblGrid>
        <w:gridCol w:w="1845"/>
        <w:gridCol w:w="1556"/>
        <w:gridCol w:w="2001"/>
        <w:gridCol w:w="1698"/>
        <w:gridCol w:w="1698"/>
        <w:gridCol w:w="1426"/>
        <w:gridCol w:w="2270"/>
        <w:gridCol w:w="1277"/>
        <w:gridCol w:w="1365"/>
      </w:tblGrid>
      <w:tr w:rsidR="0027032B" w:rsidRPr="007D1918" w14:paraId="68B327B9" w14:textId="77777777" w:rsidTr="00300091">
        <w:tc>
          <w:tcPr>
            <w:tcW w:w="5000" w:type="pct"/>
            <w:gridSpan w:val="9"/>
            <w:tcBorders>
              <w:top w:val="single" w:sz="12" w:space="0" w:color="000000"/>
              <w:left w:val="nil"/>
              <w:bottom w:val="single" w:sz="12" w:space="0" w:color="000000"/>
              <w:right w:val="nil"/>
            </w:tcBorders>
            <w:shd w:val="clear" w:color="auto" w:fill="FFFFFF" w:themeFill="background1"/>
            <w:tcMar>
              <w:top w:w="45" w:type="dxa"/>
              <w:left w:w="45" w:type="dxa"/>
              <w:bottom w:w="45" w:type="dxa"/>
              <w:right w:w="45" w:type="dxa"/>
            </w:tcMar>
            <w:vAlign w:val="center"/>
            <w:hideMark/>
          </w:tcPr>
          <w:p w14:paraId="7AA8C1E5" w14:textId="056EB2D9" w:rsidR="0027032B" w:rsidRPr="007D1918" w:rsidRDefault="0027032B" w:rsidP="00097A59">
            <w:pPr>
              <w:spacing w:before="40" w:after="40" w:line="240" w:lineRule="auto"/>
              <w:rPr>
                <w:rFonts w:ascii="Arial Narrow" w:hAnsi="Arial Narrow"/>
                <w:sz w:val="20"/>
                <w:szCs w:val="20"/>
                <w:lang w:eastAsia="en-US"/>
              </w:rPr>
            </w:pPr>
            <w:r w:rsidRPr="007D1918">
              <w:rPr>
                <w:rFonts w:ascii="Arial Narrow" w:hAnsi="Arial Narrow"/>
                <w:b/>
                <w:bCs/>
                <w:sz w:val="20"/>
                <w:szCs w:val="20"/>
                <w:lang w:eastAsia="en-US"/>
              </w:rPr>
              <w:t xml:space="preserve">Question: </w:t>
            </w:r>
            <w:r w:rsidRPr="007D1918">
              <w:rPr>
                <w:rFonts w:ascii="Arial Narrow" w:hAnsi="Arial Narrow"/>
                <w:bCs/>
                <w:sz w:val="20"/>
                <w:szCs w:val="20"/>
                <w:lang w:eastAsia="en-US"/>
              </w:rPr>
              <w:t>How safe is</w:t>
            </w:r>
            <w:r w:rsidRPr="007D1918">
              <w:rPr>
                <w:rFonts w:ascii="Arial Narrow" w:hAnsi="Arial Narrow"/>
                <w:b/>
                <w:bCs/>
                <w:sz w:val="20"/>
                <w:szCs w:val="20"/>
                <w:lang w:eastAsia="en-US"/>
              </w:rPr>
              <w:t xml:space="preserve"> </w:t>
            </w:r>
            <w:r w:rsidRPr="007D1918">
              <w:rPr>
                <w:rFonts w:ascii="Arial Narrow" w:hAnsi="Arial Narrow"/>
                <w:sz w:val="20"/>
                <w:szCs w:val="20"/>
                <w:lang w:eastAsia="en-US"/>
              </w:rPr>
              <w:t xml:space="preserve">IVIg for patients with MG? </w:t>
            </w:r>
          </w:p>
          <w:p w14:paraId="3723616F" w14:textId="02CFF1BF" w:rsidR="0027032B" w:rsidRPr="007D1918" w:rsidRDefault="0027032B" w:rsidP="00097A59">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Patient or population: P</w:t>
            </w:r>
            <w:r w:rsidRPr="007D1918">
              <w:rPr>
                <w:rFonts w:ascii="Arial Narrow" w:hAnsi="Arial Narrow"/>
                <w:sz w:val="20"/>
                <w:szCs w:val="20"/>
                <w:lang w:eastAsia="en-US"/>
              </w:rPr>
              <w:t>atients with moderate to severe MG preparing for surgery</w:t>
            </w:r>
          </w:p>
          <w:p w14:paraId="635DA0E2" w14:textId="0A0B807E" w:rsidR="0027032B" w:rsidRPr="007D1918" w:rsidRDefault="0027032B" w:rsidP="00097A59">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Intervention:</w:t>
            </w:r>
            <w:r w:rsidRPr="007D1918">
              <w:rPr>
                <w:rFonts w:ascii="Arial Narrow" w:hAnsi="Arial Narrow"/>
                <w:sz w:val="20"/>
                <w:szCs w:val="20"/>
                <w:lang w:eastAsia="en-US"/>
              </w:rPr>
              <w:t xml:space="preserve"> IVIg</w:t>
            </w:r>
          </w:p>
          <w:p w14:paraId="19F1FBD5" w14:textId="764D1013" w:rsidR="0027032B" w:rsidRPr="007D1918" w:rsidRDefault="0027032B" w:rsidP="00097A59">
            <w:pPr>
              <w:spacing w:before="40" w:after="40" w:line="240" w:lineRule="auto"/>
              <w:ind w:left="806" w:hanging="806"/>
              <w:rPr>
                <w:rFonts w:ascii="Arial Narrow" w:hAnsi="Arial Narrow"/>
                <w:b/>
                <w:bCs/>
                <w:sz w:val="20"/>
                <w:szCs w:val="20"/>
                <w:lang w:eastAsia="en-US"/>
              </w:rPr>
            </w:pPr>
            <w:r w:rsidRPr="007D1918">
              <w:rPr>
                <w:rFonts w:ascii="Arial Narrow" w:hAnsi="Arial Narrow"/>
                <w:b/>
                <w:bCs/>
                <w:sz w:val="20"/>
                <w:szCs w:val="20"/>
                <w:lang w:eastAsia="en-US"/>
              </w:rPr>
              <w:t xml:space="preserve">Comparison: </w:t>
            </w:r>
            <w:r w:rsidRPr="007D1918">
              <w:rPr>
                <w:rFonts w:ascii="Arial Narrow" w:hAnsi="Arial Narrow"/>
                <w:bCs/>
                <w:sz w:val="20"/>
                <w:szCs w:val="20"/>
                <w:lang w:eastAsia="en-US"/>
              </w:rPr>
              <w:t>PE</w:t>
            </w:r>
          </w:p>
          <w:p w14:paraId="7356EC46" w14:textId="10E3367B" w:rsidR="0027032B" w:rsidRPr="007D1918" w:rsidRDefault="0027032B" w:rsidP="007D4948">
            <w:pPr>
              <w:spacing w:before="40" w:after="40" w:line="240" w:lineRule="auto"/>
              <w:jc w:val="both"/>
              <w:rPr>
                <w:rFonts w:ascii="Arial Narrow" w:hAnsi="Arial Narrow"/>
                <w:b/>
                <w:bCs/>
                <w:sz w:val="20"/>
                <w:szCs w:val="20"/>
                <w:lang w:eastAsia="en-US"/>
              </w:rPr>
            </w:pPr>
            <w:r w:rsidRPr="007D1918">
              <w:rPr>
                <w:rFonts w:ascii="Arial Narrow" w:hAnsi="Arial Narrow"/>
                <w:b/>
                <w:bCs/>
                <w:sz w:val="20"/>
                <w:szCs w:val="20"/>
                <w:lang w:eastAsia="en-US"/>
              </w:rPr>
              <w:t xml:space="preserve">Author(s): </w:t>
            </w:r>
            <w:r w:rsidR="003736AC" w:rsidRPr="007D1918">
              <w:rPr>
                <w:rFonts w:ascii="Arial Narrow" w:hAnsi="Arial Narrow"/>
                <w:b/>
                <w:bCs/>
                <w:sz w:val="20"/>
                <w:szCs w:val="20"/>
                <w:lang w:eastAsia="en-US"/>
              </w:rPr>
              <w:fldChar w:fldCharType="begin">
                <w:fldData xml:space="preserve">PEVuZE5vdGU+PENpdGU+PEF1dGhvcj5BbGlwb3VyLUZhejwvQXV0aG9yPjxZZWFyPjIwMTc8L1ll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</w:fldData>
              </w:fldChar>
            </w:r>
            <w:r w:rsidR="00C437BA" w:rsidRPr="007D1918">
              <w:rPr>
                <w:rFonts w:ascii="Arial Narrow" w:hAnsi="Arial Narrow"/>
                <w:b/>
                <w:bCs/>
                <w:sz w:val="20"/>
                <w:szCs w:val="20"/>
                <w:lang w:eastAsia="en-US"/>
              </w:rPr>
              <w:instrText xml:space="preserve"> ADDIN EN.CITE </w:instrText>
            </w:r>
            <w:r w:rsidR="00C437BA" w:rsidRPr="007D1918">
              <w:rPr>
                <w:rFonts w:ascii="Arial Narrow" w:hAnsi="Arial Narrow"/>
                <w:b/>
                <w:bCs/>
                <w:sz w:val="20"/>
                <w:szCs w:val="20"/>
                <w:lang w:eastAsia="en-US"/>
              </w:rPr>
              <w:fldChar w:fldCharType="begin">
                <w:fldData xml:space="preserve">PEVuZE5vdGU+PENpdGU+PEF1dGhvcj5BbGlwb3VyLUZhejwvQXV0aG9yPjxZZWFyPjIwMTc8L1ll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</w:fldData>
              </w:fldChar>
            </w:r>
            <w:r w:rsidR="00C437BA" w:rsidRPr="007D1918">
              <w:rPr>
                <w:rFonts w:ascii="Arial Narrow" w:hAnsi="Arial Narrow"/>
                <w:b/>
                <w:bCs/>
                <w:sz w:val="20"/>
                <w:szCs w:val="20"/>
                <w:lang w:eastAsia="en-US"/>
              </w:rPr>
              <w:instrText xml:space="preserve"> ADDIN EN.CITE.DATA </w:instrText>
            </w:r>
            <w:r w:rsidR="00C437BA" w:rsidRPr="007D1918">
              <w:rPr>
                <w:rFonts w:ascii="Arial Narrow" w:hAnsi="Arial Narrow"/>
                <w:b/>
                <w:bCs/>
                <w:sz w:val="20"/>
                <w:szCs w:val="20"/>
                <w:lang w:eastAsia="en-US"/>
              </w:rPr>
            </w:r>
            <w:r w:rsidR="00C437BA" w:rsidRPr="007D1918">
              <w:rPr>
                <w:rFonts w:ascii="Arial Narrow" w:hAnsi="Arial Narrow"/>
                <w:b/>
                <w:bCs/>
                <w:sz w:val="20"/>
                <w:szCs w:val="20"/>
                <w:lang w:eastAsia="en-US"/>
              </w:rPr>
              <w:fldChar w:fldCharType="end"/>
            </w:r>
            <w:r w:rsidR="003736AC" w:rsidRPr="007D1918">
              <w:rPr>
                <w:rFonts w:ascii="Arial Narrow" w:hAnsi="Arial Narrow"/>
                <w:b/>
                <w:bCs/>
                <w:sz w:val="20"/>
                <w:szCs w:val="20"/>
                <w:lang w:eastAsia="en-US"/>
              </w:rPr>
            </w:r>
            <w:r w:rsidR="003736AC" w:rsidRPr="007D1918">
              <w:rPr>
                <w:rFonts w:ascii="Arial Narrow" w:hAnsi="Arial Narrow"/>
                <w:b/>
                <w:bCs/>
                <w:sz w:val="20"/>
                <w:szCs w:val="20"/>
                <w:lang w:eastAsia="en-US"/>
              </w:rPr>
              <w:fldChar w:fldCharType="separate"/>
            </w:r>
            <w:r w:rsidR="003736AC" w:rsidRPr="007D1918">
              <w:rPr>
                <w:rFonts w:ascii="Arial Narrow" w:hAnsi="Arial Narrow"/>
                <w:b/>
                <w:bCs/>
                <w:noProof/>
                <w:sz w:val="20"/>
                <w:szCs w:val="20"/>
                <w:lang w:eastAsia="en-US"/>
              </w:rPr>
              <w:t>(</w:t>
            </w:r>
            <w:hyperlink w:anchor="_ENREF_4" w:tooltip="Alipour-Faz, 2017 #64" w:history="1">
              <w:r w:rsidR="007D4948" w:rsidRPr="007D1918">
                <w:rPr>
                  <w:rFonts w:ascii="Arial Narrow" w:hAnsi="Arial Narrow"/>
                  <w:b/>
                  <w:bCs/>
                  <w:noProof/>
                  <w:sz w:val="20"/>
                  <w:szCs w:val="20"/>
                  <w:lang w:eastAsia="en-US"/>
                </w:rPr>
                <w:t>Alipour-Faz et al. 2017</w:t>
              </w:r>
            </w:hyperlink>
            <w:r w:rsidR="003736AC" w:rsidRPr="007D1918">
              <w:rPr>
                <w:rFonts w:ascii="Arial Narrow" w:hAnsi="Arial Narrow"/>
                <w:b/>
                <w:bCs/>
                <w:noProof/>
                <w:sz w:val="20"/>
                <w:szCs w:val="20"/>
                <w:lang w:eastAsia="en-US"/>
              </w:rPr>
              <w:t xml:space="preserve">; </w:t>
            </w:r>
            <w:hyperlink w:anchor="_ENREF_60" w:tooltip="Leuzzi, 2014 #63" w:history="1">
              <w:r w:rsidR="007D4948" w:rsidRPr="007D1918">
                <w:rPr>
                  <w:rFonts w:ascii="Arial Narrow" w:hAnsi="Arial Narrow"/>
                  <w:b/>
                  <w:bCs/>
                  <w:noProof/>
                  <w:sz w:val="20"/>
                  <w:szCs w:val="20"/>
                  <w:lang w:eastAsia="en-US"/>
                </w:rPr>
                <w:t>Leuzzi et al. 2014</w:t>
              </w:r>
            </w:hyperlink>
            <w:r w:rsidR="003736AC" w:rsidRPr="007D1918">
              <w:rPr>
                <w:rFonts w:ascii="Arial Narrow" w:hAnsi="Arial Narrow"/>
                <w:b/>
                <w:bCs/>
                <w:noProof/>
                <w:sz w:val="20"/>
                <w:szCs w:val="20"/>
                <w:lang w:eastAsia="en-US"/>
              </w:rPr>
              <w:t>)</w:t>
            </w:r>
            <w:r w:rsidR="003736AC" w:rsidRPr="007D1918">
              <w:rPr>
                <w:rFonts w:ascii="Arial Narrow" w:hAnsi="Arial Narrow"/>
                <w:b/>
                <w:bCs/>
                <w:sz w:val="20"/>
                <w:szCs w:val="20"/>
                <w:lang w:eastAsia="en-US"/>
              </w:rPr>
              <w:fldChar w:fldCharType="end"/>
            </w:r>
          </w:p>
        </w:tc>
      </w:tr>
      <w:tr w:rsidR="0027032B" w:rsidRPr="007D1918" w14:paraId="123A8B34" w14:textId="77777777" w:rsidTr="009B273A">
        <w:trPr>
          <w:trHeight w:val="268"/>
        </w:trPr>
        <w:tc>
          <w:tcPr>
            <w:tcW w:w="5000" w:type="pct"/>
            <w:gridSpan w:val="9"/>
            <w:tcBorders>
              <w:top w:val="single" w:sz="12" w:space="0" w:color="000000"/>
              <w:left w:val="nil"/>
              <w:bottom w:val="single" w:sz="4" w:space="0" w:color="auto"/>
              <w:right w:val="nil"/>
            </w:tcBorders>
            <w:tcMar>
              <w:top w:w="45" w:type="dxa"/>
              <w:left w:w="45" w:type="dxa"/>
              <w:bottom w:w="45" w:type="dxa"/>
              <w:right w:w="45" w:type="dxa"/>
            </w:tcMar>
            <w:vAlign w:val="center"/>
          </w:tcPr>
          <w:p w14:paraId="3C07CC6F" w14:textId="77777777" w:rsidR="0027032B" w:rsidRPr="007D1918" w:rsidRDefault="0027032B" w:rsidP="00097A59">
            <w:pPr>
              <w:spacing w:before="40" w:after="40" w:line="240" w:lineRule="auto"/>
              <w:jc w:val="both"/>
              <w:rPr>
                <w:rFonts w:ascii="Arial Narrow" w:hAnsi="Arial Narrow"/>
                <w:b/>
                <w:bCs/>
                <w:sz w:val="16"/>
                <w:szCs w:val="16"/>
                <w:lang w:eastAsia="en-US"/>
              </w:rPr>
            </w:pPr>
          </w:p>
        </w:tc>
      </w:tr>
      <w:tr w:rsidR="0027032B" w:rsidRPr="007D1918" w14:paraId="6ECA7512" w14:textId="77777777" w:rsidTr="00300091">
        <w:trPr>
          <w:trHeight w:val="60"/>
          <w:tblHeader/>
        </w:trPr>
        <w:tc>
          <w:tcPr>
            <w:tcW w:w="1784" w:type="pct"/>
            <w:gridSpan w:val="3"/>
            <w:tcBorders>
              <w:top w:val="single" w:sz="4" w:space="0" w:color="auto"/>
              <w:bottom w:val="single" w:sz="4" w:space="0" w:color="auto"/>
              <w:right w:val="single" w:sz="4" w:space="0" w:color="auto"/>
            </w:tcBorders>
            <w:shd w:val="clear" w:color="auto" w:fill="EEECE1" w:themeFill="background2"/>
          </w:tcPr>
          <w:p w14:paraId="6AFB0B4D"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assessment</w:t>
            </w:r>
          </w:p>
        </w:tc>
        <w:tc>
          <w:tcPr>
            <w:tcW w:w="2343"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3BED78C4"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Pr>
          <w:p w14:paraId="203ED158"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451" w:type="pct"/>
            <w:vMerge w:val="restart"/>
            <w:tcBorders>
              <w:top w:val="single" w:sz="4" w:space="0" w:color="auto"/>
              <w:left w:val="single" w:sz="4" w:space="0" w:color="auto"/>
              <w:bottom w:val="single" w:sz="4" w:space="0" w:color="auto"/>
            </w:tcBorders>
            <w:shd w:val="clear" w:color="auto" w:fill="EEECE1" w:themeFill="background2"/>
          </w:tcPr>
          <w:p w14:paraId="24F1E427"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Importance</w:t>
            </w:r>
          </w:p>
        </w:tc>
      </w:tr>
      <w:tr w:rsidR="0027032B" w:rsidRPr="007D1918" w14:paraId="2E504560" w14:textId="77777777" w:rsidTr="00300091">
        <w:trPr>
          <w:trHeight w:val="60"/>
          <w:tblHeader/>
        </w:trPr>
        <w:tc>
          <w:tcPr>
            <w:tcW w:w="609" w:type="pct"/>
            <w:tcBorders>
              <w:top w:val="single" w:sz="4" w:space="0" w:color="auto"/>
              <w:bottom w:val="single" w:sz="4" w:space="0" w:color="auto"/>
              <w:right w:val="single" w:sz="4" w:space="0" w:color="auto"/>
            </w:tcBorders>
            <w:shd w:val="clear" w:color="auto" w:fill="EEECE1" w:themeFill="background2"/>
          </w:tcPr>
          <w:p w14:paraId="67FA29A0"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p w14:paraId="031BC329"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Comparison</w:t>
            </w:r>
          </w:p>
        </w:tc>
        <w:tc>
          <w:tcPr>
            <w:tcW w:w="514" w:type="pct"/>
            <w:tcBorders>
              <w:top w:val="single" w:sz="4" w:space="0" w:color="auto"/>
              <w:left w:val="single" w:sz="4" w:space="0" w:color="auto"/>
              <w:bottom w:val="single" w:sz="4" w:space="0" w:color="auto"/>
              <w:right w:val="single" w:sz="4" w:space="0" w:color="auto"/>
            </w:tcBorders>
            <w:shd w:val="clear" w:color="auto" w:fill="EEECE1" w:themeFill="background2"/>
          </w:tcPr>
          <w:p w14:paraId="5B1A9BD0"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26D862F1"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Studies</w:t>
            </w:r>
          </w:p>
        </w:tc>
        <w:tc>
          <w:tcPr>
            <w:tcW w:w="661" w:type="pct"/>
            <w:tcBorders>
              <w:top w:val="single" w:sz="4" w:space="0" w:color="auto"/>
              <w:left w:val="single" w:sz="4" w:space="0" w:color="auto"/>
              <w:bottom w:val="single" w:sz="4" w:space="0" w:color="auto"/>
              <w:right w:val="single" w:sz="4" w:space="0" w:color="auto"/>
            </w:tcBorders>
            <w:shd w:val="clear" w:color="auto" w:fill="EEECE1" w:themeFill="background2"/>
          </w:tcPr>
          <w:p w14:paraId="7FD06C87"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of evidence</w:t>
            </w:r>
          </w:p>
          <w:p w14:paraId="56588301" w14:textId="78A0E798" w:rsidR="00DA47E5" w:rsidRPr="007D1918" w:rsidRDefault="00DA47E5" w:rsidP="00DA47E5">
            <w:pPr>
              <w:spacing w:before="40" w:after="40" w:line="240" w:lineRule="auto"/>
              <w:rPr>
                <w:rFonts w:ascii="Arial Narrow" w:hAnsi="Arial Narrow"/>
                <w:b/>
                <w:sz w:val="20"/>
                <w:szCs w:val="20"/>
                <w:lang w:eastAsia="en-US"/>
              </w:rPr>
            </w:pPr>
            <w:r w:rsidRPr="007D1918">
              <w:rPr>
                <w:rFonts w:ascii="Arial Narrow" w:hAnsi="Arial Narrow"/>
                <w:b/>
                <w:sz w:val="16"/>
                <w:szCs w:val="16"/>
                <w:lang w:eastAsia="en-US"/>
              </w:rPr>
              <w:t xml:space="preserve">Key: 0=not serious; </w:t>
            </w:r>
            <w:r w:rsidRPr="007D1918">
              <w:rPr>
                <w:rFonts w:ascii="Arial Narrow" w:hAnsi="Arial Narrow"/>
                <w:b/>
                <w:sz w:val="16"/>
                <w:szCs w:val="16"/>
                <w:lang w:eastAsia="en-US"/>
              </w:rPr>
              <w:br/>
              <w:t>-1=serious; -2=very serious</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1CA693D5"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Intervention result</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3D821D62"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Comparator result</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Pr>
          <w:p w14:paraId="43AE0B9F"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Difference </w:t>
            </w:r>
          </w:p>
        </w:tc>
        <w:tc>
          <w:tcPr>
            <w:tcW w:w="750" w:type="pct"/>
            <w:tcBorders>
              <w:top w:val="single" w:sz="4" w:space="0" w:color="auto"/>
              <w:left w:val="single" w:sz="4" w:space="0" w:color="auto"/>
              <w:bottom w:val="single" w:sz="4" w:space="0" w:color="auto"/>
              <w:right w:val="single" w:sz="4" w:space="0" w:color="auto"/>
            </w:tcBorders>
            <w:shd w:val="clear" w:color="auto" w:fill="EEECE1" w:themeFill="background2"/>
          </w:tcPr>
          <w:p w14:paraId="0700B67F" w14:textId="77777777" w:rsidR="0027032B" w:rsidRPr="007D1918" w:rsidRDefault="0027032B"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Interpretation</w:t>
            </w:r>
          </w:p>
        </w:tc>
        <w:tc>
          <w:tcPr>
            <w:tcW w:w="422" w:type="pct"/>
            <w:vMerge/>
            <w:tcBorders>
              <w:top w:val="single" w:sz="4" w:space="0" w:color="auto"/>
              <w:left w:val="single" w:sz="4" w:space="0" w:color="auto"/>
              <w:bottom w:val="single" w:sz="4" w:space="0" w:color="auto"/>
              <w:right w:val="single" w:sz="4" w:space="0" w:color="auto"/>
            </w:tcBorders>
            <w:shd w:val="clear" w:color="auto" w:fill="EEECE1" w:themeFill="background2"/>
          </w:tcPr>
          <w:p w14:paraId="4165D08C" w14:textId="77777777" w:rsidR="0027032B" w:rsidRPr="007D1918" w:rsidRDefault="0027032B" w:rsidP="00097A59">
            <w:pPr>
              <w:spacing w:before="40" w:after="40" w:line="240" w:lineRule="auto"/>
              <w:jc w:val="both"/>
              <w:rPr>
                <w:rFonts w:ascii="Arial Narrow" w:hAnsi="Arial Narrow"/>
                <w:b/>
                <w:sz w:val="20"/>
                <w:szCs w:val="20"/>
                <w:lang w:eastAsia="en-US"/>
              </w:rPr>
            </w:pPr>
          </w:p>
        </w:tc>
        <w:tc>
          <w:tcPr>
            <w:tcW w:w="451" w:type="pct"/>
            <w:vMerge/>
            <w:tcBorders>
              <w:top w:val="single" w:sz="4" w:space="0" w:color="auto"/>
              <w:left w:val="single" w:sz="4" w:space="0" w:color="auto"/>
              <w:bottom w:val="single" w:sz="4" w:space="0" w:color="auto"/>
            </w:tcBorders>
            <w:shd w:val="clear" w:color="auto" w:fill="EEECE1" w:themeFill="background2"/>
          </w:tcPr>
          <w:p w14:paraId="79FE5D5A" w14:textId="77777777" w:rsidR="0027032B" w:rsidRPr="007D1918" w:rsidRDefault="0027032B" w:rsidP="00097A59">
            <w:pPr>
              <w:spacing w:before="40" w:after="40" w:line="240" w:lineRule="auto"/>
              <w:jc w:val="both"/>
              <w:rPr>
                <w:rFonts w:ascii="Arial Narrow" w:hAnsi="Arial Narrow"/>
                <w:b/>
                <w:sz w:val="20"/>
                <w:szCs w:val="20"/>
                <w:lang w:eastAsia="en-US"/>
              </w:rPr>
            </w:pPr>
          </w:p>
        </w:tc>
      </w:tr>
      <w:tr w:rsidR="0027032B" w:rsidRPr="007D1918" w14:paraId="10BD8862" w14:textId="77777777" w:rsidTr="00EC5E62">
        <w:tc>
          <w:tcPr>
            <w:tcW w:w="609" w:type="pct"/>
            <w:tcBorders>
              <w:top w:val="single" w:sz="4" w:space="0" w:color="auto"/>
              <w:bottom w:val="single" w:sz="4" w:space="0" w:color="auto"/>
              <w:right w:val="single" w:sz="4" w:space="0" w:color="auto"/>
            </w:tcBorders>
          </w:tcPr>
          <w:p w14:paraId="585ED56F" w14:textId="76FF13DA" w:rsidR="00AE37BE" w:rsidRPr="007D1918" w:rsidRDefault="00AE37BE" w:rsidP="00AE37BE">
            <w:pPr>
              <w:spacing w:before="40" w:after="40" w:line="240" w:lineRule="auto"/>
              <w:rPr>
                <w:rFonts w:ascii="Arial Narrow" w:hAnsi="Arial Narrow" w:cs="Arial"/>
                <w:sz w:val="18"/>
                <w:szCs w:val="18"/>
              </w:rPr>
            </w:pPr>
            <w:r w:rsidRPr="007D1918">
              <w:rPr>
                <w:rFonts w:ascii="Arial Narrow" w:hAnsi="Arial Narrow" w:cs="Arial"/>
                <w:sz w:val="18"/>
                <w:szCs w:val="18"/>
              </w:rPr>
              <w:t>Adverse events (</w:t>
            </w:r>
            <w:r w:rsidR="007E5044" w:rsidRPr="007D1918">
              <w:rPr>
                <w:rFonts w:ascii="Arial Narrow" w:hAnsi="Arial Narrow" w:cs="Arial"/>
                <w:sz w:val="18"/>
                <w:szCs w:val="18"/>
              </w:rPr>
              <w:t xml:space="preserve">% patients </w:t>
            </w:r>
            <w:r w:rsidRPr="007D1918">
              <w:rPr>
                <w:rFonts w:ascii="Arial Narrow" w:hAnsi="Arial Narrow" w:cs="Arial"/>
                <w:sz w:val="18"/>
                <w:szCs w:val="18"/>
              </w:rPr>
              <w:t>intubat</w:t>
            </w:r>
            <w:r w:rsidR="007E5044" w:rsidRPr="007D1918">
              <w:rPr>
                <w:rFonts w:ascii="Arial Narrow" w:hAnsi="Arial Narrow" w:cs="Arial"/>
                <w:sz w:val="18"/>
                <w:szCs w:val="18"/>
              </w:rPr>
              <w:t>ed</w:t>
            </w:r>
            <w:r w:rsidRPr="007D1918">
              <w:rPr>
                <w:rFonts w:ascii="Arial Narrow" w:hAnsi="Arial Narrow" w:cs="Arial"/>
                <w:sz w:val="18"/>
                <w:szCs w:val="18"/>
              </w:rPr>
              <w:t>)</w:t>
            </w:r>
          </w:p>
          <w:p w14:paraId="1723573A" w14:textId="492EDE70" w:rsidR="0027032B" w:rsidRPr="007D1918" w:rsidRDefault="00AE37BE" w:rsidP="00AE37BE">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4594E6BD" w14:textId="4BBA41DE" w:rsidR="00AE37BE" w:rsidRPr="007D1918" w:rsidRDefault="00AE37BE"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3118DE" w:rsidRPr="007D1918">
              <w:rPr>
                <w:rFonts w:ascii="Arial Narrow" w:hAnsi="Arial Narrow"/>
                <w:sz w:val="18"/>
                <w:szCs w:val="18"/>
                <w:lang w:eastAsia="en-US"/>
              </w:rPr>
              <w:t>24</w:t>
            </w:r>
          </w:p>
          <w:p w14:paraId="4D5705E3" w14:textId="6C4CF394" w:rsidR="0027032B" w:rsidRPr="007D1918" w:rsidRDefault="003118DE" w:rsidP="003118D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1E89BE97" w14:textId="53ACB0BF" w:rsidR="0027032B" w:rsidRPr="007D1918" w:rsidRDefault="0027032B"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4B7025" w:rsidRPr="007D1918">
              <w:rPr>
                <w:rFonts w:ascii="Arial Narrow" w:hAnsi="Arial Narrow"/>
                <w:sz w:val="18"/>
                <w:szCs w:val="18"/>
                <w:lang w:eastAsia="en-US"/>
              </w:rPr>
              <w:t>0</w:t>
            </w:r>
          </w:p>
          <w:p w14:paraId="25617AA1" w14:textId="77777777" w:rsidR="0027032B" w:rsidRPr="007D1918" w:rsidRDefault="0027032B"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27AA28D0" w14:textId="77777777" w:rsidR="0027032B" w:rsidRPr="007D1918" w:rsidRDefault="0027032B"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45EC817D" w14:textId="55E223B9" w:rsidR="0027032B" w:rsidRPr="007D1918" w:rsidRDefault="0027032B"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Imprecision: </w:t>
            </w:r>
            <w:r w:rsidR="004B7025" w:rsidRPr="007D1918">
              <w:rPr>
                <w:rFonts w:ascii="Arial Narrow" w:hAnsi="Arial Narrow"/>
                <w:sz w:val="18"/>
                <w:szCs w:val="18"/>
                <w:lang w:eastAsia="en-US"/>
              </w:rPr>
              <w:t>-1</w:t>
            </w:r>
            <w:r w:rsidR="004B7025" w:rsidRPr="007D1918">
              <w:rPr>
                <w:rFonts w:ascii="Arial Narrow" w:hAnsi="Arial Narrow"/>
                <w:sz w:val="18"/>
                <w:szCs w:val="18"/>
                <w:vertAlign w:val="superscript"/>
                <w:lang w:eastAsia="en-US"/>
              </w:rPr>
              <w:t>a</w:t>
            </w:r>
          </w:p>
          <w:p w14:paraId="6611D921" w14:textId="56841F6E" w:rsidR="0027032B" w:rsidRPr="007D1918" w:rsidRDefault="002E5787"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27032B" w:rsidRPr="007D1918">
              <w:rPr>
                <w:rFonts w:ascii="Arial Narrow" w:hAnsi="Arial Narrow"/>
                <w:sz w:val="18"/>
                <w:szCs w:val="18"/>
                <w:lang w:eastAsia="en-US"/>
              </w:rPr>
              <w:t>:</w:t>
            </w:r>
            <w:r w:rsidRPr="007D1918">
              <w:rPr>
                <w:rFonts w:ascii="Arial Narrow" w:hAnsi="Arial Narrow"/>
                <w:sz w:val="18"/>
                <w:szCs w:val="18"/>
                <w:lang w:eastAsia="en-US"/>
              </w:rPr>
              <w:t xml:space="preserve"> confounding</w:t>
            </w:r>
            <w:r w:rsidR="0027032B" w:rsidRPr="007D1918">
              <w:rPr>
                <w:rFonts w:ascii="Arial Narrow" w:hAnsi="Arial Narrow"/>
                <w:sz w:val="18"/>
                <w:szCs w:val="18"/>
                <w:lang w:eastAsia="en-US"/>
              </w:rPr>
              <w:t xml:space="preserve"> likely</w:t>
            </w:r>
            <w:r w:rsidRPr="007D1918">
              <w:rPr>
                <w:rFonts w:ascii="Arial Narrow" w:hAnsi="Arial Narrow"/>
                <w:sz w:val="18"/>
                <w:szCs w:val="18"/>
                <w:lang w:eastAsia="en-US"/>
              </w:rPr>
              <w:t xml:space="preserve"> to give</w:t>
            </w:r>
            <w:r w:rsidR="0027032B" w:rsidRPr="007D1918">
              <w:rPr>
                <w:rFonts w:ascii="Arial Narrow" w:hAnsi="Arial Narrow"/>
                <w:sz w:val="18"/>
                <w:szCs w:val="18"/>
                <w:lang w:eastAsia="en-US"/>
              </w:rPr>
              <w:t xml:space="preserve"> spurious effect</w:t>
            </w:r>
          </w:p>
        </w:tc>
        <w:tc>
          <w:tcPr>
            <w:tcW w:w="561" w:type="pct"/>
            <w:tcBorders>
              <w:top w:val="single" w:sz="4" w:space="0" w:color="auto"/>
              <w:left w:val="single" w:sz="4" w:space="0" w:color="auto"/>
              <w:bottom w:val="single" w:sz="4" w:space="0" w:color="auto"/>
              <w:right w:val="single" w:sz="4" w:space="0" w:color="auto"/>
            </w:tcBorders>
          </w:tcPr>
          <w:p w14:paraId="55C3A65F" w14:textId="1FDBFFCA" w:rsidR="0027032B" w:rsidRPr="007D1918" w:rsidRDefault="00AE37BE"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16.7%</w:t>
            </w:r>
          </w:p>
        </w:tc>
        <w:tc>
          <w:tcPr>
            <w:tcW w:w="561" w:type="pct"/>
            <w:tcBorders>
              <w:top w:val="single" w:sz="4" w:space="0" w:color="auto"/>
              <w:left w:val="single" w:sz="4" w:space="0" w:color="auto"/>
              <w:bottom w:val="single" w:sz="4" w:space="0" w:color="auto"/>
              <w:right w:val="single" w:sz="4" w:space="0" w:color="auto"/>
            </w:tcBorders>
          </w:tcPr>
          <w:p w14:paraId="4DD26D1E" w14:textId="1803E796" w:rsidR="0027032B" w:rsidRPr="007D1918" w:rsidRDefault="00AE37BE"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58.3%</w:t>
            </w:r>
          </w:p>
        </w:tc>
        <w:tc>
          <w:tcPr>
            <w:tcW w:w="471" w:type="pct"/>
            <w:tcBorders>
              <w:top w:val="single" w:sz="4" w:space="0" w:color="auto"/>
              <w:left w:val="single" w:sz="4" w:space="0" w:color="auto"/>
              <w:bottom w:val="single" w:sz="4" w:space="0" w:color="auto"/>
              <w:right w:val="single" w:sz="4" w:space="0" w:color="auto"/>
            </w:tcBorders>
          </w:tcPr>
          <w:p w14:paraId="290FF43A" w14:textId="6419174E" w:rsidR="004B7025" w:rsidRPr="007D1918" w:rsidRDefault="004B7025"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41.6%</w:t>
            </w:r>
          </w:p>
          <w:p w14:paraId="605E344F" w14:textId="217CEDD2" w:rsidR="0027032B" w:rsidRPr="007D1918" w:rsidRDefault="007E5044"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0.04</w:t>
            </w:r>
          </w:p>
          <w:p w14:paraId="1CB0F33D" w14:textId="50BC60A3" w:rsidR="007E5044" w:rsidRPr="007D1918" w:rsidRDefault="007E5044"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95% CI 3.03, 67.0</w:t>
            </w:r>
          </w:p>
        </w:tc>
        <w:tc>
          <w:tcPr>
            <w:tcW w:w="750" w:type="pct"/>
            <w:tcBorders>
              <w:top w:val="single" w:sz="4" w:space="0" w:color="auto"/>
              <w:left w:val="single" w:sz="4" w:space="0" w:color="auto"/>
              <w:bottom w:val="single" w:sz="4" w:space="0" w:color="auto"/>
              <w:right w:val="single" w:sz="4" w:space="0" w:color="auto"/>
            </w:tcBorders>
          </w:tcPr>
          <w:p w14:paraId="4B702EBF" w14:textId="77777777" w:rsidR="0027032B" w:rsidRPr="007D1918" w:rsidRDefault="0027032B"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Overall there were fewer AEs occurring in patients who received IVIg compared to PE</w:t>
            </w:r>
          </w:p>
        </w:tc>
        <w:tc>
          <w:tcPr>
            <w:tcW w:w="422" w:type="pct"/>
            <w:tcBorders>
              <w:top w:val="single" w:sz="4" w:space="0" w:color="auto"/>
              <w:left w:val="single" w:sz="4" w:space="0" w:color="auto"/>
              <w:bottom w:val="single" w:sz="4" w:space="0" w:color="auto"/>
              <w:right w:val="single" w:sz="4" w:space="0" w:color="auto"/>
            </w:tcBorders>
          </w:tcPr>
          <w:p w14:paraId="29BE2915" w14:textId="39AFA86A" w:rsidR="0027032B" w:rsidRPr="007D1918" w:rsidRDefault="0027032B" w:rsidP="00097A59">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AE37BE"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7F3AE058" w14:textId="7DB2B8B0" w:rsidR="0027032B" w:rsidRPr="007D1918" w:rsidRDefault="004B7025" w:rsidP="00097A59">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27032B" w:rsidRPr="007D1918" w14:paraId="2BFE1C1C" w14:textId="77777777" w:rsidTr="00EC5E62">
        <w:tc>
          <w:tcPr>
            <w:tcW w:w="609" w:type="pct"/>
            <w:tcBorders>
              <w:top w:val="single" w:sz="4" w:space="0" w:color="auto"/>
              <w:bottom w:val="single" w:sz="4" w:space="0" w:color="auto"/>
              <w:right w:val="single" w:sz="4" w:space="0" w:color="auto"/>
            </w:tcBorders>
          </w:tcPr>
          <w:p w14:paraId="537FFE4C" w14:textId="77777777" w:rsidR="00AE37BE" w:rsidRPr="007D1918" w:rsidRDefault="00AE37BE" w:rsidP="00AE37BE">
            <w:pPr>
              <w:spacing w:before="40" w:after="40" w:line="240" w:lineRule="auto"/>
              <w:rPr>
                <w:rFonts w:ascii="Arial Narrow" w:hAnsi="Arial Narrow" w:cs="Arial"/>
                <w:sz w:val="18"/>
                <w:szCs w:val="18"/>
              </w:rPr>
            </w:pPr>
            <w:r w:rsidRPr="007D1918">
              <w:rPr>
                <w:rFonts w:ascii="Arial Narrow" w:hAnsi="Arial Narrow" w:cs="Arial"/>
                <w:sz w:val="18"/>
                <w:szCs w:val="18"/>
              </w:rPr>
              <w:t>POMC</w:t>
            </w:r>
          </w:p>
          <w:p w14:paraId="0E5716AA" w14:textId="704B83F8" w:rsidR="0027032B" w:rsidRPr="007D1918" w:rsidRDefault="00AE37BE" w:rsidP="00AE37BE">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38D0D804" w14:textId="7064EDEA" w:rsidR="00AE37BE" w:rsidRPr="007D1918" w:rsidRDefault="00AE37BE"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n=78</w:t>
            </w:r>
          </w:p>
          <w:p w14:paraId="1D8D8873" w14:textId="47B5A661" w:rsidR="0027032B" w:rsidRPr="007D1918" w:rsidRDefault="00AE37BE"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1D29ED91" w14:textId="1502D772" w:rsidR="00AE37BE" w:rsidRPr="007D1918" w:rsidRDefault="00AE37BE"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004B7025" w:rsidRPr="007D1918">
              <w:rPr>
                <w:rFonts w:ascii="Arial Narrow" w:hAnsi="Arial Narrow"/>
                <w:sz w:val="18"/>
                <w:szCs w:val="18"/>
                <w:vertAlign w:val="superscript"/>
                <w:lang w:eastAsia="en-US"/>
              </w:rPr>
              <w:t>b</w:t>
            </w:r>
          </w:p>
          <w:p w14:paraId="6C8B9277" w14:textId="77777777" w:rsidR="00AE37BE" w:rsidRPr="007D1918" w:rsidRDefault="00AE37BE"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417EC150" w14:textId="77777777" w:rsidR="00AE37BE" w:rsidRPr="007D1918" w:rsidRDefault="00AE37BE"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36CAEB10" w14:textId="77777777" w:rsidR="00AE37BE" w:rsidRPr="007D1918" w:rsidRDefault="00AE37BE"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0E3DAE85" w14:textId="1ECDB283" w:rsidR="0027032B" w:rsidRPr="007D1918" w:rsidRDefault="00235327" w:rsidP="00AE37B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Other: confounding likely to give spurious effect</w:t>
            </w:r>
          </w:p>
        </w:tc>
        <w:tc>
          <w:tcPr>
            <w:tcW w:w="561" w:type="pct"/>
            <w:tcBorders>
              <w:top w:val="single" w:sz="4" w:space="0" w:color="auto"/>
              <w:left w:val="single" w:sz="4" w:space="0" w:color="auto"/>
              <w:bottom w:val="single" w:sz="4" w:space="0" w:color="auto"/>
              <w:right w:val="single" w:sz="4" w:space="0" w:color="auto"/>
            </w:tcBorders>
          </w:tcPr>
          <w:p w14:paraId="6F5CD4B8" w14:textId="6F8CC6FC" w:rsidR="0027032B" w:rsidRPr="007D1918" w:rsidRDefault="00AE37BE"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14.7%</w:t>
            </w:r>
          </w:p>
        </w:tc>
        <w:tc>
          <w:tcPr>
            <w:tcW w:w="561" w:type="pct"/>
            <w:tcBorders>
              <w:top w:val="single" w:sz="4" w:space="0" w:color="auto"/>
              <w:left w:val="single" w:sz="4" w:space="0" w:color="auto"/>
              <w:bottom w:val="single" w:sz="4" w:space="0" w:color="auto"/>
              <w:right w:val="single" w:sz="4" w:space="0" w:color="auto"/>
            </w:tcBorders>
          </w:tcPr>
          <w:p w14:paraId="57597DB8" w14:textId="4024CCF1" w:rsidR="0027032B" w:rsidRPr="007D1918" w:rsidRDefault="00AE37BE" w:rsidP="00097A59">
            <w:pPr>
              <w:spacing w:before="40" w:after="40" w:line="240" w:lineRule="auto"/>
              <w:jc w:val="both"/>
              <w:rPr>
                <w:rFonts w:ascii="Arial Narrow" w:hAnsi="Arial Narrow"/>
                <w:sz w:val="18"/>
                <w:szCs w:val="18"/>
              </w:rPr>
            </w:pPr>
            <w:r w:rsidRPr="007D1918">
              <w:rPr>
                <w:rFonts w:ascii="Arial Narrow" w:hAnsi="Arial Narrow"/>
                <w:sz w:val="18"/>
                <w:szCs w:val="18"/>
              </w:rPr>
              <w:t>22.7%</w:t>
            </w:r>
          </w:p>
        </w:tc>
        <w:tc>
          <w:tcPr>
            <w:tcW w:w="471" w:type="pct"/>
            <w:tcBorders>
              <w:top w:val="single" w:sz="4" w:space="0" w:color="auto"/>
              <w:left w:val="single" w:sz="4" w:space="0" w:color="auto"/>
              <w:bottom w:val="single" w:sz="4" w:space="0" w:color="auto"/>
              <w:right w:val="single" w:sz="4" w:space="0" w:color="auto"/>
            </w:tcBorders>
          </w:tcPr>
          <w:p w14:paraId="319FFB0E" w14:textId="616F1B41" w:rsidR="004B7025" w:rsidRPr="007D1918" w:rsidRDefault="004B7025"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8.0%</w:t>
            </w:r>
          </w:p>
          <w:p w14:paraId="22130E92" w14:textId="77777777" w:rsidR="0027032B" w:rsidRPr="007D1918" w:rsidRDefault="0027032B"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0.3</w:t>
            </w:r>
            <w:r w:rsidR="00AE37BE" w:rsidRPr="007D1918">
              <w:rPr>
                <w:rFonts w:ascii="Arial Narrow" w:hAnsi="Arial Narrow"/>
                <w:sz w:val="18"/>
                <w:szCs w:val="18"/>
                <w:lang w:eastAsia="en-US"/>
              </w:rPr>
              <w:t>8</w:t>
            </w:r>
          </w:p>
          <w:p w14:paraId="1F38E4D2" w14:textId="5022C14B" w:rsidR="007E5044" w:rsidRPr="007D1918" w:rsidRDefault="007E5044" w:rsidP="00AE37BE">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95% CI -10.3, 24.5</w:t>
            </w:r>
          </w:p>
        </w:tc>
        <w:tc>
          <w:tcPr>
            <w:tcW w:w="750" w:type="pct"/>
            <w:tcBorders>
              <w:top w:val="single" w:sz="4" w:space="0" w:color="auto"/>
              <w:left w:val="single" w:sz="4" w:space="0" w:color="auto"/>
              <w:bottom w:val="single" w:sz="4" w:space="0" w:color="auto"/>
              <w:right w:val="single" w:sz="4" w:space="0" w:color="auto"/>
            </w:tcBorders>
          </w:tcPr>
          <w:p w14:paraId="64AF121F" w14:textId="05A695DD" w:rsidR="0027032B" w:rsidRPr="007D1918" w:rsidRDefault="0027032B" w:rsidP="00AE37B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There was no difference in the </w:t>
            </w:r>
            <w:r w:rsidR="00AE37BE" w:rsidRPr="007D1918">
              <w:rPr>
                <w:rFonts w:ascii="Arial Narrow" w:hAnsi="Arial Narrow"/>
                <w:sz w:val="18"/>
                <w:szCs w:val="18"/>
                <w:lang w:eastAsia="en-US"/>
              </w:rPr>
              <w:t>frequency of POMC</w:t>
            </w:r>
            <w:r w:rsidRPr="007D1918">
              <w:rPr>
                <w:rFonts w:ascii="Arial Narrow" w:hAnsi="Arial Narrow"/>
                <w:sz w:val="18"/>
                <w:szCs w:val="18"/>
                <w:lang w:eastAsia="en-US"/>
              </w:rPr>
              <w:t xml:space="preserve"> occurring between groups</w:t>
            </w:r>
          </w:p>
        </w:tc>
        <w:tc>
          <w:tcPr>
            <w:tcW w:w="422" w:type="pct"/>
            <w:tcBorders>
              <w:top w:val="single" w:sz="4" w:space="0" w:color="auto"/>
              <w:left w:val="single" w:sz="4" w:space="0" w:color="auto"/>
              <w:bottom w:val="single" w:sz="4" w:space="0" w:color="auto"/>
              <w:right w:val="single" w:sz="4" w:space="0" w:color="auto"/>
            </w:tcBorders>
          </w:tcPr>
          <w:p w14:paraId="2B571431" w14:textId="0344676B" w:rsidR="0027032B" w:rsidRPr="007D1918" w:rsidRDefault="0027032B" w:rsidP="00097A59">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00AE37BE"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46AE68FA" w14:textId="77777777" w:rsidR="0027032B" w:rsidRPr="007D1918" w:rsidRDefault="0027032B" w:rsidP="00097A59">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27032B" w:rsidRPr="007D1918" w14:paraId="7C48B588" w14:textId="77777777" w:rsidTr="00097A59">
        <w:tc>
          <w:tcPr>
            <w:tcW w:w="5000" w:type="pct"/>
            <w:gridSpan w:val="9"/>
            <w:tcBorders>
              <w:top w:val="single" w:sz="4" w:space="0" w:color="auto"/>
              <w:left w:val="nil"/>
              <w:bottom w:val="single" w:sz="12" w:space="0" w:color="000000"/>
              <w:right w:val="nil"/>
            </w:tcBorders>
            <w:tcMar>
              <w:top w:w="15" w:type="dxa"/>
              <w:left w:w="15" w:type="dxa"/>
              <w:bottom w:w="15" w:type="dxa"/>
              <w:right w:w="15" w:type="dxa"/>
            </w:tcMar>
            <w:vAlign w:val="center"/>
            <w:hideMark/>
          </w:tcPr>
          <w:p w14:paraId="4E89171E" w14:textId="77777777" w:rsidR="0027032B" w:rsidRPr="007D1918" w:rsidRDefault="0027032B"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0C69283B" w14:textId="1EBCA88A" w:rsidR="0027032B" w:rsidRPr="007D1918" w:rsidRDefault="00B85D55" w:rsidP="004C15D0">
      <w:pPr>
        <w:pStyle w:val="Tablenotes0"/>
        <w:spacing w:after="80"/>
        <w:contextualSpacing w:val="0"/>
      </w:pPr>
      <w:r w:rsidRPr="007D1918">
        <w:t xml:space="preserve">AE = adverse event; </w:t>
      </w:r>
      <w:r w:rsidR="0027032B" w:rsidRPr="007D1918">
        <w:t xml:space="preserve">IVIg = intravenous immunoglobulin therapy; MG = </w:t>
      </w:r>
      <w:r w:rsidR="004C15D0" w:rsidRPr="007D1918">
        <w:t>myasthenia</w:t>
      </w:r>
      <w:r w:rsidR="0027032B" w:rsidRPr="007D1918">
        <w:t xml:space="preserve"> gravis; PE = plasma exchange therapy;</w:t>
      </w:r>
      <w:r w:rsidRPr="007D1918">
        <w:t xml:space="preserve"> POMC = postoperative myasthenic crisis; </w:t>
      </w:r>
      <w:r w:rsidR="0027032B" w:rsidRPr="007D1918">
        <w:t>R</w:t>
      </w:r>
      <w:r w:rsidR="00773DFA" w:rsidRPr="007D1918">
        <w:t xml:space="preserve">et </w:t>
      </w:r>
      <w:r w:rsidR="0027032B" w:rsidRPr="007D1918">
        <w:t xml:space="preserve">CoH = retrospective cohort study; RCT = randomised controlled trial; </w:t>
      </w:r>
    </w:p>
    <w:p w14:paraId="5F815356" w14:textId="353266C6" w:rsidR="004B7025" w:rsidRPr="007D1918" w:rsidRDefault="004B7025" w:rsidP="0027032B">
      <w:pPr>
        <w:pStyle w:val="Tablenotes0"/>
      </w:pPr>
      <w:r w:rsidRPr="007D1918">
        <w:rPr>
          <w:vertAlign w:val="superscript"/>
        </w:rPr>
        <w:t>a</w:t>
      </w:r>
      <w:r w:rsidRPr="007D1918">
        <w:t xml:space="preserve"> Participant numbers were too small to make an accurate comparison</w:t>
      </w:r>
    </w:p>
    <w:p w14:paraId="393922CB" w14:textId="5C6607CF" w:rsidR="0027032B" w:rsidRPr="007D1918" w:rsidRDefault="004B7025" w:rsidP="0027032B">
      <w:pPr>
        <w:pStyle w:val="Tablenotes0"/>
      </w:pPr>
      <w:r w:rsidRPr="007D1918">
        <w:rPr>
          <w:vertAlign w:val="superscript"/>
        </w:rPr>
        <w:t>b</w:t>
      </w:r>
      <w:r w:rsidR="0027032B" w:rsidRPr="007D1918">
        <w:t xml:space="preserve"> Selection bias could not be ruled out</w:t>
      </w:r>
    </w:p>
    <w:p w14:paraId="09A1F4E2" w14:textId="77777777" w:rsidR="0027032B" w:rsidRPr="007D1918" w:rsidRDefault="0027032B" w:rsidP="00852C78">
      <w:pPr>
        <w:pStyle w:val="Caption"/>
        <w:keepNext/>
      </w:pPr>
    </w:p>
    <w:p w14:paraId="4AE98F75" w14:textId="383A971C" w:rsidR="005A164A" w:rsidRPr="007D1918" w:rsidRDefault="005A164A" w:rsidP="005A164A">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pPr>
      <w:bookmarkStart w:id="613" w:name="_Toc23769592"/>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105</w:t>
      </w:r>
      <w:r w:rsidRPr="007D1918">
        <w:rPr>
          <w:noProof/>
        </w:rPr>
        <w:fldChar w:fldCharType="end"/>
      </w:r>
      <w:r w:rsidRPr="007D1918">
        <w:tab/>
        <w:t>Safety evidence profile table for IVIg in MG patients on maintenance therapy (</w:t>
      </w:r>
      <w:r w:rsidR="0088065E" w:rsidRPr="007D1918">
        <w:rPr>
          <w:i/>
        </w:rPr>
        <w:t>Criteria V3</w:t>
      </w:r>
      <w:r w:rsidR="0088065E" w:rsidRPr="007D1918">
        <w:t xml:space="preserve"> </w:t>
      </w:r>
      <w:r w:rsidRPr="007D1918">
        <w:t>Indication 3)</w:t>
      </w:r>
      <w:bookmarkEnd w:id="613"/>
    </w:p>
    <w:tbl>
      <w:tblPr>
        <w:tblW w:w="5000" w:type="pct"/>
        <w:tblLook w:val="04A0" w:firstRow="1" w:lastRow="0" w:firstColumn="1" w:lastColumn="0" w:noHBand="0" w:noVBand="1"/>
        <w:tblCaption w:val="Table 62 Safety evidence profile table for IVIg in MG patients on maintenance therapy (Criteria V3 Indication 3)"/>
        <w:tblDescription w:val="GRADE safety evidence profile for Indication 3."/>
      </w:tblPr>
      <w:tblGrid>
        <w:gridCol w:w="1845"/>
        <w:gridCol w:w="1556"/>
        <w:gridCol w:w="2001"/>
        <w:gridCol w:w="1698"/>
        <w:gridCol w:w="1698"/>
        <w:gridCol w:w="1426"/>
        <w:gridCol w:w="2270"/>
        <w:gridCol w:w="1277"/>
        <w:gridCol w:w="1365"/>
      </w:tblGrid>
      <w:tr w:rsidR="005A164A" w:rsidRPr="007D1918" w14:paraId="5840DF21" w14:textId="77777777" w:rsidTr="00300091">
        <w:tc>
          <w:tcPr>
            <w:tcW w:w="5000" w:type="pct"/>
            <w:gridSpan w:val="9"/>
            <w:tcBorders>
              <w:top w:val="single" w:sz="12" w:space="0" w:color="000000"/>
              <w:left w:val="nil"/>
              <w:bottom w:val="single" w:sz="12" w:space="0" w:color="000000"/>
              <w:right w:val="nil"/>
            </w:tcBorders>
            <w:shd w:val="clear" w:color="auto" w:fill="FFFFFF" w:themeFill="background1"/>
            <w:tcMar>
              <w:top w:w="45" w:type="dxa"/>
              <w:left w:w="45" w:type="dxa"/>
              <w:bottom w:w="45" w:type="dxa"/>
              <w:right w:w="45" w:type="dxa"/>
            </w:tcMar>
            <w:vAlign w:val="center"/>
            <w:hideMark/>
          </w:tcPr>
          <w:p w14:paraId="7D31502B" w14:textId="77777777" w:rsidR="005A164A" w:rsidRPr="007D1918" w:rsidRDefault="005A164A" w:rsidP="00097A59">
            <w:pPr>
              <w:spacing w:before="40" w:after="40" w:line="240" w:lineRule="auto"/>
              <w:rPr>
                <w:rFonts w:ascii="Arial Narrow" w:hAnsi="Arial Narrow"/>
                <w:sz w:val="20"/>
                <w:szCs w:val="20"/>
                <w:lang w:eastAsia="en-US"/>
              </w:rPr>
            </w:pPr>
            <w:r w:rsidRPr="007D1918">
              <w:rPr>
                <w:rFonts w:ascii="Arial Narrow" w:hAnsi="Arial Narrow"/>
                <w:b/>
                <w:bCs/>
                <w:sz w:val="20"/>
                <w:szCs w:val="20"/>
                <w:lang w:eastAsia="en-US"/>
              </w:rPr>
              <w:t xml:space="preserve">Question: </w:t>
            </w:r>
            <w:r w:rsidRPr="007D1918">
              <w:rPr>
                <w:rFonts w:ascii="Arial Narrow" w:hAnsi="Arial Narrow"/>
                <w:bCs/>
                <w:sz w:val="20"/>
                <w:szCs w:val="20"/>
                <w:lang w:eastAsia="en-US"/>
              </w:rPr>
              <w:t>How safe is</w:t>
            </w:r>
            <w:r w:rsidRPr="007D1918">
              <w:rPr>
                <w:rFonts w:ascii="Arial Narrow" w:hAnsi="Arial Narrow"/>
                <w:b/>
                <w:bCs/>
                <w:sz w:val="20"/>
                <w:szCs w:val="20"/>
                <w:lang w:eastAsia="en-US"/>
              </w:rPr>
              <w:t xml:space="preserve"> </w:t>
            </w:r>
            <w:r w:rsidRPr="007D1918">
              <w:rPr>
                <w:rFonts w:ascii="Arial Narrow" w:hAnsi="Arial Narrow"/>
                <w:sz w:val="20"/>
                <w:szCs w:val="20"/>
                <w:lang w:eastAsia="en-US"/>
              </w:rPr>
              <w:t xml:space="preserve">IVIg for patients with MG? </w:t>
            </w:r>
          </w:p>
          <w:p w14:paraId="67DD8B90" w14:textId="04CDBD17" w:rsidR="005A164A" w:rsidRPr="007D1918" w:rsidRDefault="005A164A" w:rsidP="00097A59">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Patient or population: P</w:t>
            </w:r>
            <w:r w:rsidRPr="007D1918">
              <w:rPr>
                <w:rFonts w:ascii="Arial Narrow" w:hAnsi="Arial Narrow"/>
                <w:sz w:val="20"/>
                <w:szCs w:val="20"/>
                <w:lang w:eastAsia="en-US"/>
              </w:rPr>
              <w:t>atients with moderate to severe MG needing to change maintenance therapy</w:t>
            </w:r>
          </w:p>
          <w:p w14:paraId="393FFC96" w14:textId="77777777" w:rsidR="005A164A" w:rsidRPr="007D1918" w:rsidRDefault="005A164A" w:rsidP="00097A59">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Intervention:</w:t>
            </w:r>
            <w:r w:rsidRPr="007D1918">
              <w:rPr>
                <w:rFonts w:ascii="Arial Narrow" w:hAnsi="Arial Narrow"/>
                <w:sz w:val="20"/>
                <w:szCs w:val="20"/>
                <w:lang w:eastAsia="en-US"/>
              </w:rPr>
              <w:t xml:space="preserve"> IVIg</w:t>
            </w:r>
          </w:p>
          <w:p w14:paraId="66C9E832" w14:textId="5F1FF777" w:rsidR="005A164A" w:rsidRPr="007D1918" w:rsidRDefault="005A164A" w:rsidP="00097A59">
            <w:pPr>
              <w:spacing w:before="40" w:after="40" w:line="240" w:lineRule="auto"/>
              <w:ind w:left="806" w:hanging="806"/>
              <w:rPr>
                <w:rFonts w:ascii="Arial Narrow" w:hAnsi="Arial Narrow"/>
                <w:b/>
                <w:bCs/>
                <w:sz w:val="20"/>
                <w:szCs w:val="20"/>
                <w:lang w:eastAsia="en-US"/>
              </w:rPr>
            </w:pPr>
            <w:r w:rsidRPr="007D1918">
              <w:rPr>
                <w:rFonts w:ascii="Arial Narrow" w:hAnsi="Arial Narrow"/>
                <w:b/>
                <w:bCs/>
                <w:sz w:val="20"/>
                <w:szCs w:val="20"/>
                <w:lang w:eastAsia="en-US"/>
              </w:rPr>
              <w:t xml:space="preserve">Comparison: </w:t>
            </w:r>
            <w:r w:rsidRPr="007D1918">
              <w:rPr>
                <w:rFonts w:ascii="Arial Narrow" w:hAnsi="Arial Narrow"/>
                <w:bCs/>
                <w:sz w:val="20"/>
                <w:szCs w:val="20"/>
                <w:lang w:eastAsia="en-US"/>
              </w:rPr>
              <w:t>PE</w:t>
            </w:r>
            <w:r w:rsidR="005C7DE8" w:rsidRPr="007D1918">
              <w:rPr>
                <w:rFonts w:ascii="Arial Narrow" w:hAnsi="Arial Narrow"/>
                <w:bCs/>
                <w:sz w:val="20"/>
                <w:szCs w:val="20"/>
                <w:lang w:eastAsia="en-US"/>
              </w:rPr>
              <w:t>;</w:t>
            </w:r>
            <w:r w:rsidRPr="007D1918">
              <w:rPr>
                <w:rFonts w:ascii="Arial Narrow" w:hAnsi="Arial Narrow"/>
                <w:bCs/>
                <w:sz w:val="20"/>
                <w:szCs w:val="20"/>
                <w:lang w:eastAsia="en-US"/>
              </w:rPr>
              <w:t xml:space="preserve"> placebo</w:t>
            </w:r>
            <w:r w:rsidR="007E1C8D" w:rsidRPr="007D1918">
              <w:rPr>
                <w:rFonts w:ascii="Arial Narrow" w:hAnsi="Arial Narrow"/>
                <w:bCs/>
                <w:sz w:val="20"/>
                <w:szCs w:val="20"/>
                <w:lang w:eastAsia="en-US"/>
              </w:rPr>
              <w:t xml:space="preserve"> (standard therapies alone)</w:t>
            </w:r>
            <w:r w:rsidR="004B49B5" w:rsidRPr="007D1918">
              <w:rPr>
                <w:rFonts w:ascii="Arial Narrow" w:hAnsi="Arial Narrow"/>
                <w:bCs/>
                <w:sz w:val="20"/>
                <w:szCs w:val="20"/>
                <w:lang w:eastAsia="en-US"/>
              </w:rPr>
              <w:t>; no comparator</w:t>
            </w:r>
          </w:p>
          <w:p w14:paraId="6ADDC0F8" w14:textId="69F7407F" w:rsidR="005A164A" w:rsidRPr="007D1918" w:rsidRDefault="005A164A" w:rsidP="007D4948">
            <w:pPr>
              <w:spacing w:before="40" w:after="40" w:line="240" w:lineRule="auto"/>
              <w:jc w:val="both"/>
              <w:rPr>
                <w:rFonts w:ascii="Arial Narrow" w:hAnsi="Arial Narrow"/>
                <w:b/>
                <w:bCs/>
                <w:sz w:val="20"/>
                <w:szCs w:val="20"/>
                <w:lang w:eastAsia="en-US"/>
              </w:rPr>
            </w:pPr>
            <w:r w:rsidRPr="007D1918">
              <w:rPr>
                <w:rFonts w:ascii="Arial Narrow" w:hAnsi="Arial Narrow"/>
                <w:b/>
                <w:bCs/>
                <w:sz w:val="20"/>
                <w:szCs w:val="20"/>
                <w:lang w:eastAsia="en-US"/>
              </w:rPr>
              <w:t xml:space="preserve">Author(s): </w:t>
            </w:r>
            <w:r w:rsidR="003736AC" w:rsidRPr="007D1918">
              <w:rPr>
                <w:rFonts w:ascii="Arial Narrow" w:hAnsi="Arial Narrow"/>
                <w:b/>
                <w:bCs/>
                <w:sz w:val="20"/>
                <w:szCs w:val="20"/>
                <w:lang w:eastAsia="en-US"/>
              </w:rPr>
              <w:fldChar w:fldCharType="begin">
                <w:fldData xml:space="preserve">PEVuZE5vdGU+PENpdGU+PEF1dGhvcj5CYXJ0aDwvQXV0aG9yPjxZZWFyPjIwMTE8L1llYXI+PFJl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</w:fldData>
              </w:fldChar>
            </w:r>
            <w:r w:rsidR="007F4CDE" w:rsidRPr="007D1918">
              <w:rPr>
                <w:rFonts w:ascii="Arial Narrow" w:hAnsi="Arial Narrow"/>
                <w:b/>
                <w:bCs/>
                <w:sz w:val="20"/>
                <w:szCs w:val="20"/>
                <w:lang w:eastAsia="en-US"/>
              </w:rPr>
              <w:instrText xml:space="preserve"> ADDIN EN.CITE </w:instrText>
            </w:r>
            <w:r w:rsidR="007F4CDE" w:rsidRPr="007D1918">
              <w:rPr>
                <w:rFonts w:ascii="Arial Narrow" w:hAnsi="Arial Narrow"/>
                <w:b/>
                <w:bCs/>
                <w:sz w:val="20"/>
                <w:szCs w:val="20"/>
                <w:lang w:eastAsia="en-US"/>
              </w:rPr>
              <w:fldChar w:fldCharType="begin">
                <w:fldData xml:space="preserve">PEVuZE5vdGU+PENpdGU+PEF1dGhvcj5CYXJ0aDwvQXV0aG9yPjxZZWFyPjIwMTE8L1llYXI+PFJl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</w:fldData>
              </w:fldChar>
            </w:r>
            <w:r w:rsidR="007F4CDE" w:rsidRPr="007D1918">
              <w:rPr>
                <w:rFonts w:ascii="Arial Narrow" w:hAnsi="Arial Narrow"/>
                <w:b/>
                <w:bCs/>
                <w:sz w:val="20"/>
                <w:szCs w:val="20"/>
                <w:lang w:eastAsia="en-US"/>
              </w:rPr>
              <w:instrText xml:space="preserve"> ADDIN EN.CITE.DATA </w:instrText>
            </w:r>
            <w:r w:rsidR="007F4CDE" w:rsidRPr="007D1918">
              <w:rPr>
                <w:rFonts w:ascii="Arial Narrow" w:hAnsi="Arial Narrow"/>
                <w:b/>
                <w:bCs/>
                <w:sz w:val="20"/>
                <w:szCs w:val="20"/>
                <w:lang w:eastAsia="en-US"/>
              </w:rPr>
            </w:r>
            <w:r w:rsidR="007F4CDE" w:rsidRPr="007D1918">
              <w:rPr>
                <w:rFonts w:ascii="Arial Narrow" w:hAnsi="Arial Narrow"/>
                <w:b/>
                <w:bCs/>
                <w:sz w:val="20"/>
                <w:szCs w:val="20"/>
                <w:lang w:eastAsia="en-US"/>
              </w:rPr>
              <w:fldChar w:fldCharType="end"/>
            </w:r>
            <w:r w:rsidR="003736AC" w:rsidRPr="007D1918">
              <w:rPr>
                <w:rFonts w:ascii="Arial Narrow" w:hAnsi="Arial Narrow"/>
                <w:b/>
                <w:bCs/>
                <w:sz w:val="20"/>
                <w:szCs w:val="20"/>
                <w:lang w:eastAsia="en-US"/>
              </w:rPr>
            </w:r>
            <w:r w:rsidR="003736AC" w:rsidRPr="007D1918">
              <w:rPr>
                <w:rFonts w:ascii="Arial Narrow" w:hAnsi="Arial Narrow"/>
                <w:b/>
                <w:bCs/>
                <w:sz w:val="20"/>
                <w:szCs w:val="20"/>
                <w:lang w:eastAsia="en-US"/>
              </w:rPr>
              <w:fldChar w:fldCharType="separate"/>
            </w:r>
            <w:r w:rsidR="001A0E53" w:rsidRPr="007D1918">
              <w:rPr>
                <w:rFonts w:ascii="Arial Narrow" w:hAnsi="Arial Narrow"/>
                <w:b/>
                <w:bCs/>
                <w:noProof/>
                <w:sz w:val="20"/>
                <w:szCs w:val="20"/>
                <w:lang w:eastAsia="en-US"/>
              </w:rPr>
              <w:t>(</w:t>
            </w:r>
            <w:hyperlink w:anchor="_ENREF_8" w:tooltip="Barth, 2011 #48" w:history="1">
              <w:r w:rsidR="007D4948" w:rsidRPr="007D1918">
                <w:rPr>
                  <w:rFonts w:ascii="Arial Narrow" w:hAnsi="Arial Narrow"/>
                  <w:b/>
                  <w:bCs/>
                  <w:noProof/>
                  <w:sz w:val="20"/>
                  <w:szCs w:val="20"/>
                  <w:lang w:eastAsia="en-US"/>
                </w:rPr>
                <w:t>Barth et al. 2011</w:t>
              </w:r>
            </w:hyperlink>
            <w:r w:rsidR="001A0E53" w:rsidRPr="007D1918">
              <w:rPr>
                <w:rFonts w:ascii="Arial Narrow" w:hAnsi="Arial Narrow"/>
                <w:b/>
                <w:bCs/>
                <w:noProof/>
                <w:sz w:val="20"/>
                <w:szCs w:val="20"/>
                <w:lang w:eastAsia="en-US"/>
              </w:rPr>
              <w:t xml:space="preserve">; </w:t>
            </w:r>
            <w:hyperlink w:anchor="_ENREF_9" w:tooltip="Beecher, 2017 #49" w:history="1">
              <w:r w:rsidR="007D4948" w:rsidRPr="007D1918">
                <w:rPr>
                  <w:rFonts w:ascii="Arial Narrow" w:hAnsi="Arial Narrow"/>
                  <w:b/>
                  <w:bCs/>
                  <w:noProof/>
                  <w:sz w:val="20"/>
                  <w:szCs w:val="20"/>
                  <w:lang w:eastAsia="en-US"/>
                </w:rPr>
                <w:t>Beecher, Anderson &amp; Siddiqi 2017</w:t>
              </w:r>
            </w:hyperlink>
            <w:r w:rsidR="001A0E53" w:rsidRPr="007D1918">
              <w:rPr>
                <w:rFonts w:ascii="Arial Narrow" w:hAnsi="Arial Narrow"/>
                <w:b/>
                <w:bCs/>
                <w:noProof/>
                <w:sz w:val="20"/>
                <w:szCs w:val="20"/>
                <w:lang w:eastAsia="en-US"/>
              </w:rPr>
              <w:t xml:space="preserve">; </w:t>
            </w:r>
            <w:hyperlink w:anchor="_ENREF_12" w:tooltip="Bourque, 2016 #50" w:history="1">
              <w:r w:rsidR="007D4948" w:rsidRPr="007D1918">
                <w:rPr>
                  <w:rFonts w:ascii="Arial Narrow" w:hAnsi="Arial Narrow"/>
                  <w:b/>
                  <w:bCs/>
                  <w:noProof/>
                  <w:sz w:val="20"/>
                  <w:szCs w:val="20"/>
                  <w:lang w:eastAsia="en-US"/>
                </w:rPr>
                <w:t>Bourque et al. 2016</w:t>
              </w:r>
            </w:hyperlink>
            <w:r w:rsidR="001A0E53" w:rsidRPr="007D1918">
              <w:rPr>
                <w:rFonts w:ascii="Arial Narrow" w:hAnsi="Arial Narrow"/>
                <w:b/>
                <w:bCs/>
                <w:noProof/>
                <w:sz w:val="20"/>
                <w:szCs w:val="20"/>
                <w:lang w:eastAsia="en-US"/>
              </w:rPr>
              <w:t xml:space="preserve">; </w:t>
            </w:r>
            <w:hyperlink w:anchor="_ENREF_40" w:tooltip="Griffin, 2017 #62" w:history="1">
              <w:r w:rsidR="007D4948" w:rsidRPr="007D1918">
                <w:rPr>
                  <w:rFonts w:ascii="Arial Narrow" w:hAnsi="Arial Narrow"/>
                  <w:b/>
                  <w:bCs/>
                  <w:noProof/>
                  <w:sz w:val="20"/>
                  <w:szCs w:val="20"/>
                  <w:lang w:eastAsia="en-US"/>
                </w:rPr>
                <w:t>Griffin et al. 2017b</w:t>
              </w:r>
            </w:hyperlink>
            <w:r w:rsidR="001A0E53" w:rsidRPr="007D1918">
              <w:rPr>
                <w:rFonts w:ascii="Arial Narrow" w:hAnsi="Arial Narrow"/>
                <w:b/>
                <w:bCs/>
                <w:noProof/>
                <w:sz w:val="20"/>
                <w:szCs w:val="20"/>
                <w:lang w:eastAsia="en-US"/>
              </w:rPr>
              <w:t xml:space="preserve">; </w:t>
            </w:r>
            <w:hyperlink w:anchor="_ENREF_62" w:tooltip="Liew, 2014 #55" w:history="1">
              <w:r w:rsidR="007D4948" w:rsidRPr="007D1918">
                <w:rPr>
                  <w:rFonts w:ascii="Arial Narrow" w:hAnsi="Arial Narrow"/>
                  <w:b/>
                  <w:bCs/>
                  <w:noProof/>
                  <w:sz w:val="20"/>
                  <w:szCs w:val="20"/>
                  <w:lang w:eastAsia="en-US"/>
                </w:rPr>
                <w:t>Liew et al. 2014</w:t>
              </w:r>
            </w:hyperlink>
            <w:r w:rsidR="001A0E53" w:rsidRPr="007D1918">
              <w:rPr>
                <w:rFonts w:ascii="Arial Narrow" w:hAnsi="Arial Narrow"/>
                <w:b/>
                <w:bCs/>
                <w:noProof/>
                <w:sz w:val="20"/>
                <w:szCs w:val="20"/>
                <w:lang w:eastAsia="en-US"/>
              </w:rPr>
              <w:t xml:space="preserve">; </w:t>
            </w:r>
            <w:hyperlink w:anchor="_ENREF_63" w:tooltip="Liu, 2010 #56" w:history="1">
              <w:r w:rsidR="007D4948" w:rsidRPr="007D1918">
                <w:rPr>
                  <w:rFonts w:ascii="Arial Narrow" w:hAnsi="Arial Narrow"/>
                  <w:b/>
                  <w:bCs/>
                  <w:noProof/>
                  <w:sz w:val="20"/>
                  <w:szCs w:val="20"/>
                  <w:lang w:eastAsia="en-US"/>
                </w:rPr>
                <w:t>Liu et al. 2010</w:t>
              </w:r>
            </w:hyperlink>
            <w:r w:rsidR="001A0E53" w:rsidRPr="007D1918">
              <w:rPr>
                <w:rFonts w:ascii="Arial Narrow" w:hAnsi="Arial Narrow"/>
                <w:b/>
                <w:bCs/>
                <w:noProof/>
                <w:sz w:val="20"/>
                <w:szCs w:val="20"/>
                <w:lang w:eastAsia="en-US"/>
              </w:rPr>
              <w:t xml:space="preserve">; </w:t>
            </w:r>
            <w:hyperlink w:anchor="_ENREF_64" w:tooltip="Mandawat, 2010 #37" w:history="1">
              <w:r w:rsidR="007D4948" w:rsidRPr="007D1918">
                <w:rPr>
                  <w:rFonts w:ascii="Arial Narrow" w:hAnsi="Arial Narrow"/>
                  <w:b/>
                  <w:bCs/>
                  <w:noProof/>
                  <w:sz w:val="20"/>
                  <w:szCs w:val="20"/>
                  <w:lang w:eastAsia="en-US"/>
                </w:rPr>
                <w:t>Mandawat et al. 2010</w:t>
              </w:r>
            </w:hyperlink>
            <w:r w:rsidR="001A0E53" w:rsidRPr="007D1918">
              <w:rPr>
                <w:rFonts w:ascii="Arial Narrow" w:hAnsi="Arial Narrow"/>
                <w:b/>
                <w:bCs/>
                <w:noProof/>
                <w:sz w:val="20"/>
                <w:szCs w:val="20"/>
                <w:lang w:eastAsia="en-US"/>
              </w:rPr>
              <w:t xml:space="preserve">; </w:t>
            </w:r>
            <w:hyperlink w:anchor="_ENREF_83" w:tooltip="Rønager, 2001 #41" w:history="1">
              <w:r w:rsidR="007D4948" w:rsidRPr="007D1918">
                <w:rPr>
                  <w:rFonts w:ascii="Arial Narrow" w:hAnsi="Arial Narrow"/>
                  <w:b/>
                  <w:bCs/>
                  <w:noProof/>
                  <w:sz w:val="20"/>
                  <w:szCs w:val="20"/>
                  <w:lang w:eastAsia="en-US"/>
                </w:rPr>
                <w:t>Rønager et al. 2001</w:t>
              </w:r>
            </w:hyperlink>
            <w:r w:rsidR="001A0E53" w:rsidRPr="007D1918">
              <w:rPr>
                <w:rFonts w:ascii="Arial Narrow" w:hAnsi="Arial Narrow"/>
                <w:b/>
                <w:bCs/>
                <w:noProof/>
                <w:sz w:val="20"/>
                <w:szCs w:val="20"/>
                <w:lang w:eastAsia="en-US"/>
              </w:rPr>
              <w:t>)</w:t>
            </w:r>
            <w:r w:rsidR="003736AC" w:rsidRPr="007D1918">
              <w:rPr>
                <w:rFonts w:ascii="Arial Narrow" w:hAnsi="Arial Narrow"/>
                <w:b/>
                <w:bCs/>
                <w:sz w:val="20"/>
                <w:szCs w:val="20"/>
                <w:lang w:eastAsia="en-US"/>
              </w:rPr>
              <w:fldChar w:fldCharType="end"/>
            </w:r>
          </w:p>
        </w:tc>
      </w:tr>
      <w:tr w:rsidR="005A164A" w:rsidRPr="007D1918" w14:paraId="2984BC94" w14:textId="77777777" w:rsidTr="00097A59">
        <w:tc>
          <w:tcPr>
            <w:tcW w:w="5000" w:type="pct"/>
            <w:gridSpan w:val="9"/>
            <w:tcBorders>
              <w:top w:val="single" w:sz="12" w:space="0" w:color="000000"/>
              <w:left w:val="nil"/>
              <w:bottom w:val="single" w:sz="4" w:space="0" w:color="auto"/>
              <w:right w:val="nil"/>
            </w:tcBorders>
            <w:tcMar>
              <w:top w:w="45" w:type="dxa"/>
              <w:left w:w="45" w:type="dxa"/>
              <w:bottom w:w="45" w:type="dxa"/>
              <w:right w:w="45" w:type="dxa"/>
            </w:tcMar>
            <w:vAlign w:val="center"/>
          </w:tcPr>
          <w:p w14:paraId="4BBCEAB3" w14:textId="77777777" w:rsidR="005A164A" w:rsidRPr="007D1918" w:rsidRDefault="005A164A" w:rsidP="00097A59">
            <w:pPr>
              <w:spacing w:before="40" w:after="40" w:line="240" w:lineRule="auto"/>
              <w:jc w:val="both"/>
              <w:rPr>
                <w:rFonts w:ascii="Arial Narrow" w:hAnsi="Arial Narrow"/>
                <w:b/>
                <w:bCs/>
                <w:sz w:val="16"/>
                <w:szCs w:val="16"/>
                <w:lang w:eastAsia="en-US"/>
              </w:rPr>
            </w:pPr>
          </w:p>
        </w:tc>
      </w:tr>
      <w:tr w:rsidR="005A164A" w:rsidRPr="007D1918" w14:paraId="379AB468" w14:textId="77777777" w:rsidTr="00300091">
        <w:trPr>
          <w:trHeight w:val="60"/>
          <w:tblHeader/>
        </w:trPr>
        <w:tc>
          <w:tcPr>
            <w:tcW w:w="1784" w:type="pct"/>
            <w:gridSpan w:val="3"/>
            <w:tcBorders>
              <w:top w:val="single" w:sz="4" w:space="0" w:color="auto"/>
              <w:bottom w:val="single" w:sz="4" w:space="0" w:color="auto"/>
              <w:right w:val="single" w:sz="4" w:space="0" w:color="auto"/>
            </w:tcBorders>
            <w:shd w:val="clear" w:color="auto" w:fill="EEECE1" w:themeFill="background2"/>
          </w:tcPr>
          <w:p w14:paraId="644354A7"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assessment</w:t>
            </w:r>
          </w:p>
        </w:tc>
        <w:tc>
          <w:tcPr>
            <w:tcW w:w="2343"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0613712C"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Pr>
          <w:p w14:paraId="32E96B0B"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451" w:type="pct"/>
            <w:vMerge w:val="restart"/>
            <w:tcBorders>
              <w:top w:val="single" w:sz="4" w:space="0" w:color="auto"/>
              <w:left w:val="single" w:sz="4" w:space="0" w:color="auto"/>
              <w:bottom w:val="single" w:sz="4" w:space="0" w:color="auto"/>
            </w:tcBorders>
            <w:shd w:val="clear" w:color="auto" w:fill="EEECE1" w:themeFill="background2"/>
          </w:tcPr>
          <w:p w14:paraId="3FBC5877"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Importance</w:t>
            </w:r>
          </w:p>
        </w:tc>
      </w:tr>
      <w:tr w:rsidR="005A164A" w:rsidRPr="007D1918" w14:paraId="3DB2956C" w14:textId="77777777" w:rsidTr="00300091">
        <w:trPr>
          <w:trHeight w:val="60"/>
          <w:tblHeader/>
        </w:trPr>
        <w:tc>
          <w:tcPr>
            <w:tcW w:w="609" w:type="pct"/>
            <w:tcBorders>
              <w:top w:val="single" w:sz="4" w:space="0" w:color="auto"/>
              <w:bottom w:val="single" w:sz="4" w:space="0" w:color="auto"/>
              <w:right w:val="single" w:sz="4" w:space="0" w:color="auto"/>
            </w:tcBorders>
            <w:shd w:val="clear" w:color="auto" w:fill="EEECE1" w:themeFill="background2"/>
          </w:tcPr>
          <w:p w14:paraId="4507D831"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p w14:paraId="58FDA48B"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Comparison</w:t>
            </w:r>
          </w:p>
        </w:tc>
        <w:tc>
          <w:tcPr>
            <w:tcW w:w="514" w:type="pct"/>
            <w:tcBorders>
              <w:top w:val="single" w:sz="4" w:space="0" w:color="auto"/>
              <w:left w:val="single" w:sz="4" w:space="0" w:color="auto"/>
              <w:bottom w:val="single" w:sz="4" w:space="0" w:color="auto"/>
              <w:right w:val="single" w:sz="4" w:space="0" w:color="auto"/>
            </w:tcBorders>
            <w:shd w:val="clear" w:color="auto" w:fill="EEECE1" w:themeFill="background2"/>
          </w:tcPr>
          <w:p w14:paraId="159E530C"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75E4B212"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Studies</w:t>
            </w:r>
          </w:p>
        </w:tc>
        <w:tc>
          <w:tcPr>
            <w:tcW w:w="661" w:type="pct"/>
            <w:tcBorders>
              <w:top w:val="single" w:sz="4" w:space="0" w:color="auto"/>
              <w:left w:val="single" w:sz="4" w:space="0" w:color="auto"/>
              <w:bottom w:val="single" w:sz="4" w:space="0" w:color="auto"/>
              <w:right w:val="single" w:sz="4" w:space="0" w:color="auto"/>
            </w:tcBorders>
            <w:shd w:val="clear" w:color="auto" w:fill="EEECE1" w:themeFill="background2"/>
          </w:tcPr>
          <w:p w14:paraId="6667AFFB"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of evidence</w:t>
            </w:r>
          </w:p>
          <w:p w14:paraId="61905E03" w14:textId="32D711BE" w:rsidR="00DA47E5" w:rsidRPr="007D1918" w:rsidRDefault="00DA47E5" w:rsidP="00DA47E5">
            <w:pPr>
              <w:spacing w:before="40" w:after="40" w:line="240" w:lineRule="auto"/>
              <w:rPr>
                <w:rFonts w:ascii="Arial Narrow" w:hAnsi="Arial Narrow"/>
                <w:b/>
                <w:sz w:val="20"/>
                <w:szCs w:val="20"/>
                <w:lang w:eastAsia="en-US"/>
              </w:rPr>
            </w:pPr>
            <w:r w:rsidRPr="007D1918">
              <w:rPr>
                <w:rFonts w:ascii="Arial Narrow" w:hAnsi="Arial Narrow"/>
                <w:b/>
                <w:sz w:val="16"/>
                <w:szCs w:val="16"/>
                <w:lang w:eastAsia="en-US"/>
              </w:rPr>
              <w:t xml:space="preserve">Key: 0=not serious; </w:t>
            </w:r>
            <w:r w:rsidRPr="007D1918">
              <w:rPr>
                <w:rFonts w:ascii="Arial Narrow" w:hAnsi="Arial Narrow"/>
                <w:b/>
                <w:sz w:val="16"/>
                <w:szCs w:val="16"/>
                <w:lang w:eastAsia="en-US"/>
              </w:rPr>
              <w:br/>
              <w:t>-1=serious; -2=very serious</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7A73947E"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Intervention result</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3F14AC32"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Comparator result</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Pr>
          <w:p w14:paraId="171ECEE9"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Difference </w:t>
            </w:r>
          </w:p>
        </w:tc>
        <w:tc>
          <w:tcPr>
            <w:tcW w:w="750" w:type="pct"/>
            <w:tcBorders>
              <w:top w:val="single" w:sz="4" w:space="0" w:color="auto"/>
              <w:left w:val="single" w:sz="4" w:space="0" w:color="auto"/>
              <w:bottom w:val="single" w:sz="4" w:space="0" w:color="auto"/>
              <w:right w:val="single" w:sz="4" w:space="0" w:color="auto"/>
            </w:tcBorders>
            <w:shd w:val="clear" w:color="auto" w:fill="EEECE1" w:themeFill="background2"/>
          </w:tcPr>
          <w:p w14:paraId="13F484D5" w14:textId="77777777" w:rsidR="005A164A" w:rsidRPr="007D1918" w:rsidRDefault="005A164A"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Interpretation</w:t>
            </w:r>
          </w:p>
        </w:tc>
        <w:tc>
          <w:tcPr>
            <w:tcW w:w="422" w:type="pct"/>
            <w:vMerge/>
            <w:tcBorders>
              <w:top w:val="single" w:sz="4" w:space="0" w:color="auto"/>
              <w:left w:val="single" w:sz="4" w:space="0" w:color="auto"/>
              <w:bottom w:val="single" w:sz="4" w:space="0" w:color="auto"/>
              <w:right w:val="single" w:sz="4" w:space="0" w:color="auto"/>
            </w:tcBorders>
            <w:shd w:val="clear" w:color="auto" w:fill="EEECE1" w:themeFill="background2"/>
          </w:tcPr>
          <w:p w14:paraId="26989E19" w14:textId="77777777" w:rsidR="005A164A" w:rsidRPr="007D1918" w:rsidRDefault="005A164A" w:rsidP="00097A59">
            <w:pPr>
              <w:spacing w:before="40" w:after="40" w:line="240" w:lineRule="auto"/>
              <w:jc w:val="both"/>
              <w:rPr>
                <w:rFonts w:ascii="Arial Narrow" w:hAnsi="Arial Narrow"/>
                <w:b/>
                <w:sz w:val="20"/>
                <w:szCs w:val="20"/>
                <w:lang w:eastAsia="en-US"/>
              </w:rPr>
            </w:pPr>
          </w:p>
        </w:tc>
        <w:tc>
          <w:tcPr>
            <w:tcW w:w="451" w:type="pct"/>
            <w:vMerge/>
            <w:tcBorders>
              <w:top w:val="single" w:sz="4" w:space="0" w:color="auto"/>
              <w:left w:val="single" w:sz="4" w:space="0" w:color="auto"/>
              <w:bottom w:val="single" w:sz="4" w:space="0" w:color="auto"/>
            </w:tcBorders>
            <w:shd w:val="clear" w:color="auto" w:fill="EEECE1" w:themeFill="background2"/>
          </w:tcPr>
          <w:p w14:paraId="47F5D9D5" w14:textId="77777777" w:rsidR="005A164A" w:rsidRPr="007D1918" w:rsidRDefault="005A164A" w:rsidP="00097A59">
            <w:pPr>
              <w:spacing w:before="40" w:after="40" w:line="240" w:lineRule="auto"/>
              <w:jc w:val="both"/>
              <w:rPr>
                <w:rFonts w:ascii="Arial Narrow" w:hAnsi="Arial Narrow"/>
                <w:b/>
                <w:sz w:val="20"/>
                <w:szCs w:val="20"/>
                <w:lang w:eastAsia="en-US"/>
              </w:rPr>
            </w:pPr>
          </w:p>
        </w:tc>
      </w:tr>
      <w:tr w:rsidR="005A164A" w:rsidRPr="007D1918" w14:paraId="54DC733A" w14:textId="77777777" w:rsidTr="00257E0C">
        <w:tc>
          <w:tcPr>
            <w:tcW w:w="609" w:type="pct"/>
            <w:tcBorders>
              <w:top w:val="single" w:sz="4" w:space="0" w:color="auto"/>
              <w:bottom w:val="single" w:sz="4" w:space="0" w:color="auto"/>
              <w:right w:val="single" w:sz="4" w:space="0" w:color="auto"/>
            </w:tcBorders>
          </w:tcPr>
          <w:p w14:paraId="566CA362" w14:textId="511266BB" w:rsidR="007E1C8D" w:rsidRPr="007D1918" w:rsidRDefault="007E1C8D" w:rsidP="007E1C8D">
            <w:pPr>
              <w:spacing w:before="40" w:after="40" w:line="240" w:lineRule="auto"/>
              <w:rPr>
                <w:rFonts w:ascii="Arial Narrow" w:hAnsi="Arial Narrow" w:cs="Arial"/>
                <w:sz w:val="18"/>
                <w:szCs w:val="18"/>
              </w:rPr>
            </w:pPr>
            <w:r w:rsidRPr="007D1918">
              <w:rPr>
                <w:rFonts w:ascii="Arial Narrow" w:hAnsi="Arial Narrow" w:cs="Arial"/>
                <w:sz w:val="18"/>
                <w:szCs w:val="18"/>
              </w:rPr>
              <w:t>Adverse events</w:t>
            </w:r>
            <w:r w:rsidR="00C1142E" w:rsidRPr="007D1918">
              <w:rPr>
                <w:rFonts w:ascii="Arial Narrow" w:hAnsi="Arial Narrow" w:cs="Arial"/>
                <w:sz w:val="18"/>
                <w:szCs w:val="18"/>
              </w:rPr>
              <w:t xml:space="preserve"> (% patients with any event)</w:t>
            </w:r>
          </w:p>
          <w:p w14:paraId="391881D7" w14:textId="20C4D5A6" w:rsidR="005A164A" w:rsidRPr="007D1918" w:rsidRDefault="007E1C8D" w:rsidP="007E1C8D">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15F3D2BB" w14:textId="77777777" w:rsidR="007E5044" w:rsidRPr="007D1918" w:rsidRDefault="007E5044" w:rsidP="00773DFA">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n=1,034</w:t>
            </w:r>
          </w:p>
          <w:p w14:paraId="55FAE6CD" w14:textId="205F9D52" w:rsidR="005A164A" w:rsidRPr="007D1918" w:rsidRDefault="007E5044" w:rsidP="00773DFA">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k=3 RCTs, 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157520EA" w14:textId="24A8E22E" w:rsidR="005A164A" w:rsidRPr="007D1918" w:rsidRDefault="005A164A"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007458B2" w:rsidRPr="007D1918">
              <w:rPr>
                <w:rFonts w:ascii="Arial Narrow" w:hAnsi="Arial Narrow"/>
                <w:sz w:val="18"/>
                <w:szCs w:val="18"/>
                <w:vertAlign w:val="superscript"/>
                <w:lang w:eastAsia="en-US"/>
              </w:rPr>
              <w:t>a</w:t>
            </w:r>
          </w:p>
          <w:p w14:paraId="497C6DB3" w14:textId="77777777" w:rsidR="005A164A" w:rsidRPr="007D1918" w:rsidRDefault="005A164A"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45894AD0" w14:textId="77777777" w:rsidR="005A164A" w:rsidRPr="007D1918" w:rsidRDefault="005A164A"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3F07DEC9" w14:textId="77777777" w:rsidR="005A164A" w:rsidRPr="007D1918" w:rsidRDefault="005A164A"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4817B652" w14:textId="59F820E6" w:rsidR="003118DE" w:rsidRPr="007D1918" w:rsidRDefault="004B7025" w:rsidP="004B702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3118DE" w:rsidRPr="007D1918">
              <w:rPr>
                <w:rFonts w:ascii="Arial Narrow" w:hAnsi="Arial Narrow"/>
                <w:sz w:val="18"/>
                <w:szCs w:val="18"/>
                <w:lang w:eastAsia="en-US"/>
              </w:rPr>
              <w:t xml:space="preserve">: </w:t>
            </w:r>
            <w:r w:rsidRPr="007D1918">
              <w:rPr>
                <w:rFonts w:ascii="Arial Narrow" w:hAnsi="Arial Narrow"/>
                <w:sz w:val="18"/>
                <w:szCs w:val="18"/>
                <w:lang w:eastAsia="en-US"/>
              </w:rPr>
              <w:t>confounding is</w:t>
            </w:r>
            <w:r w:rsidR="003118DE" w:rsidRPr="007D1918">
              <w:rPr>
                <w:rFonts w:ascii="Arial Narrow" w:hAnsi="Arial Narrow"/>
                <w:sz w:val="18"/>
                <w:szCs w:val="18"/>
                <w:lang w:eastAsia="en-US"/>
              </w:rPr>
              <w:t xml:space="preserve"> likely</w:t>
            </w:r>
            <w:r w:rsidRPr="007D1918">
              <w:rPr>
                <w:rFonts w:ascii="Arial Narrow" w:hAnsi="Arial Narrow"/>
                <w:sz w:val="18"/>
                <w:szCs w:val="18"/>
                <w:lang w:eastAsia="en-US"/>
              </w:rPr>
              <w:t xml:space="preserve"> to give</w:t>
            </w:r>
            <w:r w:rsidR="003118DE" w:rsidRPr="007D1918">
              <w:rPr>
                <w:rFonts w:ascii="Arial Narrow" w:hAnsi="Arial Narrow"/>
                <w:sz w:val="18"/>
                <w:szCs w:val="18"/>
                <w:lang w:eastAsia="en-US"/>
              </w:rPr>
              <w:t xml:space="preserve"> spurious effect </w:t>
            </w:r>
          </w:p>
        </w:tc>
        <w:tc>
          <w:tcPr>
            <w:tcW w:w="561" w:type="pct"/>
            <w:tcBorders>
              <w:top w:val="single" w:sz="4" w:space="0" w:color="auto"/>
              <w:left w:val="single" w:sz="4" w:space="0" w:color="auto"/>
              <w:bottom w:val="single" w:sz="4" w:space="0" w:color="auto"/>
              <w:right w:val="single" w:sz="4" w:space="0" w:color="auto"/>
            </w:tcBorders>
          </w:tcPr>
          <w:p w14:paraId="50BA314B" w14:textId="623F1C35" w:rsidR="005A164A" w:rsidRPr="007D1918" w:rsidRDefault="00C07380"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6.67%</w:t>
            </w:r>
            <w:r w:rsidR="00C1142E" w:rsidRPr="007D1918">
              <w:rPr>
                <w:rFonts w:ascii="Arial Narrow" w:hAnsi="Arial Narrow"/>
                <w:sz w:val="18"/>
                <w:szCs w:val="18"/>
              </w:rPr>
              <w:t>-</w:t>
            </w:r>
            <w:r w:rsidR="008427B7" w:rsidRPr="007D1918">
              <w:rPr>
                <w:rFonts w:ascii="Arial Narrow" w:hAnsi="Arial Narrow"/>
                <w:sz w:val="18"/>
                <w:szCs w:val="18"/>
              </w:rPr>
              <w:t>66.7%</w:t>
            </w:r>
          </w:p>
        </w:tc>
        <w:tc>
          <w:tcPr>
            <w:tcW w:w="561" w:type="pct"/>
            <w:tcBorders>
              <w:top w:val="single" w:sz="4" w:space="0" w:color="auto"/>
              <w:left w:val="single" w:sz="4" w:space="0" w:color="auto"/>
              <w:bottom w:val="single" w:sz="4" w:space="0" w:color="auto"/>
              <w:right w:val="single" w:sz="4" w:space="0" w:color="auto"/>
            </w:tcBorders>
          </w:tcPr>
          <w:p w14:paraId="1201EB5B" w14:textId="04D0B62D" w:rsidR="005A164A" w:rsidRPr="007D1918" w:rsidRDefault="008427B7"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11.4%-49%</w:t>
            </w:r>
          </w:p>
        </w:tc>
        <w:tc>
          <w:tcPr>
            <w:tcW w:w="471" w:type="pct"/>
            <w:tcBorders>
              <w:top w:val="single" w:sz="4" w:space="0" w:color="auto"/>
              <w:left w:val="single" w:sz="4" w:space="0" w:color="auto"/>
              <w:bottom w:val="single" w:sz="4" w:space="0" w:color="auto"/>
              <w:right w:val="single" w:sz="4" w:space="0" w:color="auto"/>
            </w:tcBorders>
          </w:tcPr>
          <w:p w14:paraId="6EAEC51E" w14:textId="7CC75B7F" w:rsidR="005A164A" w:rsidRPr="007D1918" w:rsidRDefault="00A1162A"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5A164A" w:rsidRPr="007D1918">
              <w:rPr>
                <w:rFonts w:ascii="Arial Narrow" w:hAnsi="Arial Narrow"/>
                <w:sz w:val="18"/>
                <w:szCs w:val="18"/>
                <w:lang w:eastAsia="en-US"/>
              </w:rPr>
              <w:t>A</w:t>
            </w:r>
          </w:p>
        </w:tc>
        <w:tc>
          <w:tcPr>
            <w:tcW w:w="750" w:type="pct"/>
            <w:tcBorders>
              <w:top w:val="single" w:sz="4" w:space="0" w:color="auto"/>
              <w:left w:val="single" w:sz="4" w:space="0" w:color="auto"/>
              <w:bottom w:val="single" w:sz="4" w:space="0" w:color="auto"/>
              <w:right w:val="single" w:sz="4" w:space="0" w:color="auto"/>
            </w:tcBorders>
          </w:tcPr>
          <w:p w14:paraId="41CCFF8B" w14:textId="6882032A" w:rsidR="005A164A" w:rsidRPr="007D1918" w:rsidRDefault="008427B7"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between groups</w:t>
            </w:r>
          </w:p>
        </w:tc>
        <w:tc>
          <w:tcPr>
            <w:tcW w:w="422" w:type="pct"/>
            <w:tcBorders>
              <w:top w:val="single" w:sz="4" w:space="0" w:color="auto"/>
              <w:left w:val="single" w:sz="4" w:space="0" w:color="auto"/>
              <w:bottom w:val="single" w:sz="4" w:space="0" w:color="auto"/>
              <w:right w:val="single" w:sz="4" w:space="0" w:color="auto"/>
            </w:tcBorders>
          </w:tcPr>
          <w:p w14:paraId="707443D8" w14:textId="0D109AE1" w:rsidR="005A164A" w:rsidRPr="007D1918" w:rsidRDefault="005A164A" w:rsidP="00097A59">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C1142E"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375BB932" w14:textId="68FE5496" w:rsidR="005A164A" w:rsidRPr="007D1918" w:rsidRDefault="004B7025" w:rsidP="00097A59">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5A164A" w:rsidRPr="007D1918" w14:paraId="25C32245" w14:textId="77777777" w:rsidTr="00257E0C">
        <w:tc>
          <w:tcPr>
            <w:tcW w:w="609" w:type="pct"/>
            <w:tcBorders>
              <w:top w:val="single" w:sz="4" w:space="0" w:color="auto"/>
              <w:bottom w:val="single" w:sz="4" w:space="0" w:color="auto"/>
              <w:right w:val="single" w:sz="4" w:space="0" w:color="auto"/>
            </w:tcBorders>
          </w:tcPr>
          <w:p w14:paraId="07AD9B79" w14:textId="5BD596A1" w:rsidR="007E1C8D" w:rsidRPr="007D1918" w:rsidRDefault="007E1C8D" w:rsidP="007E1C8D">
            <w:pPr>
              <w:spacing w:before="40" w:after="40" w:line="240" w:lineRule="auto"/>
              <w:rPr>
                <w:rFonts w:ascii="Arial Narrow" w:hAnsi="Arial Narrow" w:cs="Arial"/>
                <w:sz w:val="18"/>
                <w:szCs w:val="18"/>
              </w:rPr>
            </w:pPr>
            <w:r w:rsidRPr="007D1918">
              <w:rPr>
                <w:rFonts w:ascii="Arial Narrow" w:hAnsi="Arial Narrow" w:cs="Arial"/>
                <w:sz w:val="18"/>
                <w:szCs w:val="18"/>
              </w:rPr>
              <w:t>Adverse events</w:t>
            </w:r>
            <w:r w:rsidR="00C07380" w:rsidRPr="007D1918">
              <w:rPr>
                <w:rFonts w:ascii="Arial Narrow" w:hAnsi="Arial Narrow" w:cs="Arial"/>
                <w:sz w:val="18"/>
                <w:szCs w:val="18"/>
              </w:rPr>
              <w:t xml:space="preserve"> (% patients with any event)</w:t>
            </w:r>
          </w:p>
          <w:p w14:paraId="5539B545" w14:textId="2A322D6D" w:rsidR="005A164A" w:rsidRPr="007D1918" w:rsidRDefault="007E1C8D" w:rsidP="007E1C8D">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placebo</w:t>
            </w:r>
          </w:p>
        </w:tc>
        <w:tc>
          <w:tcPr>
            <w:tcW w:w="514" w:type="pct"/>
            <w:tcBorders>
              <w:top w:val="single" w:sz="4" w:space="0" w:color="auto"/>
              <w:left w:val="single" w:sz="4" w:space="0" w:color="auto"/>
              <w:bottom w:val="single" w:sz="4" w:space="0" w:color="auto"/>
              <w:right w:val="single" w:sz="4" w:space="0" w:color="auto"/>
            </w:tcBorders>
          </w:tcPr>
          <w:p w14:paraId="3888E364" w14:textId="77777777" w:rsidR="007E5044" w:rsidRPr="007D1918" w:rsidRDefault="007E5044" w:rsidP="007E5044">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n=62</w:t>
            </w:r>
          </w:p>
          <w:p w14:paraId="759D6C94" w14:textId="768846B8" w:rsidR="005A164A" w:rsidRPr="007D1918" w:rsidRDefault="007E5044" w:rsidP="007E5044">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335B531E" w14:textId="7D203DA0" w:rsidR="005A164A" w:rsidRPr="007D1918" w:rsidRDefault="00482ABD" w:rsidP="003118D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Risk of bias: 0</w:t>
            </w:r>
          </w:p>
          <w:p w14:paraId="5190685C" w14:textId="77777777" w:rsidR="005A164A" w:rsidRPr="007D1918" w:rsidRDefault="005A164A" w:rsidP="003118D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Inconsistency: 0</w:t>
            </w:r>
          </w:p>
          <w:p w14:paraId="2C006FAF" w14:textId="34E2E8F6" w:rsidR="005A164A" w:rsidRPr="007D1918" w:rsidRDefault="005A164A" w:rsidP="003118DE">
            <w:pPr>
              <w:spacing w:before="40" w:after="40" w:line="240" w:lineRule="auto"/>
              <w:rPr>
                <w:rFonts w:ascii="Arial Narrow" w:hAnsi="Arial Narrow"/>
                <w:sz w:val="18"/>
                <w:szCs w:val="18"/>
                <w:vertAlign w:val="superscript"/>
                <w:lang w:eastAsia="en-US"/>
              </w:rPr>
            </w:pPr>
            <w:r w:rsidRPr="007D1918">
              <w:rPr>
                <w:rFonts w:ascii="Arial Narrow" w:hAnsi="Arial Narrow"/>
                <w:sz w:val="18"/>
                <w:szCs w:val="18"/>
                <w:lang w:eastAsia="en-US"/>
              </w:rPr>
              <w:t xml:space="preserve">Indirectness: </w:t>
            </w:r>
            <w:r w:rsidR="00AC707E" w:rsidRPr="007D1918">
              <w:rPr>
                <w:rFonts w:ascii="Arial Narrow" w:hAnsi="Arial Narrow"/>
                <w:sz w:val="18"/>
                <w:szCs w:val="18"/>
                <w:lang w:eastAsia="en-US"/>
              </w:rPr>
              <w:t>-1</w:t>
            </w:r>
            <w:r w:rsidR="008F137D" w:rsidRPr="007D1918">
              <w:rPr>
                <w:rFonts w:ascii="Arial Narrow" w:hAnsi="Arial Narrow"/>
                <w:sz w:val="18"/>
                <w:szCs w:val="18"/>
                <w:vertAlign w:val="superscript"/>
                <w:lang w:eastAsia="en-US"/>
              </w:rPr>
              <w:t>b</w:t>
            </w:r>
          </w:p>
          <w:p w14:paraId="27C95362" w14:textId="77777777" w:rsidR="005A164A" w:rsidRPr="007D1918" w:rsidRDefault="005A164A" w:rsidP="003118DE">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Imprecision: 0</w:t>
            </w:r>
          </w:p>
          <w:p w14:paraId="54CB27DF" w14:textId="2089C20B" w:rsidR="003118DE" w:rsidRPr="007D1918" w:rsidRDefault="004B7025" w:rsidP="008F137D">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Other</w:t>
            </w:r>
            <w:r w:rsidR="00482ABD" w:rsidRPr="007D1918">
              <w:rPr>
                <w:rFonts w:ascii="Arial Narrow" w:hAnsi="Arial Narrow"/>
                <w:sz w:val="18"/>
                <w:szCs w:val="18"/>
                <w:lang w:eastAsia="en-US"/>
              </w:rPr>
              <w:t xml:space="preserve">: </w:t>
            </w:r>
            <w:r w:rsidRPr="007D1918">
              <w:rPr>
                <w:rFonts w:ascii="Arial Narrow" w:hAnsi="Arial Narrow"/>
                <w:sz w:val="18"/>
                <w:szCs w:val="18"/>
                <w:lang w:eastAsia="en-US"/>
              </w:rPr>
              <w:t>publication bias -1</w:t>
            </w:r>
            <w:r w:rsidR="008F137D" w:rsidRPr="007D1918">
              <w:rPr>
                <w:rFonts w:ascii="Arial Narrow" w:hAnsi="Arial Narrow"/>
                <w:sz w:val="18"/>
                <w:szCs w:val="18"/>
                <w:vertAlign w:val="superscript"/>
                <w:lang w:eastAsia="en-US"/>
              </w:rPr>
              <w:t>c</w:t>
            </w:r>
          </w:p>
        </w:tc>
        <w:tc>
          <w:tcPr>
            <w:tcW w:w="561" w:type="pct"/>
            <w:tcBorders>
              <w:top w:val="single" w:sz="4" w:space="0" w:color="auto"/>
              <w:left w:val="single" w:sz="4" w:space="0" w:color="auto"/>
              <w:bottom w:val="single" w:sz="4" w:space="0" w:color="auto"/>
              <w:right w:val="single" w:sz="4" w:space="0" w:color="auto"/>
            </w:tcBorders>
          </w:tcPr>
          <w:p w14:paraId="10C5783F" w14:textId="42B8DC36" w:rsidR="005A164A" w:rsidRPr="007D1918" w:rsidRDefault="00C07380"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16.67</w:t>
            </w:r>
            <w:r w:rsidR="005A164A" w:rsidRPr="007D1918">
              <w:rPr>
                <w:rFonts w:ascii="Arial Narrow" w:hAnsi="Arial Narrow"/>
                <w:sz w:val="18"/>
                <w:szCs w:val="18"/>
              </w:rPr>
              <w:t>%</w:t>
            </w:r>
          </w:p>
        </w:tc>
        <w:tc>
          <w:tcPr>
            <w:tcW w:w="561" w:type="pct"/>
            <w:tcBorders>
              <w:top w:val="single" w:sz="4" w:space="0" w:color="auto"/>
              <w:left w:val="single" w:sz="4" w:space="0" w:color="auto"/>
              <w:bottom w:val="single" w:sz="4" w:space="0" w:color="auto"/>
              <w:right w:val="single" w:sz="4" w:space="0" w:color="auto"/>
            </w:tcBorders>
          </w:tcPr>
          <w:p w14:paraId="02A2C163" w14:textId="3F1A3893" w:rsidR="005A164A" w:rsidRPr="007D1918" w:rsidRDefault="00C07380" w:rsidP="00097A59">
            <w:pPr>
              <w:spacing w:before="40" w:after="40" w:line="240" w:lineRule="auto"/>
              <w:jc w:val="both"/>
              <w:rPr>
                <w:rFonts w:ascii="Arial Narrow" w:hAnsi="Arial Narrow"/>
                <w:sz w:val="18"/>
                <w:szCs w:val="18"/>
              </w:rPr>
            </w:pPr>
            <w:r w:rsidRPr="007D1918">
              <w:rPr>
                <w:rFonts w:ascii="Arial Narrow" w:hAnsi="Arial Narrow"/>
                <w:sz w:val="18"/>
                <w:szCs w:val="18"/>
              </w:rPr>
              <w:t>12.5</w:t>
            </w:r>
            <w:r w:rsidR="005A164A" w:rsidRPr="007D1918">
              <w:rPr>
                <w:rFonts w:ascii="Arial Narrow" w:hAnsi="Arial Narrow"/>
                <w:sz w:val="18"/>
                <w:szCs w:val="18"/>
              </w:rPr>
              <w:t>%</w:t>
            </w:r>
          </w:p>
        </w:tc>
        <w:tc>
          <w:tcPr>
            <w:tcW w:w="471" w:type="pct"/>
            <w:tcBorders>
              <w:top w:val="single" w:sz="4" w:space="0" w:color="auto"/>
              <w:left w:val="single" w:sz="4" w:space="0" w:color="auto"/>
              <w:bottom w:val="single" w:sz="4" w:space="0" w:color="auto"/>
              <w:right w:val="single" w:sz="4" w:space="0" w:color="auto"/>
            </w:tcBorders>
          </w:tcPr>
          <w:p w14:paraId="11185203" w14:textId="6D0EF5BC" w:rsidR="00765E5B" w:rsidRPr="007D1918" w:rsidRDefault="00765E5B" w:rsidP="00C0738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4.17%</w:t>
            </w:r>
          </w:p>
          <w:p w14:paraId="26ACA8A5" w14:textId="77777777" w:rsidR="005A164A" w:rsidRPr="007D1918" w:rsidRDefault="005A164A" w:rsidP="00C0738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w:t>
            </w:r>
            <w:r w:rsidR="00C07380" w:rsidRPr="007D1918">
              <w:rPr>
                <w:rFonts w:ascii="Arial Narrow" w:hAnsi="Arial Narrow"/>
                <w:sz w:val="18"/>
                <w:szCs w:val="18"/>
                <w:lang w:eastAsia="en-US"/>
              </w:rPr>
              <w:t>64</w:t>
            </w:r>
          </w:p>
          <w:p w14:paraId="38E1A4CB" w14:textId="0EB8D978" w:rsidR="00C07380" w:rsidRPr="007D1918" w:rsidRDefault="00627721" w:rsidP="00C0738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95% CI</w:t>
            </w:r>
            <w:r w:rsidR="00C07380" w:rsidRPr="007D1918">
              <w:rPr>
                <w:rFonts w:ascii="Arial Narrow" w:hAnsi="Arial Narrow"/>
                <w:sz w:val="18"/>
                <w:szCs w:val="18"/>
                <w:lang w:eastAsia="en-US"/>
              </w:rPr>
              <w:t xml:space="preserve"> -13.0, 22.7</w:t>
            </w:r>
          </w:p>
        </w:tc>
        <w:tc>
          <w:tcPr>
            <w:tcW w:w="750" w:type="pct"/>
            <w:tcBorders>
              <w:top w:val="single" w:sz="4" w:space="0" w:color="auto"/>
              <w:left w:val="single" w:sz="4" w:space="0" w:color="auto"/>
              <w:bottom w:val="single" w:sz="4" w:space="0" w:color="auto"/>
              <w:right w:val="single" w:sz="4" w:space="0" w:color="auto"/>
            </w:tcBorders>
          </w:tcPr>
          <w:p w14:paraId="437BD192" w14:textId="46E273DF" w:rsidR="005A164A" w:rsidRPr="007D1918" w:rsidRDefault="005A164A" w:rsidP="00C0738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between groups</w:t>
            </w:r>
          </w:p>
        </w:tc>
        <w:tc>
          <w:tcPr>
            <w:tcW w:w="422" w:type="pct"/>
            <w:tcBorders>
              <w:top w:val="single" w:sz="4" w:space="0" w:color="auto"/>
              <w:left w:val="single" w:sz="4" w:space="0" w:color="auto"/>
              <w:bottom w:val="single" w:sz="4" w:space="0" w:color="auto"/>
              <w:right w:val="single" w:sz="4" w:space="0" w:color="auto"/>
            </w:tcBorders>
          </w:tcPr>
          <w:p w14:paraId="0023A602" w14:textId="58EC575E" w:rsidR="005A164A" w:rsidRPr="007D1918" w:rsidRDefault="005A164A" w:rsidP="00097A59">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00B55CDA"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72A457A4" w14:textId="1DE24B41" w:rsidR="005A164A" w:rsidRPr="007D1918" w:rsidRDefault="00B55CDA" w:rsidP="00097A59">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7E1C8D" w:rsidRPr="007D1918" w14:paraId="3FAB798C" w14:textId="77777777" w:rsidTr="00F953AE">
        <w:tc>
          <w:tcPr>
            <w:tcW w:w="609" w:type="pct"/>
            <w:tcBorders>
              <w:top w:val="single" w:sz="4" w:space="0" w:color="auto"/>
              <w:bottom w:val="single" w:sz="4" w:space="0" w:color="auto"/>
              <w:right w:val="single" w:sz="4" w:space="0" w:color="auto"/>
            </w:tcBorders>
          </w:tcPr>
          <w:p w14:paraId="7848DFFF" w14:textId="22F94EF0" w:rsidR="007E1C8D" w:rsidRPr="007D1918" w:rsidRDefault="007E1C8D" w:rsidP="007E1C8D">
            <w:pPr>
              <w:spacing w:before="40" w:after="40" w:line="240" w:lineRule="auto"/>
              <w:rPr>
                <w:rFonts w:ascii="Arial Narrow" w:hAnsi="Arial Narrow" w:cs="Arial"/>
                <w:sz w:val="18"/>
                <w:szCs w:val="18"/>
              </w:rPr>
            </w:pPr>
            <w:r w:rsidRPr="007D1918">
              <w:rPr>
                <w:rFonts w:ascii="Arial Narrow" w:hAnsi="Arial Narrow" w:cs="Arial"/>
                <w:sz w:val="18"/>
                <w:szCs w:val="18"/>
              </w:rPr>
              <w:t>Adverse events</w:t>
            </w:r>
            <w:r w:rsidR="004B7025" w:rsidRPr="007D1918">
              <w:rPr>
                <w:rFonts w:ascii="Arial Narrow" w:hAnsi="Arial Narrow" w:cs="Arial"/>
                <w:sz w:val="18"/>
                <w:szCs w:val="18"/>
              </w:rPr>
              <w:t xml:space="preserve"> (% </w:t>
            </w:r>
            <w:r w:rsidR="00C07380" w:rsidRPr="007D1918">
              <w:rPr>
                <w:rFonts w:ascii="Arial Narrow" w:hAnsi="Arial Narrow" w:cs="Arial"/>
                <w:sz w:val="18"/>
                <w:szCs w:val="18"/>
              </w:rPr>
              <w:t>patients with event)</w:t>
            </w:r>
          </w:p>
          <w:p w14:paraId="78A55FEA" w14:textId="1EC631F9" w:rsidR="007E1C8D" w:rsidRPr="007D1918" w:rsidRDefault="007E1C8D" w:rsidP="007E1C8D">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PE in children</w:t>
            </w:r>
          </w:p>
        </w:tc>
        <w:tc>
          <w:tcPr>
            <w:tcW w:w="514" w:type="pct"/>
            <w:tcBorders>
              <w:top w:val="single" w:sz="4" w:space="0" w:color="auto"/>
              <w:left w:val="single" w:sz="4" w:space="0" w:color="auto"/>
              <w:bottom w:val="single" w:sz="4" w:space="0" w:color="auto"/>
              <w:right w:val="single" w:sz="4" w:space="0" w:color="auto"/>
            </w:tcBorders>
          </w:tcPr>
          <w:p w14:paraId="642AAF8B" w14:textId="77777777" w:rsidR="007E5044" w:rsidRPr="007D1918" w:rsidRDefault="007E5044" w:rsidP="007E5044">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n=17</w:t>
            </w:r>
          </w:p>
          <w:p w14:paraId="4D796B0E" w14:textId="0F6D3BB0" w:rsidR="007E1C8D" w:rsidRPr="007D1918" w:rsidRDefault="007E5044" w:rsidP="005725B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k=1 </w:t>
            </w:r>
            <w:r w:rsidR="005725B7" w:rsidRPr="007D1918">
              <w:rPr>
                <w:rFonts w:ascii="Arial Narrow" w:hAnsi="Arial Narrow"/>
                <w:sz w:val="18"/>
                <w:szCs w:val="18"/>
                <w:lang w:eastAsia="en-US"/>
              </w:rPr>
              <w:t>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 xml:space="preserve">CoH </w:t>
            </w:r>
          </w:p>
        </w:tc>
        <w:tc>
          <w:tcPr>
            <w:tcW w:w="661" w:type="pct"/>
            <w:tcBorders>
              <w:top w:val="single" w:sz="4" w:space="0" w:color="auto"/>
              <w:left w:val="single" w:sz="4" w:space="0" w:color="auto"/>
              <w:bottom w:val="single" w:sz="4" w:space="0" w:color="auto"/>
              <w:right w:val="single" w:sz="4" w:space="0" w:color="auto"/>
            </w:tcBorders>
          </w:tcPr>
          <w:p w14:paraId="460CD020" w14:textId="235C1E6D" w:rsidR="007E1C8D" w:rsidRPr="007D1918" w:rsidRDefault="007E1C8D"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Risk of bias: </w:t>
            </w:r>
            <w:r w:rsidR="00482ABD" w:rsidRPr="007D1918">
              <w:rPr>
                <w:rFonts w:ascii="Arial Narrow" w:hAnsi="Arial Narrow"/>
                <w:sz w:val="18"/>
                <w:szCs w:val="18"/>
                <w:lang w:eastAsia="en-US"/>
              </w:rPr>
              <w:t>-1</w:t>
            </w:r>
            <w:r w:rsidR="008F137D" w:rsidRPr="007D1918">
              <w:rPr>
                <w:rFonts w:ascii="Arial Narrow" w:hAnsi="Arial Narrow"/>
                <w:sz w:val="18"/>
                <w:szCs w:val="18"/>
                <w:vertAlign w:val="superscript"/>
                <w:lang w:eastAsia="en-US"/>
              </w:rPr>
              <w:t>d</w:t>
            </w:r>
          </w:p>
          <w:p w14:paraId="749945DF" w14:textId="77777777" w:rsidR="007E1C8D" w:rsidRPr="007D1918" w:rsidRDefault="007E1C8D"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371A6B95" w14:textId="77777777" w:rsidR="007E1C8D" w:rsidRPr="007D1918" w:rsidRDefault="007E1C8D"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0B9DF871" w14:textId="7A7519CB" w:rsidR="007E1C8D" w:rsidRPr="007D1918" w:rsidRDefault="007E1C8D"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Imprecision: </w:t>
            </w:r>
            <w:r w:rsidR="003118DE" w:rsidRPr="007D1918">
              <w:rPr>
                <w:rFonts w:ascii="Arial Narrow" w:hAnsi="Arial Narrow"/>
                <w:sz w:val="18"/>
                <w:szCs w:val="18"/>
                <w:lang w:eastAsia="en-US"/>
              </w:rPr>
              <w:t>-1</w:t>
            </w:r>
            <w:r w:rsidR="00482ABD" w:rsidRPr="007D1918">
              <w:rPr>
                <w:rFonts w:ascii="Arial Narrow" w:hAnsi="Arial Narrow"/>
                <w:sz w:val="18"/>
                <w:szCs w:val="18"/>
                <w:vertAlign w:val="superscript"/>
                <w:lang w:eastAsia="en-US"/>
              </w:rPr>
              <w:t>c</w:t>
            </w:r>
          </w:p>
          <w:p w14:paraId="222A7D8E" w14:textId="5BDF5C7C" w:rsidR="007E1C8D" w:rsidRPr="007D1918" w:rsidRDefault="004B7025" w:rsidP="004B702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7E1C8D" w:rsidRPr="007D1918">
              <w:rPr>
                <w:rFonts w:ascii="Arial Narrow" w:hAnsi="Arial Narrow"/>
                <w:sz w:val="18"/>
                <w:szCs w:val="18"/>
                <w:lang w:eastAsia="en-US"/>
              </w:rPr>
              <w:t>:</w:t>
            </w:r>
            <w:r w:rsidR="003118DE" w:rsidRPr="007D1918">
              <w:rPr>
                <w:rFonts w:ascii="Arial Narrow" w:hAnsi="Arial Narrow"/>
                <w:sz w:val="18"/>
                <w:szCs w:val="18"/>
                <w:lang w:eastAsia="en-US"/>
              </w:rPr>
              <w:t xml:space="preserve"> </w:t>
            </w:r>
            <w:r w:rsidRPr="007D1918">
              <w:rPr>
                <w:rFonts w:ascii="Arial Narrow" w:hAnsi="Arial Narrow"/>
                <w:sz w:val="18"/>
                <w:szCs w:val="18"/>
                <w:lang w:eastAsia="en-US"/>
              </w:rPr>
              <w:t>confounding is</w:t>
            </w:r>
            <w:r w:rsidR="007E1C8D" w:rsidRPr="007D1918">
              <w:rPr>
                <w:rFonts w:ascii="Arial Narrow" w:hAnsi="Arial Narrow"/>
                <w:sz w:val="18"/>
                <w:szCs w:val="18"/>
                <w:lang w:eastAsia="en-US"/>
              </w:rPr>
              <w:t xml:space="preserve"> likely </w:t>
            </w:r>
            <w:r w:rsidR="00482ABD" w:rsidRPr="007D1918">
              <w:rPr>
                <w:rFonts w:ascii="Arial Narrow" w:hAnsi="Arial Narrow"/>
                <w:sz w:val="18"/>
                <w:szCs w:val="18"/>
                <w:lang w:eastAsia="en-US"/>
              </w:rPr>
              <w:t>to reduce</w:t>
            </w:r>
            <w:r w:rsidR="007E1C8D" w:rsidRPr="007D1918">
              <w:rPr>
                <w:rFonts w:ascii="Arial Narrow" w:hAnsi="Arial Narrow"/>
                <w:sz w:val="18"/>
                <w:szCs w:val="18"/>
                <w:lang w:eastAsia="en-US"/>
              </w:rPr>
              <w:t xml:space="preserve"> effect</w:t>
            </w:r>
          </w:p>
        </w:tc>
        <w:tc>
          <w:tcPr>
            <w:tcW w:w="561" w:type="pct"/>
            <w:tcBorders>
              <w:top w:val="single" w:sz="4" w:space="0" w:color="auto"/>
              <w:left w:val="single" w:sz="4" w:space="0" w:color="auto"/>
              <w:bottom w:val="single" w:sz="4" w:space="0" w:color="auto"/>
              <w:right w:val="single" w:sz="4" w:space="0" w:color="auto"/>
            </w:tcBorders>
          </w:tcPr>
          <w:p w14:paraId="531F64E3" w14:textId="07E11D96" w:rsidR="007E1C8D" w:rsidRPr="007D1918" w:rsidRDefault="00C07380" w:rsidP="00C07380">
            <w:pPr>
              <w:spacing w:before="40" w:after="40" w:line="240" w:lineRule="auto"/>
              <w:jc w:val="both"/>
              <w:rPr>
                <w:rFonts w:ascii="Arial Narrow" w:hAnsi="Arial Narrow"/>
                <w:sz w:val="18"/>
                <w:szCs w:val="18"/>
                <w:lang w:eastAsia="en-US"/>
              </w:rPr>
            </w:pPr>
            <w:r w:rsidRPr="007D1918">
              <w:rPr>
                <w:rFonts w:ascii="Arial Narrow" w:hAnsi="Arial Narrow"/>
                <w:sz w:val="18"/>
                <w:szCs w:val="18"/>
              </w:rPr>
              <w:t>20</w:t>
            </w:r>
            <w:r w:rsidR="007E1C8D" w:rsidRPr="007D1918">
              <w:rPr>
                <w:rFonts w:ascii="Arial Narrow" w:hAnsi="Arial Narrow"/>
                <w:sz w:val="18"/>
                <w:szCs w:val="18"/>
              </w:rPr>
              <w:t>%</w:t>
            </w:r>
          </w:p>
        </w:tc>
        <w:tc>
          <w:tcPr>
            <w:tcW w:w="561" w:type="pct"/>
            <w:tcBorders>
              <w:top w:val="single" w:sz="4" w:space="0" w:color="auto"/>
              <w:left w:val="single" w:sz="4" w:space="0" w:color="auto"/>
              <w:bottom w:val="single" w:sz="4" w:space="0" w:color="auto"/>
              <w:right w:val="single" w:sz="4" w:space="0" w:color="auto"/>
            </w:tcBorders>
          </w:tcPr>
          <w:p w14:paraId="766E2A0F" w14:textId="5F7AF078" w:rsidR="007E1C8D" w:rsidRPr="007D1918" w:rsidRDefault="00C07380"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14.2</w:t>
            </w:r>
            <w:r w:rsidR="007E1C8D" w:rsidRPr="007D1918">
              <w:rPr>
                <w:rFonts w:ascii="Arial Narrow" w:hAnsi="Arial Narrow"/>
                <w:sz w:val="18"/>
                <w:szCs w:val="18"/>
              </w:rPr>
              <w:t>%</w:t>
            </w:r>
          </w:p>
        </w:tc>
        <w:tc>
          <w:tcPr>
            <w:tcW w:w="471" w:type="pct"/>
            <w:tcBorders>
              <w:top w:val="single" w:sz="4" w:space="0" w:color="auto"/>
              <w:left w:val="single" w:sz="4" w:space="0" w:color="auto"/>
              <w:bottom w:val="single" w:sz="4" w:space="0" w:color="auto"/>
              <w:right w:val="single" w:sz="4" w:space="0" w:color="auto"/>
            </w:tcBorders>
          </w:tcPr>
          <w:p w14:paraId="08540642" w14:textId="158BE9E2" w:rsidR="00765E5B" w:rsidRPr="007D1918" w:rsidRDefault="00765E5B"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-5.8%</w:t>
            </w:r>
          </w:p>
          <w:p w14:paraId="6C1E4B57" w14:textId="25585ABB" w:rsidR="007E1C8D" w:rsidRPr="007D1918" w:rsidRDefault="00C07380"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w:t>
            </w:r>
            <w:r w:rsidR="00765E5B" w:rsidRPr="007D1918">
              <w:rPr>
                <w:rFonts w:ascii="Arial Narrow" w:hAnsi="Arial Narrow"/>
                <w:sz w:val="18"/>
                <w:szCs w:val="18"/>
                <w:lang w:eastAsia="en-US"/>
              </w:rPr>
              <w:t>64</w:t>
            </w:r>
          </w:p>
          <w:p w14:paraId="7B507A3B" w14:textId="170BC214" w:rsidR="00C07380" w:rsidRPr="007D1918" w:rsidRDefault="00627721" w:rsidP="00765E5B">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95% CI</w:t>
            </w:r>
            <w:r w:rsidR="00C07380" w:rsidRPr="007D1918">
              <w:rPr>
                <w:rFonts w:ascii="Arial Narrow" w:hAnsi="Arial Narrow"/>
                <w:sz w:val="18"/>
                <w:szCs w:val="18"/>
                <w:lang w:eastAsia="en-US"/>
              </w:rPr>
              <w:t xml:space="preserve"> -</w:t>
            </w:r>
            <w:r w:rsidR="00765E5B" w:rsidRPr="007D1918">
              <w:rPr>
                <w:rFonts w:ascii="Arial Narrow" w:hAnsi="Arial Narrow"/>
                <w:sz w:val="18"/>
                <w:szCs w:val="18"/>
                <w:lang w:eastAsia="en-US"/>
              </w:rPr>
              <w:t>13.0%</w:t>
            </w:r>
            <w:r w:rsidR="00C07380" w:rsidRPr="007D1918">
              <w:rPr>
                <w:rFonts w:ascii="Arial Narrow" w:hAnsi="Arial Narrow"/>
                <w:sz w:val="18"/>
                <w:szCs w:val="18"/>
                <w:lang w:eastAsia="en-US"/>
              </w:rPr>
              <w:t xml:space="preserve">, </w:t>
            </w:r>
            <w:r w:rsidR="00765E5B" w:rsidRPr="007D1918">
              <w:rPr>
                <w:rFonts w:ascii="Arial Narrow" w:hAnsi="Arial Narrow"/>
                <w:sz w:val="18"/>
                <w:szCs w:val="18"/>
                <w:lang w:eastAsia="en-US"/>
              </w:rPr>
              <w:t>22.7%</w:t>
            </w:r>
          </w:p>
        </w:tc>
        <w:tc>
          <w:tcPr>
            <w:tcW w:w="750" w:type="pct"/>
            <w:tcBorders>
              <w:top w:val="single" w:sz="4" w:space="0" w:color="auto"/>
              <w:left w:val="single" w:sz="4" w:space="0" w:color="auto"/>
              <w:bottom w:val="single" w:sz="4" w:space="0" w:color="auto"/>
              <w:right w:val="single" w:sz="4" w:space="0" w:color="auto"/>
            </w:tcBorders>
          </w:tcPr>
          <w:p w14:paraId="596E2224" w14:textId="26B695CB" w:rsidR="007E1C8D" w:rsidRPr="007D1918" w:rsidRDefault="00C07380"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between groups. The participant numbers were too small to make any conclusions.</w:t>
            </w:r>
          </w:p>
        </w:tc>
        <w:tc>
          <w:tcPr>
            <w:tcW w:w="422" w:type="pct"/>
            <w:tcBorders>
              <w:top w:val="single" w:sz="4" w:space="0" w:color="auto"/>
              <w:left w:val="single" w:sz="4" w:space="0" w:color="auto"/>
              <w:bottom w:val="single" w:sz="4" w:space="0" w:color="auto"/>
              <w:right w:val="single" w:sz="4" w:space="0" w:color="auto"/>
            </w:tcBorders>
          </w:tcPr>
          <w:p w14:paraId="7120B0E4" w14:textId="1E5B1732" w:rsidR="007E1C8D" w:rsidRPr="007D1918" w:rsidRDefault="007E1C8D" w:rsidP="00097A59">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5725B7"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0E2F17A9" w14:textId="4BCCC0CD" w:rsidR="007E1C8D" w:rsidRPr="007D1918" w:rsidRDefault="005725B7" w:rsidP="00097A59">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7E1C8D" w:rsidRPr="007D1918" w14:paraId="4BBED023" w14:textId="77777777" w:rsidTr="00F953AE">
        <w:tc>
          <w:tcPr>
            <w:tcW w:w="609" w:type="pct"/>
            <w:tcBorders>
              <w:top w:val="single" w:sz="4" w:space="0" w:color="auto"/>
              <w:bottom w:val="single" w:sz="4" w:space="0" w:color="auto"/>
              <w:right w:val="single" w:sz="4" w:space="0" w:color="auto"/>
            </w:tcBorders>
          </w:tcPr>
          <w:p w14:paraId="169428A2" w14:textId="1A80B45F" w:rsidR="007E1C8D" w:rsidRPr="007D1918" w:rsidRDefault="007E1C8D" w:rsidP="007E1C8D">
            <w:pPr>
              <w:spacing w:before="40" w:after="40" w:line="240" w:lineRule="auto"/>
              <w:rPr>
                <w:rFonts w:ascii="Arial Narrow" w:hAnsi="Arial Narrow" w:cs="Arial"/>
                <w:sz w:val="18"/>
                <w:szCs w:val="18"/>
              </w:rPr>
            </w:pPr>
            <w:r w:rsidRPr="007D1918">
              <w:rPr>
                <w:rFonts w:ascii="Arial Narrow" w:hAnsi="Arial Narrow" w:cs="Arial"/>
                <w:sz w:val="18"/>
                <w:szCs w:val="18"/>
              </w:rPr>
              <w:t>Adverse events</w:t>
            </w:r>
            <w:r w:rsidR="00C07380" w:rsidRPr="007D1918">
              <w:rPr>
                <w:rFonts w:ascii="Arial Narrow" w:hAnsi="Arial Narrow" w:cs="Arial"/>
                <w:sz w:val="18"/>
                <w:szCs w:val="18"/>
              </w:rPr>
              <w:t xml:space="preserve"> (% patients with specific event)</w:t>
            </w:r>
          </w:p>
          <w:p w14:paraId="59F1BD69" w14:textId="7062CCDC" w:rsidR="007E1C8D" w:rsidRPr="007D1918" w:rsidRDefault="007E1C8D" w:rsidP="004B7025">
            <w:pPr>
              <w:spacing w:before="40" w:after="40" w:line="240" w:lineRule="auto"/>
              <w:rPr>
                <w:rFonts w:ascii="Arial Narrow" w:hAnsi="Arial Narrow"/>
                <w:sz w:val="18"/>
                <w:szCs w:val="18"/>
                <w:lang w:eastAsia="en-US"/>
              </w:rPr>
            </w:pPr>
            <w:r w:rsidRPr="007D1918">
              <w:rPr>
                <w:rFonts w:ascii="Arial Narrow" w:hAnsi="Arial Narrow" w:cs="Arial"/>
                <w:sz w:val="18"/>
                <w:szCs w:val="18"/>
              </w:rPr>
              <w:t>SCIg (</w:t>
            </w:r>
            <w:r w:rsidR="004B7025" w:rsidRPr="007D1918">
              <w:rPr>
                <w:rFonts w:ascii="Arial Narrow" w:hAnsi="Arial Narrow" w:cs="Arial"/>
                <w:sz w:val="18"/>
                <w:szCs w:val="18"/>
              </w:rPr>
              <w:t>no comparator</w:t>
            </w:r>
            <w:r w:rsidRPr="007D1918">
              <w:rPr>
                <w:rFonts w:ascii="Arial Narrow" w:hAnsi="Arial Narrow" w:cs="Arial"/>
                <w:sz w:val="18"/>
                <w:szCs w:val="18"/>
              </w:rPr>
              <w:t>)</w:t>
            </w:r>
          </w:p>
        </w:tc>
        <w:tc>
          <w:tcPr>
            <w:tcW w:w="514" w:type="pct"/>
            <w:tcBorders>
              <w:top w:val="single" w:sz="4" w:space="0" w:color="auto"/>
              <w:left w:val="single" w:sz="4" w:space="0" w:color="auto"/>
              <w:bottom w:val="single" w:sz="4" w:space="0" w:color="auto"/>
              <w:right w:val="single" w:sz="4" w:space="0" w:color="auto"/>
            </w:tcBorders>
          </w:tcPr>
          <w:p w14:paraId="0E36B102" w14:textId="77777777" w:rsidR="007E5044" w:rsidRPr="007D1918" w:rsidRDefault="007E5044" w:rsidP="007E5044">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n=62</w:t>
            </w:r>
          </w:p>
          <w:p w14:paraId="5189C75C" w14:textId="63314B2D" w:rsidR="007E1C8D" w:rsidRPr="007D1918" w:rsidRDefault="007E5044" w:rsidP="007E5044">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k=2 CS</w:t>
            </w:r>
          </w:p>
        </w:tc>
        <w:tc>
          <w:tcPr>
            <w:tcW w:w="661" w:type="pct"/>
            <w:tcBorders>
              <w:top w:val="single" w:sz="4" w:space="0" w:color="auto"/>
              <w:left w:val="single" w:sz="4" w:space="0" w:color="auto"/>
              <w:bottom w:val="single" w:sz="4" w:space="0" w:color="auto"/>
              <w:right w:val="single" w:sz="4" w:space="0" w:color="auto"/>
            </w:tcBorders>
          </w:tcPr>
          <w:p w14:paraId="2DB1EAE4" w14:textId="4DB5D7FB" w:rsidR="007E1C8D" w:rsidRPr="007D1918" w:rsidRDefault="007E1C8D"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Risk of bias: </w:t>
            </w:r>
            <w:r w:rsidR="00C07380" w:rsidRPr="007D1918">
              <w:rPr>
                <w:rFonts w:ascii="Arial Narrow" w:hAnsi="Arial Narrow"/>
                <w:sz w:val="18"/>
                <w:szCs w:val="18"/>
                <w:lang w:eastAsia="en-US"/>
              </w:rPr>
              <w:t>-1</w:t>
            </w:r>
            <w:r w:rsidR="008F137D" w:rsidRPr="007D1918">
              <w:rPr>
                <w:rFonts w:ascii="Arial Narrow" w:hAnsi="Arial Narrow"/>
                <w:sz w:val="18"/>
                <w:szCs w:val="18"/>
                <w:vertAlign w:val="superscript"/>
                <w:lang w:eastAsia="en-US"/>
              </w:rPr>
              <w:t>e</w:t>
            </w:r>
          </w:p>
          <w:p w14:paraId="1D8CF7D5" w14:textId="77777777" w:rsidR="007E1C8D" w:rsidRPr="007D1918" w:rsidRDefault="007E1C8D"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440C7966" w14:textId="77777777" w:rsidR="007E1C8D" w:rsidRPr="007D1918" w:rsidRDefault="007E1C8D"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2D9A21C9" w14:textId="0DE87F94" w:rsidR="007E1C8D" w:rsidRPr="007D1918" w:rsidRDefault="007E1C8D"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Imprecision: </w:t>
            </w:r>
            <w:r w:rsidR="000D6C22" w:rsidRPr="007D1918">
              <w:rPr>
                <w:rFonts w:ascii="Arial Narrow" w:hAnsi="Arial Narrow"/>
                <w:sz w:val="18"/>
                <w:szCs w:val="18"/>
                <w:lang w:eastAsia="en-US"/>
              </w:rPr>
              <w:t>0</w:t>
            </w:r>
          </w:p>
          <w:p w14:paraId="109EFA3F" w14:textId="0DB13A1A" w:rsidR="007E1C8D" w:rsidRPr="007D1918" w:rsidRDefault="000D6C22" w:rsidP="00C07380">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Other</w:t>
            </w:r>
            <w:r w:rsidR="007E1C8D" w:rsidRPr="007D1918">
              <w:rPr>
                <w:rFonts w:ascii="Arial Narrow" w:hAnsi="Arial Narrow"/>
                <w:sz w:val="18"/>
                <w:szCs w:val="18"/>
                <w:lang w:eastAsia="en-US"/>
              </w:rPr>
              <w:t>:</w:t>
            </w:r>
            <w:r w:rsidR="003118DE" w:rsidRPr="007D1918">
              <w:rPr>
                <w:rFonts w:ascii="Arial Narrow" w:hAnsi="Arial Narrow"/>
                <w:sz w:val="18"/>
                <w:szCs w:val="18"/>
                <w:lang w:eastAsia="en-US"/>
              </w:rPr>
              <w:t xml:space="preserve"> </w:t>
            </w:r>
            <w:r w:rsidR="007E1C8D"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3DF2F5D7" w14:textId="26EA7D55" w:rsidR="007E1C8D" w:rsidRPr="007D1918" w:rsidRDefault="00C07380"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lastRenderedPageBreak/>
              <w:t>4.5</w:t>
            </w:r>
            <w:r w:rsidR="007E1C8D" w:rsidRPr="007D1918">
              <w:rPr>
                <w:rFonts w:ascii="Arial Narrow" w:hAnsi="Arial Narrow"/>
                <w:sz w:val="18"/>
                <w:szCs w:val="18"/>
              </w:rPr>
              <w:t>%</w:t>
            </w:r>
            <w:r w:rsidRPr="007D1918">
              <w:rPr>
                <w:rFonts w:ascii="Arial Narrow" w:hAnsi="Arial Narrow"/>
                <w:sz w:val="18"/>
                <w:szCs w:val="18"/>
              </w:rPr>
              <w:t>-77.3%</w:t>
            </w:r>
          </w:p>
        </w:tc>
        <w:tc>
          <w:tcPr>
            <w:tcW w:w="561" w:type="pct"/>
            <w:tcBorders>
              <w:top w:val="single" w:sz="4" w:space="0" w:color="auto"/>
              <w:left w:val="single" w:sz="4" w:space="0" w:color="auto"/>
              <w:bottom w:val="single" w:sz="4" w:space="0" w:color="auto"/>
              <w:right w:val="single" w:sz="4" w:space="0" w:color="auto"/>
            </w:tcBorders>
          </w:tcPr>
          <w:p w14:paraId="2CCE005D" w14:textId="047B9D7B" w:rsidR="007E1C8D" w:rsidRPr="007D1918" w:rsidRDefault="00A1162A" w:rsidP="00097A59">
            <w:pPr>
              <w:spacing w:before="40" w:after="40" w:line="240" w:lineRule="auto"/>
              <w:jc w:val="both"/>
              <w:rPr>
                <w:rFonts w:ascii="Arial Narrow" w:hAnsi="Arial Narrow"/>
                <w:sz w:val="18"/>
                <w:szCs w:val="18"/>
              </w:rPr>
            </w:pPr>
            <w:r w:rsidRPr="007D1918">
              <w:rPr>
                <w:rFonts w:ascii="Arial Narrow" w:hAnsi="Arial Narrow"/>
                <w:sz w:val="18"/>
                <w:szCs w:val="18"/>
              </w:rPr>
              <w:t>N</w:t>
            </w:r>
            <w:r w:rsidR="00C07380" w:rsidRPr="007D1918">
              <w:rPr>
                <w:rFonts w:ascii="Arial Narrow" w:hAnsi="Arial Narrow"/>
                <w:sz w:val="18"/>
                <w:szCs w:val="18"/>
              </w:rPr>
              <w:t>A</w:t>
            </w:r>
          </w:p>
        </w:tc>
        <w:tc>
          <w:tcPr>
            <w:tcW w:w="471" w:type="pct"/>
            <w:tcBorders>
              <w:top w:val="single" w:sz="4" w:space="0" w:color="auto"/>
              <w:left w:val="single" w:sz="4" w:space="0" w:color="auto"/>
              <w:bottom w:val="single" w:sz="4" w:space="0" w:color="auto"/>
              <w:right w:val="single" w:sz="4" w:space="0" w:color="auto"/>
            </w:tcBorders>
          </w:tcPr>
          <w:p w14:paraId="75F0BFA8" w14:textId="42127CD2" w:rsidR="007E1C8D" w:rsidRPr="007D1918" w:rsidRDefault="00A1162A"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C07380" w:rsidRPr="007D1918">
              <w:rPr>
                <w:rFonts w:ascii="Arial Narrow" w:hAnsi="Arial Narrow"/>
                <w:sz w:val="18"/>
                <w:szCs w:val="18"/>
                <w:lang w:eastAsia="en-US"/>
              </w:rPr>
              <w:t>A</w:t>
            </w:r>
          </w:p>
        </w:tc>
        <w:tc>
          <w:tcPr>
            <w:tcW w:w="750" w:type="pct"/>
            <w:tcBorders>
              <w:top w:val="single" w:sz="4" w:space="0" w:color="auto"/>
              <w:left w:val="single" w:sz="4" w:space="0" w:color="auto"/>
              <w:bottom w:val="single" w:sz="4" w:space="0" w:color="auto"/>
              <w:right w:val="single" w:sz="4" w:space="0" w:color="auto"/>
            </w:tcBorders>
          </w:tcPr>
          <w:p w14:paraId="2FF58200" w14:textId="11D7B8C3" w:rsidR="007E1C8D" w:rsidRPr="007D1918" w:rsidRDefault="00C07380"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 least frequent event was dry cough, parathesias, tinnitus and fatigue. The most frequent event was headache.</w:t>
            </w:r>
          </w:p>
        </w:tc>
        <w:tc>
          <w:tcPr>
            <w:tcW w:w="422" w:type="pct"/>
            <w:tcBorders>
              <w:top w:val="single" w:sz="4" w:space="0" w:color="auto"/>
              <w:left w:val="single" w:sz="4" w:space="0" w:color="auto"/>
              <w:bottom w:val="single" w:sz="4" w:space="0" w:color="auto"/>
              <w:right w:val="single" w:sz="4" w:space="0" w:color="auto"/>
            </w:tcBorders>
          </w:tcPr>
          <w:p w14:paraId="7888F81D" w14:textId="125B7C8E" w:rsidR="007E1C8D" w:rsidRPr="007D1918" w:rsidRDefault="00C07380" w:rsidP="00097A59">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39A360A1" w14:textId="77777777" w:rsidR="007E1C8D" w:rsidRPr="007D1918" w:rsidRDefault="007E1C8D" w:rsidP="00097A59">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5A164A" w:rsidRPr="007D1918" w14:paraId="770EC355" w14:textId="77777777" w:rsidTr="00097A59">
        <w:tc>
          <w:tcPr>
            <w:tcW w:w="5000" w:type="pct"/>
            <w:gridSpan w:val="9"/>
            <w:tcBorders>
              <w:top w:val="single" w:sz="4" w:space="0" w:color="auto"/>
              <w:left w:val="nil"/>
              <w:bottom w:val="single" w:sz="12" w:space="0" w:color="000000"/>
              <w:right w:val="nil"/>
            </w:tcBorders>
            <w:tcMar>
              <w:top w:w="15" w:type="dxa"/>
              <w:left w:w="15" w:type="dxa"/>
              <w:bottom w:w="15" w:type="dxa"/>
              <w:right w:w="15" w:type="dxa"/>
            </w:tcMar>
            <w:vAlign w:val="center"/>
            <w:hideMark/>
          </w:tcPr>
          <w:p w14:paraId="4A068450" w14:textId="77777777" w:rsidR="005A164A" w:rsidRPr="007D1918" w:rsidRDefault="005A164A"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0C687EA8" w14:textId="6C978230" w:rsidR="005A164A" w:rsidRPr="007D1918" w:rsidRDefault="004B7025" w:rsidP="004C15D0">
      <w:pPr>
        <w:pStyle w:val="Tablenotes0"/>
        <w:spacing w:after="80"/>
        <w:contextualSpacing w:val="0"/>
      </w:pPr>
      <w:r w:rsidRPr="007D1918">
        <w:t xml:space="preserve">CS = case series with before and after treatment data; </w:t>
      </w:r>
      <w:r w:rsidR="005A164A" w:rsidRPr="007D1918">
        <w:t xml:space="preserve">IVIg = intravenous immunoglobulin therapy; MG = </w:t>
      </w:r>
      <w:r w:rsidRPr="007D1918">
        <w:t>myasthenia</w:t>
      </w:r>
      <w:r w:rsidR="005A164A" w:rsidRPr="007D1918">
        <w:t xml:space="preserve"> gravis; </w:t>
      </w:r>
      <w:r w:rsidR="00A1162A" w:rsidRPr="007D1918">
        <w:t xml:space="preserve">NA = not applicable; </w:t>
      </w:r>
      <w:r w:rsidR="005A164A" w:rsidRPr="007D1918">
        <w:t>PE = plasma exchange therapy; R</w:t>
      </w:r>
      <w:r w:rsidR="00773DFA" w:rsidRPr="007D1918">
        <w:t xml:space="preserve">et </w:t>
      </w:r>
      <w:r w:rsidR="005A164A" w:rsidRPr="007D1918">
        <w:t xml:space="preserve">CoH = retrospective cohort study; RCT = randomised controlled trial; </w:t>
      </w:r>
    </w:p>
    <w:p w14:paraId="1FCFA05D" w14:textId="7DF9C91C" w:rsidR="005A164A" w:rsidRPr="007D1918" w:rsidRDefault="005A164A" w:rsidP="005A164A">
      <w:pPr>
        <w:pStyle w:val="Tablenotes0"/>
      </w:pPr>
      <w:r w:rsidRPr="007D1918">
        <w:rPr>
          <w:vertAlign w:val="superscript"/>
        </w:rPr>
        <w:t>a</w:t>
      </w:r>
      <w:r w:rsidRPr="007D1918">
        <w:t xml:space="preserve"> Selection bias could not be ruled out</w:t>
      </w:r>
      <w:r w:rsidR="007458B2" w:rsidRPr="007D1918">
        <w:t xml:space="preserve"> in the cohort study</w:t>
      </w:r>
    </w:p>
    <w:p w14:paraId="11990EE1" w14:textId="2280DF34" w:rsidR="008F137D" w:rsidRPr="007D1918" w:rsidRDefault="008F137D" w:rsidP="008F137D">
      <w:pPr>
        <w:pStyle w:val="Tablenotes0"/>
      </w:pPr>
      <w:r w:rsidRPr="007D1918">
        <w:rPr>
          <w:rStyle w:val="note-text"/>
          <w:vertAlign w:val="superscript"/>
        </w:rPr>
        <w:t>b</w:t>
      </w:r>
      <w:r w:rsidRPr="007D1918">
        <w:rPr>
          <w:rStyle w:val="note-text"/>
        </w:rPr>
        <w:t xml:space="preserve"> Comparator may not be applicable</w:t>
      </w:r>
    </w:p>
    <w:p w14:paraId="3827CFC0" w14:textId="11F3D7D8" w:rsidR="00482ABD" w:rsidRPr="007D1918" w:rsidRDefault="008F137D" w:rsidP="00482ABD">
      <w:pPr>
        <w:pStyle w:val="Tablenotes0"/>
      </w:pPr>
      <w:r w:rsidRPr="007D1918">
        <w:rPr>
          <w:vertAlign w:val="superscript"/>
        </w:rPr>
        <w:t>c</w:t>
      </w:r>
      <w:r w:rsidR="00482ABD" w:rsidRPr="007D1918">
        <w:t xml:space="preserve"> Data available online only; no publication available yet</w:t>
      </w:r>
    </w:p>
    <w:p w14:paraId="64F5FC3C" w14:textId="6F650FCA" w:rsidR="00482ABD" w:rsidRPr="007D1918" w:rsidRDefault="008F137D" w:rsidP="005A164A">
      <w:pPr>
        <w:pStyle w:val="Tablenotes0"/>
        <w:rPr>
          <w:rStyle w:val="note-text"/>
        </w:rPr>
      </w:pPr>
      <w:r w:rsidRPr="007D1918">
        <w:rPr>
          <w:vertAlign w:val="superscript"/>
        </w:rPr>
        <w:t>d</w:t>
      </w:r>
      <w:r w:rsidR="00482ABD" w:rsidRPr="007D1918">
        <w:t xml:space="preserve"> </w:t>
      </w:r>
      <w:r w:rsidR="00482ABD" w:rsidRPr="007D1918">
        <w:rPr>
          <w:rStyle w:val="note-text"/>
        </w:rPr>
        <w:t>The participant numbers were too small for an accurate comparison</w:t>
      </w:r>
    </w:p>
    <w:p w14:paraId="6E3294B3" w14:textId="28372EB7" w:rsidR="000D6C22" w:rsidRPr="007D1918" w:rsidRDefault="008F137D" w:rsidP="005A164A">
      <w:pPr>
        <w:pStyle w:val="Tablenotes0"/>
        <w:rPr>
          <w:rStyle w:val="note-text"/>
        </w:rPr>
      </w:pPr>
      <w:r w:rsidRPr="007D1918">
        <w:rPr>
          <w:rStyle w:val="note-text"/>
          <w:vertAlign w:val="superscript"/>
        </w:rPr>
        <w:t>e</w:t>
      </w:r>
      <w:r w:rsidR="000D6C22" w:rsidRPr="007D1918">
        <w:rPr>
          <w:rStyle w:val="note-text"/>
        </w:rPr>
        <w:t xml:space="preserve"> There was no valid comparator</w:t>
      </w:r>
    </w:p>
    <w:p w14:paraId="55427B23" w14:textId="77777777" w:rsidR="005A164A" w:rsidRPr="007D1918" w:rsidRDefault="005A164A" w:rsidP="00B55FAD">
      <w:pPr>
        <w:pStyle w:val="Caption"/>
        <w:keepNext/>
      </w:pPr>
    </w:p>
    <w:p w14:paraId="33B6EDD0" w14:textId="05B0B03A" w:rsidR="00097A59" w:rsidRPr="007D1918" w:rsidRDefault="00097A59" w:rsidP="00097A59">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pPr>
      <w:bookmarkStart w:id="614" w:name="_Toc23769593"/>
      <w:bookmarkStart w:id="615" w:name="_Ref42101625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106</w:t>
      </w:r>
      <w:r w:rsidRPr="007D1918">
        <w:rPr>
          <w:noProof/>
        </w:rPr>
        <w:fldChar w:fldCharType="end"/>
      </w:r>
      <w:r w:rsidRPr="007D1918">
        <w:tab/>
        <w:t>Effectiveness evidence profile table for IVIg in MG patients in or at risk of crisis (</w:t>
      </w:r>
      <w:r w:rsidR="0088065E" w:rsidRPr="007D1918">
        <w:rPr>
          <w:i/>
        </w:rPr>
        <w:t>Criteria V3</w:t>
      </w:r>
      <w:r w:rsidR="0088065E" w:rsidRPr="007D1918">
        <w:t xml:space="preserve"> </w:t>
      </w:r>
      <w:r w:rsidRPr="007D1918">
        <w:t>Indication 1)</w:t>
      </w:r>
      <w:bookmarkEnd w:id="614"/>
    </w:p>
    <w:tbl>
      <w:tblPr>
        <w:tblW w:w="5000" w:type="pct"/>
        <w:tblLook w:val="04A0" w:firstRow="1" w:lastRow="0" w:firstColumn="1" w:lastColumn="0" w:noHBand="0" w:noVBand="1"/>
        <w:tblCaption w:val="Table 63 Effectiveness evidence profile table for IVIg in MG patients in or at risk of crisis (Criteria V3 Indication 1)"/>
        <w:tblDescription w:val="GRADDE effectiveness profile for Indication 1."/>
      </w:tblPr>
      <w:tblGrid>
        <w:gridCol w:w="1845"/>
        <w:gridCol w:w="1556"/>
        <w:gridCol w:w="2001"/>
        <w:gridCol w:w="1698"/>
        <w:gridCol w:w="1698"/>
        <w:gridCol w:w="1426"/>
        <w:gridCol w:w="2270"/>
        <w:gridCol w:w="1277"/>
        <w:gridCol w:w="1365"/>
      </w:tblGrid>
      <w:tr w:rsidR="00097A59" w:rsidRPr="007D1918" w14:paraId="2239362B" w14:textId="77777777" w:rsidTr="00300091">
        <w:tc>
          <w:tcPr>
            <w:tcW w:w="5000" w:type="pct"/>
            <w:gridSpan w:val="9"/>
            <w:tcBorders>
              <w:top w:val="single" w:sz="12" w:space="0" w:color="000000"/>
              <w:left w:val="nil"/>
              <w:bottom w:val="single" w:sz="12" w:space="0" w:color="000000"/>
              <w:right w:val="nil"/>
            </w:tcBorders>
            <w:shd w:val="clear" w:color="auto" w:fill="FFFFFF" w:themeFill="background1"/>
            <w:tcMar>
              <w:top w:w="45" w:type="dxa"/>
              <w:left w:w="45" w:type="dxa"/>
              <w:bottom w:w="45" w:type="dxa"/>
              <w:right w:w="45" w:type="dxa"/>
            </w:tcMar>
            <w:vAlign w:val="center"/>
            <w:hideMark/>
          </w:tcPr>
          <w:p w14:paraId="0BCE0F58" w14:textId="29532542" w:rsidR="00097A59" w:rsidRPr="007D1918" w:rsidRDefault="00097A59" w:rsidP="00097A59">
            <w:pPr>
              <w:spacing w:before="40" w:after="40" w:line="240" w:lineRule="auto"/>
              <w:rPr>
                <w:rFonts w:ascii="Arial Narrow" w:hAnsi="Arial Narrow"/>
                <w:sz w:val="20"/>
                <w:szCs w:val="20"/>
                <w:lang w:eastAsia="en-US"/>
              </w:rPr>
            </w:pPr>
            <w:r w:rsidRPr="007D1918">
              <w:rPr>
                <w:rFonts w:ascii="Arial Narrow" w:hAnsi="Arial Narrow"/>
                <w:b/>
                <w:bCs/>
                <w:sz w:val="20"/>
                <w:szCs w:val="20"/>
                <w:lang w:eastAsia="en-US"/>
              </w:rPr>
              <w:t xml:space="preserve">Question: </w:t>
            </w:r>
            <w:r w:rsidRPr="007D1918">
              <w:rPr>
                <w:rFonts w:ascii="Arial Narrow" w:hAnsi="Arial Narrow"/>
                <w:bCs/>
                <w:sz w:val="20"/>
                <w:szCs w:val="20"/>
                <w:lang w:eastAsia="en-US"/>
              </w:rPr>
              <w:t>How effective is</w:t>
            </w:r>
            <w:r w:rsidRPr="007D1918">
              <w:rPr>
                <w:rFonts w:ascii="Arial Narrow" w:hAnsi="Arial Narrow"/>
                <w:b/>
                <w:bCs/>
                <w:sz w:val="20"/>
                <w:szCs w:val="20"/>
                <w:lang w:eastAsia="en-US"/>
              </w:rPr>
              <w:t xml:space="preserve"> </w:t>
            </w:r>
            <w:r w:rsidRPr="007D1918">
              <w:rPr>
                <w:rFonts w:ascii="Arial Narrow" w:hAnsi="Arial Narrow"/>
                <w:sz w:val="20"/>
                <w:szCs w:val="20"/>
                <w:lang w:eastAsia="en-US"/>
              </w:rPr>
              <w:t xml:space="preserve">IVIg for patients with MG? </w:t>
            </w:r>
          </w:p>
          <w:p w14:paraId="7B2F6115" w14:textId="77777777" w:rsidR="00097A59" w:rsidRPr="007D1918" w:rsidRDefault="00097A59" w:rsidP="00097A59">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Patient or population: P</w:t>
            </w:r>
            <w:r w:rsidRPr="007D1918">
              <w:rPr>
                <w:rFonts w:ascii="Arial Narrow" w:hAnsi="Arial Narrow"/>
                <w:sz w:val="20"/>
                <w:szCs w:val="20"/>
                <w:lang w:eastAsia="en-US"/>
              </w:rPr>
              <w:t>atients with moderate to severe MG in or at risk of myasthenic crisis</w:t>
            </w:r>
          </w:p>
          <w:p w14:paraId="63AC52B8" w14:textId="3619D7EF" w:rsidR="00097A59" w:rsidRPr="007D1918" w:rsidRDefault="00097A59" w:rsidP="00097A59">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Intervention:</w:t>
            </w:r>
            <w:r w:rsidRPr="007D1918">
              <w:rPr>
                <w:rFonts w:ascii="Arial Narrow" w:hAnsi="Arial Narrow"/>
                <w:sz w:val="20"/>
                <w:szCs w:val="20"/>
                <w:lang w:eastAsia="en-US"/>
              </w:rPr>
              <w:t xml:space="preserve"> IVIg; IVIg 1g/kg</w:t>
            </w:r>
          </w:p>
          <w:p w14:paraId="64EE52DB" w14:textId="12364332" w:rsidR="00097A59" w:rsidRPr="007D1918" w:rsidRDefault="00097A59" w:rsidP="00097A59">
            <w:pPr>
              <w:spacing w:before="40" w:after="40" w:line="240" w:lineRule="auto"/>
              <w:ind w:left="806" w:hanging="806"/>
              <w:rPr>
                <w:rFonts w:ascii="Arial Narrow" w:hAnsi="Arial Narrow"/>
                <w:b/>
                <w:bCs/>
                <w:sz w:val="20"/>
                <w:szCs w:val="20"/>
                <w:lang w:eastAsia="en-US"/>
              </w:rPr>
            </w:pPr>
            <w:r w:rsidRPr="007D1918">
              <w:rPr>
                <w:rFonts w:ascii="Arial Narrow" w:hAnsi="Arial Narrow"/>
                <w:b/>
                <w:bCs/>
                <w:sz w:val="20"/>
                <w:szCs w:val="20"/>
                <w:lang w:eastAsia="en-US"/>
              </w:rPr>
              <w:t xml:space="preserve">Comparison: </w:t>
            </w:r>
            <w:r w:rsidRPr="007D1918">
              <w:rPr>
                <w:rFonts w:ascii="Arial Narrow" w:hAnsi="Arial Narrow"/>
                <w:bCs/>
                <w:sz w:val="20"/>
                <w:szCs w:val="20"/>
                <w:lang w:eastAsia="en-US"/>
              </w:rPr>
              <w:t>PE; IVIg, 2g/kg</w:t>
            </w:r>
          </w:p>
          <w:p w14:paraId="25ED789F" w14:textId="1E595458" w:rsidR="00097A59" w:rsidRPr="007D1918" w:rsidRDefault="00097A59" w:rsidP="007D4948">
            <w:pPr>
              <w:spacing w:before="40" w:after="40" w:line="240" w:lineRule="auto"/>
              <w:jc w:val="both"/>
              <w:rPr>
                <w:rFonts w:ascii="Arial Narrow" w:hAnsi="Arial Narrow"/>
                <w:b/>
                <w:bCs/>
                <w:sz w:val="20"/>
                <w:szCs w:val="20"/>
                <w:lang w:eastAsia="en-US"/>
              </w:rPr>
            </w:pPr>
            <w:r w:rsidRPr="007D1918">
              <w:rPr>
                <w:rFonts w:ascii="Arial Narrow" w:hAnsi="Arial Narrow"/>
                <w:b/>
                <w:bCs/>
                <w:sz w:val="20"/>
                <w:szCs w:val="20"/>
                <w:lang w:eastAsia="en-US"/>
              </w:rPr>
              <w:t xml:space="preserve">Author(s): </w:t>
            </w:r>
            <w:r w:rsidR="003736AC" w:rsidRPr="007D1918">
              <w:rPr>
                <w:rFonts w:ascii="Arial Narrow" w:hAnsi="Arial Narrow"/>
                <w:b/>
                <w:bCs/>
                <w:sz w:val="20"/>
                <w:szCs w:val="20"/>
                <w:lang w:eastAsia="en-US"/>
              </w:rPr>
              <w:fldChar w:fldCharType="begin">
                <w:fldData xml:space="preserve">PEVuZE5vdGU+PENpdGU+PEF1dGhvcj5HYWpkb3M8L0F1dGhvcj48WWVhcj4xOTk3PC9ZZWFyPjxS
ZWNOdW0+NDU8L1JlY051bT48RGlzcGxheVRleHQ+KEdhamRvcyBldCBhbC4gMTk5NzsgR2FqZG9z
LCBDaGV2cmV0ICZhbXA7IFRveWthIDIwMTI7IEdhamRvcyBldCBhbC4gMjAwNTsgTWFuZGF3YXQg
ZXQgYWwuIDIwMTA7IE11cnRoeSBldCBhbC4gMjAwNTsgUGl0dGF5YW5vbiwgVHJlZXByYXNlcnRz
dWsgJmFtcDsgUGhhbnRodW1jaGluZGEgMjAwOTsgUXVyZXNoaSBldCBhbC4gMTk5OSk8L0Rpc3Bs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L0NpdGU+PENpdGU+PEF1dGhvcj5HYWpkb3M8L0F1dGhvcj48WWVhcj4yMDA1PC9ZZWFyPjxSZWNO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</w:fldData>
              </w:fldChar>
            </w:r>
            <w:r w:rsidR="007F4CDE" w:rsidRPr="007D1918">
              <w:rPr>
                <w:rFonts w:ascii="Arial Narrow" w:hAnsi="Arial Narrow"/>
                <w:b/>
                <w:bCs/>
                <w:sz w:val="20"/>
                <w:szCs w:val="20"/>
                <w:lang w:eastAsia="en-US"/>
              </w:rPr>
              <w:instrText xml:space="preserve"> ADDIN EN.CITE </w:instrText>
            </w:r>
            <w:r w:rsidR="007F4CDE" w:rsidRPr="007D1918">
              <w:rPr>
                <w:rFonts w:ascii="Arial Narrow" w:hAnsi="Arial Narrow"/>
                <w:b/>
                <w:bCs/>
                <w:sz w:val="20"/>
                <w:szCs w:val="20"/>
                <w:lang w:eastAsia="en-US"/>
              </w:rPr>
              <w:fldChar w:fldCharType="begin">
                <w:fldData xml:space="preserve">PEVuZE5vdGU+PENpdGU+PEF1dGhvcj5HYWpkb3M8L0F1dGhvcj48WWVhcj4xOTk3PC9ZZWFyPjxS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</w:fldData>
              </w:fldChar>
            </w:r>
            <w:r w:rsidR="007F4CDE" w:rsidRPr="007D1918">
              <w:rPr>
                <w:rFonts w:ascii="Arial Narrow" w:hAnsi="Arial Narrow"/>
                <w:b/>
                <w:bCs/>
                <w:sz w:val="20"/>
                <w:szCs w:val="20"/>
                <w:lang w:eastAsia="en-US"/>
              </w:rPr>
              <w:instrText xml:space="preserve"> ADDIN EN.CITE.DATA </w:instrText>
            </w:r>
            <w:r w:rsidR="007F4CDE" w:rsidRPr="007D1918">
              <w:rPr>
                <w:rFonts w:ascii="Arial Narrow" w:hAnsi="Arial Narrow"/>
                <w:b/>
                <w:bCs/>
                <w:sz w:val="20"/>
                <w:szCs w:val="20"/>
                <w:lang w:eastAsia="en-US"/>
              </w:rPr>
            </w:r>
            <w:r w:rsidR="007F4CDE" w:rsidRPr="007D1918">
              <w:rPr>
                <w:rFonts w:ascii="Arial Narrow" w:hAnsi="Arial Narrow"/>
                <w:b/>
                <w:bCs/>
                <w:sz w:val="20"/>
                <w:szCs w:val="20"/>
                <w:lang w:eastAsia="en-US"/>
              </w:rPr>
              <w:fldChar w:fldCharType="end"/>
            </w:r>
            <w:r w:rsidR="003736AC" w:rsidRPr="007D1918">
              <w:rPr>
                <w:rFonts w:ascii="Arial Narrow" w:hAnsi="Arial Narrow"/>
                <w:b/>
                <w:bCs/>
                <w:sz w:val="20"/>
                <w:szCs w:val="20"/>
                <w:lang w:eastAsia="en-US"/>
              </w:rPr>
            </w:r>
            <w:r w:rsidR="003736AC" w:rsidRPr="007D1918">
              <w:rPr>
                <w:rFonts w:ascii="Arial Narrow" w:hAnsi="Arial Narrow"/>
                <w:b/>
                <w:bCs/>
                <w:sz w:val="20"/>
                <w:szCs w:val="20"/>
                <w:lang w:eastAsia="en-US"/>
              </w:rPr>
              <w:fldChar w:fldCharType="separate"/>
            </w:r>
            <w:r w:rsidR="003736AC" w:rsidRPr="007D1918">
              <w:rPr>
                <w:rFonts w:ascii="Arial Narrow" w:hAnsi="Arial Narrow"/>
                <w:b/>
                <w:bCs/>
                <w:noProof/>
                <w:sz w:val="20"/>
                <w:szCs w:val="20"/>
                <w:lang w:eastAsia="en-US"/>
              </w:rPr>
              <w:t>(</w:t>
            </w:r>
            <w:hyperlink w:anchor="_ENREF_28" w:tooltip="Gajdos, 1997 #45" w:history="1">
              <w:r w:rsidR="007D4948" w:rsidRPr="007D1918">
                <w:rPr>
                  <w:rFonts w:ascii="Arial Narrow" w:hAnsi="Arial Narrow"/>
                  <w:b/>
                  <w:bCs/>
                  <w:noProof/>
                  <w:sz w:val="20"/>
                  <w:szCs w:val="20"/>
                  <w:lang w:eastAsia="en-US"/>
                </w:rPr>
                <w:t>Gajdos et al. 1997</w:t>
              </w:r>
            </w:hyperlink>
            <w:r w:rsidR="003736AC" w:rsidRPr="007D1918">
              <w:rPr>
                <w:rFonts w:ascii="Arial Narrow" w:hAnsi="Arial Narrow"/>
                <w:b/>
                <w:bCs/>
                <w:noProof/>
                <w:sz w:val="20"/>
                <w:szCs w:val="20"/>
                <w:lang w:eastAsia="en-US"/>
              </w:rPr>
              <w:t xml:space="preserve">; </w:t>
            </w:r>
            <w:hyperlink w:anchor="_ENREF_33" w:tooltip="Gajdos, 2012 #3" w:history="1">
              <w:r w:rsidR="007D4948" w:rsidRPr="007D1918">
                <w:rPr>
                  <w:rFonts w:ascii="Arial Narrow" w:hAnsi="Arial Narrow"/>
                  <w:b/>
                  <w:bCs/>
                  <w:noProof/>
                  <w:sz w:val="20"/>
                  <w:szCs w:val="20"/>
                  <w:lang w:eastAsia="en-US"/>
                </w:rPr>
                <w:t>Gajdos, Chevret &amp; Toyka 2012</w:t>
              </w:r>
            </w:hyperlink>
            <w:r w:rsidR="003736AC" w:rsidRPr="007D1918">
              <w:rPr>
                <w:rFonts w:ascii="Arial Narrow" w:hAnsi="Arial Narrow"/>
                <w:b/>
                <w:bCs/>
                <w:noProof/>
                <w:sz w:val="20"/>
                <w:szCs w:val="20"/>
                <w:lang w:eastAsia="en-US"/>
              </w:rPr>
              <w:t xml:space="preserve">; </w:t>
            </w:r>
            <w:hyperlink w:anchor="_ENREF_35" w:tooltip="Gajdos, 2005 #14" w:history="1">
              <w:r w:rsidR="007D4948" w:rsidRPr="007D1918">
                <w:rPr>
                  <w:rFonts w:ascii="Arial Narrow" w:hAnsi="Arial Narrow"/>
                  <w:b/>
                  <w:bCs/>
                  <w:noProof/>
                  <w:sz w:val="20"/>
                  <w:szCs w:val="20"/>
                  <w:lang w:eastAsia="en-US"/>
                </w:rPr>
                <w:t>Gajdos et al. 2005</w:t>
              </w:r>
            </w:hyperlink>
            <w:r w:rsidR="003736AC" w:rsidRPr="007D1918">
              <w:rPr>
                <w:rFonts w:ascii="Arial Narrow" w:hAnsi="Arial Narrow"/>
                <w:b/>
                <w:bCs/>
                <w:noProof/>
                <w:sz w:val="20"/>
                <w:szCs w:val="20"/>
                <w:lang w:eastAsia="en-US"/>
              </w:rPr>
              <w:t xml:space="preserve">; </w:t>
            </w:r>
            <w:hyperlink w:anchor="_ENREF_64" w:tooltip="Mandawat, 2010 #37" w:history="1">
              <w:r w:rsidR="007D4948" w:rsidRPr="007D1918">
                <w:rPr>
                  <w:rFonts w:ascii="Arial Narrow" w:hAnsi="Arial Narrow"/>
                  <w:b/>
                  <w:bCs/>
                  <w:noProof/>
                  <w:sz w:val="20"/>
                  <w:szCs w:val="20"/>
                  <w:lang w:eastAsia="en-US"/>
                </w:rPr>
                <w:t>Mandawat et al. 2010</w:t>
              </w:r>
            </w:hyperlink>
            <w:r w:rsidR="003736AC" w:rsidRPr="007D1918">
              <w:rPr>
                <w:rFonts w:ascii="Arial Narrow" w:hAnsi="Arial Narrow"/>
                <w:b/>
                <w:bCs/>
                <w:noProof/>
                <w:sz w:val="20"/>
                <w:szCs w:val="20"/>
                <w:lang w:eastAsia="en-US"/>
              </w:rPr>
              <w:t xml:space="preserve">; </w:t>
            </w:r>
            <w:hyperlink w:anchor="_ENREF_68" w:tooltip="Murthy, 2005 #38" w:history="1">
              <w:r w:rsidR="007D4948" w:rsidRPr="007D1918">
                <w:rPr>
                  <w:rFonts w:ascii="Arial Narrow" w:hAnsi="Arial Narrow"/>
                  <w:b/>
                  <w:bCs/>
                  <w:noProof/>
                  <w:sz w:val="20"/>
                  <w:szCs w:val="20"/>
                  <w:lang w:eastAsia="en-US"/>
                </w:rPr>
                <w:t>Murthy et al. 2005</w:t>
              </w:r>
            </w:hyperlink>
            <w:r w:rsidR="003736AC" w:rsidRPr="007D1918">
              <w:rPr>
                <w:rFonts w:ascii="Arial Narrow" w:hAnsi="Arial Narrow"/>
                <w:b/>
                <w:bCs/>
                <w:noProof/>
                <w:sz w:val="20"/>
                <w:szCs w:val="20"/>
                <w:lang w:eastAsia="en-US"/>
              </w:rPr>
              <w:t xml:space="preserve">; </w:t>
            </w:r>
            <w:hyperlink w:anchor="_ENREF_79" w:tooltip="Pittayanon, 2009 #86" w:history="1">
              <w:r w:rsidR="007D4948" w:rsidRPr="007D1918">
                <w:rPr>
                  <w:rFonts w:ascii="Arial Narrow" w:hAnsi="Arial Narrow"/>
                  <w:b/>
                  <w:bCs/>
                  <w:noProof/>
                  <w:sz w:val="20"/>
                  <w:szCs w:val="20"/>
                  <w:lang w:eastAsia="en-US"/>
                </w:rPr>
                <w:t>Pittayanon, Treeprasertsuk &amp; Phanthumchinda 2009</w:t>
              </w:r>
            </w:hyperlink>
            <w:r w:rsidR="003736AC" w:rsidRPr="007D1918">
              <w:rPr>
                <w:rFonts w:ascii="Arial Narrow" w:hAnsi="Arial Narrow"/>
                <w:b/>
                <w:bCs/>
                <w:noProof/>
                <w:sz w:val="20"/>
                <w:szCs w:val="20"/>
                <w:lang w:eastAsia="en-US"/>
              </w:rPr>
              <w:t xml:space="preserve">; </w:t>
            </w:r>
            <w:hyperlink w:anchor="_ENREF_80" w:tooltip="Qureshi, 1999 #40" w:history="1">
              <w:r w:rsidR="007D4948" w:rsidRPr="007D1918">
                <w:rPr>
                  <w:rFonts w:ascii="Arial Narrow" w:hAnsi="Arial Narrow"/>
                  <w:b/>
                  <w:bCs/>
                  <w:noProof/>
                  <w:sz w:val="20"/>
                  <w:szCs w:val="20"/>
                  <w:lang w:eastAsia="en-US"/>
                </w:rPr>
                <w:t>Qureshi et al. 1999</w:t>
              </w:r>
            </w:hyperlink>
            <w:r w:rsidR="003736AC" w:rsidRPr="007D1918">
              <w:rPr>
                <w:rFonts w:ascii="Arial Narrow" w:hAnsi="Arial Narrow"/>
                <w:b/>
                <w:bCs/>
                <w:noProof/>
                <w:sz w:val="20"/>
                <w:szCs w:val="20"/>
                <w:lang w:eastAsia="en-US"/>
              </w:rPr>
              <w:t>)</w:t>
            </w:r>
            <w:r w:rsidR="003736AC" w:rsidRPr="007D1918">
              <w:rPr>
                <w:rFonts w:ascii="Arial Narrow" w:hAnsi="Arial Narrow"/>
                <w:b/>
                <w:bCs/>
                <w:sz w:val="20"/>
                <w:szCs w:val="20"/>
                <w:lang w:eastAsia="en-US"/>
              </w:rPr>
              <w:fldChar w:fldCharType="end"/>
            </w:r>
          </w:p>
        </w:tc>
      </w:tr>
      <w:tr w:rsidR="00097A59" w:rsidRPr="007D1918" w14:paraId="306BAF50" w14:textId="77777777" w:rsidTr="00097A59">
        <w:tc>
          <w:tcPr>
            <w:tcW w:w="5000" w:type="pct"/>
            <w:gridSpan w:val="9"/>
            <w:tcBorders>
              <w:top w:val="single" w:sz="12" w:space="0" w:color="000000"/>
              <w:left w:val="nil"/>
              <w:bottom w:val="single" w:sz="4" w:space="0" w:color="auto"/>
              <w:right w:val="nil"/>
            </w:tcBorders>
            <w:tcMar>
              <w:top w:w="45" w:type="dxa"/>
              <w:left w:w="45" w:type="dxa"/>
              <w:bottom w:w="45" w:type="dxa"/>
              <w:right w:w="45" w:type="dxa"/>
            </w:tcMar>
            <w:vAlign w:val="center"/>
          </w:tcPr>
          <w:p w14:paraId="07DFD143" w14:textId="77777777" w:rsidR="00097A59" w:rsidRPr="007D1918" w:rsidRDefault="00097A59" w:rsidP="00097A59">
            <w:pPr>
              <w:spacing w:before="40" w:after="40" w:line="240" w:lineRule="auto"/>
              <w:jc w:val="both"/>
              <w:rPr>
                <w:rFonts w:ascii="Arial Narrow" w:hAnsi="Arial Narrow"/>
                <w:b/>
                <w:bCs/>
                <w:sz w:val="16"/>
                <w:szCs w:val="16"/>
                <w:lang w:eastAsia="en-US"/>
              </w:rPr>
            </w:pPr>
          </w:p>
        </w:tc>
      </w:tr>
      <w:tr w:rsidR="00097A59" w:rsidRPr="007D1918" w14:paraId="658042E1" w14:textId="77777777" w:rsidTr="00300091">
        <w:trPr>
          <w:trHeight w:val="60"/>
          <w:tblHeader/>
        </w:trPr>
        <w:tc>
          <w:tcPr>
            <w:tcW w:w="1784" w:type="pct"/>
            <w:gridSpan w:val="3"/>
            <w:tcBorders>
              <w:top w:val="single" w:sz="4" w:space="0" w:color="auto"/>
              <w:bottom w:val="single" w:sz="4" w:space="0" w:color="auto"/>
              <w:right w:val="single" w:sz="4" w:space="0" w:color="auto"/>
            </w:tcBorders>
            <w:shd w:val="clear" w:color="auto" w:fill="EEECE1" w:themeFill="background2"/>
          </w:tcPr>
          <w:p w14:paraId="2E315DD7"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assessment</w:t>
            </w:r>
          </w:p>
        </w:tc>
        <w:tc>
          <w:tcPr>
            <w:tcW w:w="2343"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36E9C96A"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Pr>
          <w:p w14:paraId="41E0A5D9"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451" w:type="pct"/>
            <w:vMerge w:val="restart"/>
            <w:tcBorders>
              <w:top w:val="single" w:sz="4" w:space="0" w:color="auto"/>
              <w:left w:val="single" w:sz="4" w:space="0" w:color="auto"/>
              <w:bottom w:val="single" w:sz="4" w:space="0" w:color="auto"/>
            </w:tcBorders>
            <w:shd w:val="clear" w:color="auto" w:fill="EEECE1" w:themeFill="background2"/>
          </w:tcPr>
          <w:p w14:paraId="62475477"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Importance</w:t>
            </w:r>
          </w:p>
        </w:tc>
      </w:tr>
      <w:tr w:rsidR="00097A59" w:rsidRPr="007D1918" w14:paraId="5DAFF1E7" w14:textId="77777777" w:rsidTr="00300091">
        <w:trPr>
          <w:trHeight w:val="60"/>
          <w:tblHeader/>
        </w:trPr>
        <w:tc>
          <w:tcPr>
            <w:tcW w:w="609" w:type="pct"/>
            <w:tcBorders>
              <w:top w:val="single" w:sz="4" w:space="0" w:color="auto"/>
              <w:bottom w:val="single" w:sz="4" w:space="0" w:color="auto"/>
              <w:right w:val="single" w:sz="4" w:space="0" w:color="auto"/>
            </w:tcBorders>
            <w:shd w:val="clear" w:color="auto" w:fill="EEECE1" w:themeFill="background2"/>
          </w:tcPr>
          <w:p w14:paraId="04928FED"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p w14:paraId="05A836F1"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Comparison</w:t>
            </w:r>
          </w:p>
        </w:tc>
        <w:tc>
          <w:tcPr>
            <w:tcW w:w="514" w:type="pct"/>
            <w:tcBorders>
              <w:top w:val="single" w:sz="4" w:space="0" w:color="auto"/>
              <w:left w:val="single" w:sz="4" w:space="0" w:color="auto"/>
              <w:bottom w:val="single" w:sz="4" w:space="0" w:color="auto"/>
              <w:right w:val="single" w:sz="4" w:space="0" w:color="auto"/>
            </w:tcBorders>
            <w:shd w:val="clear" w:color="auto" w:fill="EEECE1" w:themeFill="background2"/>
          </w:tcPr>
          <w:p w14:paraId="215065BD"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245BC141"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Studies</w:t>
            </w:r>
          </w:p>
        </w:tc>
        <w:tc>
          <w:tcPr>
            <w:tcW w:w="661" w:type="pct"/>
            <w:tcBorders>
              <w:top w:val="single" w:sz="4" w:space="0" w:color="auto"/>
              <w:left w:val="single" w:sz="4" w:space="0" w:color="auto"/>
              <w:bottom w:val="single" w:sz="4" w:space="0" w:color="auto"/>
              <w:right w:val="single" w:sz="4" w:space="0" w:color="auto"/>
            </w:tcBorders>
            <w:shd w:val="clear" w:color="auto" w:fill="EEECE1" w:themeFill="background2"/>
          </w:tcPr>
          <w:p w14:paraId="09F92392"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of evidence</w:t>
            </w:r>
          </w:p>
          <w:p w14:paraId="6F1199ED" w14:textId="35D64991" w:rsidR="00DA47E5" w:rsidRPr="007D1918" w:rsidRDefault="00DA47E5" w:rsidP="00DA47E5">
            <w:pPr>
              <w:spacing w:before="40" w:after="40" w:line="240" w:lineRule="auto"/>
              <w:rPr>
                <w:rFonts w:ascii="Arial Narrow" w:hAnsi="Arial Narrow"/>
                <w:b/>
                <w:sz w:val="20"/>
                <w:szCs w:val="20"/>
                <w:lang w:eastAsia="en-US"/>
              </w:rPr>
            </w:pPr>
            <w:r w:rsidRPr="007D1918">
              <w:rPr>
                <w:rFonts w:ascii="Arial Narrow" w:hAnsi="Arial Narrow"/>
                <w:b/>
                <w:sz w:val="16"/>
                <w:szCs w:val="16"/>
                <w:lang w:eastAsia="en-US"/>
              </w:rPr>
              <w:t xml:space="preserve">Key: 0=not serious; </w:t>
            </w:r>
            <w:r w:rsidRPr="007D1918">
              <w:rPr>
                <w:rFonts w:ascii="Arial Narrow" w:hAnsi="Arial Narrow"/>
                <w:b/>
                <w:sz w:val="16"/>
                <w:szCs w:val="16"/>
                <w:lang w:eastAsia="en-US"/>
              </w:rPr>
              <w:br/>
              <w:t>-1=serious; -2=very serious</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114B0599"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Intervention result</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062272A9"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Comparator result</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Pr>
          <w:p w14:paraId="72957A15"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Difference </w:t>
            </w:r>
          </w:p>
        </w:tc>
        <w:tc>
          <w:tcPr>
            <w:tcW w:w="750" w:type="pct"/>
            <w:tcBorders>
              <w:top w:val="single" w:sz="4" w:space="0" w:color="auto"/>
              <w:left w:val="single" w:sz="4" w:space="0" w:color="auto"/>
              <w:bottom w:val="single" w:sz="4" w:space="0" w:color="auto"/>
              <w:right w:val="single" w:sz="4" w:space="0" w:color="auto"/>
            </w:tcBorders>
            <w:shd w:val="clear" w:color="auto" w:fill="EEECE1" w:themeFill="background2"/>
          </w:tcPr>
          <w:p w14:paraId="6B797CC6" w14:textId="77777777" w:rsidR="00097A59" w:rsidRPr="007D1918" w:rsidRDefault="00097A59" w:rsidP="00097A59">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Interpretation</w:t>
            </w:r>
          </w:p>
        </w:tc>
        <w:tc>
          <w:tcPr>
            <w:tcW w:w="422" w:type="pct"/>
            <w:vMerge/>
            <w:tcBorders>
              <w:top w:val="single" w:sz="4" w:space="0" w:color="auto"/>
              <w:left w:val="single" w:sz="4" w:space="0" w:color="auto"/>
              <w:bottom w:val="single" w:sz="4" w:space="0" w:color="auto"/>
              <w:right w:val="single" w:sz="4" w:space="0" w:color="auto"/>
            </w:tcBorders>
            <w:shd w:val="clear" w:color="auto" w:fill="EEECE1" w:themeFill="background2"/>
          </w:tcPr>
          <w:p w14:paraId="2EB4AF97" w14:textId="77777777" w:rsidR="00097A59" w:rsidRPr="007D1918" w:rsidRDefault="00097A59" w:rsidP="00097A59">
            <w:pPr>
              <w:spacing w:before="40" w:after="40" w:line="240" w:lineRule="auto"/>
              <w:jc w:val="both"/>
              <w:rPr>
                <w:rFonts w:ascii="Arial Narrow" w:hAnsi="Arial Narrow"/>
                <w:b/>
                <w:sz w:val="20"/>
                <w:szCs w:val="20"/>
                <w:lang w:eastAsia="en-US"/>
              </w:rPr>
            </w:pPr>
          </w:p>
        </w:tc>
        <w:tc>
          <w:tcPr>
            <w:tcW w:w="451" w:type="pct"/>
            <w:vMerge/>
            <w:tcBorders>
              <w:top w:val="single" w:sz="4" w:space="0" w:color="auto"/>
              <w:left w:val="single" w:sz="4" w:space="0" w:color="auto"/>
              <w:bottom w:val="single" w:sz="4" w:space="0" w:color="auto"/>
            </w:tcBorders>
            <w:shd w:val="clear" w:color="auto" w:fill="EEECE1" w:themeFill="background2"/>
          </w:tcPr>
          <w:p w14:paraId="64C110D7" w14:textId="77777777" w:rsidR="00097A59" w:rsidRPr="007D1918" w:rsidRDefault="00097A59" w:rsidP="00097A59">
            <w:pPr>
              <w:spacing w:before="40" w:after="40" w:line="240" w:lineRule="auto"/>
              <w:jc w:val="both"/>
              <w:rPr>
                <w:rFonts w:ascii="Arial Narrow" w:hAnsi="Arial Narrow"/>
                <w:b/>
                <w:sz w:val="20"/>
                <w:szCs w:val="20"/>
                <w:lang w:eastAsia="en-US"/>
              </w:rPr>
            </w:pPr>
          </w:p>
        </w:tc>
      </w:tr>
      <w:tr w:rsidR="00097A59" w:rsidRPr="007D1918" w14:paraId="1DDB618C" w14:textId="77777777" w:rsidTr="004E0A4C">
        <w:tc>
          <w:tcPr>
            <w:tcW w:w="609" w:type="pct"/>
            <w:tcBorders>
              <w:top w:val="single" w:sz="4" w:space="0" w:color="auto"/>
              <w:bottom w:val="single" w:sz="4" w:space="0" w:color="auto"/>
              <w:right w:val="single" w:sz="4" w:space="0" w:color="auto"/>
            </w:tcBorders>
          </w:tcPr>
          <w:p w14:paraId="373955AF" w14:textId="7777777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Mortality</w:t>
            </w:r>
          </w:p>
          <w:p w14:paraId="4CBF8EDE" w14:textId="74D5C277" w:rsidR="00426421" w:rsidRPr="007D1918" w:rsidRDefault="00426421" w:rsidP="00097A59">
            <w:pPr>
              <w:spacing w:before="40" w:after="40" w:line="240" w:lineRule="auto"/>
              <w:rPr>
                <w:rFonts w:ascii="Arial Narrow" w:hAnsi="Arial Narrow" w:cs="Arial"/>
                <w:sz w:val="18"/>
                <w:szCs w:val="18"/>
              </w:rPr>
            </w:pPr>
            <w:r w:rsidRPr="007D1918">
              <w:rPr>
                <w:rFonts w:ascii="Arial Narrow" w:hAnsi="Arial Narrow" w:cs="Arial"/>
                <w:sz w:val="18"/>
                <w:szCs w:val="18"/>
              </w:rPr>
              <w:t>(% patients)</w:t>
            </w:r>
          </w:p>
          <w:p w14:paraId="4CE0B898" w14:textId="2D98E2E2" w:rsidR="00097A59" w:rsidRPr="007D1918" w:rsidRDefault="00097A59" w:rsidP="00097A59">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5D94E018"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n=773</w:t>
            </w:r>
          </w:p>
          <w:p w14:paraId="4BE754DD" w14:textId="2DB10553"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k=3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04AF851F"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Pr="007D1918">
              <w:rPr>
                <w:rFonts w:ascii="Arial Narrow" w:hAnsi="Arial Narrow"/>
                <w:sz w:val="18"/>
                <w:szCs w:val="18"/>
                <w:vertAlign w:val="superscript"/>
                <w:lang w:eastAsia="en-US"/>
              </w:rPr>
              <w:t>a</w:t>
            </w:r>
          </w:p>
          <w:p w14:paraId="5C9299C7" w14:textId="55D546CC" w:rsidR="00097A59" w:rsidRPr="007D1918" w:rsidRDefault="00426421"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Inconsistency: -1</w:t>
            </w:r>
            <w:r w:rsidRPr="007D1918">
              <w:rPr>
                <w:rFonts w:ascii="Arial Narrow" w:hAnsi="Arial Narrow"/>
                <w:sz w:val="18"/>
                <w:szCs w:val="18"/>
                <w:vertAlign w:val="superscript"/>
                <w:lang w:eastAsia="en-US"/>
              </w:rPr>
              <w:t>b</w:t>
            </w:r>
          </w:p>
          <w:p w14:paraId="7F2244E0"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60B9408E"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00A8BB68" w14:textId="269ACDAB" w:rsidR="00097A59" w:rsidRPr="007D1918" w:rsidRDefault="000D6C22"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Other: confounding is likely to give spurious effect</w:t>
            </w:r>
          </w:p>
        </w:tc>
        <w:tc>
          <w:tcPr>
            <w:tcW w:w="561" w:type="pct"/>
            <w:tcBorders>
              <w:top w:val="single" w:sz="4" w:space="0" w:color="auto"/>
              <w:left w:val="single" w:sz="4" w:space="0" w:color="auto"/>
              <w:bottom w:val="single" w:sz="4" w:space="0" w:color="auto"/>
              <w:right w:val="single" w:sz="4" w:space="0" w:color="auto"/>
            </w:tcBorders>
          </w:tcPr>
          <w:p w14:paraId="642A39E7" w14:textId="3D4CBCF0" w:rsidR="00097A59" w:rsidRPr="007D1918" w:rsidRDefault="006948DE"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0.59</w:t>
            </w:r>
            <w:r w:rsidR="00426421" w:rsidRPr="007D1918">
              <w:rPr>
                <w:rFonts w:ascii="Arial Narrow" w:hAnsi="Arial Narrow"/>
                <w:sz w:val="18"/>
                <w:szCs w:val="18"/>
              </w:rPr>
              <w:t>%</w:t>
            </w:r>
            <w:r w:rsidRPr="007D1918">
              <w:rPr>
                <w:rFonts w:ascii="Arial Narrow" w:hAnsi="Arial Narrow"/>
                <w:sz w:val="18"/>
                <w:szCs w:val="18"/>
              </w:rPr>
              <w:t>-12.5%</w:t>
            </w:r>
          </w:p>
        </w:tc>
        <w:tc>
          <w:tcPr>
            <w:tcW w:w="561" w:type="pct"/>
            <w:tcBorders>
              <w:top w:val="single" w:sz="4" w:space="0" w:color="auto"/>
              <w:left w:val="single" w:sz="4" w:space="0" w:color="auto"/>
              <w:bottom w:val="single" w:sz="4" w:space="0" w:color="auto"/>
              <w:right w:val="single" w:sz="4" w:space="0" w:color="auto"/>
            </w:tcBorders>
          </w:tcPr>
          <w:p w14:paraId="42FC4ACE" w14:textId="1C06B624" w:rsidR="00097A59" w:rsidRPr="007D1918" w:rsidRDefault="006948DE"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3.6</w:t>
            </w:r>
            <w:r w:rsidR="00426421" w:rsidRPr="007D1918">
              <w:rPr>
                <w:rFonts w:ascii="Arial Narrow" w:hAnsi="Arial Narrow"/>
                <w:sz w:val="18"/>
                <w:szCs w:val="18"/>
              </w:rPr>
              <w:t>%</w:t>
            </w:r>
            <w:r w:rsidRPr="007D1918">
              <w:rPr>
                <w:rFonts w:ascii="Arial Narrow" w:hAnsi="Arial Narrow"/>
                <w:sz w:val="18"/>
                <w:szCs w:val="18"/>
              </w:rPr>
              <w:t>-6.7%</w:t>
            </w:r>
          </w:p>
        </w:tc>
        <w:tc>
          <w:tcPr>
            <w:tcW w:w="471" w:type="pct"/>
            <w:tcBorders>
              <w:top w:val="single" w:sz="4" w:space="0" w:color="auto"/>
              <w:left w:val="single" w:sz="4" w:space="0" w:color="auto"/>
              <w:bottom w:val="single" w:sz="4" w:space="0" w:color="auto"/>
              <w:right w:val="single" w:sz="4" w:space="0" w:color="auto"/>
            </w:tcBorders>
          </w:tcPr>
          <w:p w14:paraId="63CE97C0" w14:textId="3336B90C" w:rsidR="00426421" w:rsidRPr="007D1918" w:rsidRDefault="006948DE" w:rsidP="00C1764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3342CB" w:rsidRPr="007D1918">
              <w:rPr>
                <w:rFonts w:ascii="Arial Narrow" w:hAnsi="Arial Narrow"/>
                <w:sz w:val="18"/>
                <w:szCs w:val="18"/>
                <w:lang w:eastAsia="en-US"/>
              </w:rPr>
              <w:t>A</w:t>
            </w:r>
          </w:p>
        </w:tc>
        <w:tc>
          <w:tcPr>
            <w:tcW w:w="750" w:type="pct"/>
            <w:tcBorders>
              <w:top w:val="single" w:sz="4" w:space="0" w:color="auto"/>
              <w:left w:val="single" w:sz="4" w:space="0" w:color="auto"/>
              <w:bottom w:val="single" w:sz="4" w:space="0" w:color="auto"/>
              <w:right w:val="single" w:sz="4" w:space="0" w:color="auto"/>
            </w:tcBorders>
          </w:tcPr>
          <w:p w14:paraId="07A09591" w14:textId="027EBABA" w:rsidR="00097A59" w:rsidRPr="007D1918" w:rsidRDefault="00097A59" w:rsidP="00426421">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Overall there were fewer </w:t>
            </w:r>
            <w:r w:rsidR="00426421" w:rsidRPr="007D1918">
              <w:rPr>
                <w:rFonts w:ascii="Arial Narrow" w:hAnsi="Arial Narrow"/>
                <w:sz w:val="18"/>
                <w:szCs w:val="18"/>
                <w:lang w:eastAsia="en-US"/>
              </w:rPr>
              <w:t>deaths</w:t>
            </w:r>
            <w:r w:rsidRPr="007D1918">
              <w:rPr>
                <w:rFonts w:ascii="Arial Narrow" w:hAnsi="Arial Narrow"/>
                <w:sz w:val="18"/>
                <w:szCs w:val="18"/>
                <w:lang w:eastAsia="en-US"/>
              </w:rPr>
              <w:t xml:space="preserve"> occurring in patients who received IVIg compared to PE</w:t>
            </w:r>
            <w:r w:rsidR="00426421" w:rsidRPr="007D1918">
              <w:rPr>
                <w:rFonts w:ascii="Arial Narrow" w:hAnsi="Arial Narrow"/>
                <w:sz w:val="18"/>
                <w:szCs w:val="18"/>
                <w:lang w:eastAsia="en-US"/>
              </w:rPr>
              <w:t>, but suspicion of selection bias in one large cohort study prevents this result from being reliable</w:t>
            </w:r>
          </w:p>
        </w:tc>
        <w:tc>
          <w:tcPr>
            <w:tcW w:w="422" w:type="pct"/>
            <w:tcBorders>
              <w:top w:val="single" w:sz="4" w:space="0" w:color="auto"/>
              <w:left w:val="single" w:sz="4" w:space="0" w:color="auto"/>
              <w:bottom w:val="single" w:sz="4" w:space="0" w:color="auto"/>
              <w:right w:val="single" w:sz="4" w:space="0" w:color="auto"/>
            </w:tcBorders>
          </w:tcPr>
          <w:p w14:paraId="369695F9" w14:textId="32C56095"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0D6C22" w:rsidRPr="007D1918">
              <w:rPr>
                <w:rFonts w:ascii="Cambria Math" w:hAnsi="Cambria Math" w:cs="Cambria Math"/>
                <w:color w:val="00B050"/>
                <w:sz w:val="18"/>
                <w:szCs w:val="18"/>
              </w:rPr>
              <w:t>⊕</w:t>
            </w:r>
            <w:r w:rsidR="00426421"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4A043112" w14:textId="71872BAE" w:rsidR="00097A59" w:rsidRPr="007D1918" w:rsidRDefault="006948DE" w:rsidP="006948DE">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097A59" w:rsidRPr="007D1918" w14:paraId="3E902ED0" w14:textId="77777777" w:rsidTr="004E0A4C">
        <w:tc>
          <w:tcPr>
            <w:tcW w:w="609" w:type="pct"/>
            <w:tcBorders>
              <w:top w:val="single" w:sz="4" w:space="0" w:color="auto"/>
              <w:bottom w:val="single" w:sz="4" w:space="0" w:color="auto"/>
              <w:right w:val="single" w:sz="4" w:space="0" w:color="auto"/>
            </w:tcBorders>
          </w:tcPr>
          <w:p w14:paraId="38C9AC6A" w14:textId="4882A6D0"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Infection rate</w:t>
            </w:r>
            <w:r w:rsidR="00426421" w:rsidRPr="007D1918">
              <w:rPr>
                <w:rFonts w:ascii="Arial Narrow" w:hAnsi="Arial Narrow" w:cs="Arial"/>
                <w:sz w:val="18"/>
                <w:szCs w:val="18"/>
              </w:rPr>
              <w:t xml:space="preserve"> (% patients with event)</w:t>
            </w:r>
          </w:p>
          <w:p w14:paraId="40646D1E" w14:textId="2BE83FB1" w:rsidR="00097A59" w:rsidRPr="007D1918" w:rsidRDefault="00097A59" w:rsidP="00097A59">
            <w:pPr>
              <w:spacing w:before="40" w:after="40" w:line="240" w:lineRule="auto"/>
              <w:rPr>
                <w:rFonts w:ascii="Arial Narrow" w:hAnsi="Arial Narrow"/>
                <w:sz w:val="18"/>
                <w:szCs w:val="18"/>
                <w:lang w:eastAsia="en-US"/>
              </w:rPr>
            </w:pPr>
            <w:r w:rsidRPr="007D1918">
              <w:rPr>
                <w:rFonts w:ascii="Arial Narrow" w:hAnsi="Arial Narrow" w:cs="Arial"/>
                <w:sz w:val="18"/>
                <w:szCs w:val="18"/>
              </w:rPr>
              <w:lastRenderedPageBreak/>
              <w:t>IVIg v PE</w:t>
            </w:r>
          </w:p>
        </w:tc>
        <w:tc>
          <w:tcPr>
            <w:tcW w:w="514" w:type="pct"/>
            <w:tcBorders>
              <w:top w:val="single" w:sz="4" w:space="0" w:color="auto"/>
              <w:left w:val="single" w:sz="4" w:space="0" w:color="auto"/>
              <w:bottom w:val="single" w:sz="4" w:space="0" w:color="auto"/>
              <w:right w:val="single" w:sz="4" w:space="0" w:color="auto"/>
            </w:tcBorders>
          </w:tcPr>
          <w:p w14:paraId="3127D10D"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n=778</w:t>
            </w:r>
          </w:p>
          <w:p w14:paraId="087A011D" w14:textId="6384DB48"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k=3 R</w:t>
            </w:r>
            <w:r w:rsidR="005463C3"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4B896C9B" w14:textId="42F332AF" w:rsidR="00097A59" w:rsidRPr="007D1918" w:rsidRDefault="00426421"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Risk of bias: -1</w:t>
            </w:r>
            <w:r w:rsidRPr="007D1918">
              <w:rPr>
                <w:rFonts w:ascii="Arial Narrow" w:hAnsi="Arial Narrow"/>
                <w:sz w:val="18"/>
                <w:szCs w:val="18"/>
                <w:vertAlign w:val="superscript"/>
                <w:lang w:eastAsia="en-US"/>
              </w:rPr>
              <w:t>a</w:t>
            </w:r>
          </w:p>
          <w:p w14:paraId="7218638D"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2CB011FC"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Indirectness: 0</w:t>
            </w:r>
          </w:p>
          <w:p w14:paraId="79AEAA77" w14:textId="5AD5C437" w:rsidR="00097A59" w:rsidRPr="007D1918" w:rsidRDefault="00426421"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Imprecision: -1</w:t>
            </w:r>
            <w:r w:rsidRPr="007D1918">
              <w:rPr>
                <w:rFonts w:ascii="Arial Narrow" w:hAnsi="Arial Narrow"/>
                <w:sz w:val="18"/>
                <w:szCs w:val="18"/>
                <w:vertAlign w:val="superscript"/>
                <w:lang w:eastAsia="en-US"/>
              </w:rPr>
              <w:t>c</w:t>
            </w:r>
          </w:p>
          <w:p w14:paraId="3CCE80BB" w14:textId="609FF006" w:rsidR="00426421" w:rsidRPr="007D1918" w:rsidRDefault="000D6C22" w:rsidP="000D6C22">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Other: c</w:t>
            </w:r>
            <w:r w:rsidR="00426421" w:rsidRPr="007D1918">
              <w:rPr>
                <w:rFonts w:ascii="Arial Narrow" w:hAnsi="Arial Narrow"/>
                <w:sz w:val="18"/>
                <w:szCs w:val="18"/>
                <w:lang w:eastAsia="en-US"/>
              </w:rPr>
              <w:t>onfounding</w:t>
            </w:r>
            <w:r w:rsidRPr="007D1918">
              <w:rPr>
                <w:rFonts w:ascii="Arial Narrow" w:hAnsi="Arial Narrow"/>
                <w:sz w:val="18"/>
                <w:szCs w:val="18"/>
                <w:lang w:eastAsia="en-US"/>
              </w:rPr>
              <w:t xml:space="preserve"> is</w:t>
            </w:r>
            <w:r w:rsidR="00426421" w:rsidRPr="007D1918">
              <w:rPr>
                <w:rFonts w:ascii="Arial Narrow" w:hAnsi="Arial Narrow"/>
                <w:sz w:val="18"/>
                <w:szCs w:val="18"/>
                <w:lang w:eastAsia="en-US"/>
              </w:rPr>
              <w:t xml:space="preserve"> likely </w:t>
            </w:r>
            <w:r w:rsidRPr="007D1918">
              <w:rPr>
                <w:rFonts w:ascii="Arial Narrow" w:hAnsi="Arial Narrow"/>
                <w:sz w:val="18"/>
                <w:szCs w:val="18"/>
                <w:lang w:eastAsia="en-US"/>
              </w:rPr>
              <w:t xml:space="preserve">to give </w:t>
            </w:r>
            <w:r w:rsidR="00426421" w:rsidRPr="007D1918">
              <w:rPr>
                <w:rFonts w:ascii="Arial Narrow" w:hAnsi="Arial Narrow"/>
                <w:sz w:val="18"/>
                <w:szCs w:val="18"/>
                <w:lang w:eastAsia="en-US"/>
              </w:rPr>
              <w:t>spurious effect</w:t>
            </w:r>
          </w:p>
        </w:tc>
        <w:tc>
          <w:tcPr>
            <w:tcW w:w="561" w:type="pct"/>
            <w:tcBorders>
              <w:top w:val="single" w:sz="4" w:space="0" w:color="auto"/>
              <w:left w:val="single" w:sz="4" w:space="0" w:color="auto"/>
              <w:bottom w:val="single" w:sz="4" w:space="0" w:color="auto"/>
              <w:right w:val="single" w:sz="4" w:space="0" w:color="auto"/>
            </w:tcBorders>
          </w:tcPr>
          <w:p w14:paraId="592D562E" w14:textId="1B650698" w:rsidR="00097A59" w:rsidRPr="007D1918" w:rsidRDefault="006948DE"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lastRenderedPageBreak/>
              <w:t>1.18</w:t>
            </w:r>
            <w:r w:rsidR="00426421" w:rsidRPr="007D1918">
              <w:rPr>
                <w:rFonts w:ascii="Arial Narrow" w:hAnsi="Arial Narrow"/>
                <w:sz w:val="18"/>
                <w:szCs w:val="18"/>
              </w:rPr>
              <w:t>%</w:t>
            </w:r>
            <w:r w:rsidRPr="007D1918">
              <w:rPr>
                <w:rFonts w:ascii="Arial Narrow" w:hAnsi="Arial Narrow"/>
                <w:sz w:val="18"/>
                <w:szCs w:val="18"/>
              </w:rPr>
              <w:t>-11.1%</w:t>
            </w:r>
          </w:p>
        </w:tc>
        <w:tc>
          <w:tcPr>
            <w:tcW w:w="561" w:type="pct"/>
            <w:tcBorders>
              <w:top w:val="single" w:sz="4" w:space="0" w:color="auto"/>
              <w:left w:val="single" w:sz="4" w:space="0" w:color="auto"/>
              <w:bottom w:val="single" w:sz="4" w:space="0" w:color="auto"/>
              <w:right w:val="single" w:sz="4" w:space="0" w:color="auto"/>
            </w:tcBorders>
          </w:tcPr>
          <w:p w14:paraId="3B501128" w14:textId="1BC32344" w:rsidR="00097A59" w:rsidRPr="007D1918" w:rsidRDefault="006948DE" w:rsidP="00097A59">
            <w:pPr>
              <w:spacing w:before="40" w:after="40" w:line="240" w:lineRule="auto"/>
              <w:jc w:val="both"/>
              <w:rPr>
                <w:rFonts w:ascii="Arial Narrow" w:hAnsi="Arial Narrow"/>
                <w:sz w:val="18"/>
                <w:szCs w:val="18"/>
              </w:rPr>
            </w:pPr>
            <w:r w:rsidRPr="007D1918">
              <w:rPr>
                <w:rFonts w:ascii="Arial Narrow" w:hAnsi="Arial Narrow"/>
                <w:sz w:val="18"/>
                <w:szCs w:val="18"/>
              </w:rPr>
              <w:t>9.45</w:t>
            </w:r>
            <w:r w:rsidR="00426421" w:rsidRPr="007D1918">
              <w:rPr>
                <w:rFonts w:ascii="Arial Narrow" w:hAnsi="Arial Narrow"/>
                <w:sz w:val="18"/>
                <w:szCs w:val="18"/>
              </w:rPr>
              <w:t>%</w:t>
            </w:r>
            <w:r w:rsidRPr="007D1918">
              <w:rPr>
                <w:rFonts w:ascii="Arial Narrow" w:hAnsi="Arial Narrow"/>
                <w:sz w:val="18"/>
                <w:szCs w:val="18"/>
              </w:rPr>
              <w:t>-21.4%</w:t>
            </w:r>
          </w:p>
        </w:tc>
        <w:tc>
          <w:tcPr>
            <w:tcW w:w="471" w:type="pct"/>
            <w:tcBorders>
              <w:top w:val="single" w:sz="4" w:space="0" w:color="auto"/>
              <w:left w:val="single" w:sz="4" w:space="0" w:color="auto"/>
              <w:bottom w:val="single" w:sz="4" w:space="0" w:color="auto"/>
              <w:right w:val="single" w:sz="4" w:space="0" w:color="auto"/>
            </w:tcBorders>
          </w:tcPr>
          <w:p w14:paraId="09AEFB55" w14:textId="5565CB76" w:rsidR="00426421" w:rsidRPr="007D1918" w:rsidRDefault="006948DE" w:rsidP="003342CB">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NA</w:t>
            </w:r>
          </w:p>
        </w:tc>
        <w:tc>
          <w:tcPr>
            <w:tcW w:w="750" w:type="pct"/>
            <w:tcBorders>
              <w:top w:val="single" w:sz="4" w:space="0" w:color="auto"/>
              <w:left w:val="single" w:sz="4" w:space="0" w:color="auto"/>
              <w:bottom w:val="single" w:sz="4" w:space="0" w:color="auto"/>
              <w:right w:val="single" w:sz="4" w:space="0" w:color="auto"/>
            </w:tcBorders>
          </w:tcPr>
          <w:p w14:paraId="18ECB084" w14:textId="6D7A62FA" w:rsidR="00097A59" w:rsidRPr="007D1918" w:rsidRDefault="00426421" w:rsidP="00426421">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Overall there were fewer infections occurring in patients </w:t>
            </w:r>
            <w:r w:rsidRPr="007D1918">
              <w:rPr>
                <w:rFonts w:ascii="Arial Narrow" w:hAnsi="Arial Narrow"/>
                <w:sz w:val="18"/>
                <w:szCs w:val="18"/>
                <w:lang w:eastAsia="en-US"/>
              </w:rPr>
              <w:lastRenderedPageBreak/>
              <w:t>who received IVIg compared to PE, but suspicion of selection bias in one large cohort study prevents this result from being reliable</w:t>
            </w:r>
          </w:p>
        </w:tc>
        <w:tc>
          <w:tcPr>
            <w:tcW w:w="422" w:type="pct"/>
            <w:tcBorders>
              <w:top w:val="single" w:sz="4" w:space="0" w:color="auto"/>
              <w:left w:val="single" w:sz="4" w:space="0" w:color="auto"/>
              <w:bottom w:val="single" w:sz="4" w:space="0" w:color="auto"/>
              <w:right w:val="single" w:sz="4" w:space="0" w:color="auto"/>
            </w:tcBorders>
          </w:tcPr>
          <w:p w14:paraId="4B3C7A1D" w14:textId="0ADEFA47" w:rsidR="00097A59" w:rsidRPr="007D1918" w:rsidRDefault="000D6C22" w:rsidP="00097A59">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lastRenderedPageBreak/>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6A259348" w14:textId="39DD9EC7" w:rsidR="00097A59" w:rsidRPr="007D1918" w:rsidRDefault="006948DE" w:rsidP="00097A59">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097A59" w:rsidRPr="007D1918" w14:paraId="2E0A5728" w14:textId="77777777" w:rsidTr="004E0A4C">
        <w:tc>
          <w:tcPr>
            <w:tcW w:w="609" w:type="pct"/>
            <w:tcBorders>
              <w:top w:val="single" w:sz="4" w:space="0" w:color="auto"/>
              <w:bottom w:val="single" w:sz="4" w:space="0" w:color="auto"/>
              <w:right w:val="single" w:sz="4" w:space="0" w:color="auto"/>
            </w:tcBorders>
          </w:tcPr>
          <w:p w14:paraId="7FE218C0" w14:textId="6BD2CAE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 xml:space="preserve">Change in MMS </w:t>
            </w:r>
            <w:r w:rsidR="00C830B2" w:rsidRPr="007D1918">
              <w:rPr>
                <w:rFonts w:ascii="Arial Narrow" w:hAnsi="Arial Narrow" w:cs="Arial"/>
                <w:sz w:val="18"/>
                <w:szCs w:val="18"/>
              </w:rPr>
              <w:t>(</w:t>
            </w:r>
            <w:r w:rsidR="00FE0EC5" w:rsidRPr="007D1918">
              <w:rPr>
                <w:rFonts w:ascii="Arial Narrow" w:hAnsi="Arial Narrow" w:cs="Arial"/>
                <w:sz w:val="18"/>
                <w:szCs w:val="18"/>
              </w:rPr>
              <w:t>change in</w:t>
            </w:r>
            <w:r w:rsidR="00C830B2" w:rsidRPr="007D1918">
              <w:rPr>
                <w:rFonts w:ascii="Arial Narrow" w:hAnsi="Arial Narrow" w:cs="Arial"/>
                <w:sz w:val="18"/>
                <w:szCs w:val="18"/>
              </w:rPr>
              <w:t xml:space="preserve"> score at 15 days from baseline)</w:t>
            </w:r>
          </w:p>
          <w:p w14:paraId="08B06BDE" w14:textId="1FDC7736" w:rsidR="00097A59" w:rsidRPr="007D1918" w:rsidRDefault="00097A59" w:rsidP="00097A59">
            <w:pPr>
              <w:spacing w:before="40" w:after="40" w:line="240" w:lineRule="auto"/>
              <w:rPr>
                <w:rFonts w:ascii="Arial Narrow" w:hAnsi="Arial Narrow"/>
                <w:sz w:val="18"/>
                <w:szCs w:val="18"/>
                <w:lang w:eastAsia="en-US"/>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2BA5901B" w14:textId="7777777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n=87</w:t>
            </w:r>
          </w:p>
          <w:p w14:paraId="34C71069" w14:textId="0996330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k=1 RCT</w:t>
            </w:r>
          </w:p>
        </w:tc>
        <w:tc>
          <w:tcPr>
            <w:tcW w:w="661" w:type="pct"/>
            <w:tcBorders>
              <w:top w:val="single" w:sz="4" w:space="0" w:color="auto"/>
              <w:left w:val="single" w:sz="4" w:space="0" w:color="auto"/>
              <w:bottom w:val="single" w:sz="4" w:space="0" w:color="auto"/>
              <w:right w:val="single" w:sz="4" w:space="0" w:color="auto"/>
            </w:tcBorders>
          </w:tcPr>
          <w:p w14:paraId="53CD5067" w14:textId="3FC398D8"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C830B2" w:rsidRPr="007D1918">
              <w:rPr>
                <w:rFonts w:ascii="Arial Narrow" w:hAnsi="Arial Narrow"/>
                <w:sz w:val="18"/>
                <w:szCs w:val="18"/>
                <w:lang w:eastAsia="en-US"/>
              </w:rPr>
              <w:t>0</w:t>
            </w:r>
          </w:p>
          <w:p w14:paraId="06926B78"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3A318B39"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19B6DF21"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23A52A40" w14:textId="491F52C5" w:rsidR="00097A59" w:rsidRPr="007D1918" w:rsidRDefault="00D348A3" w:rsidP="00C830B2">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097A59" w:rsidRPr="007D1918">
              <w:rPr>
                <w:rFonts w:ascii="Arial Narrow" w:hAnsi="Arial Narrow"/>
                <w:sz w:val="18"/>
                <w:szCs w:val="18"/>
                <w:lang w:eastAsia="en-US"/>
              </w:rPr>
              <w:t>:</w:t>
            </w:r>
            <w:r w:rsidRPr="007D1918">
              <w:rPr>
                <w:rFonts w:ascii="Arial Narrow" w:hAnsi="Arial Narrow"/>
                <w:sz w:val="18"/>
                <w:szCs w:val="18"/>
                <w:lang w:eastAsia="en-US"/>
              </w:rPr>
              <w:t xml:space="preserve"> </w:t>
            </w:r>
            <w:r w:rsidR="00097A59"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12529160" w14:textId="7EA48168" w:rsidR="00097A59" w:rsidRPr="007D1918" w:rsidRDefault="00C830B2"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15.6</w:t>
            </w:r>
            <w:r w:rsidR="00FE0EC5" w:rsidRPr="007D1918">
              <w:rPr>
                <w:rFonts w:ascii="Arial Narrow" w:hAnsi="Arial Narrow"/>
                <w:sz w:val="18"/>
                <w:szCs w:val="18"/>
              </w:rPr>
              <w:t xml:space="preserve"> ± 16.0</w:t>
            </w:r>
          </w:p>
        </w:tc>
        <w:tc>
          <w:tcPr>
            <w:tcW w:w="561" w:type="pct"/>
            <w:tcBorders>
              <w:top w:val="single" w:sz="4" w:space="0" w:color="auto"/>
              <w:left w:val="single" w:sz="4" w:space="0" w:color="auto"/>
              <w:bottom w:val="single" w:sz="4" w:space="0" w:color="auto"/>
              <w:right w:val="single" w:sz="4" w:space="0" w:color="auto"/>
            </w:tcBorders>
          </w:tcPr>
          <w:p w14:paraId="049FC53A" w14:textId="4C11D027" w:rsidR="00097A59" w:rsidRPr="007D1918" w:rsidRDefault="00C830B2"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16.6</w:t>
            </w:r>
            <w:r w:rsidR="00FE0EC5" w:rsidRPr="007D1918">
              <w:rPr>
                <w:rFonts w:ascii="Arial Narrow" w:hAnsi="Arial Narrow"/>
                <w:sz w:val="18"/>
                <w:szCs w:val="18"/>
              </w:rPr>
              <w:t xml:space="preserve"> ± 16.0</w:t>
            </w:r>
          </w:p>
        </w:tc>
        <w:tc>
          <w:tcPr>
            <w:tcW w:w="471" w:type="pct"/>
            <w:tcBorders>
              <w:top w:val="single" w:sz="4" w:space="0" w:color="auto"/>
              <w:left w:val="single" w:sz="4" w:space="0" w:color="auto"/>
              <w:bottom w:val="single" w:sz="4" w:space="0" w:color="auto"/>
              <w:right w:val="single" w:sz="4" w:space="0" w:color="auto"/>
            </w:tcBorders>
          </w:tcPr>
          <w:p w14:paraId="0C20FAB4" w14:textId="77777777" w:rsidR="00C830B2" w:rsidRPr="007D1918" w:rsidRDefault="00C830B2"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Mean difference </w:t>
            </w:r>
          </w:p>
          <w:p w14:paraId="0B8E0EC1" w14:textId="683E9545" w:rsidR="00097A59" w:rsidRPr="007D1918" w:rsidRDefault="00C830B2"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w:t>
            </w:r>
          </w:p>
          <w:p w14:paraId="41998CFD" w14:textId="793B8EFB" w:rsidR="00C830B2" w:rsidRPr="007D1918" w:rsidRDefault="00627721"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95% CI</w:t>
            </w:r>
            <w:r w:rsidR="00C830B2" w:rsidRPr="007D1918">
              <w:rPr>
                <w:rFonts w:ascii="Arial Narrow" w:hAnsi="Arial Narrow"/>
                <w:sz w:val="18"/>
                <w:szCs w:val="18"/>
                <w:lang w:eastAsia="en-US"/>
              </w:rPr>
              <w:t xml:space="preserve"> -7.72, 5.72</w:t>
            </w:r>
          </w:p>
          <w:p w14:paraId="005E0223" w14:textId="32568295" w:rsidR="00FE0EC5" w:rsidRPr="007D1918" w:rsidRDefault="00FE0EC5"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w:t>
            </w:r>
            <w:r w:rsidR="006178C8" w:rsidRPr="007D1918">
              <w:rPr>
                <w:rFonts w:ascii="Arial Narrow" w:hAnsi="Arial Narrow"/>
                <w:sz w:val="18"/>
                <w:szCs w:val="18"/>
                <w:lang w:eastAsia="en-US"/>
              </w:rPr>
              <w:t xml:space="preserve"> 0</w:t>
            </w:r>
            <w:r w:rsidRPr="007D1918">
              <w:rPr>
                <w:rFonts w:ascii="Arial Narrow" w:hAnsi="Arial Narrow"/>
                <w:sz w:val="18"/>
                <w:szCs w:val="18"/>
                <w:lang w:eastAsia="en-US"/>
              </w:rPr>
              <w:t xml:space="preserve"> 77</w:t>
            </w:r>
          </w:p>
        </w:tc>
        <w:tc>
          <w:tcPr>
            <w:tcW w:w="750" w:type="pct"/>
            <w:tcBorders>
              <w:top w:val="single" w:sz="4" w:space="0" w:color="auto"/>
              <w:left w:val="single" w:sz="4" w:space="0" w:color="auto"/>
              <w:bottom w:val="single" w:sz="4" w:space="0" w:color="auto"/>
              <w:right w:val="single" w:sz="4" w:space="0" w:color="auto"/>
            </w:tcBorders>
          </w:tcPr>
          <w:p w14:paraId="3184B7CE" w14:textId="54CDE86E" w:rsidR="00097A59" w:rsidRPr="007D1918" w:rsidRDefault="00387E21"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the change in MMS occurring between groups</w:t>
            </w:r>
          </w:p>
        </w:tc>
        <w:tc>
          <w:tcPr>
            <w:tcW w:w="422" w:type="pct"/>
            <w:tcBorders>
              <w:top w:val="single" w:sz="4" w:space="0" w:color="auto"/>
              <w:left w:val="single" w:sz="4" w:space="0" w:color="auto"/>
              <w:bottom w:val="single" w:sz="4" w:space="0" w:color="auto"/>
              <w:right w:val="single" w:sz="4" w:space="0" w:color="auto"/>
            </w:tcBorders>
          </w:tcPr>
          <w:p w14:paraId="4B8C316E" w14:textId="38980615"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1218B9"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5C5117C9" w14:textId="15ED498C" w:rsidR="00097A59" w:rsidRPr="007D1918" w:rsidRDefault="006948DE" w:rsidP="00097A59">
            <w:pPr>
              <w:spacing w:before="40" w:after="40" w:line="240" w:lineRule="auto"/>
              <w:jc w:val="both"/>
              <w:rPr>
                <w:rFonts w:ascii="Arial Narrow" w:hAnsi="Arial Narrow"/>
                <w:sz w:val="18"/>
                <w:szCs w:val="18"/>
                <w:lang w:eastAsia="en-US"/>
              </w:rPr>
            </w:pPr>
            <w:r w:rsidRPr="007D1918">
              <w:rPr>
                <w:rFonts w:cs="Arial"/>
                <w:sz w:val="18"/>
                <w:szCs w:val="18"/>
              </w:rPr>
              <w:t>CRITICAL</w:t>
            </w:r>
          </w:p>
        </w:tc>
      </w:tr>
      <w:tr w:rsidR="00097A59" w:rsidRPr="007D1918" w14:paraId="23DFFBA4" w14:textId="77777777" w:rsidTr="00097A59">
        <w:tc>
          <w:tcPr>
            <w:tcW w:w="609" w:type="pct"/>
            <w:tcBorders>
              <w:top w:val="single" w:sz="4" w:space="0" w:color="auto"/>
              <w:bottom w:val="single" w:sz="4" w:space="0" w:color="auto"/>
              <w:right w:val="single" w:sz="4" w:space="0" w:color="auto"/>
            </w:tcBorders>
          </w:tcPr>
          <w:p w14:paraId="754D4908" w14:textId="08A31FFB" w:rsidR="00C830B2" w:rsidRPr="007D1918" w:rsidRDefault="00C830B2" w:rsidP="00C830B2">
            <w:pPr>
              <w:spacing w:before="40" w:after="40" w:line="240" w:lineRule="auto"/>
              <w:rPr>
                <w:rFonts w:ascii="Arial Narrow" w:hAnsi="Arial Narrow" w:cs="Arial"/>
                <w:sz w:val="18"/>
                <w:szCs w:val="18"/>
              </w:rPr>
            </w:pPr>
            <w:r w:rsidRPr="007D1918">
              <w:rPr>
                <w:rFonts w:ascii="Arial Narrow" w:hAnsi="Arial Narrow" w:cs="Arial"/>
                <w:sz w:val="18"/>
                <w:szCs w:val="18"/>
              </w:rPr>
              <w:t>Change in MMS (change in score at 15 days from baseline)</w:t>
            </w:r>
          </w:p>
          <w:p w14:paraId="6D1803CC" w14:textId="7713F571"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IVIg 1g/kg v IVIg 2g/kg</w:t>
            </w:r>
          </w:p>
        </w:tc>
        <w:tc>
          <w:tcPr>
            <w:tcW w:w="514" w:type="pct"/>
            <w:tcBorders>
              <w:top w:val="single" w:sz="4" w:space="0" w:color="auto"/>
              <w:left w:val="single" w:sz="4" w:space="0" w:color="auto"/>
              <w:bottom w:val="single" w:sz="4" w:space="0" w:color="auto"/>
              <w:right w:val="single" w:sz="4" w:space="0" w:color="auto"/>
            </w:tcBorders>
          </w:tcPr>
          <w:p w14:paraId="7399C009" w14:textId="7777777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n=168</w:t>
            </w:r>
          </w:p>
          <w:p w14:paraId="0BA54D8C" w14:textId="6C6900BE"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k=1 RCT</w:t>
            </w:r>
          </w:p>
        </w:tc>
        <w:tc>
          <w:tcPr>
            <w:tcW w:w="661" w:type="pct"/>
            <w:tcBorders>
              <w:top w:val="single" w:sz="4" w:space="0" w:color="auto"/>
              <w:left w:val="single" w:sz="4" w:space="0" w:color="auto"/>
              <w:bottom w:val="single" w:sz="4" w:space="0" w:color="FFFFFF" w:themeColor="background1"/>
              <w:right w:val="single" w:sz="4" w:space="0" w:color="auto"/>
            </w:tcBorders>
          </w:tcPr>
          <w:p w14:paraId="5F9CA78F"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0</w:t>
            </w:r>
          </w:p>
          <w:p w14:paraId="17D4FF87"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615BAB11"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14BEA0E4"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702F0C03" w14:textId="7320B727" w:rsidR="00097A59" w:rsidRPr="007D1918" w:rsidRDefault="00D348A3"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097A59" w:rsidRPr="007D1918">
              <w:rPr>
                <w:rFonts w:ascii="Arial Narrow" w:hAnsi="Arial Narrow"/>
                <w:sz w:val="18"/>
                <w:szCs w:val="18"/>
                <w:lang w:eastAsia="en-US"/>
              </w:rPr>
              <w:t>:</w:t>
            </w:r>
            <w:r w:rsidRPr="007D1918">
              <w:rPr>
                <w:rFonts w:ascii="Arial Narrow" w:hAnsi="Arial Narrow"/>
                <w:sz w:val="18"/>
                <w:szCs w:val="18"/>
                <w:lang w:eastAsia="en-US"/>
              </w:rPr>
              <w:t xml:space="preserve"> </w:t>
            </w:r>
            <w:r w:rsidR="00097A59"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57ECD057" w14:textId="04CF415F" w:rsidR="00097A59" w:rsidRPr="007D1918" w:rsidRDefault="009B35ED"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19.33</w:t>
            </w:r>
            <w:r w:rsidR="00A56176" w:rsidRPr="007D1918">
              <w:rPr>
                <w:rFonts w:ascii="Arial Narrow" w:hAnsi="Arial Narrow"/>
                <w:sz w:val="18"/>
                <w:szCs w:val="18"/>
              </w:rPr>
              <w:t xml:space="preserve"> ± 16.48</w:t>
            </w:r>
          </w:p>
        </w:tc>
        <w:tc>
          <w:tcPr>
            <w:tcW w:w="561" w:type="pct"/>
            <w:tcBorders>
              <w:top w:val="single" w:sz="4" w:space="0" w:color="auto"/>
              <w:left w:val="single" w:sz="4" w:space="0" w:color="auto"/>
              <w:bottom w:val="single" w:sz="4" w:space="0" w:color="auto"/>
              <w:right w:val="single" w:sz="4" w:space="0" w:color="auto"/>
            </w:tcBorders>
          </w:tcPr>
          <w:p w14:paraId="3301802F" w14:textId="621CD2EF" w:rsidR="00097A59" w:rsidRPr="007D1918" w:rsidRDefault="009B35ED" w:rsidP="00FE0EC5">
            <w:pPr>
              <w:spacing w:before="40" w:after="40" w:line="240" w:lineRule="auto"/>
              <w:jc w:val="both"/>
              <w:rPr>
                <w:rFonts w:ascii="Arial Narrow" w:hAnsi="Arial Narrow"/>
                <w:sz w:val="18"/>
                <w:szCs w:val="18"/>
              </w:rPr>
            </w:pPr>
            <w:r w:rsidRPr="007D1918">
              <w:rPr>
                <w:rFonts w:ascii="Arial Narrow" w:hAnsi="Arial Narrow"/>
                <w:sz w:val="18"/>
                <w:szCs w:val="18"/>
              </w:rPr>
              <w:t>15.49</w:t>
            </w:r>
            <w:r w:rsidR="00A56176" w:rsidRPr="007D1918">
              <w:rPr>
                <w:rFonts w:ascii="Arial Narrow" w:hAnsi="Arial Narrow"/>
                <w:sz w:val="18"/>
                <w:szCs w:val="18"/>
              </w:rPr>
              <w:t xml:space="preserve"> ± 15.4</w:t>
            </w:r>
          </w:p>
        </w:tc>
        <w:tc>
          <w:tcPr>
            <w:tcW w:w="471" w:type="pct"/>
            <w:tcBorders>
              <w:top w:val="single" w:sz="4" w:space="0" w:color="auto"/>
              <w:left w:val="single" w:sz="4" w:space="0" w:color="auto"/>
              <w:bottom w:val="single" w:sz="4" w:space="0" w:color="auto"/>
              <w:right w:val="single" w:sz="4" w:space="0" w:color="auto"/>
            </w:tcBorders>
          </w:tcPr>
          <w:p w14:paraId="2514492F" w14:textId="0BFCA756" w:rsidR="00FE0EC5" w:rsidRPr="007D1918" w:rsidRDefault="00FE0EC5" w:rsidP="00FE0E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Mean difference</w:t>
            </w:r>
          </w:p>
          <w:p w14:paraId="76AC3B1F" w14:textId="32A11098" w:rsidR="00FE0EC5" w:rsidRPr="007D1918" w:rsidRDefault="00A56176" w:rsidP="00FE0E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3.8</w:t>
            </w:r>
            <w:r w:rsidR="00FE0EC5" w:rsidRPr="007D1918">
              <w:rPr>
                <w:rFonts w:ascii="Arial Narrow" w:hAnsi="Arial Narrow"/>
                <w:sz w:val="18"/>
                <w:szCs w:val="18"/>
                <w:lang w:eastAsia="en-US"/>
              </w:rPr>
              <w:t>4</w:t>
            </w:r>
          </w:p>
          <w:p w14:paraId="67AC981D" w14:textId="2ED58D1B" w:rsidR="00FE0EC5" w:rsidRPr="007D1918" w:rsidRDefault="00627721" w:rsidP="00FE0E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95% CI</w:t>
            </w:r>
            <w:r w:rsidR="00FE0EC5" w:rsidRPr="007D1918">
              <w:rPr>
                <w:rFonts w:ascii="Arial Narrow" w:hAnsi="Arial Narrow"/>
                <w:sz w:val="18"/>
                <w:szCs w:val="18"/>
                <w:lang w:eastAsia="en-US"/>
              </w:rPr>
              <w:t xml:space="preserve"> -0.98,</w:t>
            </w:r>
            <w:r w:rsidRPr="007D1918">
              <w:rPr>
                <w:rFonts w:ascii="Arial Narrow" w:hAnsi="Arial Narrow"/>
                <w:sz w:val="18"/>
                <w:szCs w:val="18"/>
                <w:lang w:eastAsia="en-US"/>
              </w:rPr>
              <w:t xml:space="preserve"> </w:t>
            </w:r>
            <w:r w:rsidR="00FE0EC5" w:rsidRPr="007D1918">
              <w:rPr>
                <w:rFonts w:ascii="Arial Narrow" w:hAnsi="Arial Narrow"/>
                <w:sz w:val="18"/>
                <w:szCs w:val="18"/>
                <w:lang w:eastAsia="en-US"/>
              </w:rPr>
              <w:t>8.66</w:t>
            </w:r>
          </w:p>
          <w:p w14:paraId="5B9F5819" w14:textId="27DB59E4" w:rsidR="00097A59" w:rsidRPr="007D1918" w:rsidRDefault="00097A59" w:rsidP="00FE0E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w:t>
            </w:r>
            <w:r w:rsidR="00FE0EC5" w:rsidRPr="007D1918">
              <w:rPr>
                <w:rFonts w:ascii="Arial Narrow" w:hAnsi="Arial Narrow"/>
                <w:sz w:val="18"/>
                <w:szCs w:val="18"/>
                <w:lang w:eastAsia="en-US"/>
              </w:rPr>
              <w:t>12</w:t>
            </w:r>
          </w:p>
        </w:tc>
        <w:tc>
          <w:tcPr>
            <w:tcW w:w="750" w:type="pct"/>
            <w:tcBorders>
              <w:top w:val="single" w:sz="4" w:space="0" w:color="auto"/>
              <w:left w:val="single" w:sz="4" w:space="0" w:color="auto"/>
              <w:bottom w:val="single" w:sz="4" w:space="0" w:color="auto"/>
              <w:right w:val="single" w:sz="4" w:space="0" w:color="auto"/>
            </w:tcBorders>
          </w:tcPr>
          <w:p w14:paraId="0B03ACCC" w14:textId="33F8AB3E" w:rsidR="00097A59" w:rsidRPr="007D1918" w:rsidRDefault="00097A59" w:rsidP="00387E21">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There was no difference in the </w:t>
            </w:r>
            <w:r w:rsidR="00387E21" w:rsidRPr="007D1918">
              <w:rPr>
                <w:rFonts w:ascii="Arial Narrow" w:hAnsi="Arial Narrow"/>
                <w:sz w:val="18"/>
                <w:szCs w:val="18"/>
                <w:lang w:eastAsia="en-US"/>
              </w:rPr>
              <w:t>change in MMS</w:t>
            </w:r>
            <w:r w:rsidRPr="007D1918">
              <w:rPr>
                <w:rFonts w:ascii="Arial Narrow" w:hAnsi="Arial Narrow"/>
                <w:sz w:val="18"/>
                <w:szCs w:val="18"/>
                <w:lang w:eastAsia="en-US"/>
              </w:rPr>
              <w:t xml:space="preserve"> occurring between groups</w:t>
            </w:r>
          </w:p>
        </w:tc>
        <w:tc>
          <w:tcPr>
            <w:tcW w:w="422" w:type="pct"/>
            <w:tcBorders>
              <w:top w:val="single" w:sz="4" w:space="0" w:color="auto"/>
              <w:left w:val="single" w:sz="4" w:space="0" w:color="auto"/>
              <w:bottom w:val="single" w:sz="4" w:space="0" w:color="auto"/>
              <w:right w:val="single" w:sz="4" w:space="0" w:color="auto"/>
            </w:tcBorders>
          </w:tcPr>
          <w:p w14:paraId="2708CF4D" w14:textId="77777777" w:rsidR="00097A59" w:rsidRPr="007D1918" w:rsidRDefault="00097A59" w:rsidP="00097A59">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p>
        </w:tc>
        <w:tc>
          <w:tcPr>
            <w:tcW w:w="451" w:type="pct"/>
            <w:tcBorders>
              <w:top w:val="single" w:sz="4" w:space="0" w:color="auto"/>
              <w:left w:val="single" w:sz="4" w:space="0" w:color="auto"/>
              <w:bottom w:val="single" w:sz="4" w:space="0" w:color="auto"/>
            </w:tcBorders>
          </w:tcPr>
          <w:p w14:paraId="18057180"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097A59" w:rsidRPr="007D1918" w14:paraId="07997D96" w14:textId="77777777" w:rsidTr="00097A59">
        <w:tc>
          <w:tcPr>
            <w:tcW w:w="609" w:type="pct"/>
            <w:tcBorders>
              <w:top w:val="single" w:sz="4" w:space="0" w:color="auto"/>
              <w:bottom w:val="single" w:sz="4" w:space="0" w:color="auto"/>
              <w:right w:val="single" w:sz="4" w:space="0" w:color="auto"/>
            </w:tcBorders>
          </w:tcPr>
          <w:p w14:paraId="6D588FA2" w14:textId="10BEED2B"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Change in MSS</w:t>
            </w:r>
            <w:r w:rsidR="00FE0EC5" w:rsidRPr="007D1918">
              <w:rPr>
                <w:rFonts w:ascii="Arial Narrow" w:hAnsi="Arial Narrow" w:cs="Arial"/>
                <w:sz w:val="18"/>
                <w:szCs w:val="18"/>
              </w:rPr>
              <w:t xml:space="preserve"> (change in score at 14 days from baseline)</w:t>
            </w:r>
          </w:p>
          <w:p w14:paraId="4F17A8AF" w14:textId="798B39AD"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43AD41E8" w14:textId="7777777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n=54</w:t>
            </w:r>
          </w:p>
          <w:p w14:paraId="2FBB2C29" w14:textId="69CB9480"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k=1 R</w:t>
            </w:r>
            <w:r w:rsidR="005463C3" w:rsidRPr="007D1918">
              <w:rPr>
                <w:rFonts w:ascii="Arial Narrow" w:hAnsi="Arial Narrow" w:cs="Arial"/>
                <w:sz w:val="18"/>
                <w:szCs w:val="18"/>
              </w:rPr>
              <w:t xml:space="preserve">et </w:t>
            </w:r>
            <w:r w:rsidRPr="007D1918">
              <w:rPr>
                <w:rFonts w:ascii="Arial Narrow" w:hAnsi="Arial Narrow" w:cs="Arial"/>
                <w:sz w:val="18"/>
                <w:szCs w:val="18"/>
              </w:rPr>
              <w:t>CoH</w:t>
            </w:r>
          </w:p>
        </w:tc>
        <w:tc>
          <w:tcPr>
            <w:tcW w:w="661" w:type="pct"/>
            <w:tcBorders>
              <w:top w:val="single" w:sz="4" w:space="0" w:color="auto"/>
              <w:left w:val="single" w:sz="4" w:space="0" w:color="auto"/>
              <w:bottom w:val="single" w:sz="4" w:space="0" w:color="auto"/>
              <w:right w:val="single" w:sz="4" w:space="0" w:color="auto"/>
            </w:tcBorders>
          </w:tcPr>
          <w:p w14:paraId="3A99F5A4"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Pr="007D1918">
              <w:rPr>
                <w:rFonts w:ascii="Arial Narrow" w:hAnsi="Arial Narrow"/>
                <w:sz w:val="18"/>
                <w:szCs w:val="18"/>
                <w:vertAlign w:val="superscript"/>
                <w:lang w:eastAsia="en-US"/>
              </w:rPr>
              <w:t>a</w:t>
            </w:r>
          </w:p>
          <w:p w14:paraId="3F7158C3"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7A6715EA"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5FC0B37B"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1EA95F6A" w14:textId="012436F8" w:rsidR="00097A59" w:rsidRPr="007D1918" w:rsidRDefault="00D348A3" w:rsidP="00D348A3">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 confounding is</w:t>
            </w:r>
            <w:r w:rsidR="00097A59" w:rsidRPr="007D1918">
              <w:rPr>
                <w:rFonts w:ascii="Arial Narrow" w:hAnsi="Arial Narrow"/>
                <w:sz w:val="18"/>
                <w:szCs w:val="18"/>
                <w:lang w:eastAsia="en-US"/>
              </w:rPr>
              <w:t xml:space="preserve"> likely </w:t>
            </w:r>
            <w:r w:rsidRPr="007D1918">
              <w:rPr>
                <w:rFonts w:ascii="Arial Narrow" w:hAnsi="Arial Narrow"/>
                <w:sz w:val="18"/>
                <w:szCs w:val="18"/>
                <w:lang w:eastAsia="en-US"/>
              </w:rPr>
              <w:t xml:space="preserve">to give </w:t>
            </w:r>
            <w:r w:rsidR="00097A59" w:rsidRPr="007D1918">
              <w:rPr>
                <w:rFonts w:ascii="Arial Narrow" w:hAnsi="Arial Narrow"/>
                <w:sz w:val="18"/>
                <w:szCs w:val="18"/>
                <w:lang w:eastAsia="en-US"/>
              </w:rPr>
              <w:t>spurious effect</w:t>
            </w:r>
          </w:p>
        </w:tc>
        <w:tc>
          <w:tcPr>
            <w:tcW w:w="561" w:type="pct"/>
            <w:tcBorders>
              <w:top w:val="single" w:sz="4" w:space="0" w:color="auto"/>
              <w:left w:val="single" w:sz="4" w:space="0" w:color="auto"/>
              <w:bottom w:val="single" w:sz="4" w:space="0" w:color="auto"/>
              <w:right w:val="single" w:sz="4" w:space="0" w:color="auto"/>
            </w:tcBorders>
          </w:tcPr>
          <w:p w14:paraId="62BE3A40" w14:textId="1AE961C3" w:rsidR="00097A59" w:rsidRPr="007D1918" w:rsidRDefault="00FE0EC5"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2.8 ± 0.71</w:t>
            </w:r>
          </w:p>
        </w:tc>
        <w:tc>
          <w:tcPr>
            <w:tcW w:w="561" w:type="pct"/>
            <w:tcBorders>
              <w:top w:val="single" w:sz="4" w:space="0" w:color="auto"/>
              <w:left w:val="single" w:sz="4" w:space="0" w:color="auto"/>
              <w:bottom w:val="single" w:sz="4" w:space="0" w:color="auto"/>
              <w:right w:val="single" w:sz="4" w:space="0" w:color="auto"/>
            </w:tcBorders>
          </w:tcPr>
          <w:p w14:paraId="36CD93CD" w14:textId="1AB0EB0A" w:rsidR="00097A59" w:rsidRPr="007D1918" w:rsidRDefault="00FE0EC5"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4.2 ± 0.57</w:t>
            </w:r>
          </w:p>
        </w:tc>
        <w:tc>
          <w:tcPr>
            <w:tcW w:w="471" w:type="pct"/>
            <w:tcBorders>
              <w:top w:val="single" w:sz="4" w:space="0" w:color="auto"/>
              <w:left w:val="single" w:sz="4" w:space="0" w:color="auto"/>
              <w:bottom w:val="single" w:sz="4" w:space="0" w:color="auto"/>
              <w:right w:val="single" w:sz="4" w:space="0" w:color="auto"/>
            </w:tcBorders>
          </w:tcPr>
          <w:p w14:paraId="1F152973" w14:textId="3C00B854" w:rsidR="00FE0EC5" w:rsidRPr="007D1918" w:rsidRDefault="006178C8"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NA</w:t>
            </w:r>
          </w:p>
          <w:p w14:paraId="07ABDE31" w14:textId="6AA1D351" w:rsidR="00FE0EC5" w:rsidRPr="007D1918" w:rsidRDefault="00FE0EC5" w:rsidP="00097A59">
            <w:pPr>
              <w:spacing w:before="40" w:after="40" w:line="240" w:lineRule="auto"/>
              <w:jc w:val="both"/>
              <w:rPr>
                <w:rFonts w:ascii="Arial Narrow" w:hAnsi="Arial Narrow"/>
                <w:sz w:val="18"/>
                <w:szCs w:val="18"/>
                <w:lang w:eastAsia="en-US"/>
              </w:rPr>
            </w:pPr>
          </w:p>
        </w:tc>
        <w:tc>
          <w:tcPr>
            <w:tcW w:w="750" w:type="pct"/>
            <w:tcBorders>
              <w:top w:val="single" w:sz="4" w:space="0" w:color="auto"/>
              <w:left w:val="single" w:sz="4" w:space="0" w:color="auto"/>
              <w:bottom w:val="single" w:sz="4" w:space="0" w:color="auto"/>
              <w:right w:val="single" w:sz="4" w:space="0" w:color="auto"/>
            </w:tcBorders>
          </w:tcPr>
          <w:p w14:paraId="6777B28C" w14:textId="602EF656" w:rsidR="00097A59" w:rsidRPr="007D1918" w:rsidRDefault="00387E21" w:rsidP="00387E21">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Improvement in symptoms from baseline was only statistically significant in the PE group although there was improvement in both groups</w:t>
            </w:r>
          </w:p>
        </w:tc>
        <w:tc>
          <w:tcPr>
            <w:tcW w:w="422" w:type="pct"/>
            <w:tcBorders>
              <w:top w:val="single" w:sz="4" w:space="0" w:color="auto"/>
              <w:left w:val="single" w:sz="4" w:space="0" w:color="auto"/>
              <w:bottom w:val="single" w:sz="4" w:space="0" w:color="auto"/>
              <w:right w:val="single" w:sz="4" w:space="0" w:color="auto"/>
            </w:tcBorders>
          </w:tcPr>
          <w:p w14:paraId="7609A043" w14:textId="03791D45"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1218B9"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6A5630C2"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097A59" w:rsidRPr="007D1918" w14:paraId="6353198F" w14:textId="77777777" w:rsidTr="00EC5E62">
        <w:tc>
          <w:tcPr>
            <w:tcW w:w="609" w:type="pct"/>
            <w:tcBorders>
              <w:top w:val="single" w:sz="4" w:space="0" w:color="auto"/>
              <w:bottom w:val="single" w:sz="4" w:space="0" w:color="auto"/>
              <w:right w:val="single" w:sz="4" w:space="0" w:color="auto"/>
            </w:tcBorders>
          </w:tcPr>
          <w:p w14:paraId="7D19263A" w14:textId="02AE0268"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 xml:space="preserve">Disease stability </w:t>
            </w:r>
            <w:r w:rsidR="00FE0EC5" w:rsidRPr="007D1918">
              <w:rPr>
                <w:rFonts w:ascii="Arial Narrow" w:hAnsi="Arial Narrow" w:cs="Arial"/>
                <w:sz w:val="18"/>
                <w:szCs w:val="18"/>
              </w:rPr>
              <w:t>(mean days of intubation)</w:t>
            </w:r>
          </w:p>
          <w:p w14:paraId="3DF47CED" w14:textId="48DC7096"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28B64E79" w14:textId="7777777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n=54</w:t>
            </w:r>
          </w:p>
          <w:p w14:paraId="5242CBA9" w14:textId="5569D104"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k=2 R</w:t>
            </w:r>
            <w:r w:rsidR="005463C3" w:rsidRPr="007D1918">
              <w:rPr>
                <w:rFonts w:ascii="Arial Narrow" w:hAnsi="Arial Narrow" w:cs="Arial"/>
                <w:sz w:val="18"/>
                <w:szCs w:val="18"/>
              </w:rPr>
              <w:t xml:space="preserve">et </w:t>
            </w:r>
            <w:r w:rsidRPr="007D1918">
              <w:rPr>
                <w:rFonts w:ascii="Arial Narrow" w:hAnsi="Arial Narrow" w:cs="Arial"/>
                <w:sz w:val="18"/>
                <w:szCs w:val="18"/>
              </w:rPr>
              <w:t>CoH</w:t>
            </w:r>
          </w:p>
        </w:tc>
        <w:tc>
          <w:tcPr>
            <w:tcW w:w="661" w:type="pct"/>
            <w:tcBorders>
              <w:top w:val="single" w:sz="4" w:space="0" w:color="auto"/>
              <w:left w:val="single" w:sz="4" w:space="0" w:color="auto"/>
              <w:bottom w:val="single" w:sz="4" w:space="0" w:color="auto"/>
              <w:right w:val="single" w:sz="4" w:space="0" w:color="auto"/>
            </w:tcBorders>
          </w:tcPr>
          <w:p w14:paraId="678BF273" w14:textId="25BFFE16" w:rsidR="00097A59" w:rsidRPr="007D1918" w:rsidRDefault="001218B9" w:rsidP="00097A59">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Risk of bias: -1</w:t>
            </w:r>
            <w:r w:rsidRPr="007D1918">
              <w:rPr>
                <w:rFonts w:ascii="Arial Narrow" w:hAnsi="Arial Narrow"/>
                <w:sz w:val="18"/>
                <w:szCs w:val="18"/>
                <w:vertAlign w:val="superscript"/>
                <w:lang w:eastAsia="en-US"/>
              </w:rPr>
              <w:t>a</w:t>
            </w:r>
          </w:p>
          <w:p w14:paraId="7EE120BB"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1DB1A8E9"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43A9B99A"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6142234F" w14:textId="48215DFA" w:rsidR="00097A59" w:rsidRPr="007D1918" w:rsidRDefault="00D348A3"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097A59" w:rsidRPr="007D1918">
              <w:rPr>
                <w:rFonts w:ascii="Arial Narrow" w:hAnsi="Arial Narrow"/>
                <w:sz w:val="18"/>
                <w:szCs w:val="18"/>
                <w:lang w:eastAsia="en-US"/>
              </w:rPr>
              <w:t>:</w:t>
            </w:r>
            <w:r w:rsidRPr="007D1918">
              <w:rPr>
                <w:rFonts w:ascii="Arial Narrow" w:hAnsi="Arial Narrow"/>
                <w:sz w:val="18"/>
                <w:szCs w:val="18"/>
                <w:lang w:eastAsia="en-US"/>
              </w:rPr>
              <w:t xml:space="preserve"> </w:t>
            </w:r>
            <w:r w:rsidR="00097A59"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415169C9" w14:textId="25262507" w:rsidR="00097A59" w:rsidRPr="007D1918" w:rsidRDefault="00FE0EC5"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10 (range 7-39) – 10.3 ± 4.6</w:t>
            </w:r>
          </w:p>
        </w:tc>
        <w:tc>
          <w:tcPr>
            <w:tcW w:w="561" w:type="pct"/>
            <w:tcBorders>
              <w:top w:val="single" w:sz="4" w:space="0" w:color="auto"/>
              <w:left w:val="single" w:sz="4" w:space="0" w:color="auto"/>
              <w:bottom w:val="single" w:sz="4" w:space="0" w:color="auto"/>
              <w:right w:val="single" w:sz="4" w:space="0" w:color="auto"/>
            </w:tcBorders>
          </w:tcPr>
          <w:p w14:paraId="6B5426EC" w14:textId="339ECA87" w:rsidR="00097A59" w:rsidRPr="007D1918" w:rsidRDefault="00FE0EC5" w:rsidP="00097A59">
            <w:pPr>
              <w:spacing w:before="40" w:after="40" w:line="240" w:lineRule="auto"/>
              <w:jc w:val="both"/>
              <w:rPr>
                <w:rFonts w:ascii="Arial Narrow" w:hAnsi="Arial Narrow"/>
                <w:sz w:val="18"/>
                <w:szCs w:val="18"/>
              </w:rPr>
            </w:pPr>
            <w:r w:rsidRPr="007D1918">
              <w:rPr>
                <w:rFonts w:ascii="Arial Narrow" w:hAnsi="Arial Narrow"/>
                <w:sz w:val="18"/>
                <w:szCs w:val="18"/>
              </w:rPr>
              <w:t>8 (range 7-12) – 12 ± 11.1</w:t>
            </w:r>
          </w:p>
        </w:tc>
        <w:tc>
          <w:tcPr>
            <w:tcW w:w="471" w:type="pct"/>
            <w:tcBorders>
              <w:top w:val="single" w:sz="4" w:space="0" w:color="auto"/>
              <w:left w:val="single" w:sz="4" w:space="0" w:color="auto"/>
              <w:bottom w:val="single" w:sz="4" w:space="0" w:color="auto"/>
              <w:right w:val="single" w:sz="4" w:space="0" w:color="auto"/>
            </w:tcBorders>
          </w:tcPr>
          <w:p w14:paraId="166622F3" w14:textId="29EC71E1" w:rsidR="00097A59" w:rsidRPr="007D1918" w:rsidRDefault="003342CB"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FE0EC5" w:rsidRPr="007D1918">
              <w:rPr>
                <w:rFonts w:ascii="Arial Narrow" w:hAnsi="Arial Narrow"/>
                <w:sz w:val="18"/>
                <w:szCs w:val="18"/>
                <w:lang w:eastAsia="en-US"/>
              </w:rPr>
              <w:t>A</w:t>
            </w:r>
          </w:p>
        </w:tc>
        <w:tc>
          <w:tcPr>
            <w:tcW w:w="750" w:type="pct"/>
            <w:tcBorders>
              <w:top w:val="single" w:sz="4" w:space="0" w:color="auto"/>
              <w:left w:val="single" w:sz="4" w:space="0" w:color="auto"/>
              <w:bottom w:val="single" w:sz="4" w:space="0" w:color="auto"/>
              <w:right w:val="single" w:sz="4" w:space="0" w:color="auto"/>
            </w:tcBorders>
          </w:tcPr>
          <w:p w14:paraId="67577774" w14:textId="1A4B139F" w:rsidR="00097A59" w:rsidRPr="007D1918" w:rsidRDefault="00097A59" w:rsidP="00387E21">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There was no difference in the </w:t>
            </w:r>
            <w:r w:rsidR="00387E21" w:rsidRPr="007D1918">
              <w:rPr>
                <w:rFonts w:ascii="Arial Narrow" w:hAnsi="Arial Narrow"/>
                <w:sz w:val="18"/>
                <w:szCs w:val="18"/>
                <w:lang w:eastAsia="en-US"/>
              </w:rPr>
              <w:t>disease stability measured</w:t>
            </w:r>
            <w:r w:rsidRPr="007D1918">
              <w:rPr>
                <w:rFonts w:ascii="Arial Narrow" w:hAnsi="Arial Narrow"/>
                <w:sz w:val="18"/>
                <w:szCs w:val="18"/>
                <w:lang w:eastAsia="en-US"/>
              </w:rPr>
              <w:t xml:space="preserve"> between groups</w:t>
            </w:r>
          </w:p>
        </w:tc>
        <w:tc>
          <w:tcPr>
            <w:tcW w:w="422" w:type="pct"/>
            <w:tcBorders>
              <w:top w:val="single" w:sz="4" w:space="0" w:color="auto"/>
              <w:left w:val="single" w:sz="4" w:space="0" w:color="auto"/>
              <w:bottom w:val="single" w:sz="4" w:space="0" w:color="auto"/>
              <w:right w:val="single" w:sz="4" w:space="0" w:color="auto"/>
            </w:tcBorders>
          </w:tcPr>
          <w:p w14:paraId="218E794E" w14:textId="2242B081" w:rsidR="00097A59" w:rsidRPr="007D1918" w:rsidRDefault="00097A59" w:rsidP="00097A59">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001218B9"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71D068D8"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097A59" w:rsidRPr="007D1918" w14:paraId="65CCA1DA" w14:textId="77777777" w:rsidTr="00EC5E62">
        <w:tc>
          <w:tcPr>
            <w:tcW w:w="609" w:type="pct"/>
            <w:tcBorders>
              <w:top w:val="single" w:sz="4" w:space="0" w:color="auto"/>
              <w:bottom w:val="single" w:sz="4" w:space="0" w:color="auto"/>
              <w:right w:val="single" w:sz="4" w:space="0" w:color="auto"/>
            </w:tcBorders>
          </w:tcPr>
          <w:p w14:paraId="3A3EF623" w14:textId="689EF4DE"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Time to treatment response</w:t>
            </w:r>
            <w:r w:rsidR="00FE0EC5" w:rsidRPr="007D1918">
              <w:rPr>
                <w:rFonts w:ascii="Arial Narrow" w:hAnsi="Arial Narrow" w:cs="Arial"/>
                <w:sz w:val="18"/>
                <w:szCs w:val="18"/>
              </w:rPr>
              <w:t xml:space="preserve"> (median days to response)</w:t>
            </w:r>
          </w:p>
          <w:p w14:paraId="7589DE1D" w14:textId="1C756A1E"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IVIg v PE</w:t>
            </w:r>
          </w:p>
        </w:tc>
        <w:tc>
          <w:tcPr>
            <w:tcW w:w="514" w:type="pct"/>
            <w:tcBorders>
              <w:top w:val="single" w:sz="4" w:space="0" w:color="auto"/>
              <w:left w:val="single" w:sz="4" w:space="0" w:color="auto"/>
              <w:bottom w:val="single" w:sz="4" w:space="0" w:color="auto"/>
              <w:right w:val="single" w:sz="4" w:space="0" w:color="auto"/>
            </w:tcBorders>
          </w:tcPr>
          <w:p w14:paraId="2A171551" w14:textId="77777777"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n=87</w:t>
            </w:r>
          </w:p>
          <w:p w14:paraId="36CE1471" w14:textId="52999A98" w:rsidR="00097A59" w:rsidRPr="007D1918" w:rsidRDefault="00097A59" w:rsidP="00097A59">
            <w:pPr>
              <w:spacing w:before="40" w:after="40" w:line="240" w:lineRule="auto"/>
              <w:rPr>
                <w:rFonts w:ascii="Arial Narrow" w:hAnsi="Arial Narrow" w:cs="Arial"/>
                <w:sz w:val="18"/>
                <w:szCs w:val="18"/>
              </w:rPr>
            </w:pPr>
            <w:r w:rsidRPr="007D1918">
              <w:rPr>
                <w:rFonts w:ascii="Arial Narrow" w:hAnsi="Arial Narrow" w:cs="Arial"/>
                <w:sz w:val="18"/>
                <w:szCs w:val="18"/>
              </w:rPr>
              <w:t>k=1 RCT</w:t>
            </w:r>
          </w:p>
        </w:tc>
        <w:tc>
          <w:tcPr>
            <w:tcW w:w="661" w:type="pct"/>
            <w:tcBorders>
              <w:top w:val="single" w:sz="4" w:space="0" w:color="auto"/>
              <w:left w:val="single" w:sz="4" w:space="0" w:color="auto"/>
              <w:bottom w:val="single" w:sz="4" w:space="0" w:color="auto"/>
              <w:right w:val="single" w:sz="4" w:space="0" w:color="auto"/>
            </w:tcBorders>
          </w:tcPr>
          <w:p w14:paraId="1AF2FE6E"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0</w:t>
            </w:r>
          </w:p>
          <w:p w14:paraId="77179175"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5E342AFD"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126224EC"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5A2F329F" w14:textId="5914789A" w:rsidR="00097A59" w:rsidRPr="007D1918" w:rsidRDefault="00D348A3"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097A59" w:rsidRPr="007D1918">
              <w:rPr>
                <w:rFonts w:ascii="Arial Narrow" w:hAnsi="Arial Narrow"/>
                <w:sz w:val="18"/>
                <w:szCs w:val="18"/>
                <w:lang w:eastAsia="en-US"/>
              </w:rPr>
              <w:t>:</w:t>
            </w:r>
            <w:r w:rsidRPr="007D1918">
              <w:rPr>
                <w:rFonts w:ascii="Arial Narrow" w:hAnsi="Arial Narrow"/>
                <w:sz w:val="18"/>
                <w:szCs w:val="18"/>
                <w:lang w:eastAsia="en-US"/>
              </w:rPr>
              <w:t xml:space="preserve"> </w:t>
            </w:r>
            <w:r w:rsidR="00097A59"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5FB5E323" w14:textId="6D702D41" w:rsidR="00097A59" w:rsidRPr="007D1918" w:rsidRDefault="00FE0EC5"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rPr>
              <w:t>15</w:t>
            </w:r>
          </w:p>
        </w:tc>
        <w:tc>
          <w:tcPr>
            <w:tcW w:w="561" w:type="pct"/>
            <w:tcBorders>
              <w:top w:val="single" w:sz="4" w:space="0" w:color="auto"/>
              <w:left w:val="single" w:sz="4" w:space="0" w:color="auto"/>
              <w:bottom w:val="single" w:sz="4" w:space="0" w:color="auto"/>
              <w:right w:val="single" w:sz="4" w:space="0" w:color="auto"/>
            </w:tcBorders>
          </w:tcPr>
          <w:p w14:paraId="5FD7ACB3" w14:textId="1FA47179" w:rsidR="00097A59" w:rsidRPr="007D1918" w:rsidRDefault="00FE0EC5" w:rsidP="00097A59">
            <w:pPr>
              <w:spacing w:before="40" w:after="40" w:line="240" w:lineRule="auto"/>
              <w:jc w:val="both"/>
              <w:rPr>
                <w:rFonts w:ascii="Arial Narrow" w:hAnsi="Arial Narrow"/>
                <w:sz w:val="18"/>
                <w:szCs w:val="18"/>
              </w:rPr>
            </w:pPr>
            <w:r w:rsidRPr="007D1918">
              <w:rPr>
                <w:rFonts w:ascii="Arial Narrow" w:hAnsi="Arial Narrow"/>
                <w:sz w:val="18"/>
                <w:szCs w:val="18"/>
              </w:rPr>
              <w:t>9</w:t>
            </w:r>
          </w:p>
        </w:tc>
        <w:tc>
          <w:tcPr>
            <w:tcW w:w="471" w:type="pct"/>
            <w:tcBorders>
              <w:top w:val="single" w:sz="4" w:space="0" w:color="auto"/>
              <w:left w:val="single" w:sz="4" w:space="0" w:color="auto"/>
              <w:bottom w:val="single" w:sz="4" w:space="0" w:color="auto"/>
              <w:right w:val="single" w:sz="4" w:space="0" w:color="auto"/>
            </w:tcBorders>
          </w:tcPr>
          <w:p w14:paraId="188E73BC" w14:textId="270A83A4" w:rsidR="00097A59" w:rsidRPr="007D1918" w:rsidRDefault="001218B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RR = 0.67</w:t>
            </w:r>
          </w:p>
          <w:p w14:paraId="4B5DFA46" w14:textId="2C0D91A4" w:rsidR="001218B9" w:rsidRPr="007D1918" w:rsidRDefault="00627721"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95% CI</w:t>
            </w:r>
            <w:r w:rsidR="001218B9" w:rsidRPr="007D1918">
              <w:rPr>
                <w:rFonts w:ascii="Arial Narrow" w:hAnsi="Arial Narrow"/>
                <w:sz w:val="18"/>
                <w:szCs w:val="18"/>
                <w:lang w:eastAsia="en-US"/>
              </w:rPr>
              <w:t xml:space="preserve"> 0.38, 1.18</w:t>
            </w:r>
          </w:p>
          <w:p w14:paraId="700939F3" w14:textId="551879EE" w:rsidR="001218B9" w:rsidRPr="007D1918" w:rsidRDefault="001218B9" w:rsidP="00097A59">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0.14</w:t>
            </w:r>
          </w:p>
        </w:tc>
        <w:tc>
          <w:tcPr>
            <w:tcW w:w="750" w:type="pct"/>
            <w:tcBorders>
              <w:top w:val="single" w:sz="4" w:space="0" w:color="auto"/>
              <w:left w:val="single" w:sz="4" w:space="0" w:color="auto"/>
              <w:bottom w:val="single" w:sz="4" w:space="0" w:color="auto"/>
              <w:right w:val="single" w:sz="4" w:space="0" w:color="auto"/>
            </w:tcBorders>
          </w:tcPr>
          <w:p w14:paraId="2D0100D6" w14:textId="4305C712" w:rsidR="00097A59" w:rsidRPr="007D1918" w:rsidRDefault="00387E21" w:rsidP="00E900A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Time to treatment favoured PE but </w:t>
            </w:r>
            <w:r w:rsidR="00E900AC" w:rsidRPr="007D1918">
              <w:rPr>
                <w:rFonts w:ascii="Arial Narrow" w:hAnsi="Arial Narrow"/>
                <w:sz w:val="18"/>
                <w:szCs w:val="18"/>
                <w:lang w:eastAsia="en-US"/>
              </w:rPr>
              <w:t xml:space="preserve">the difference </w:t>
            </w:r>
            <w:r w:rsidRPr="007D1918">
              <w:rPr>
                <w:rFonts w:ascii="Arial Narrow" w:hAnsi="Arial Narrow"/>
                <w:sz w:val="18"/>
                <w:szCs w:val="18"/>
                <w:lang w:eastAsia="en-US"/>
              </w:rPr>
              <w:t>was not statistically significant</w:t>
            </w:r>
          </w:p>
        </w:tc>
        <w:tc>
          <w:tcPr>
            <w:tcW w:w="422" w:type="pct"/>
            <w:tcBorders>
              <w:top w:val="single" w:sz="4" w:space="0" w:color="auto"/>
              <w:left w:val="single" w:sz="4" w:space="0" w:color="auto"/>
              <w:bottom w:val="single" w:sz="4" w:space="0" w:color="auto"/>
              <w:right w:val="single" w:sz="4" w:space="0" w:color="auto"/>
            </w:tcBorders>
          </w:tcPr>
          <w:p w14:paraId="1A89D867" w14:textId="079C1B59" w:rsidR="00097A59" w:rsidRPr="007D1918" w:rsidRDefault="00097A59" w:rsidP="00097A59">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001218B9"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353FA5E9" w14:textId="77777777" w:rsidR="00097A59" w:rsidRPr="007D1918" w:rsidRDefault="00097A59" w:rsidP="00097A59">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097A59" w:rsidRPr="007D1918" w14:paraId="63C629D3" w14:textId="77777777" w:rsidTr="00097A59">
        <w:tc>
          <w:tcPr>
            <w:tcW w:w="5000" w:type="pct"/>
            <w:gridSpan w:val="9"/>
            <w:tcBorders>
              <w:top w:val="single" w:sz="4" w:space="0" w:color="auto"/>
              <w:left w:val="nil"/>
              <w:bottom w:val="single" w:sz="12" w:space="0" w:color="000000"/>
              <w:right w:val="nil"/>
            </w:tcBorders>
            <w:tcMar>
              <w:top w:w="15" w:type="dxa"/>
              <w:left w:w="15" w:type="dxa"/>
              <w:bottom w:w="15" w:type="dxa"/>
              <w:right w:w="15" w:type="dxa"/>
            </w:tcMar>
            <w:vAlign w:val="center"/>
            <w:hideMark/>
          </w:tcPr>
          <w:p w14:paraId="3C60AC7E" w14:textId="6F5719AE" w:rsidR="00097A59" w:rsidRPr="007D1918" w:rsidRDefault="00097A59" w:rsidP="00097A5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443F6B81" w14:textId="3B09FCE9" w:rsidR="00097A59" w:rsidRPr="007D1918" w:rsidRDefault="00097A59" w:rsidP="004C15D0">
      <w:pPr>
        <w:pStyle w:val="Tablenotes0"/>
        <w:spacing w:after="80"/>
        <w:contextualSpacing w:val="0"/>
      </w:pPr>
      <w:r w:rsidRPr="007D1918">
        <w:lastRenderedPageBreak/>
        <w:t xml:space="preserve">IVIg = intravenous immunoglobulin therapy; MG = </w:t>
      </w:r>
      <w:r w:rsidR="00A514E5" w:rsidRPr="007D1918">
        <w:t>myasthenia</w:t>
      </w:r>
      <w:r w:rsidRPr="007D1918">
        <w:t xml:space="preserve"> gravis; </w:t>
      </w:r>
      <w:r w:rsidR="00A514E5" w:rsidRPr="007D1918">
        <w:t xml:space="preserve">MMS = myasthenia muscle score; MSS = myasthenia severity scale; </w:t>
      </w:r>
      <w:r w:rsidR="003342CB" w:rsidRPr="007D1918">
        <w:t>N</w:t>
      </w:r>
      <w:r w:rsidR="006948DE" w:rsidRPr="007D1918">
        <w:t xml:space="preserve">A = not applicable; </w:t>
      </w:r>
      <w:r w:rsidRPr="007D1918">
        <w:t>PE = plasma exchange therapy; R</w:t>
      </w:r>
      <w:r w:rsidR="00773DFA" w:rsidRPr="007D1918">
        <w:t xml:space="preserve">et </w:t>
      </w:r>
      <w:r w:rsidRPr="007D1918">
        <w:t xml:space="preserve">CoH = retrospective cohort study; RCT = randomised controlled trial; </w:t>
      </w:r>
      <w:r w:rsidR="00E900AC" w:rsidRPr="007D1918">
        <w:t>RR = relative risk</w:t>
      </w:r>
    </w:p>
    <w:p w14:paraId="500C0443" w14:textId="77777777" w:rsidR="00097A59" w:rsidRPr="007D1918" w:rsidRDefault="00097A59" w:rsidP="00097A59">
      <w:pPr>
        <w:pStyle w:val="Tablenotes0"/>
      </w:pPr>
      <w:r w:rsidRPr="007D1918">
        <w:rPr>
          <w:vertAlign w:val="superscript"/>
        </w:rPr>
        <w:t>a</w:t>
      </w:r>
      <w:r w:rsidRPr="007D1918">
        <w:t xml:space="preserve"> Selection bias could not be ruled out</w:t>
      </w:r>
    </w:p>
    <w:p w14:paraId="7209F19F" w14:textId="502B3340" w:rsidR="00426421" w:rsidRPr="007D1918" w:rsidRDefault="00426421" w:rsidP="00097A59">
      <w:pPr>
        <w:pStyle w:val="Tablenotes0"/>
      </w:pPr>
      <w:r w:rsidRPr="007D1918">
        <w:rPr>
          <w:vertAlign w:val="superscript"/>
        </w:rPr>
        <w:t>b</w:t>
      </w:r>
      <w:r w:rsidRPr="007D1918">
        <w:t xml:space="preserve"> Direction of results was inconsistent across studies</w:t>
      </w:r>
    </w:p>
    <w:p w14:paraId="28ECD17D" w14:textId="1FB0C945" w:rsidR="00426421" w:rsidRPr="007D1918" w:rsidRDefault="00426421" w:rsidP="00097A59">
      <w:pPr>
        <w:pStyle w:val="Tablenotes0"/>
        <w:rPr>
          <w:rStyle w:val="note-text"/>
          <w:vertAlign w:val="superscript"/>
        </w:rPr>
      </w:pPr>
      <w:r w:rsidRPr="007D1918">
        <w:rPr>
          <w:rStyle w:val="note-text"/>
          <w:vertAlign w:val="superscript"/>
        </w:rPr>
        <w:t xml:space="preserve">c </w:t>
      </w:r>
      <w:r w:rsidRPr="007D1918">
        <w:rPr>
          <w:rStyle w:val="note-text"/>
        </w:rPr>
        <w:t>Description of event varied between studies</w:t>
      </w:r>
    </w:p>
    <w:bookmarkEnd w:id="615"/>
    <w:p w14:paraId="61376EFA" w14:textId="77777777" w:rsidR="005C4C24" w:rsidRPr="007D1918" w:rsidRDefault="005C4C24" w:rsidP="00044AD6">
      <w:pPr>
        <w:spacing w:after="0"/>
      </w:pPr>
    </w:p>
    <w:p w14:paraId="4436F755" w14:textId="666552AC" w:rsidR="005C4C24" w:rsidRPr="007D1918" w:rsidRDefault="005C4C24" w:rsidP="005C4C24">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pPr>
      <w:bookmarkStart w:id="616" w:name="_Toc23769594"/>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107</w:t>
      </w:r>
      <w:r w:rsidRPr="007D1918">
        <w:rPr>
          <w:noProof/>
        </w:rPr>
        <w:fldChar w:fldCharType="end"/>
      </w:r>
      <w:r w:rsidRPr="007D1918">
        <w:tab/>
      </w:r>
      <w:r w:rsidR="00FE572F" w:rsidRPr="007D1918">
        <w:t>Effectiveness</w:t>
      </w:r>
      <w:r w:rsidRPr="007D1918">
        <w:t xml:space="preserve"> evidence profile table for IVIg in MG patients preparing for surgery (</w:t>
      </w:r>
      <w:r w:rsidR="0088065E" w:rsidRPr="007D1918">
        <w:rPr>
          <w:i/>
        </w:rPr>
        <w:t>Criteria V3</w:t>
      </w:r>
      <w:r w:rsidR="0088065E" w:rsidRPr="007D1918">
        <w:t xml:space="preserve"> </w:t>
      </w:r>
      <w:r w:rsidRPr="007D1918">
        <w:t>Indication 2)</w:t>
      </w:r>
      <w:bookmarkEnd w:id="616"/>
    </w:p>
    <w:tbl>
      <w:tblPr>
        <w:tblW w:w="5000" w:type="pct"/>
        <w:tblLook w:val="04A0" w:firstRow="1" w:lastRow="0" w:firstColumn="1" w:lastColumn="0" w:noHBand="0" w:noVBand="1"/>
        <w:tblCaption w:val="Table 64 Effectiveness evidence profile table for IVIg in MG patients preparing for surgery (Criteria V3 Indication 2)"/>
        <w:tblDescription w:val="GRADE effectiveness profile for Indication 2."/>
      </w:tblPr>
      <w:tblGrid>
        <w:gridCol w:w="1845"/>
        <w:gridCol w:w="1556"/>
        <w:gridCol w:w="2001"/>
        <w:gridCol w:w="1698"/>
        <w:gridCol w:w="1698"/>
        <w:gridCol w:w="1426"/>
        <w:gridCol w:w="2270"/>
        <w:gridCol w:w="1277"/>
        <w:gridCol w:w="1365"/>
      </w:tblGrid>
      <w:tr w:rsidR="005C4C24" w:rsidRPr="007D1918" w14:paraId="2882B9BC" w14:textId="77777777" w:rsidTr="00300091">
        <w:tc>
          <w:tcPr>
            <w:tcW w:w="5000" w:type="pct"/>
            <w:gridSpan w:val="9"/>
            <w:tcBorders>
              <w:top w:val="single" w:sz="12" w:space="0" w:color="000000"/>
              <w:left w:val="nil"/>
              <w:bottom w:val="single" w:sz="12" w:space="0" w:color="000000"/>
              <w:right w:val="nil"/>
            </w:tcBorders>
            <w:shd w:val="clear" w:color="auto" w:fill="FFFFFF" w:themeFill="background1"/>
            <w:tcMar>
              <w:top w:w="45" w:type="dxa"/>
              <w:left w:w="45" w:type="dxa"/>
              <w:bottom w:w="45" w:type="dxa"/>
              <w:right w:w="45" w:type="dxa"/>
            </w:tcMar>
            <w:vAlign w:val="center"/>
            <w:hideMark/>
          </w:tcPr>
          <w:p w14:paraId="0BBB4968" w14:textId="020104AC" w:rsidR="005C4C24" w:rsidRPr="007D1918" w:rsidRDefault="005C4C24" w:rsidP="00BF22B6">
            <w:pPr>
              <w:spacing w:before="40" w:after="40" w:line="240" w:lineRule="auto"/>
              <w:rPr>
                <w:rFonts w:ascii="Arial Narrow" w:hAnsi="Arial Narrow"/>
                <w:sz w:val="20"/>
                <w:szCs w:val="20"/>
                <w:lang w:eastAsia="en-US"/>
              </w:rPr>
            </w:pPr>
            <w:r w:rsidRPr="007D1918">
              <w:rPr>
                <w:rFonts w:ascii="Arial Narrow" w:hAnsi="Arial Narrow"/>
                <w:b/>
                <w:bCs/>
                <w:sz w:val="20"/>
                <w:szCs w:val="20"/>
                <w:lang w:eastAsia="en-US"/>
              </w:rPr>
              <w:t xml:space="preserve">Question: </w:t>
            </w:r>
            <w:r w:rsidRPr="007D1918">
              <w:rPr>
                <w:rFonts w:ascii="Arial Narrow" w:hAnsi="Arial Narrow"/>
                <w:bCs/>
                <w:sz w:val="20"/>
                <w:szCs w:val="20"/>
                <w:lang w:eastAsia="en-US"/>
              </w:rPr>
              <w:t xml:space="preserve">How </w:t>
            </w:r>
            <w:r w:rsidR="00FE572F" w:rsidRPr="007D1918">
              <w:rPr>
                <w:rFonts w:ascii="Arial Narrow" w:hAnsi="Arial Narrow"/>
                <w:bCs/>
                <w:sz w:val="20"/>
                <w:szCs w:val="20"/>
                <w:lang w:eastAsia="en-US"/>
              </w:rPr>
              <w:t>effective</w:t>
            </w:r>
            <w:r w:rsidRPr="007D1918">
              <w:rPr>
                <w:rFonts w:ascii="Arial Narrow" w:hAnsi="Arial Narrow"/>
                <w:bCs/>
                <w:sz w:val="20"/>
                <w:szCs w:val="20"/>
                <w:lang w:eastAsia="en-US"/>
              </w:rPr>
              <w:t xml:space="preserve"> is</w:t>
            </w:r>
            <w:r w:rsidRPr="007D1918">
              <w:rPr>
                <w:rFonts w:ascii="Arial Narrow" w:hAnsi="Arial Narrow"/>
                <w:b/>
                <w:bCs/>
                <w:sz w:val="20"/>
                <w:szCs w:val="20"/>
                <w:lang w:eastAsia="en-US"/>
              </w:rPr>
              <w:t xml:space="preserve"> </w:t>
            </w:r>
            <w:r w:rsidRPr="007D1918">
              <w:rPr>
                <w:rFonts w:ascii="Arial Narrow" w:hAnsi="Arial Narrow"/>
                <w:sz w:val="20"/>
                <w:szCs w:val="20"/>
                <w:lang w:eastAsia="en-US"/>
              </w:rPr>
              <w:t xml:space="preserve">IVIg for patients with MG? </w:t>
            </w:r>
          </w:p>
          <w:p w14:paraId="2AFBBFDF" w14:textId="77777777" w:rsidR="005C4C24" w:rsidRPr="007D1918" w:rsidRDefault="005C4C24" w:rsidP="00BF22B6">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Patient or population: P</w:t>
            </w:r>
            <w:r w:rsidRPr="007D1918">
              <w:rPr>
                <w:rFonts w:ascii="Arial Narrow" w:hAnsi="Arial Narrow"/>
                <w:sz w:val="20"/>
                <w:szCs w:val="20"/>
                <w:lang w:eastAsia="en-US"/>
              </w:rPr>
              <w:t>atients with moderate to severe MG preparing for surgery</w:t>
            </w:r>
          </w:p>
          <w:p w14:paraId="16FCA47B" w14:textId="77777777" w:rsidR="005C4C24" w:rsidRPr="007D1918" w:rsidRDefault="005C4C24" w:rsidP="00BF22B6">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Intervention:</w:t>
            </w:r>
            <w:r w:rsidRPr="007D1918">
              <w:rPr>
                <w:rFonts w:ascii="Arial Narrow" w:hAnsi="Arial Narrow"/>
                <w:sz w:val="20"/>
                <w:szCs w:val="20"/>
                <w:lang w:eastAsia="en-US"/>
              </w:rPr>
              <w:t xml:space="preserve"> IVIg</w:t>
            </w:r>
          </w:p>
          <w:p w14:paraId="753ECDAF" w14:textId="77777777" w:rsidR="005C4C24" w:rsidRPr="007D1918" w:rsidRDefault="005C4C24" w:rsidP="00BF22B6">
            <w:pPr>
              <w:spacing w:before="40" w:after="40" w:line="240" w:lineRule="auto"/>
              <w:ind w:left="806" w:hanging="806"/>
              <w:rPr>
                <w:rFonts w:ascii="Arial Narrow" w:hAnsi="Arial Narrow"/>
                <w:b/>
                <w:bCs/>
                <w:sz w:val="20"/>
                <w:szCs w:val="20"/>
                <w:lang w:eastAsia="en-US"/>
              </w:rPr>
            </w:pPr>
            <w:r w:rsidRPr="007D1918">
              <w:rPr>
                <w:rFonts w:ascii="Arial Narrow" w:hAnsi="Arial Narrow"/>
                <w:b/>
                <w:bCs/>
                <w:sz w:val="20"/>
                <w:szCs w:val="20"/>
                <w:lang w:eastAsia="en-US"/>
              </w:rPr>
              <w:t xml:space="preserve">Comparison: </w:t>
            </w:r>
            <w:r w:rsidRPr="007D1918">
              <w:rPr>
                <w:rFonts w:ascii="Arial Narrow" w:hAnsi="Arial Narrow"/>
                <w:bCs/>
                <w:sz w:val="20"/>
                <w:szCs w:val="20"/>
                <w:lang w:eastAsia="en-US"/>
              </w:rPr>
              <w:t>PE</w:t>
            </w:r>
          </w:p>
          <w:p w14:paraId="0565ABF6" w14:textId="11D323A9" w:rsidR="005C4C24" w:rsidRPr="007D1918" w:rsidRDefault="005C4C24" w:rsidP="007D4948">
            <w:pPr>
              <w:spacing w:before="40" w:after="40" w:line="240" w:lineRule="auto"/>
              <w:jc w:val="both"/>
              <w:rPr>
                <w:rFonts w:ascii="Arial Narrow" w:hAnsi="Arial Narrow"/>
                <w:b/>
                <w:bCs/>
                <w:sz w:val="20"/>
                <w:szCs w:val="20"/>
                <w:lang w:eastAsia="en-US"/>
              </w:rPr>
            </w:pPr>
            <w:r w:rsidRPr="007D1918">
              <w:rPr>
                <w:rFonts w:ascii="Arial Narrow" w:hAnsi="Arial Narrow"/>
                <w:b/>
                <w:bCs/>
                <w:sz w:val="20"/>
                <w:szCs w:val="20"/>
                <w:lang w:eastAsia="en-US"/>
              </w:rPr>
              <w:t xml:space="preserve">Author(s): </w:t>
            </w:r>
            <w:r w:rsidR="003736AC" w:rsidRPr="007D1918">
              <w:rPr>
                <w:rFonts w:ascii="Arial Narrow" w:hAnsi="Arial Narrow"/>
                <w:b/>
                <w:bCs/>
                <w:sz w:val="20"/>
                <w:szCs w:val="20"/>
                <w:lang w:eastAsia="en-US"/>
              </w:rPr>
              <w:fldChar w:fldCharType="begin">
                <w:fldData xml:space="preserve">PEVuZE5vdGU+PENpdGU+PEF1dGhvcj5BbGlwb3VyLUZhejwvQXV0aG9yPjxZZWFyPjIwMTc8L1ll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</w:fldData>
              </w:fldChar>
            </w:r>
            <w:r w:rsidR="00C437BA" w:rsidRPr="007D1918">
              <w:rPr>
                <w:rFonts w:ascii="Arial Narrow" w:hAnsi="Arial Narrow"/>
                <w:b/>
                <w:bCs/>
                <w:sz w:val="20"/>
                <w:szCs w:val="20"/>
                <w:lang w:eastAsia="en-US"/>
              </w:rPr>
              <w:instrText xml:space="preserve"> ADDIN EN.CITE </w:instrText>
            </w:r>
            <w:r w:rsidR="00C437BA" w:rsidRPr="007D1918">
              <w:rPr>
                <w:rFonts w:ascii="Arial Narrow" w:hAnsi="Arial Narrow"/>
                <w:b/>
                <w:bCs/>
                <w:sz w:val="20"/>
                <w:szCs w:val="20"/>
                <w:lang w:eastAsia="en-US"/>
              </w:rPr>
              <w:fldChar w:fldCharType="begin">
                <w:fldData xml:space="preserve">PEVuZE5vdGU+PENpdGU+PEF1dGhvcj5BbGlwb3VyLUZhejwvQXV0aG9yPjxZZWFyPjIwMTc8L1ll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</w:fldData>
              </w:fldChar>
            </w:r>
            <w:r w:rsidR="00C437BA" w:rsidRPr="007D1918">
              <w:rPr>
                <w:rFonts w:ascii="Arial Narrow" w:hAnsi="Arial Narrow"/>
                <w:b/>
                <w:bCs/>
                <w:sz w:val="20"/>
                <w:szCs w:val="20"/>
                <w:lang w:eastAsia="en-US"/>
              </w:rPr>
              <w:instrText xml:space="preserve"> ADDIN EN.CITE.DATA </w:instrText>
            </w:r>
            <w:r w:rsidR="00C437BA" w:rsidRPr="007D1918">
              <w:rPr>
                <w:rFonts w:ascii="Arial Narrow" w:hAnsi="Arial Narrow"/>
                <w:b/>
                <w:bCs/>
                <w:sz w:val="20"/>
                <w:szCs w:val="20"/>
                <w:lang w:eastAsia="en-US"/>
              </w:rPr>
            </w:r>
            <w:r w:rsidR="00C437BA" w:rsidRPr="007D1918">
              <w:rPr>
                <w:rFonts w:ascii="Arial Narrow" w:hAnsi="Arial Narrow"/>
                <w:b/>
                <w:bCs/>
                <w:sz w:val="20"/>
                <w:szCs w:val="20"/>
                <w:lang w:eastAsia="en-US"/>
              </w:rPr>
              <w:fldChar w:fldCharType="end"/>
            </w:r>
            <w:r w:rsidR="003736AC" w:rsidRPr="007D1918">
              <w:rPr>
                <w:rFonts w:ascii="Arial Narrow" w:hAnsi="Arial Narrow"/>
                <w:b/>
                <w:bCs/>
                <w:sz w:val="20"/>
                <w:szCs w:val="20"/>
                <w:lang w:eastAsia="en-US"/>
              </w:rPr>
            </w:r>
            <w:r w:rsidR="003736AC" w:rsidRPr="007D1918">
              <w:rPr>
                <w:rFonts w:ascii="Arial Narrow" w:hAnsi="Arial Narrow"/>
                <w:b/>
                <w:bCs/>
                <w:sz w:val="20"/>
                <w:szCs w:val="20"/>
                <w:lang w:eastAsia="en-US"/>
              </w:rPr>
              <w:fldChar w:fldCharType="separate"/>
            </w:r>
            <w:r w:rsidR="003736AC" w:rsidRPr="007D1918">
              <w:rPr>
                <w:rFonts w:ascii="Arial Narrow" w:hAnsi="Arial Narrow"/>
                <w:b/>
                <w:bCs/>
                <w:noProof/>
                <w:sz w:val="20"/>
                <w:szCs w:val="20"/>
                <w:lang w:eastAsia="en-US"/>
              </w:rPr>
              <w:t>(</w:t>
            </w:r>
            <w:hyperlink w:anchor="_ENREF_4" w:tooltip="Alipour-Faz, 2017 #64" w:history="1">
              <w:r w:rsidR="007D4948" w:rsidRPr="007D1918">
                <w:rPr>
                  <w:rFonts w:ascii="Arial Narrow" w:hAnsi="Arial Narrow"/>
                  <w:b/>
                  <w:bCs/>
                  <w:noProof/>
                  <w:sz w:val="20"/>
                  <w:szCs w:val="20"/>
                  <w:lang w:eastAsia="en-US"/>
                </w:rPr>
                <w:t>Alipour-Faz et al. 2017</w:t>
              </w:r>
            </w:hyperlink>
            <w:r w:rsidR="003736AC" w:rsidRPr="007D1918">
              <w:rPr>
                <w:rFonts w:ascii="Arial Narrow" w:hAnsi="Arial Narrow"/>
                <w:b/>
                <w:bCs/>
                <w:noProof/>
                <w:sz w:val="20"/>
                <w:szCs w:val="20"/>
                <w:lang w:eastAsia="en-US"/>
              </w:rPr>
              <w:t xml:space="preserve">; </w:t>
            </w:r>
            <w:hyperlink w:anchor="_ENREF_56" w:tooltip="Jensen, 2008 #13" w:history="1">
              <w:r w:rsidR="007D4948" w:rsidRPr="007D1918">
                <w:rPr>
                  <w:rFonts w:ascii="Arial Narrow" w:hAnsi="Arial Narrow"/>
                  <w:b/>
                  <w:bCs/>
                  <w:noProof/>
                  <w:sz w:val="20"/>
                  <w:szCs w:val="20"/>
                  <w:lang w:eastAsia="en-US"/>
                </w:rPr>
                <w:t>Jensen &amp; Bril 2008</w:t>
              </w:r>
            </w:hyperlink>
            <w:r w:rsidR="003736AC" w:rsidRPr="007D1918">
              <w:rPr>
                <w:rFonts w:ascii="Arial Narrow" w:hAnsi="Arial Narrow"/>
                <w:b/>
                <w:bCs/>
                <w:noProof/>
                <w:sz w:val="20"/>
                <w:szCs w:val="20"/>
                <w:lang w:eastAsia="en-US"/>
              </w:rPr>
              <w:t>)</w:t>
            </w:r>
            <w:r w:rsidR="003736AC" w:rsidRPr="007D1918">
              <w:rPr>
                <w:rFonts w:ascii="Arial Narrow" w:hAnsi="Arial Narrow"/>
                <w:b/>
                <w:bCs/>
                <w:sz w:val="20"/>
                <w:szCs w:val="20"/>
                <w:lang w:eastAsia="en-US"/>
              </w:rPr>
              <w:fldChar w:fldCharType="end"/>
            </w:r>
          </w:p>
        </w:tc>
      </w:tr>
      <w:tr w:rsidR="005C4C24" w:rsidRPr="007D1918" w14:paraId="66B9AF08" w14:textId="77777777" w:rsidTr="00BF22B6">
        <w:tc>
          <w:tcPr>
            <w:tcW w:w="5000" w:type="pct"/>
            <w:gridSpan w:val="9"/>
            <w:tcBorders>
              <w:top w:val="single" w:sz="12" w:space="0" w:color="000000"/>
              <w:left w:val="nil"/>
              <w:bottom w:val="single" w:sz="4" w:space="0" w:color="auto"/>
              <w:right w:val="nil"/>
            </w:tcBorders>
            <w:tcMar>
              <w:top w:w="45" w:type="dxa"/>
              <w:left w:w="45" w:type="dxa"/>
              <w:bottom w:w="45" w:type="dxa"/>
              <w:right w:w="45" w:type="dxa"/>
            </w:tcMar>
            <w:vAlign w:val="center"/>
          </w:tcPr>
          <w:p w14:paraId="3A1C3212" w14:textId="77777777" w:rsidR="005C4C24" w:rsidRPr="007D1918" w:rsidRDefault="005C4C24" w:rsidP="00BF22B6">
            <w:pPr>
              <w:spacing w:before="40" w:after="40" w:line="240" w:lineRule="auto"/>
              <w:jc w:val="both"/>
              <w:rPr>
                <w:rFonts w:ascii="Arial Narrow" w:hAnsi="Arial Narrow"/>
                <w:b/>
                <w:bCs/>
                <w:sz w:val="16"/>
                <w:szCs w:val="16"/>
                <w:lang w:eastAsia="en-US"/>
              </w:rPr>
            </w:pPr>
          </w:p>
        </w:tc>
      </w:tr>
      <w:tr w:rsidR="005C4C24" w:rsidRPr="007D1918" w14:paraId="2747D5DE" w14:textId="77777777" w:rsidTr="00300091">
        <w:trPr>
          <w:trHeight w:val="60"/>
          <w:tblHeader/>
        </w:trPr>
        <w:tc>
          <w:tcPr>
            <w:tcW w:w="1784" w:type="pct"/>
            <w:gridSpan w:val="3"/>
            <w:tcBorders>
              <w:top w:val="single" w:sz="4" w:space="0" w:color="auto"/>
              <w:bottom w:val="single" w:sz="4" w:space="0" w:color="auto"/>
              <w:right w:val="single" w:sz="4" w:space="0" w:color="auto"/>
            </w:tcBorders>
            <w:shd w:val="clear" w:color="auto" w:fill="EEECE1" w:themeFill="background2"/>
          </w:tcPr>
          <w:p w14:paraId="7C7CC595"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assessment</w:t>
            </w:r>
          </w:p>
        </w:tc>
        <w:tc>
          <w:tcPr>
            <w:tcW w:w="2343"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59B4D2BF"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Pr>
          <w:p w14:paraId="0905DFB4"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451" w:type="pct"/>
            <w:vMerge w:val="restart"/>
            <w:tcBorders>
              <w:top w:val="single" w:sz="4" w:space="0" w:color="auto"/>
              <w:left w:val="single" w:sz="4" w:space="0" w:color="auto"/>
              <w:bottom w:val="single" w:sz="4" w:space="0" w:color="auto"/>
            </w:tcBorders>
            <w:shd w:val="clear" w:color="auto" w:fill="EEECE1" w:themeFill="background2"/>
          </w:tcPr>
          <w:p w14:paraId="4163A899"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Importance</w:t>
            </w:r>
          </w:p>
        </w:tc>
      </w:tr>
      <w:tr w:rsidR="005C4C24" w:rsidRPr="007D1918" w14:paraId="26F7087D" w14:textId="77777777" w:rsidTr="00300091">
        <w:trPr>
          <w:trHeight w:val="60"/>
          <w:tblHeader/>
        </w:trPr>
        <w:tc>
          <w:tcPr>
            <w:tcW w:w="609" w:type="pct"/>
            <w:tcBorders>
              <w:top w:val="single" w:sz="4" w:space="0" w:color="auto"/>
              <w:bottom w:val="single" w:sz="4" w:space="0" w:color="auto"/>
              <w:right w:val="single" w:sz="4" w:space="0" w:color="auto"/>
            </w:tcBorders>
            <w:shd w:val="clear" w:color="auto" w:fill="EEECE1" w:themeFill="background2"/>
          </w:tcPr>
          <w:p w14:paraId="09E468CA"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p w14:paraId="1A94B745"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Comparison</w:t>
            </w:r>
          </w:p>
        </w:tc>
        <w:tc>
          <w:tcPr>
            <w:tcW w:w="514" w:type="pct"/>
            <w:tcBorders>
              <w:top w:val="single" w:sz="4" w:space="0" w:color="auto"/>
              <w:left w:val="single" w:sz="4" w:space="0" w:color="auto"/>
              <w:bottom w:val="single" w:sz="4" w:space="0" w:color="auto"/>
              <w:right w:val="single" w:sz="4" w:space="0" w:color="auto"/>
            </w:tcBorders>
            <w:shd w:val="clear" w:color="auto" w:fill="EEECE1" w:themeFill="background2"/>
          </w:tcPr>
          <w:p w14:paraId="56479A25"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p>
          <w:p w14:paraId="13F1739B"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Studies</w:t>
            </w:r>
          </w:p>
        </w:tc>
        <w:tc>
          <w:tcPr>
            <w:tcW w:w="661" w:type="pct"/>
            <w:tcBorders>
              <w:top w:val="single" w:sz="4" w:space="0" w:color="auto"/>
              <w:left w:val="single" w:sz="4" w:space="0" w:color="auto"/>
              <w:bottom w:val="single" w:sz="4" w:space="0" w:color="auto"/>
              <w:right w:val="single" w:sz="4" w:space="0" w:color="auto"/>
            </w:tcBorders>
            <w:shd w:val="clear" w:color="auto" w:fill="EEECE1" w:themeFill="background2"/>
          </w:tcPr>
          <w:p w14:paraId="2190E0BA"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of evidence</w:t>
            </w:r>
          </w:p>
          <w:p w14:paraId="30ECC5F2" w14:textId="098F708A" w:rsidR="00DA47E5" w:rsidRPr="007D1918" w:rsidRDefault="00DA47E5" w:rsidP="00DA47E5">
            <w:pPr>
              <w:spacing w:before="40" w:after="40" w:line="240" w:lineRule="auto"/>
              <w:rPr>
                <w:rFonts w:ascii="Arial Narrow" w:hAnsi="Arial Narrow"/>
                <w:b/>
                <w:sz w:val="20"/>
                <w:szCs w:val="20"/>
                <w:lang w:eastAsia="en-US"/>
              </w:rPr>
            </w:pPr>
            <w:r w:rsidRPr="007D1918">
              <w:rPr>
                <w:rFonts w:ascii="Arial Narrow" w:hAnsi="Arial Narrow"/>
                <w:b/>
                <w:sz w:val="16"/>
                <w:szCs w:val="16"/>
                <w:lang w:eastAsia="en-US"/>
              </w:rPr>
              <w:t xml:space="preserve">Key: 0=not serious; </w:t>
            </w:r>
            <w:r w:rsidRPr="007D1918">
              <w:rPr>
                <w:rFonts w:ascii="Arial Narrow" w:hAnsi="Arial Narrow"/>
                <w:b/>
                <w:sz w:val="16"/>
                <w:szCs w:val="16"/>
                <w:lang w:eastAsia="en-US"/>
              </w:rPr>
              <w:br/>
              <w:t>-1=serious; -2=very serious</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06729714"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Intervention result</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751A9CA6"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Comparator result</w:t>
            </w:r>
          </w:p>
        </w:tc>
        <w:tc>
          <w:tcPr>
            <w:tcW w:w="471" w:type="pct"/>
            <w:tcBorders>
              <w:top w:val="single" w:sz="4" w:space="0" w:color="auto"/>
              <w:left w:val="single" w:sz="4" w:space="0" w:color="auto"/>
              <w:bottom w:val="single" w:sz="4" w:space="0" w:color="auto"/>
              <w:right w:val="single" w:sz="4" w:space="0" w:color="auto"/>
            </w:tcBorders>
            <w:shd w:val="clear" w:color="auto" w:fill="EEECE1" w:themeFill="background2"/>
          </w:tcPr>
          <w:p w14:paraId="18F889F6"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Difference </w:t>
            </w:r>
          </w:p>
        </w:tc>
        <w:tc>
          <w:tcPr>
            <w:tcW w:w="750" w:type="pct"/>
            <w:tcBorders>
              <w:top w:val="single" w:sz="4" w:space="0" w:color="auto"/>
              <w:left w:val="single" w:sz="4" w:space="0" w:color="auto"/>
              <w:bottom w:val="single" w:sz="4" w:space="0" w:color="auto"/>
              <w:right w:val="single" w:sz="4" w:space="0" w:color="auto"/>
            </w:tcBorders>
            <w:shd w:val="clear" w:color="auto" w:fill="EEECE1" w:themeFill="background2"/>
          </w:tcPr>
          <w:p w14:paraId="11D16D60" w14:textId="77777777" w:rsidR="005C4C24" w:rsidRPr="007D1918" w:rsidRDefault="005C4C24"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Interpretation</w:t>
            </w:r>
          </w:p>
        </w:tc>
        <w:tc>
          <w:tcPr>
            <w:tcW w:w="422" w:type="pct"/>
            <w:vMerge/>
            <w:tcBorders>
              <w:top w:val="single" w:sz="4" w:space="0" w:color="auto"/>
              <w:left w:val="single" w:sz="4" w:space="0" w:color="auto"/>
              <w:bottom w:val="single" w:sz="4" w:space="0" w:color="auto"/>
              <w:right w:val="single" w:sz="4" w:space="0" w:color="auto"/>
            </w:tcBorders>
            <w:shd w:val="clear" w:color="auto" w:fill="EEECE1" w:themeFill="background2"/>
          </w:tcPr>
          <w:p w14:paraId="2A5DA889" w14:textId="77777777" w:rsidR="005C4C24" w:rsidRPr="007D1918" w:rsidRDefault="005C4C24" w:rsidP="00BF22B6">
            <w:pPr>
              <w:spacing w:before="40" w:after="40" w:line="240" w:lineRule="auto"/>
              <w:jc w:val="both"/>
              <w:rPr>
                <w:rFonts w:ascii="Arial Narrow" w:hAnsi="Arial Narrow"/>
                <w:b/>
                <w:sz w:val="20"/>
                <w:szCs w:val="20"/>
                <w:lang w:eastAsia="en-US"/>
              </w:rPr>
            </w:pPr>
          </w:p>
        </w:tc>
        <w:tc>
          <w:tcPr>
            <w:tcW w:w="451" w:type="pct"/>
            <w:vMerge/>
            <w:tcBorders>
              <w:top w:val="single" w:sz="4" w:space="0" w:color="auto"/>
              <w:left w:val="single" w:sz="4" w:space="0" w:color="auto"/>
              <w:bottom w:val="single" w:sz="4" w:space="0" w:color="auto"/>
            </w:tcBorders>
            <w:shd w:val="clear" w:color="auto" w:fill="EEECE1" w:themeFill="background2"/>
          </w:tcPr>
          <w:p w14:paraId="66174D22" w14:textId="77777777" w:rsidR="005C4C24" w:rsidRPr="007D1918" w:rsidRDefault="005C4C24" w:rsidP="00BF22B6">
            <w:pPr>
              <w:spacing w:before="40" w:after="40" w:line="240" w:lineRule="auto"/>
              <w:jc w:val="both"/>
              <w:rPr>
                <w:rFonts w:ascii="Arial Narrow" w:hAnsi="Arial Narrow"/>
                <w:b/>
                <w:sz w:val="20"/>
                <w:szCs w:val="20"/>
                <w:lang w:eastAsia="en-US"/>
              </w:rPr>
            </w:pPr>
          </w:p>
        </w:tc>
      </w:tr>
      <w:tr w:rsidR="00FE572F" w:rsidRPr="007D1918" w14:paraId="7D8C6557" w14:textId="77777777" w:rsidTr="008438DC">
        <w:tc>
          <w:tcPr>
            <w:tcW w:w="609" w:type="pct"/>
            <w:tcBorders>
              <w:top w:val="single" w:sz="4" w:space="0" w:color="auto"/>
              <w:bottom w:val="single" w:sz="4" w:space="0" w:color="auto"/>
              <w:right w:val="single" w:sz="4" w:space="0" w:color="auto"/>
            </w:tcBorders>
          </w:tcPr>
          <w:p w14:paraId="26AC2992"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Osserman grade</w:t>
            </w:r>
            <w:r w:rsidR="003659A8" w:rsidRPr="007D1918">
              <w:rPr>
                <w:rFonts w:ascii="Arial Narrow" w:hAnsi="Arial Narrow"/>
                <w:sz w:val="18"/>
                <w:szCs w:val="18"/>
                <w:lang w:eastAsia="en-US"/>
              </w:rPr>
              <w:t xml:space="preserve"> (mean change in grade from baseline)</w:t>
            </w:r>
          </w:p>
          <w:p w14:paraId="15711E99" w14:textId="35C39012" w:rsidR="008438DC" w:rsidRPr="007D1918" w:rsidRDefault="008438DC"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68328A88"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n=18</w:t>
            </w:r>
          </w:p>
          <w:p w14:paraId="7ED3F9FA" w14:textId="0630E181"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2529DDCA" w14:textId="6DF15D2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A8259F" w:rsidRPr="007D1918">
              <w:rPr>
                <w:rFonts w:ascii="Arial Narrow" w:hAnsi="Arial Narrow"/>
                <w:sz w:val="18"/>
                <w:szCs w:val="18"/>
                <w:lang w:eastAsia="en-US"/>
              </w:rPr>
              <w:t>0</w:t>
            </w:r>
          </w:p>
          <w:p w14:paraId="522E4C7F"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5539943A"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1CF86B16" w14:textId="5F8F9B4D" w:rsidR="00FE572F" w:rsidRPr="007D1918" w:rsidRDefault="00FE572F" w:rsidP="00FE572F">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Imprecision: </w:t>
            </w:r>
            <w:r w:rsidR="00A8259F" w:rsidRPr="007D1918">
              <w:rPr>
                <w:rFonts w:ascii="Arial Narrow" w:hAnsi="Arial Narrow"/>
                <w:sz w:val="18"/>
                <w:szCs w:val="18"/>
                <w:lang w:eastAsia="en-US"/>
              </w:rPr>
              <w:t>-1</w:t>
            </w:r>
            <w:r w:rsidR="00A8259F" w:rsidRPr="007D1918">
              <w:rPr>
                <w:rFonts w:ascii="Arial Narrow" w:hAnsi="Arial Narrow"/>
                <w:sz w:val="18"/>
                <w:szCs w:val="18"/>
                <w:vertAlign w:val="superscript"/>
                <w:lang w:eastAsia="en-US"/>
              </w:rPr>
              <w:t>a</w:t>
            </w:r>
          </w:p>
          <w:p w14:paraId="4B4F0DB4" w14:textId="0AC4E73F" w:rsidR="00FE572F" w:rsidRPr="007D1918" w:rsidRDefault="008438DC" w:rsidP="00A8259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A8259F" w:rsidRPr="007D1918">
              <w:rPr>
                <w:rFonts w:ascii="Arial Narrow" w:hAnsi="Arial Narrow"/>
                <w:sz w:val="18"/>
                <w:szCs w:val="18"/>
                <w:lang w:eastAsia="en-US"/>
              </w:rPr>
              <w:t xml:space="preserve"> </w:t>
            </w:r>
            <w:r w:rsidR="00FE572F"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32CD9A65" w14:textId="3E1D10F1" w:rsidR="00FE572F" w:rsidRPr="007D1918" w:rsidRDefault="003659A8"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rPr>
              <w:t>0.78 ± 0.83</w:t>
            </w:r>
          </w:p>
        </w:tc>
        <w:tc>
          <w:tcPr>
            <w:tcW w:w="561" w:type="pct"/>
            <w:tcBorders>
              <w:top w:val="single" w:sz="4" w:space="0" w:color="auto"/>
              <w:left w:val="single" w:sz="4" w:space="0" w:color="auto"/>
              <w:bottom w:val="single" w:sz="4" w:space="0" w:color="auto"/>
              <w:right w:val="single" w:sz="4" w:space="0" w:color="auto"/>
            </w:tcBorders>
          </w:tcPr>
          <w:p w14:paraId="14A8D821" w14:textId="6FFC4844" w:rsidR="00FE572F" w:rsidRPr="007D1918" w:rsidRDefault="003659A8"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rPr>
              <w:t>1.00 ± 0.71</w:t>
            </w:r>
          </w:p>
        </w:tc>
        <w:tc>
          <w:tcPr>
            <w:tcW w:w="471" w:type="pct"/>
            <w:tcBorders>
              <w:top w:val="single" w:sz="4" w:space="0" w:color="auto"/>
              <w:left w:val="single" w:sz="4" w:space="0" w:color="auto"/>
              <w:bottom w:val="single" w:sz="4" w:space="0" w:color="auto"/>
              <w:right w:val="single" w:sz="4" w:space="0" w:color="auto"/>
            </w:tcBorders>
          </w:tcPr>
          <w:p w14:paraId="19CC9059" w14:textId="4E53DDEF" w:rsidR="003659A8" w:rsidRPr="007D1918" w:rsidRDefault="003659A8" w:rsidP="003659A8">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0.55</w:t>
            </w:r>
          </w:p>
        </w:tc>
        <w:tc>
          <w:tcPr>
            <w:tcW w:w="750" w:type="pct"/>
            <w:tcBorders>
              <w:top w:val="single" w:sz="4" w:space="0" w:color="auto"/>
              <w:left w:val="single" w:sz="4" w:space="0" w:color="auto"/>
              <w:bottom w:val="single" w:sz="4" w:space="0" w:color="auto"/>
              <w:right w:val="single" w:sz="4" w:space="0" w:color="auto"/>
            </w:tcBorders>
          </w:tcPr>
          <w:p w14:paraId="57CA77A1" w14:textId="047FA079" w:rsidR="00FE572F" w:rsidRPr="007D1918" w:rsidRDefault="008F2C18" w:rsidP="008438D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There was no difference </w:t>
            </w:r>
            <w:r w:rsidR="008438DC" w:rsidRPr="007D1918">
              <w:rPr>
                <w:rFonts w:ascii="Arial Narrow" w:hAnsi="Arial Narrow"/>
                <w:sz w:val="18"/>
                <w:szCs w:val="18"/>
                <w:lang w:eastAsia="en-US"/>
              </w:rPr>
              <w:t>detected</w:t>
            </w:r>
            <w:r w:rsidRPr="007D1918">
              <w:rPr>
                <w:rFonts w:ascii="Arial Narrow" w:hAnsi="Arial Narrow"/>
                <w:sz w:val="18"/>
                <w:szCs w:val="18"/>
                <w:lang w:eastAsia="en-US"/>
              </w:rPr>
              <w:t xml:space="preserve"> between groups</w:t>
            </w:r>
          </w:p>
        </w:tc>
        <w:tc>
          <w:tcPr>
            <w:tcW w:w="422" w:type="pct"/>
            <w:tcBorders>
              <w:top w:val="single" w:sz="4" w:space="0" w:color="auto"/>
              <w:left w:val="single" w:sz="4" w:space="0" w:color="auto"/>
              <w:bottom w:val="single" w:sz="4" w:space="0" w:color="auto"/>
              <w:right w:val="single" w:sz="4" w:space="0" w:color="auto"/>
            </w:tcBorders>
          </w:tcPr>
          <w:p w14:paraId="0D5C3867" w14:textId="589481C1"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A8259F"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25EC83E3"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FE572F" w:rsidRPr="007D1918" w14:paraId="1C32F5F0" w14:textId="77777777" w:rsidTr="008438DC">
        <w:tc>
          <w:tcPr>
            <w:tcW w:w="609" w:type="pct"/>
            <w:tcBorders>
              <w:top w:val="single" w:sz="4" w:space="0" w:color="auto"/>
              <w:bottom w:val="single" w:sz="4" w:space="0" w:color="auto"/>
              <w:right w:val="single" w:sz="4" w:space="0" w:color="auto"/>
            </w:tcBorders>
          </w:tcPr>
          <w:p w14:paraId="2A7AC7B3"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QoL</w:t>
            </w:r>
            <w:r w:rsidR="003659A8" w:rsidRPr="007D1918">
              <w:rPr>
                <w:rFonts w:ascii="Arial Narrow" w:hAnsi="Arial Narrow"/>
                <w:sz w:val="18"/>
                <w:szCs w:val="18"/>
                <w:lang w:eastAsia="en-US"/>
              </w:rPr>
              <w:t xml:space="preserve"> (% patients with perceived benefit from treatment)</w:t>
            </w:r>
          </w:p>
          <w:p w14:paraId="6653227A" w14:textId="434BEA9B" w:rsidR="008438DC" w:rsidRPr="007D1918" w:rsidRDefault="008438DC"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02931C90"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n=18</w:t>
            </w:r>
          </w:p>
          <w:p w14:paraId="2E65ADAC" w14:textId="46BD2440"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0DC47B5A" w14:textId="21B7B636"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A8259F" w:rsidRPr="007D1918">
              <w:rPr>
                <w:rFonts w:ascii="Arial Narrow" w:hAnsi="Arial Narrow"/>
                <w:sz w:val="18"/>
                <w:szCs w:val="18"/>
                <w:lang w:eastAsia="en-US"/>
              </w:rPr>
              <w:t>0</w:t>
            </w:r>
          </w:p>
          <w:p w14:paraId="45BCD355"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78044116"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5641E7B2" w14:textId="2345B5D0" w:rsidR="00FE572F" w:rsidRPr="007D1918" w:rsidRDefault="00FE572F" w:rsidP="00FE572F">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Imprecision: </w:t>
            </w:r>
            <w:r w:rsidR="00A8259F" w:rsidRPr="007D1918">
              <w:rPr>
                <w:rFonts w:ascii="Arial Narrow" w:hAnsi="Arial Narrow"/>
                <w:sz w:val="18"/>
                <w:szCs w:val="18"/>
                <w:lang w:eastAsia="en-US"/>
              </w:rPr>
              <w:t>-1</w:t>
            </w:r>
            <w:r w:rsidR="00A8259F" w:rsidRPr="007D1918">
              <w:rPr>
                <w:rFonts w:ascii="Arial Narrow" w:hAnsi="Arial Narrow"/>
                <w:sz w:val="18"/>
                <w:szCs w:val="18"/>
                <w:vertAlign w:val="superscript"/>
                <w:lang w:eastAsia="en-US"/>
              </w:rPr>
              <w:t>a</w:t>
            </w:r>
          </w:p>
          <w:p w14:paraId="118F2931" w14:textId="763070F0" w:rsidR="00FE572F" w:rsidRPr="007D1918" w:rsidRDefault="008438DC" w:rsidP="00A8259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FE572F" w:rsidRPr="007D1918">
              <w:rPr>
                <w:rFonts w:ascii="Arial Narrow" w:hAnsi="Arial Narrow"/>
                <w:sz w:val="18"/>
                <w:szCs w:val="18"/>
                <w:lang w:eastAsia="en-US"/>
              </w:rPr>
              <w:t>:</w:t>
            </w:r>
            <w:r w:rsidR="00A8259F" w:rsidRPr="007D1918">
              <w:rPr>
                <w:rFonts w:ascii="Arial Narrow" w:hAnsi="Arial Narrow"/>
                <w:sz w:val="18"/>
                <w:szCs w:val="18"/>
                <w:lang w:eastAsia="en-US"/>
              </w:rPr>
              <w:t xml:space="preserve"> </w:t>
            </w:r>
            <w:r w:rsidR="00FE572F"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3C2BFF6A" w14:textId="471ECD8A" w:rsidR="00FE572F" w:rsidRPr="007D1918" w:rsidRDefault="003659A8"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rPr>
              <w:t>56</w:t>
            </w:r>
            <w:r w:rsidR="00FE572F" w:rsidRPr="007D1918">
              <w:rPr>
                <w:rFonts w:ascii="Arial Narrow" w:hAnsi="Arial Narrow"/>
                <w:sz w:val="18"/>
                <w:szCs w:val="18"/>
              </w:rPr>
              <w:t>%</w:t>
            </w:r>
          </w:p>
        </w:tc>
        <w:tc>
          <w:tcPr>
            <w:tcW w:w="561" w:type="pct"/>
            <w:tcBorders>
              <w:top w:val="single" w:sz="4" w:space="0" w:color="auto"/>
              <w:left w:val="single" w:sz="4" w:space="0" w:color="auto"/>
              <w:bottom w:val="single" w:sz="4" w:space="0" w:color="auto"/>
              <w:right w:val="single" w:sz="4" w:space="0" w:color="auto"/>
            </w:tcBorders>
          </w:tcPr>
          <w:p w14:paraId="7EF24B56" w14:textId="442FFB72" w:rsidR="00FE572F" w:rsidRPr="007D1918" w:rsidRDefault="003659A8" w:rsidP="00FE572F">
            <w:pPr>
              <w:spacing w:before="40" w:after="40" w:line="240" w:lineRule="auto"/>
              <w:jc w:val="both"/>
              <w:rPr>
                <w:rFonts w:ascii="Arial Narrow" w:hAnsi="Arial Narrow"/>
                <w:sz w:val="18"/>
                <w:szCs w:val="18"/>
              </w:rPr>
            </w:pPr>
            <w:r w:rsidRPr="007D1918">
              <w:rPr>
                <w:rFonts w:ascii="Arial Narrow" w:hAnsi="Arial Narrow"/>
                <w:sz w:val="18"/>
                <w:szCs w:val="18"/>
              </w:rPr>
              <w:t>100</w:t>
            </w:r>
            <w:r w:rsidR="00FE572F" w:rsidRPr="007D1918">
              <w:rPr>
                <w:rFonts w:ascii="Arial Narrow" w:hAnsi="Arial Narrow"/>
                <w:sz w:val="18"/>
                <w:szCs w:val="18"/>
              </w:rPr>
              <w:t>%</w:t>
            </w:r>
          </w:p>
        </w:tc>
        <w:tc>
          <w:tcPr>
            <w:tcW w:w="471" w:type="pct"/>
            <w:tcBorders>
              <w:top w:val="single" w:sz="4" w:space="0" w:color="auto"/>
              <w:left w:val="single" w:sz="4" w:space="0" w:color="auto"/>
              <w:bottom w:val="single" w:sz="4" w:space="0" w:color="auto"/>
              <w:right w:val="single" w:sz="4" w:space="0" w:color="auto"/>
            </w:tcBorders>
          </w:tcPr>
          <w:p w14:paraId="00C1186B" w14:textId="475BC548" w:rsidR="008438DC" w:rsidRPr="007D1918" w:rsidRDefault="008438DC"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-46%</w:t>
            </w:r>
          </w:p>
          <w:p w14:paraId="30412D89" w14:textId="08DAFE13"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w:t>
            </w:r>
            <w:r w:rsidR="003659A8" w:rsidRPr="007D1918">
              <w:rPr>
                <w:rFonts w:ascii="Arial Narrow" w:hAnsi="Arial Narrow"/>
                <w:sz w:val="18"/>
                <w:szCs w:val="18"/>
                <w:lang w:eastAsia="en-US"/>
              </w:rPr>
              <w:t>029</w:t>
            </w:r>
          </w:p>
          <w:p w14:paraId="4F7CAE05" w14:textId="473ED856" w:rsidR="00FE572F" w:rsidRPr="007D1918" w:rsidRDefault="00627721" w:rsidP="00A8259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95% CI</w:t>
            </w:r>
            <w:r w:rsidR="00FE572F" w:rsidRPr="007D1918">
              <w:rPr>
                <w:rFonts w:ascii="Arial Narrow" w:hAnsi="Arial Narrow"/>
                <w:sz w:val="18"/>
                <w:szCs w:val="18"/>
                <w:lang w:eastAsia="en-US"/>
              </w:rPr>
              <w:t xml:space="preserve"> </w:t>
            </w:r>
            <w:r w:rsidR="003659A8" w:rsidRPr="007D1918">
              <w:rPr>
                <w:rFonts w:ascii="Arial Narrow" w:hAnsi="Arial Narrow"/>
                <w:sz w:val="18"/>
                <w:szCs w:val="18"/>
                <w:lang w:eastAsia="en-US"/>
              </w:rPr>
              <w:t>4.75%</w:t>
            </w:r>
            <w:r w:rsidR="00FE572F" w:rsidRPr="007D1918">
              <w:rPr>
                <w:rFonts w:ascii="Arial Narrow" w:hAnsi="Arial Narrow"/>
                <w:sz w:val="18"/>
                <w:szCs w:val="18"/>
                <w:lang w:eastAsia="en-US"/>
              </w:rPr>
              <w:t xml:space="preserve">, </w:t>
            </w:r>
            <w:r w:rsidR="00A8259F" w:rsidRPr="007D1918">
              <w:rPr>
                <w:rFonts w:ascii="Arial Narrow" w:hAnsi="Arial Narrow"/>
                <w:sz w:val="18"/>
                <w:szCs w:val="18"/>
                <w:lang w:eastAsia="en-US"/>
              </w:rPr>
              <w:t>73.0%</w:t>
            </w:r>
          </w:p>
        </w:tc>
        <w:tc>
          <w:tcPr>
            <w:tcW w:w="750" w:type="pct"/>
            <w:tcBorders>
              <w:top w:val="single" w:sz="4" w:space="0" w:color="auto"/>
              <w:left w:val="single" w:sz="4" w:space="0" w:color="auto"/>
              <w:bottom w:val="single" w:sz="4" w:space="0" w:color="auto"/>
              <w:right w:val="single" w:sz="4" w:space="0" w:color="auto"/>
            </w:tcBorders>
          </w:tcPr>
          <w:p w14:paraId="7D2CDA11" w14:textId="7DB4F9D2" w:rsidR="00FE572F" w:rsidRPr="007D1918" w:rsidRDefault="008F2C18"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More patients perceived a benefit following PE treatment. Small p</w:t>
            </w:r>
            <w:r w:rsidR="008438DC" w:rsidRPr="007D1918">
              <w:rPr>
                <w:rFonts w:ascii="Arial Narrow" w:hAnsi="Arial Narrow"/>
                <w:sz w:val="18"/>
                <w:szCs w:val="18"/>
                <w:lang w:eastAsia="en-US"/>
              </w:rPr>
              <w:t>atient numbers make this result</w:t>
            </w:r>
            <w:r w:rsidRPr="007D1918">
              <w:rPr>
                <w:rFonts w:ascii="Arial Narrow" w:hAnsi="Arial Narrow"/>
                <w:sz w:val="18"/>
                <w:szCs w:val="18"/>
                <w:lang w:eastAsia="en-US"/>
              </w:rPr>
              <w:t xml:space="preserve"> unreliable.</w:t>
            </w:r>
          </w:p>
        </w:tc>
        <w:tc>
          <w:tcPr>
            <w:tcW w:w="422" w:type="pct"/>
            <w:tcBorders>
              <w:top w:val="single" w:sz="4" w:space="0" w:color="auto"/>
              <w:left w:val="single" w:sz="4" w:space="0" w:color="auto"/>
              <w:bottom w:val="single" w:sz="4" w:space="0" w:color="auto"/>
              <w:right w:val="single" w:sz="4" w:space="0" w:color="auto"/>
            </w:tcBorders>
          </w:tcPr>
          <w:p w14:paraId="3CB6BFBA" w14:textId="1CC84CED" w:rsidR="00FE572F" w:rsidRPr="007D1918" w:rsidRDefault="00FE572F" w:rsidP="00FE572F">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00A8259F"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49E61EA8"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FE572F" w:rsidRPr="007D1918" w14:paraId="361A8433" w14:textId="77777777" w:rsidTr="008438DC">
        <w:tc>
          <w:tcPr>
            <w:tcW w:w="609" w:type="pct"/>
            <w:tcBorders>
              <w:top w:val="single" w:sz="4" w:space="0" w:color="auto"/>
              <w:bottom w:val="single" w:sz="4" w:space="0" w:color="auto"/>
              <w:right w:val="single" w:sz="4" w:space="0" w:color="auto"/>
            </w:tcBorders>
          </w:tcPr>
          <w:p w14:paraId="52740836"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Intubation period </w:t>
            </w:r>
            <w:r w:rsidR="00A8259F" w:rsidRPr="007D1918">
              <w:rPr>
                <w:rFonts w:ascii="Arial Narrow" w:hAnsi="Arial Narrow"/>
                <w:sz w:val="18"/>
                <w:szCs w:val="18"/>
                <w:lang w:eastAsia="en-US"/>
              </w:rPr>
              <w:t>(median hours)</w:t>
            </w:r>
          </w:p>
          <w:p w14:paraId="49A1C2A2" w14:textId="486BD988" w:rsidR="008438DC" w:rsidRPr="007D1918" w:rsidRDefault="008438DC"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6BE58A48"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n=24</w:t>
            </w:r>
          </w:p>
          <w:p w14:paraId="7717AD85" w14:textId="5FF6E3F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6268AECA" w14:textId="33490D65"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00A8259F" w:rsidRPr="007D1918">
              <w:rPr>
                <w:rFonts w:ascii="Arial Narrow" w:hAnsi="Arial Narrow"/>
                <w:sz w:val="18"/>
                <w:szCs w:val="18"/>
                <w:vertAlign w:val="superscript"/>
                <w:lang w:eastAsia="en-US"/>
              </w:rPr>
              <w:t>b</w:t>
            </w:r>
          </w:p>
          <w:p w14:paraId="650675BD"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43DFC540"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7A9F102C"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7F16EF86" w14:textId="7580C2EA" w:rsidR="00FE572F" w:rsidRPr="007D1918" w:rsidRDefault="008438DC" w:rsidP="008438DC">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Other: c</w:t>
            </w:r>
            <w:r w:rsidR="00FE572F" w:rsidRPr="007D1918">
              <w:rPr>
                <w:rFonts w:ascii="Arial Narrow" w:hAnsi="Arial Narrow"/>
                <w:sz w:val="18"/>
                <w:szCs w:val="18"/>
                <w:lang w:eastAsia="en-US"/>
              </w:rPr>
              <w:t xml:space="preserve">onfounding likely </w:t>
            </w:r>
            <w:r w:rsidRPr="007D1918">
              <w:rPr>
                <w:rFonts w:ascii="Arial Narrow" w:hAnsi="Arial Narrow"/>
                <w:sz w:val="18"/>
                <w:szCs w:val="18"/>
                <w:lang w:eastAsia="en-US"/>
              </w:rPr>
              <w:t xml:space="preserve">to give </w:t>
            </w:r>
            <w:r w:rsidR="00FE572F" w:rsidRPr="007D1918">
              <w:rPr>
                <w:rFonts w:ascii="Arial Narrow" w:hAnsi="Arial Narrow"/>
                <w:sz w:val="18"/>
                <w:szCs w:val="18"/>
                <w:lang w:eastAsia="en-US"/>
              </w:rPr>
              <w:t>spurious effect</w:t>
            </w:r>
          </w:p>
        </w:tc>
        <w:tc>
          <w:tcPr>
            <w:tcW w:w="561" w:type="pct"/>
            <w:tcBorders>
              <w:top w:val="single" w:sz="4" w:space="0" w:color="auto"/>
              <w:left w:val="single" w:sz="4" w:space="0" w:color="auto"/>
              <w:bottom w:val="single" w:sz="4" w:space="0" w:color="auto"/>
              <w:right w:val="single" w:sz="4" w:space="0" w:color="auto"/>
            </w:tcBorders>
          </w:tcPr>
          <w:p w14:paraId="2DEFE3EA" w14:textId="3DC938BF" w:rsidR="00FE572F" w:rsidRPr="007D1918" w:rsidRDefault="00A8259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rPr>
              <w:lastRenderedPageBreak/>
              <w:t>0 (2-22)</w:t>
            </w:r>
          </w:p>
        </w:tc>
        <w:tc>
          <w:tcPr>
            <w:tcW w:w="561" w:type="pct"/>
            <w:tcBorders>
              <w:top w:val="single" w:sz="4" w:space="0" w:color="auto"/>
              <w:left w:val="single" w:sz="4" w:space="0" w:color="auto"/>
              <w:bottom w:val="single" w:sz="4" w:space="0" w:color="auto"/>
              <w:right w:val="single" w:sz="4" w:space="0" w:color="auto"/>
            </w:tcBorders>
          </w:tcPr>
          <w:p w14:paraId="670741C7" w14:textId="7734E58D" w:rsidR="00FE572F" w:rsidRPr="007D1918" w:rsidRDefault="00A8259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rPr>
              <w:t>13 (2-216)</w:t>
            </w:r>
          </w:p>
        </w:tc>
        <w:tc>
          <w:tcPr>
            <w:tcW w:w="471" w:type="pct"/>
            <w:tcBorders>
              <w:top w:val="single" w:sz="4" w:space="0" w:color="auto"/>
              <w:left w:val="single" w:sz="4" w:space="0" w:color="auto"/>
              <w:bottom w:val="single" w:sz="4" w:space="0" w:color="auto"/>
              <w:right w:val="single" w:sz="4" w:space="0" w:color="auto"/>
            </w:tcBorders>
          </w:tcPr>
          <w:p w14:paraId="1C734ADC" w14:textId="6115FA64" w:rsidR="00FE572F" w:rsidRPr="007D1918" w:rsidRDefault="00A8259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0.01</w:t>
            </w:r>
          </w:p>
          <w:p w14:paraId="0E0B8C0D" w14:textId="435759EB" w:rsidR="00FE572F" w:rsidRPr="007D1918" w:rsidRDefault="00FE572F" w:rsidP="00FE572F">
            <w:pPr>
              <w:spacing w:before="40" w:after="40" w:line="240" w:lineRule="auto"/>
              <w:jc w:val="both"/>
              <w:rPr>
                <w:rFonts w:ascii="Arial Narrow" w:hAnsi="Arial Narrow"/>
                <w:sz w:val="18"/>
                <w:szCs w:val="18"/>
                <w:lang w:eastAsia="en-US"/>
              </w:rPr>
            </w:pPr>
          </w:p>
        </w:tc>
        <w:tc>
          <w:tcPr>
            <w:tcW w:w="750" w:type="pct"/>
            <w:tcBorders>
              <w:top w:val="single" w:sz="4" w:space="0" w:color="auto"/>
              <w:left w:val="single" w:sz="4" w:space="0" w:color="auto"/>
              <w:bottom w:val="single" w:sz="4" w:space="0" w:color="auto"/>
              <w:right w:val="single" w:sz="4" w:space="0" w:color="auto"/>
            </w:tcBorders>
          </w:tcPr>
          <w:p w14:paraId="6C08960D" w14:textId="0EB39E64" w:rsidR="00FE572F" w:rsidRPr="007D1918" w:rsidRDefault="008F2C18" w:rsidP="008F2C18">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Intubation period was significantly longer in the PE group. This result may be influenced by selection bias</w:t>
            </w:r>
          </w:p>
        </w:tc>
        <w:tc>
          <w:tcPr>
            <w:tcW w:w="422" w:type="pct"/>
            <w:tcBorders>
              <w:top w:val="single" w:sz="4" w:space="0" w:color="auto"/>
              <w:left w:val="single" w:sz="4" w:space="0" w:color="auto"/>
              <w:bottom w:val="single" w:sz="4" w:space="0" w:color="auto"/>
              <w:right w:val="single" w:sz="4" w:space="0" w:color="auto"/>
            </w:tcBorders>
          </w:tcPr>
          <w:p w14:paraId="20716DEE"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3A930B05"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FE572F" w:rsidRPr="007D1918" w14:paraId="0E81B0D2" w14:textId="77777777" w:rsidTr="00BF22B6">
        <w:tc>
          <w:tcPr>
            <w:tcW w:w="609" w:type="pct"/>
            <w:tcBorders>
              <w:top w:val="single" w:sz="4" w:space="0" w:color="auto"/>
              <w:bottom w:val="single" w:sz="4" w:space="0" w:color="auto"/>
              <w:right w:val="single" w:sz="4" w:space="0" w:color="auto"/>
            </w:tcBorders>
          </w:tcPr>
          <w:p w14:paraId="6C850F0B"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Rate of intubation</w:t>
            </w:r>
            <w:r w:rsidR="00A8259F" w:rsidRPr="007D1918">
              <w:rPr>
                <w:rFonts w:ascii="Arial Narrow" w:hAnsi="Arial Narrow"/>
                <w:sz w:val="18"/>
                <w:szCs w:val="18"/>
                <w:lang w:eastAsia="en-US"/>
              </w:rPr>
              <w:t xml:space="preserve"> (% patients intubated post-operatively)</w:t>
            </w:r>
          </w:p>
          <w:p w14:paraId="07AB84A2" w14:textId="479F14A1" w:rsidR="008438DC" w:rsidRPr="007D1918" w:rsidRDefault="008438DC"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610C9939" w14:textId="77777777"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n=24</w:t>
            </w:r>
          </w:p>
          <w:p w14:paraId="16F0DC1F" w14:textId="3B5F0C94" w:rsidR="00FE572F" w:rsidRPr="007D1918" w:rsidRDefault="00FE572F"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FFFFFF" w:themeColor="background1"/>
              <w:right w:val="single" w:sz="4" w:space="0" w:color="auto"/>
            </w:tcBorders>
          </w:tcPr>
          <w:p w14:paraId="31394F14" w14:textId="7E9A1740"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00A8259F" w:rsidRPr="007D1918">
              <w:rPr>
                <w:rFonts w:ascii="Arial Narrow" w:hAnsi="Arial Narrow"/>
                <w:sz w:val="18"/>
                <w:szCs w:val="18"/>
                <w:vertAlign w:val="superscript"/>
                <w:lang w:eastAsia="en-US"/>
              </w:rPr>
              <w:t>b</w:t>
            </w:r>
          </w:p>
          <w:p w14:paraId="7E9B867B"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2F83232E"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54E97759"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28B7DEF5" w14:textId="35184FFB" w:rsidR="00FE572F" w:rsidRPr="007D1918" w:rsidRDefault="008438DC"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Other: confounding likely to give spurious effect</w:t>
            </w:r>
          </w:p>
        </w:tc>
        <w:tc>
          <w:tcPr>
            <w:tcW w:w="561" w:type="pct"/>
            <w:tcBorders>
              <w:top w:val="single" w:sz="4" w:space="0" w:color="auto"/>
              <w:left w:val="single" w:sz="4" w:space="0" w:color="auto"/>
              <w:bottom w:val="single" w:sz="4" w:space="0" w:color="auto"/>
              <w:right w:val="single" w:sz="4" w:space="0" w:color="auto"/>
            </w:tcBorders>
          </w:tcPr>
          <w:p w14:paraId="30F13439" w14:textId="3D74F73E" w:rsidR="00FE572F" w:rsidRPr="007D1918" w:rsidRDefault="00A8259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rPr>
              <w:t>16.7</w:t>
            </w:r>
            <w:r w:rsidR="00FE572F" w:rsidRPr="007D1918">
              <w:rPr>
                <w:rFonts w:ascii="Arial Narrow" w:hAnsi="Arial Narrow"/>
                <w:sz w:val="18"/>
                <w:szCs w:val="18"/>
              </w:rPr>
              <w:t>%</w:t>
            </w:r>
          </w:p>
        </w:tc>
        <w:tc>
          <w:tcPr>
            <w:tcW w:w="561" w:type="pct"/>
            <w:tcBorders>
              <w:top w:val="single" w:sz="4" w:space="0" w:color="auto"/>
              <w:left w:val="single" w:sz="4" w:space="0" w:color="auto"/>
              <w:bottom w:val="single" w:sz="4" w:space="0" w:color="auto"/>
              <w:right w:val="single" w:sz="4" w:space="0" w:color="auto"/>
            </w:tcBorders>
          </w:tcPr>
          <w:p w14:paraId="306D32AB" w14:textId="245A113D" w:rsidR="00FE572F" w:rsidRPr="007D1918" w:rsidRDefault="00A8259F" w:rsidP="00FE572F">
            <w:pPr>
              <w:spacing w:before="40" w:after="40" w:line="240" w:lineRule="auto"/>
              <w:jc w:val="both"/>
              <w:rPr>
                <w:rFonts w:ascii="Arial Narrow" w:hAnsi="Arial Narrow"/>
                <w:sz w:val="18"/>
                <w:szCs w:val="18"/>
              </w:rPr>
            </w:pPr>
            <w:r w:rsidRPr="007D1918">
              <w:rPr>
                <w:rFonts w:ascii="Arial Narrow" w:hAnsi="Arial Narrow"/>
                <w:sz w:val="18"/>
                <w:szCs w:val="18"/>
              </w:rPr>
              <w:t>58.3</w:t>
            </w:r>
            <w:r w:rsidR="00FE572F" w:rsidRPr="007D1918">
              <w:rPr>
                <w:rFonts w:ascii="Arial Narrow" w:hAnsi="Arial Narrow"/>
                <w:sz w:val="18"/>
                <w:szCs w:val="18"/>
              </w:rPr>
              <w:t>%</w:t>
            </w:r>
          </w:p>
        </w:tc>
        <w:tc>
          <w:tcPr>
            <w:tcW w:w="471" w:type="pct"/>
            <w:tcBorders>
              <w:top w:val="single" w:sz="4" w:space="0" w:color="auto"/>
              <w:left w:val="single" w:sz="4" w:space="0" w:color="auto"/>
              <w:bottom w:val="single" w:sz="4" w:space="0" w:color="auto"/>
              <w:right w:val="single" w:sz="4" w:space="0" w:color="auto"/>
            </w:tcBorders>
          </w:tcPr>
          <w:p w14:paraId="7B757690" w14:textId="7D2D5912" w:rsidR="00075E59" w:rsidRPr="007D1918" w:rsidRDefault="00075E59"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41.6%</w:t>
            </w:r>
          </w:p>
          <w:p w14:paraId="683D9A4B" w14:textId="16479B8B" w:rsidR="00FE572F" w:rsidRPr="007D1918" w:rsidRDefault="00FE572F" w:rsidP="00FE57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w:t>
            </w:r>
            <w:r w:rsidR="00A8259F" w:rsidRPr="007D1918">
              <w:rPr>
                <w:rFonts w:ascii="Arial Narrow" w:hAnsi="Arial Narrow"/>
                <w:sz w:val="18"/>
                <w:szCs w:val="18"/>
                <w:lang w:eastAsia="en-US"/>
              </w:rPr>
              <w:t>039</w:t>
            </w:r>
          </w:p>
          <w:p w14:paraId="1E5516B9" w14:textId="17AEC315" w:rsidR="00FE572F" w:rsidRPr="007D1918" w:rsidRDefault="00FE572F" w:rsidP="00A8259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95% CI </w:t>
            </w:r>
            <w:r w:rsidR="00A8259F" w:rsidRPr="007D1918">
              <w:rPr>
                <w:rFonts w:ascii="Arial Narrow" w:hAnsi="Arial Narrow"/>
                <w:sz w:val="18"/>
                <w:szCs w:val="18"/>
                <w:lang w:eastAsia="en-US"/>
              </w:rPr>
              <w:t>3.03%</w:t>
            </w:r>
            <w:r w:rsidRPr="007D1918">
              <w:rPr>
                <w:rFonts w:ascii="Arial Narrow" w:hAnsi="Arial Narrow"/>
                <w:sz w:val="18"/>
                <w:szCs w:val="18"/>
                <w:lang w:eastAsia="en-US"/>
              </w:rPr>
              <w:t xml:space="preserve">, </w:t>
            </w:r>
            <w:r w:rsidR="00A8259F" w:rsidRPr="007D1918">
              <w:rPr>
                <w:rFonts w:ascii="Arial Narrow" w:hAnsi="Arial Narrow"/>
                <w:sz w:val="18"/>
                <w:szCs w:val="18"/>
                <w:lang w:eastAsia="en-US"/>
              </w:rPr>
              <w:t>667%</w:t>
            </w:r>
          </w:p>
        </w:tc>
        <w:tc>
          <w:tcPr>
            <w:tcW w:w="750" w:type="pct"/>
            <w:tcBorders>
              <w:top w:val="single" w:sz="4" w:space="0" w:color="auto"/>
              <w:left w:val="single" w:sz="4" w:space="0" w:color="auto"/>
              <w:bottom w:val="single" w:sz="4" w:space="0" w:color="auto"/>
              <w:right w:val="single" w:sz="4" w:space="0" w:color="auto"/>
            </w:tcBorders>
          </w:tcPr>
          <w:p w14:paraId="41558B21" w14:textId="57D534E9" w:rsidR="00FE572F" w:rsidRPr="007D1918" w:rsidRDefault="00B07163" w:rsidP="00FE572F">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Post-operative intubation was more likely to be required in the PE group. This result may be influenced by selection bias</w:t>
            </w:r>
          </w:p>
        </w:tc>
        <w:tc>
          <w:tcPr>
            <w:tcW w:w="422" w:type="pct"/>
            <w:tcBorders>
              <w:top w:val="single" w:sz="4" w:space="0" w:color="auto"/>
              <w:left w:val="single" w:sz="4" w:space="0" w:color="auto"/>
              <w:bottom w:val="single" w:sz="4" w:space="0" w:color="auto"/>
              <w:right w:val="single" w:sz="4" w:space="0" w:color="auto"/>
            </w:tcBorders>
          </w:tcPr>
          <w:p w14:paraId="09C73540" w14:textId="77777777" w:rsidR="00FE572F" w:rsidRPr="007D1918" w:rsidRDefault="00FE572F" w:rsidP="00FE572F">
            <w:pPr>
              <w:spacing w:before="40" w:after="40" w:line="240" w:lineRule="auto"/>
              <w:jc w:val="both"/>
              <w:rPr>
                <w:rFonts w:ascii="Arial Narrow" w:hAnsi="Arial Narrow" w:cs="Cambria Math"/>
                <w:color w:val="00B050"/>
                <w:sz w:val="18"/>
                <w:szCs w:val="18"/>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51" w:type="pct"/>
            <w:tcBorders>
              <w:top w:val="single" w:sz="4" w:space="0" w:color="auto"/>
              <w:left w:val="single" w:sz="4" w:space="0" w:color="auto"/>
              <w:bottom w:val="single" w:sz="4" w:space="0" w:color="auto"/>
            </w:tcBorders>
          </w:tcPr>
          <w:p w14:paraId="3A529DEF" w14:textId="77777777" w:rsidR="00FE572F" w:rsidRPr="007D1918" w:rsidRDefault="00FE572F" w:rsidP="00FE572F">
            <w:pPr>
              <w:spacing w:before="40" w:after="40" w:line="240" w:lineRule="auto"/>
              <w:jc w:val="both"/>
              <w:rPr>
                <w:rFonts w:ascii="Arial Narrow" w:hAnsi="Arial Narrow"/>
                <w:sz w:val="18"/>
                <w:szCs w:val="18"/>
                <w:lang w:eastAsia="en-US"/>
              </w:rPr>
            </w:pPr>
            <w:r w:rsidRPr="007D1918">
              <w:rPr>
                <w:rFonts w:cs="Arial"/>
                <w:sz w:val="18"/>
                <w:szCs w:val="18"/>
              </w:rPr>
              <w:t>IMPORTANT</w:t>
            </w:r>
          </w:p>
        </w:tc>
      </w:tr>
      <w:tr w:rsidR="005C4C24" w:rsidRPr="007D1918" w14:paraId="475A37BC" w14:textId="77777777" w:rsidTr="00BF22B6">
        <w:tc>
          <w:tcPr>
            <w:tcW w:w="5000" w:type="pct"/>
            <w:gridSpan w:val="9"/>
            <w:tcBorders>
              <w:top w:val="single" w:sz="4" w:space="0" w:color="auto"/>
              <w:left w:val="nil"/>
              <w:bottom w:val="single" w:sz="12" w:space="0" w:color="000000"/>
              <w:right w:val="nil"/>
            </w:tcBorders>
            <w:tcMar>
              <w:top w:w="15" w:type="dxa"/>
              <w:left w:w="15" w:type="dxa"/>
              <w:bottom w:w="15" w:type="dxa"/>
              <w:right w:w="15" w:type="dxa"/>
            </w:tcMar>
            <w:vAlign w:val="center"/>
            <w:hideMark/>
          </w:tcPr>
          <w:p w14:paraId="6A11C908" w14:textId="77777777" w:rsidR="005C4C24" w:rsidRPr="007D1918" w:rsidRDefault="005C4C24" w:rsidP="00BF22B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6B18FC7D" w14:textId="6124962C" w:rsidR="005C4C24" w:rsidRPr="007D1918" w:rsidRDefault="005C4C24" w:rsidP="004C15D0">
      <w:pPr>
        <w:pStyle w:val="Tablenotes0"/>
        <w:spacing w:after="80"/>
        <w:contextualSpacing w:val="0"/>
      </w:pPr>
      <w:r w:rsidRPr="007D1918">
        <w:t xml:space="preserve">IVIg = intravenous immunoglobulin therapy; MG = </w:t>
      </w:r>
      <w:r w:rsidR="00A8259F" w:rsidRPr="007D1918">
        <w:t>myasthenia</w:t>
      </w:r>
      <w:r w:rsidRPr="007D1918">
        <w:t xml:space="preserve"> gravis; PE = plasma exchange therapy; </w:t>
      </w:r>
      <w:r w:rsidR="00A514E5" w:rsidRPr="007D1918">
        <w:t xml:space="preserve">QoL = quality of life; </w:t>
      </w:r>
      <w:r w:rsidRPr="007D1918">
        <w:t>R</w:t>
      </w:r>
      <w:r w:rsidR="00773DFA" w:rsidRPr="007D1918">
        <w:t xml:space="preserve">et </w:t>
      </w:r>
      <w:r w:rsidRPr="007D1918">
        <w:t xml:space="preserve">CoH = retrospective cohort study; RCT = randomised controlled trial; </w:t>
      </w:r>
    </w:p>
    <w:p w14:paraId="445CA210" w14:textId="787AFA64" w:rsidR="00A8259F" w:rsidRPr="007D1918" w:rsidRDefault="00A8259F" w:rsidP="005C4C24">
      <w:pPr>
        <w:pStyle w:val="Tablenotes0"/>
      </w:pPr>
      <w:r w:rsidRPr="007D1918">
        <w:rPr>
          <w:vertAlign w:val="superscript"/>
        </w:rPr>
        <w:t>a</w:t>
      </w:r>
      <w:r w:rsidRPr="007D1918">
        <w:t xml:space="preserve"> Participant numbers were too small for an accurate comparison</w:t>
      </w:r>
    </w:p>
    <w:p w14:paraId="389B3568" w14:textId="5D8DB3D3" w:rsidR="005C4C24" w:rsidRPr="007D1918" w:rsidRDefault="00A8259F" w:rsidP="005C4C24">
      <w:pPr>
        <w:pStyle w:val="Tablenotes0"/>
        <w:rPr>
          <w:rStyle w:val="note-text"/>
        </w:rPr>
      </w:pPr>
      <w:r w:rsidRPr="007D1918">
        <w:rPr>
          <w:rStyle w:val="note-text"/>
          <w:vertAlign w:val="superscript"/>
        </w:rPr>
        <w:t>b</w:t>
      </w:r>
      <w:r w:rsidR="005C4C24" w:rsidRPr="007D1918">
        <w:rPr>
          <w:rStyle w:val="note-text"/>
          <w:vertAlign w:val="superscript"/>
        </w:rPr>
        <w:t xml:space="preserve"> </w:t>
      </w:r>
      <w:r w:rsidR="005C4C24" w:rsidRPr="007D1918">
        <w:rPr>
          <w:rStyle w:val="note-text"/>
        </w:rPr>
        <w:t>Selection bias could not be ruled out</w:t>
      </w:r>
    </w:p>
    <w:p w14:paraId="62B57AAA" w14:textId="77777777" w:rsidR="008438DC" w:rsidRPr="007D1918" w:rsidRDefault="008438DC" w:rsidP="008438DC">
      <w:pPr>
        <w:spacing w:after="0"/>
        <w:rPr>
          <w:rStyle w:val="note-text"/>
        </w:rPr>
      </w:pPr>
    </w:p>
    <w:p w14:paraId="5EAD54E8" w14:textId="35E41C65" w:rsidR="005C7DE8" w:rsidRPr="007D1918" w:rsidRDefault="005C7DE8" w:rsidP="005C7DE8">
      <w:pPr>
        <w:pStyle w:val="Caption"/>
        <w:keepNext/>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85"/>
        </w:tabs>
      </w:pPr>
      <w:bookmarkStart w:id="617" w:name="_Toc23769595"/>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108</w:t>
      </w:r>
      <w:r w:rsidRPr="007D1918">
        <w:rPr>
          <w:noProof/>
        </w:rPr>
        <w:fldChar w:fldCharType="end"/>
      </w:r>
      <w:r w:rsidRPr="007D1918">
        <w:tab/>
        <w:t>Effectiveness evidence profile table for IVIg in MG patients on maintenance therapy (</w:t>
      </w:r>
      <w:r w:rsidR="0088065E" w:rsidRPr="007D1918">
        <w:rPr>
          <w:i/>
        </w:rPr>
        <w:t>Criteria V3</w:t>
      </w:r>
      <w:r w:rsidR="0088065E" w:rsidRPr="007D1918">
        <w:t xml:space="preserve"> </w:t>
      </w:r>
      <w:r w:rsidRPr="007D1918">
        <w:t>Indication 3)</w:t>
      </w:r>
      <w:bookmarkEnd w:id="617"/>
    </w:p>
    <w:tbl>
      <w:tblPr>
        <w:tblW w:w="5000" w:type="pct"/>
        <w:tblLook w:val="04A0" w:firstRow="1" w:lastRow="0" w:firstColumn="1" w:lastColumn="0" w:noHBand="0" w:noVBand="1"/>
        <w:tblCaption w:val="Table 65 Effectiveness evidence profile table for IVIg in MG patients on maintenance therapy (Criteria V3 Indication 3)"/>
        <w:tblDescription w:val="GRADE effectiveness profile for Inidcation 3."/>
      </w:tblPr>
      <w:tblGrid>
        <w:gridCol w:w="1844"/>
        <w:gridCol w:w="1556"/>
        <w:gridCol w:w="2001"/>
        <w:gridCol w:w="1698"/>
        <w:gridCol w:w="1698"/>
        <w:gridCol w:w="1550"/>
        <w:gridCol w:w="2410"/>
        <w:gridCol w:w="1135"/>
        <w:gridCol w:w="1244"/>
      </w:tblGrid>
      <w:tr w:rsidR="005C7DE8" w:rsidRPr="007D1918" w14:paraId="08CABA02" w14:textId="77777777" w:rsidTr="00300091">
        <w:tc>
          <w:tcPr>
            <w:tcW w:w="5000" w:type="pct"/>
            <w:gridSpan w:val="9"/>
            <w:tcBorders>
              <w:top w:val="single" w:sz="12" w:space="0" w:color="000000"/>
              <w:left w:val="nil"/>
              <w:bottom w:val="single" w:sz="12" w:space="0" w:color="000000"/>
              <w:right w:val="nil"/>
            </w:tcBorders>
            <w:shd w:val="clear" w:color="auto" w:fill="FFFFFF" w:themeFill="background1"/>
            <w:tcMar>
              <w:top w:w="45" w:type="dxa"/>
              <w:left w:w="45" w:type="dxa"/>
              <w:bottom w:w="45" w:type="dxa"/>
              <w:right w:w="45" w:type="dxa"/>
            </w:tcMar>
            <w:vAlign w:val="center"/>
            <w:hideMark/>
          </w:tcPr>
          <w:p w14:paraId="3A9F4051" w14:textId="43E7E8AC" w:rsidR="005C7DE8" w:rsidRPr="007D1918" w:rsidRDefault="005C7DE8" w:rsidP="00BF22B6">
            <w:pPr>
              <w:spacing w:before="40" w:after="40" w:line="240" w:lineRule="auto"/>
              <w:rPr>
                <w:rFonts w:ascii="Arial Narrow" w:hAnsi="Arial Narrow"/>
                <w:sz w:val="20"/>
                <w:szCs w:val="20"/>
                <w:lang w:eastAsia="en-US"/>
              </w:rPr>
            </w:pPr>
            <w:r w:rsidRPr="007D1918">
              <w:rPr>
                <w:rFonts w:ascii="Arial Narrow" w:hAnsi="Arial Narrow"/>
                <w:b/>
                <w:bCs/>
                <w:sz w:val="20"/>
                <w:szCs w:val="20"/>
                <w:lang w:eastAsia="en-US"/>
              </w:rPr>
              <w:t xml:space="preserve">Question: </w:t>
            </w:r>
            <w:r w:rsidRPr="007D1918">
              <w:rPr>
                <w:rFonts w:ascii="Arial Narrow" w:hAnsi="Arial Narrow"/>
                <w:bCs/>
                <w:sz w:val="20"/>
                <w:szCs w:val="20"/>
                <w:lang w:eastAsia="en-US"/>
              </w:rPr>
              <w:t>How effective is</w:t>
            </w:r>
            <w:r w:rsidRPr="007D1918">
              <w:rPr>
                <w:rFonts w:ascii="Arial Narrow" w:hAnsi="Arial Narrow"/>
                <w:b/>
                <w:bCs/>
                <w:sz w:val="20"/>
                <w:szCs w:val="20"/>
                <w:lang w:eastAsia="en-US"/>
              </w:rPr>
              <w:t xml:space="preserve"> </w:t>
            </w:r>
            <w:r w:rsidRPr="007D1918">
              <w:rPr>
                <w:rFonts w:ascii="Arial Narrow" w:hAnsi="Arial Narrow"/>
                <w:sz w:val="20"/>
                <w:szCs w:val="20"/>
                <w:lang w:eastAsia="en-US"/>
              </w:rPr>
              <w:t xml:space="preserve">IVIg for patients with MG? </w:t>
            </w:r>
          </w:p>
          <w:p w14:paraId="0A733CD2" w14:textId="77777777" w:rsidR="005C7DE8" w:rsidRPr="007D1918" w:rsidRDefault="005C7DE8" w:rsidP="00BF22B6">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Patient or population: P</w:t>
            </w:r>
            <w:r w:rsidRPr="007D1918">
              <w:rPr>
                <w:rFonts w:ascii="Arial Narrow" w:hAnsi="Arial Narrow"/>
                <w:sz w:val="20"/>
                <w:szCs w:val="20"/>
                <w:lang w:eastAsia="en-US"/>
              </w:rPr>
              <w:t>atients with moderate to severe MG needing to change maintenance therapy</w:t>
            </w:r>
          </w:p>
          <w:p w14:paraId="01F0EC28" w14:textId="77777777" w:rsidR="005C7DE8" w:rsidRPr="007D1918" w:rsidRDefault="005C7DE8" w:rsidP="00BF22B6">
            <w:pPr>
              <w:spacing w:before="40" w:after="40" w:line="240" w:lineRule="auto"/>
              <w:ind w:left="806" w:hanging="806"/>
              <w:rPr>
                <w:rFonts w:ascii="Arial Narrow" w:hAnsi="Arial Narrow"/>
                <w:sz w:val="20"/>
                <w:szCs w:val="20"/>
                <w:lang w:eastAsia="en-US"/>
              </w:rPr>
            </w:pPr>
            <w:r w:rsidRPr="007D1918">
              <w:rPr>
                <w:rFonts w:ascii="Arial Narrow" w:hAnsi="Arial Narrow"/>
                <w:b/>
                <w:bCs/>
                <w:sz w:val="20"/>
                <w:szCs w:val="20"/>
                <w:lang w:eastAsia="en-US"/>
              </w:rPr>
              <w:t>Intervention:</w:t>
            </w:r>
            <w:r w:rsidRPr="007D1918">
              <w:rPr>
                <w:rFonts w:ascii="Arial Narrow" w:hAnsi="Arial Narrow"/>
                <w:sz w:val="20"/>
                <w:szCs w:val="20"/>
                <w:lang w:eastAsia="en-US"/>
              </w:rPr>
              <w:t xml:space="preserve"> IVIg</w:t>
            </w:r>
          </w:p>
          <w:p w14:paraId="12A05FEC" w14:textId="549A5A2D" w:rsidR="005C7DE8" w:rsidRPr="007D1918" w:rsidRDefault="005C7DE8" w:rsidP="00BF22B6">
            <w:pPr>
              <w:spacing w:before="40" w:after="40" w:line="240" w:lineRule="auto"/>
              <w:ind w:left="806" w:hanging="806"/>
              <w:rPr>
                <w:rFonts w:ascii="Arial Narrow" w:hAnsi="Arial Narrow"/>
                <w:b/>
                <w:bCs/>
                <w:sz w:val="20"/>
                <w:szCs w:val="20"/>
                <w:lang w:eastAsia="en-US"/>
              </w:rPr>
            </w:pPr>
            <w:r w:rsidRPr="007D1918">
              <w:rPr>
                <w:rFonts w:ascii="Arial Narrow" w:hAnsi="Arial Narrow"/>
                <w:b/>
                <w:bCs/>
                <w:sz w:val="20"/>
                <w:szCs w:val="20"/>
                <w:lang w:eastAsia="en-US"/>
              </w:rPr>
              <w:t xml:space="preserve">Comparison: </w:t>
            </w:r>
            <w:r w:rsidRPr="007D1918">
              <w:rPr>
                <w:rFonts w:ascii="Arial Narrow" w:hAnsi="Arial Narrow"/>
                <w:bCs/>
                <w:sz w:val="20"/>
                <w:szCs w:val="20"/>
                <w:lang w:eastAsia="en-US"/>
              </w:rPr>
              <w:t>PE; placebo (standard therapies alone)</w:t>
            </w:r>
          </w:p>
          <w:p w14:paraId="2D8CACB7" w14:textId="58AB2E6F" w:rsidR="005C7DE8" w:rsidRPr="007D1918" w:rsidRDefault="005C7DE8" w:rsidP="007D4948">
            <w:pPr>
              <w:spacing w:before="40" w:after="40" w:line="240" w:lineRule="auto"/>
              <w:jc w:val="both"/>
              <w:rPr>
                <w:rFonts w:ascii="Arial Narrow" w:hAnsi="Arial Narrow"/>
                <w:b/>
                <w:bCs/>
                <w:sz w:val="20"/>
                <w:szCs w:val="20"/>
                <w:lang w:eastAsia="en-US"/>
              </w:rPr>
            </w:pPr>
            <w:r w:rsidRPr="007D1918">
              <w:rPr>
                <w:rFonts w:ascii="Arial Narrow" w:hAnsi="Arial Narrow"/>
                <w:b/>
                <w:bCs/>
                <w:sz w:val="20"/>
                <w:szCs w:val="20"/>
                <w:lang w:eastAsia="en-US"/>
              </w:rPr>
              <w:t xml:space="preserve">Author(s): </w:t>
            </w:r>
            <w:r w:rsidR="003736AC" w:rsidRPr="007D1918">
              <w:rPr>
                <w:rFonts w:ascii="Arial Narrow" w:hAnsi="Arial Narrow"/>
                <w:b/>
                <w:bCs/>
                <w:sz w:val="20"/>
                <w:szCs w:val="20"/>
                <w:lang w:eastAsia="en-US"/>
              </w:rPr>
              <w:fldChar w:fldCharType="begin">
                <w:fldData xml:space="preserve">PEVuZE5vdGU+PENpdGU+PEF1dGhvcj5CYXJuZXR0PC9BdXRob3I+PFllYXI+MjAxMzwvWWVhcj48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=
</w:fldData>
              </w:fldChar>
            </w:r>
            <w:r w:rsidR="007F4CDE" w:rsidRPr="007D1918">
              <w:rPr>
                <w:rFonts w:ascii="Arial Narrow" w:hAnsi="Arial Narrow"/>
                <w:b/>
                <w:bCs/>
                <w:sz w:val="20"/>
                <w:szCs w:val="20"/>
                <w:lang w:eastAsia="en-US"/>
              </w:rPr>
              <w:instrText xml:space="preserve"> ADDIN EN.CITE </w:instrText>
            </w:r>
            <w:r w:rsidR="007F4CDE" w:rsidRPr="007D1918">
              <w:rPr>
                <w:rFonts w:ascii="Arial Narrow" w:hAnsi="Arial Narrow"/>
                <w:b/>
                <w:bCs/>
                <w:sz w:val="20"/>
                <w:szCs w:val="20"/>
                <w:lang w:eastAsia="en-US"/>
              </w:rPr>
              <w:fldChar w:fldCharType="begin">
                <w:fldData xml:space="preserve">PEVuZE5vdGU+PENpdGU+PEF1dGhvcj5CYXJuZXR0PC9BdXRob3I+PFllYXI+MjAxMzwvWWVhcj48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=
</w:fldData>
              </w:fldChar>
            </w:r>
            <w:r w:rsidR="007F4CDE" w:rsidRPr="007D1918">
              <w:rPr>
                <w:rFonts w:ascii="Arial Narrow" w:hAnsi="Arial Narrow"/>
                <w:b/>
                <w:bCs/>
                <w:sz w:val="20"/>
                <w:szCs w:val="20"/>
                <w:lang w:eastAsia="en-US"/>
              </w:rPr>
              <w:instrText xml:space="preserve"> ADDIN EN.CITE.DATA </w:instrText>
            </w:r>
            <w:r w:rsidR="007F4CDE" w:rsidRPr="007D1918">
              <w:rPr>
                <w:rFonts w:ascii="Arial Narrow" w:hAnsi="Arial Narrow"/>
                <w:b/>
                <w:bCs/>
                <w:sz w:val="20"/>
                <w:szCs w:val="20"/>
                <w:lang w:eastAsia="en-US"/>
              </w:rPr>
            </w:r>
            <w:r w:rsidR="007F4CDE" w:rsidRPr="007D1918">
              <w:rPr>
                <w:rFonts w:ascii="Arial Narrow" w:hAnsi="Arial Narrow"/>
                <w:b/>
                <w:bCs/>
                <w:sz w:val="20"/>
                <w:szCs w:val="20"/>
                <w:lang w:eastAsia="en-US"/>
              </w:rPr>
              <w:fldChar w:fldCharType="end"/>
            </w:r>
            <w:r w:rsidR="003736AC" w:rsidRPr="007D1918">
              <w:rPr>
                <w:rFonts w:ascii="Arial Narrow" w:hAnsi="Arial Narrow"/>
                <w:b/>
                <w:bCs/>
                <w:sz w:val="20"/>
                <w:szCs w:val="20"/>
                <w:lang w:eastAsia="en-US"/>
              </w:rPr>
            </w:r>
            <w:r w:rsidR="003736AC" w:rsidRPr="007D1918">
              <w:rPr>
                <w:rFonts w:ascii="Arial Narrow" w:hAnsi="Arial Narrow"/>
                <w:b/>
                <w:bCs/>
                <w:sz w:val="20"/>
                <w:szCs w:val="20"/>
                <w:lang w:eastAsia="en-US"/>
              </w:rPr>
              <w:fldChar w:fldCharType="separate"/>
            </w:r>
            <w:r w:rsidR="001A0E53" w:rsidRPr="007D1918">
              <w:rPr>
                <w:rFonts w:ascii="Arial Narrow" w:hAnsi="Arial Narrow"/>
                <w:b/>
                <w:bCs/>
                <w:noProof/>
                <w:sz w:val="20"/>
                <w:szCs w:val="20"/>
                <w:lang w:eastAsia="en-US"/>
              </w:rPr>
              <w:t>(</w:t>
            </w:r>
            <w:hyperlink w:anchor="_ENREF_7" w:tooltip="Barnett, 2013 #18" w:history="1">
              <w:r w:rsidR="007D4948" w:rsidRPr="007D1918">
                <w:rPr>
                  <w:rFonts w:ascii="Arial Narrow" w:hAnsi="Arial Narrow"/>
                  <w:b/>
                  <w:bCs/>
                  <w:noProof/>
                  <w:sz w:val="20"/>
                  <w:szCs w:val="20"/>
                  <w:lang w:eastAsia="en-US"/>
                </w:rPr>
                <w:t>Barnett et al. 2013</w:t>
              </w:r>
            </w:hyperlink>
            <w:r w:rsidR="001A0E53" w:rsidRPr="007D1918">
              <w:rPr>
                <w:rFonts w:ascii="Arial Narrow" w:hAnsi="Arial Narrow"/>
                <w:b/>
                <w:bCs/>
                <w:noProof/>
                <w:sz w:val="20"/>
                <w:szCs w:val="20"/>
                <w:lang w:eastAsia="en-US"/>
              </w:rPr>
              <w:t xml:space="preserve">; </w:t>
            </w:r>
            <w:hyperlink w:anchor="_ENREF_8" w:tooltip="Barth, 2011 #48" w:history="1">
              <w:r w:rsidR="007D4948" w:rsidRPr="007D1918">
                <w:rPr>
                  <w:rFonts w:ascii="Arial Narrow" w:hAnsi="Arial Narrow"/>
                  <w:b/>
                  <w:bCs/>
                  <w:noProof/>
                  <w:sz w:val="20"/>
                  <w:szCs w:val="20"/>
                  <w:lang w:eastAsia="en-US"/>
                </w:rPr>
                <w:t>Barth et al. 2011</w:t>
              </w:r>
            </w:hyperlink>
            <w:r w:rsidR="001A0E53" w:rsidRPr="007D1918">
              <w:rPr>
                <w:rFonts w:ascii="Arial Narrow" w:hAnsi="Arial Narrow"/>
                <w:b/>
                <w:bCs/>
                <w:noProof/>
                <w:sz w:val="20"/>
                <w:szCs w:val="20"/>
                <w:lang w:eastAsia="en-US"/>
              </w:rPr>
              <w:t xml:space="preserve">; </w:t>
            </w:r>
            <w:hyperlink w:anchor="_ENREF_9" w:tooltip="Beecher, 2017 #49" w:history="1">
              <w:r w:rsidR="007D4948" w:rsidRPr="007D1918">
                <w:rPr>
                  <w:rFonts w:ascii="Arial Narrow" w:hAnsi="Arial Narrow"/>
                  <w:b/>
                  <w:bCs/>
                  <w:noProof/>
                  <w:sz w:val="20"/>
                  <w:szCs w:val="20"/>
                  <w:lang w:eastAsia="en-US"/>
                </w:rPr>
                <w:t>Beecher, Anderson &amp; Siddiqi 2017</w:t>
              </w:r>
            </w:hyperlink>
            <w:r w:rsidR="001A0E53" w:rsidRPr="007D1918">
              <w:rPr>
                <w:rFonts w:ascii="Arial Narrow" w:hAnsi="Arial Narrow"/>
                <w:b/>
                <w:bCs/>
                <w:noProof/>
                <w:sz w:val="20"/>
                <w:szCs w:val="20"/>
                <w:lang w:eastAsia="en-US"/>
              </w:rPr>
              <w:t xml:space="preserve">; </w:t>
            </w:r>
            <w:hyperlink w:anchor="_ENREF_12" w:tooltip="Bourque, 2016 #50" w:history="1">
              <w:r w:rsidR="007D4948" w:rsidRPr="007D1918">
                <w:rPr>
                  <w:rFonts w:ascii="Arial Narrow" w:hAnsi="Arial Narrow"/>
                  <w:b/>
                  <w:bCs/>
                  <w:noProof/>
                  <w:sz w:val="20"/>
                  <w:szCs w:val="20"/>
                  <w:lang w:eastAsia="en-US"/>
                </w:rPr>
                <w:t>Bourque et al. 2016</w:t>
              </w:r>
            </w:hyperlink>
            <w:r w:rsidR="001A0E53" w:rsidRPr="007D1918">
              <w:rPr>
                <w:rFonts w:ascii="Arial Narrow" w:hAnsi="Arial Narrow"/>
                <w:b/>
                <w:bCs/>
                <w:noProof/>
                <w:sz w:val="20"/>
                <w:szCs w:val="20"/>
                <w:lang w:eastAsia="en-US"/>
              </w:rPr>
              <w:t xml:space="preserve">; </w:t>
            </w:r>
            <w:hyperlink w:anchor="_ENREF_40" w:tooltip="Griffin, 2017 #62" w:history="1">
              <w:r w:rsidR="007D4948" w:rsidRPr="007D1918">
                <w:rPr>
                  <w:rFonts w:ascii="Arial Narrow" w:hAnsi="Arial Narrow"/>
                  <w:b/>
                  <w:bCs/>
                  <w:noProof/>
                  <w:sz w:val="20"/>
                  <w:szCs w:val="20"/>
                  <w:lang w:eastAsia="en-US"/>
                </w:rPr>
                <w:t>Griffin et al. 2017b</w:t>
              </w:r>
            </w:hyperlink>
            <w:r w:rsidR="001A0E53" w:rsidRPr="007D1918">
              <w:rPr>
                <w:rFonts w:ascii="Arial Narrow" w:hAnsi="Arial Narrow"/>
                <w:b/>
                <w:bCs/>
                <w:noProof/>
                <w:sz w:val="20"/>
                <w:szCs w:val="20"/>
                <w:lang w:eastAsia="en-US"/>
              </w:rPr>
              <w:t xml:space="preserve">; </w:t>
            </w:r>
            <w:hyperlink w:anchor="_ENREF_62" w:tooltip="Liew, 2014 #55" w:history="1">
              <w:r w:rsidR="007D4948" w:rsidRPr="007D1918">
                <w:rPr>
                  <w:rFonts w:ascii="Arial Narrow" w:hAnsi="Arial Narrow"/>
                  <w:b/>
                  <w:bCs/>
                  <w:noProof/>
                  <w:sz w:val="20"/>
                  <w:szCs w:val="20"/>
                  <w:lang w:eastAsia="en-US"/>
                </w:rPr>
                <w:t>Liew et al. 2014</w:t>
              </w:r>
            </w:hyperlink>
            <w:r w:rsidR="001A0E53" w:rsidRPr="007D1918">
              <w:rPr>
                <w:rFonts w:ascii="Arial Narrow" w:hAnsi="Arial Narrow"/>
                <w:b/>
                <w:bCs/>
                <w:noProof/>
                <w:sz w:val="20"/>
                <w:szCs w:val="20"/>
                <w:lang w:eastAsia="en-US"/>
              </w:rPr>
              <w:t xml:space="preserve">; </w:t>
            </w:r>
            <w:hyperlink w:anchor="_ENREF_63" w:tooltip="Liu, 2010 #56" w:history="1">
              <w:r w:rsidR="007D4948" w:rsidRPr="007D1918">
                <w:rPr>
                  <w:rFonts w:ascii="Arial Narrow" w:hAnsi="Arial Narrow"/>
                  <w:b/>
                  <w:bCs/>
                  <w:noProof/>
                  <w:sz w:val="20"/>
                  <w:szCs w:val="20"/>
                  <w:lang w:eastAsia="en-US"/>
                </w:rPr>
                <w:t>Liu et al. 2010</w:t>
              </w:r>
            </w:hyperlink>
            <w:r w:rsidR="001A0E53" w:rsidRPr="007D1918">
              <w:rPr>
                <w:rFonts w:ascii="Arial Narrow" w:hAnsi="Arial Narrow"/>
                <w:b/>
                <w:bCs/>
                <w:noProof/>
                <w:sz w:val="20"/>
                <w:szCs w:val="20"/>
                <w:lang w:eastAsia="en-US"/>
              </w:rPr>
              <w:t xml:space="preserve">; </w:t>
            </w:r>
            <w:hyperlink w:anchor="_ENREF_64" w:tooltip="Mandawat, 2010 #37" w:history="1">
              <w:r w:rsidR="007D4948" w:rsidRPr="007D1918">
                <w:rPr>
                  <w:rFonts w:ascii="Arial Narrow" w:hAnsi="Arial Narrow"/>
                  <w:b/>
                  <w:bCs/>
                  <w:noProof/>
                  <w:sz w:val="20"/>
                  <w:szCs w:val="20"/>
                  <w:lang w:eastAsia="en-US"/>
                </w:rPr>
                <w:t>Mandawat et al. 2010</w:t>
              </w:r>
            </w:hyperlink>
            <w:r w:rsidR="001A0E53" w:rsidRPr="007D1918">
              <w:rPr>
                <w:rFonts w:ascii="Arial Narrow" w:hAnsi="Arial Narrow"/>
                <w:b/>
                <w:bCs/>
                <w:noProof/>
                <w:sz w:val="20"/>
                <w:szCs w:val="20"/>
                <w:lang w:eastAsia="en-US"/>
              </w:rPr>
              <w:t xml:space="preserve">; </w:t>
            </w:r>
            <w:hyperlink w:anchor="_ENREF_83" w:tooltip="Rønager, 2001 #41" w:history="1">
              <w:r w:rsidR="007D4948" w:rsidRPr="007D1918">
                <w:rPr>
                  <w:rFonts w:ascii="Arial Narrow" w:hAnsi="Arial Narrow"/>
                  <w:b/>
                  <w:bCs/>
                  <w:noProof/>
                  <w:sz w:val="20"/>
                  <w:szCs w:val="20"/>
                  <w:lang w:eastAsia="en-US"/>
                </w:rPr>
                <w:t>Rønager et al. 2001</w:t>
              </w:r>
            </w:hyperlink>
            <w:r w:rsidR="001A0E53" w:rsidRPr="007D1918">
              <w:rPr>
                <w:rFonts w:ascii="Arial Narrow" w:hAnsi="Arial Narrow"/>
                <w:b/>
                <w:bCs/>
                <w:noProof/>
                <w:sz w:val="20"/>
                <w:szCs w:val="20"/>
                <w:lang w:eastAsia="en-US"/>
              </w:rPr>
              <w:t xml:space="preserve">; </w:t>
            </w:r>
            <w:hyperlink w:anchor="_ENREF_104" w:tooltip="Wang, 2016 #43" w:history="1">
              <w:r w:rsidR="007D4948" w:rsidRPr="007D1918">
                <w:rPr>
                  <w:rFonts w:ascii="Arial Narrow" w:hAnsi="Arial Narrow"/>
                  <w:b/>
                  <w:bCs/>
                  <w:noProof/>
                  <w:sz w:val="20"/>
                  <w:szCs w:val="20"/>
                  <w:lang w:eastAsia="en-US"/>
                </w:rPr>
                <w:t>Wang et al. 2016</w:t>
              </w:r>
            </w:hyperlink>
            <w:r w:rsidR="001A0E53" w:rsidRPr="007D1918">
              <w:rPr>
                <w:rFonts w:ascii="Arial Narrow" w:hAnsi="Arial Narrow"/>
                <w:b/>
                <w:bCs/>
                <w:noProof/>
                <w:sz w:val="20"/>
                <w:szCs w:val="20"/>
                <w:lang w:eastAsia="en-US"/>
              </w:rPr>
              <w:t xml:space="preserve">; </w:t>
            </w:r>
            <w:hyperlink w:anchor="_ENREF_109" w:tooltip="Zinman, 2007 #44" w:history="1">
              <w:r w:rsidR="007D4948" w:rsidRPr="007D1918">
                <w:rPr>
                  <w:rFonts w:ascii="Arial Narrow" w:hAnsi="Arial Narrow"/>
                  <w:b/>
                  <w:bCs/>
                  <w:noProof/>
                  <w:sz w:val="20"/>
                  <w:szCs w:val="20"/>
                  <w:lang w:eastAsia="en-US"/>
                </w:rPr>
                <w:t>Zinman, Ng &amp; Bril 2007</w:t>
              </w:r>
            </w:hyperlink>
            <w:r w:rsidR="001A0E53" w:rsidRPr="007D1918">
              <w:rPr>
                <w:rFonts w:ascii="Arial Narrow" w:hAnsi="Arial Narrow"/>
                <w:b/>
                <w:bCs/>
                <w:noProof/>
                <w:sz w:val="20"/>
                <w:szCs w:val="20"/>
                <w:lang w:eastAsia="en-US"/>
              </w:rPr>
              <w:t>)</w:t>
            </w:r>
            <w:r w:rsidR="003736AC" w:rsidRPr="007D1918">
              <w:rPr>
                <w:rFonts w:ascii="Arial Narrow" w:hAnsi="Arial Narrow"/>
                <w:b/>
                <w:bCs/>
                <w:sz w:val="20"/>
                <w:szCs w:val="20"/>
                <w:lang w:eastAsia="en-US"/>
              </w:rPr>
              <w:fldChar w:fldCharType="end"/>
            </w:r>
          </w:p>
        </w:tc>
      </w:tr>
      <w:tr w:rsidR="005C7DE8" w:rsidRPr="007D1918" w14:paraId="3323BF65" w14:textId="77777777" w:rsidTr="00BF22B6">
        <w:tc>
          <w:tcPr>
            <w:tcW w:w="5000" w:type="pct"/>
            <w:gridSpan w:val="9"/>
            <w:tcBorders>
              <w:top w:val="single" w:sz="12" w:space="0" w:color="000000"/>
              <w:left w:val="nil"/>
              <w:bottom w:val="single" w:sz="4" w:space="0" w:color="auto"/>
              <w:right w:val="nil"/>
            </w:tcBorders>
            <w:tcMar>
              <w:top w:w="45" w:type="dxa"/>
              <w:left w:w="45" w:type="dxa"/>
              <w:bottom w:w="45" w:type="dxa"/>
              <w:right w:w="45" w:type="dxa"/>
            </w:tcMar>
            <w:vAlign w:val="center"/>
          </w:tcPr>
          <w:p w14:paraId="644E83D0" w14:textId="77777777" w:rsidR="005C7DE8" w:rsidRPr="007D1918" w:rsidRDefault="005C7DE8" w:rsidP="00BF22B6">
            <w:pPr>
              <w:spacing w:before="40" w:after="40" w:line="240" w:lineRule="auto"/>
              <w:jc w:val="both"/>
              <w:rPr>
                <w:rFonts w:ascii="Arial Narrow" w:hAnsi="Arial Narrow"/>
                <w:b/>
                <w:bCs/>
                <w:sz w:val="16"/>
                <w:szCs w:val="16"/>
                <w:lang w:eastAsia="en-US"/>
              </w:rPr>
            </w:pPr>
          </w:p>
        </w:tc>
      </w:tr>
      <w:tr w:rsidR="005C7DE8" w:rsidRPr="007D1918" w14:paraId="63BD71AB" w14:textId="77777777" w:rsidTr="00300091">
        <w:trPr>
          <w:trHeight w:val="60"/>
          <w:tblHeader/>
        </w:trPr>
        <w:tc>
          <w:tcPr>
            <w:tcW w:w="1784" w:type="pct"/>
            <w:gridSpan w:val="3"/>
            <w:tcBorders>
              <w:top w:val="single" w:sz="4" w:space="0" w:color="auto"/>
              <w:bottom w:val="single" w:sz="4" w:space="0" w:color="auto"/>
              <w:right w:val="single" w:sz="4" w:space="0" w:color="auto"/>
            </w:tcBorders>
            <w:shd w:val="clear" w:color="auto" w:fill="EEECE1" w:themeFill="background2"/>
          </w:tcPr>
          <w:p w14:paraId="7D7250B1"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assessment</w:t>
            </w:r>
          </w:p>
        </w:tc>
        <w:tc>
          <w:tcPr>
            <w:tcW w:w="2430" w:type="pct"/>
            <w:gridSpan w:val="4"/>
            <w:tcBorders>
              <w:top w:val="single" w:sz="4" w:space="0" w:color="auto"/>
              <w:left w:val="single" w:sz="4" w:space="0" w:color="auto"/>
              <w:bottom w:val="single" w:sz="4" w:space="0" w:color="auto"/>
              <w:right w:val="single" w:sz="4" w:space="0" w:color="auto"/>
            </w:tcBorders>
            <w:shd w:val="clear" w:color="auto" w:fill="EEECE1" w:themeFill="background2"/>
          </w:tcPr>
          <w:p w14:paraId="258E8FB0"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Effect</w:t>
            </w:r>
          </w:p>
        </w:tc>
        <w:tc>
          <w:tcPr>
            <w:tcW w:w="375" w:type="pct"/>
            <w:vMerge w:val="restart"/>
            <w:tcBorders>
              <w:top w:val="single" w:sz="4" w:space="0" w:color="auto"/>
              <w:left w:val="single" w:sz="4" w:space="0" w:color="auto"/>
              <w:bottom w:val="single" w:sz="4" w:space="0" w:color="auto"/>
              <w:right w:val="single" w:sz="4" w:space="0" w:color="auto"/>
            </w:tcBorders>
            <w:shd w:val="clear" w:color="auto" w:fill="EEECE1" w:themeFill="background2"/>
          </w:tcPr>
          <w:p w14:paraId="692B104D"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GRADE</w:t>
            </w:r>
          </w:p>
        </w:tc>
        <w:tc>
          <w:tcPr>
            <w:tcW w:w="411" w:type="pct"/>
            <w:vMerge w:val="restart"/>
            <w:tcBorders>
              <w:top w:val="single" w:sz="4" w:space="0" w:color="auto"/>
              <w:left w:val="single" w:sz="4" w:space="0" w:color="auto"/>
              <w:bottom w:val="single" w:sz="4" w:space="0" w:color="auto"/>
            </w:tcBorders>
            <w:shd w:val="clear" w:color="auto" w:fill="EEECE1" w:themeFill="background2"/>
          </w:tcPr>
          <w:p w14:paraId="341D511C"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Importance</w:t>
            </w:r>
          </w:p>
        </w:tc>
      </w:tr>
      <w:tr w:rsidR="00E458FF" w:rsidRPr="007D1918" w14:paraId="38D7CE0C" w14:textId="77777777" w:rsidTr="00300091">
        <w:trPr>
          <w:trHeight w:val="60"/>
          <w:tblHeader/>
        </w:trPr>
        <w:tc>
          <w:tcPr>
            <w:tcW w:w="609" w:type="pct"/>
            <w:tcBorders>
              <w:top w:val="single" w:sz="4" w:space="0" w:color="auto"/>
              <w:bottom w:val="single" w:sz="4" w:space="0" w:color="auto"/>
              <w:right w:val="single" w:sz="4" w:space="0" w:color="auto"/>
            </w:tcBorders>
            <w:shd w:val="clear" w:color="auto" w:fill="EEECE1" w:themeFill="background2"/>
          </w:tcPr>
          <w:p w14:paraId="75BE866F"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Outcome</w:t>
            </w:r>
          </w:p>
          <w:p w14:paraId="29383DF2"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Comparison</w:t>
            </w:r>
          </w:p>
        </w:tc>
        <w:tc>
          <w:tcPr>
            <w:tcW w:w="514" w:type="pct"/>
            <w:tcBorders>
              <w:top w:val="single" w:sz="4" w:space="0" w:color="auto"/>
              <w:left w:val="single" w:sz="4" w:space="0" w:color="auto"/>
              <w:bottom w:val="single" w:sz="4" w:space="0" w:color="auto"/>
              <w:right w:val="single" w:sz="4" w:space="0" w:color="auto"/>
            </w:tcBorders>
            <w:shd w:val="clear" w:color="auto" w:fill="EEECE1" w:themeFill="background2"/>
          </w:tcPr>
          <w:p w14:paraId="6DAD3CDC" w14:textId="66C2573F"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Participants</w:t>
            </w:r>
            <w:r w:rsidR="00884BF0" w:rsidRPr="007D1918">
              <w:rPr>
                <w:rFonts w:ascii="Arial Narrow" w:hAnsi="Arial Narrow"/>
                <w:b/>
                <w:sz w:val="20"/>
                <w:szCs w:val="20"/>
                <w:lang w:eastAsia="en-US"/>
              </w:rPr>
              <w:t xml:space="preserve"> (n)</w:t>
            </w:r>
          </w:p>
          <w:p w14:paraId="2A04BCDC" w14:textId="489A04D2"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Studies</w:t>
            </w:r>
            <w:r w:rsidR="00884BF0" w:rsidRPr="007D1918">
              <w:rPr>
                <w:rFonts w:ascii="Arial Narrow" w:hAnsi="Arial Narrow"/>
                <w:b/>
                <w:sz w:val="20"/>
                <w:szCs w:val="20"/>
                <w:lang w:eastAsia="en-US"/>
              </w:rPr>
              <w:t xml:space="preserve"> (k)</w:t>
            </w:r>
          </w:p>
        </w:tc>
        <w:tc>
          <w:tcPr>
            <w:tcW w:w="661" w:type="pct"/>
            <w:tcBorders>
              <w:top w:val="single" w:sz="4" w:space="0" w:color="auto"/>
              <w:left w:val="single" w:sz="4" w:space="0" w:color="auto"/>
              <w:bottom w:val="single" w:sz="4" w:space="0" w:color="auto"/>
              <w:right w:val="single" w:sz="4" w:space="0" w:color="auto"/>
            </w:tcBorders>
            <w:shd w:val="clear" w:color="auto" w:fill="EEECE1" w:themeFill="background2"/>
          </w:tcPr>
          <w:p w14:paraId="01A43B7C"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Quality of evidence</w:t>
            </w:r>
          </w:p>
          <w:p w14:paraId="12CDFDFF" w14:textId="7249AC0F" w:rsidR="00884BF0" w:rsidRPr="007D1918" w:rsidRDefault="00DA47E5" w:rsidP="00DA47E5">
            <w:pPr>
              <w:spacing w:before="40" w:after="40" w:line="240" w:lineRule="auto"/>
              <w:rPr>
                <w:rFonts w:ascii="Arial Narrow" w:hAnsi="Arial Narrow"/>
                <w:b/>
                <w:sz w:val="16"/>
                <w:szCs w:val="16"/>
                <w:lang w:eastAsia="en-US"/>
              </w:rPr>
            </w:pPr>
            <w:r w:rsidRPr="007D1918">
              <w:rPr>
                <w:rFonts w:ascii="Arial Narrow" w:hAnsi="Arial Narrow"/>
                <w:b/>
                <w:sz w:val="16"/>
                <w:szCs w:val="16"/>
                <w:lang w:eastAsia="en-US"/>
              </w:rPr>
              <w:t xml:space="preserve">Key: 0=not serious; </w:t>
            </w:r>
            <w:r w:rsidRPr="007D1918">
              <w:rPr>
                <w:rFonts w:ascii="Arial Narrow" w:hAnsi="Arial Narrow"/>
                <w:b/>
                <w:sz w:val="16"/>
                <w:szCs w:val="16"/>
                <w:lang w:eastAsia="en-US"/>
              </w:rPr>
              <w:br/>
              <w:t>-1=serious; -2=very serious</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0395CA5A"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Intervention result</w:t>
            </w:r>
          </w:p>
        </w:tc>
        <w:tc>
          <w:tcPr>
            <w:tcW w:w="561" w:type="pct"/>
            <w:tcBorders>
              <w:top w:val="single" w:sz="4" w:space="0" w:color="auto"/>
              <w:left w:val="single" w:sz="4" w:space="0" w:color="auto"/>
              <w:bottom w:val="single" w:sz="4" w:space="0" w:color="auto"/>
              <w:right w:val="single" w:sz="4" w:space="0" w:color="auto"/>
            </w:tcBorders>
            <w:shd w:val="clear" w:color="auto" w:fill="EEECE1" w:themeFill="background2"/>
          </w:tcPr>
          <w:p w14:paraId="24808057"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Comparator result</w:t>
            </w:r>
          </w:p>
        </w:tc>
        <w:tc>
          <w:tcPr>
            <w:tcW w:w="512" w:type="pct"/>
            <w:tcBorders>
              <w:top w:val="single" w:sz="4" w:space="0" w:color="auto"/>
              <w:left w:val="single" w:sz="4" w:space="0" w:color="auto"/>
              <w:bottom w:val="single" w:sz="4" w:space="0" w:color="auto"/>
              <w:right w:val="single" w:sz="4" w:space="0" w:color="auto"/>
            </w:tcBorders>
            <w:shd w:val="clear" w:color="auto" w:fill="EEECE1" w:themeFill="background2"/>
          </w:tcPr>
          <w:p w14:paraId="70C8526F"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 xml:space="preserve">Difference </w:t>
            </w:r>
          </w:p>
        </w:tc>
        <w:tc>
          <w:tcPr>
            <w:tcW w:w="796" w:type="pct"/>
            <w:tcBorders>
              <w:top w:val="single" w:sz="4" w:space="0" w:color="auto"/>
              <w:left w:val="single" w:sz="4" w:space="0" w:color="auto"/>
              <w:bottom w:val="single" w:sz="4" w:space="0" w:color="auto"/>
              <w:right w:val="single" w:sz="4" w:space="0" w:color="auto"/>
            </w:tcBorders>
            <w:shd w:val="clear" w:color="auto" w:fill="EEECE1" w:themeFill="background2"/>
          </w:tcPr>
          <w:p w14:paraId="500F5B71" w14:textId="77777777" w:rsidR="005C7DE8" w:rsidRPr="007D1918" w:rsidRDefault="005C7DE8" w:rsidP="00BF22B6">
            <w:pPr>
              <w:spacing w:before="40" w:after="40" w:line="240" w:lineRule="auto"/>
              <w:jc w:val="both"/>
              <w:rPr>
                <w:rFonts w:ascii="Arial Narrow" w:hAnsi="Arial Narrow"/>
                <w:b/>
                <w:sz w:val="20"/>
                <w:szCs w:val="20"/>
                <w:lang w:eastAsia="en-US"/>
              </w:rPr>
            </w:pPr>
            <w:r w:rsidRPr="007D1918">
              <w:rPr>
                <w:rFonts w:ascii="Arial Narrow" w:hAnsi="Arial Narrow"/>
                <w:b/>
                <w:sz w:val="20"/>
                <w:szCs w:val="20"/>
                <w:lang w:eastAsia="en-US"/>
              </w:rPr>
              <w:t>Interpretation</w:t>
            </w:r>
          </w:p>
        </w:tc>
        <w:tc>
          <w:tcPr>
            <w:tcW w:w="375" w:type="pct"/>
            <w:vMerge/>
            <w:tcBorders>
              <w:top w:val="single" w:sz="4" w:space="0" w:color="auto"/>
              <w:left w:val="single" w:sz="4" w:space="0" w:color="auto"/>
              <w:bottom w:val="single" w:sz="4" w:space="0" w:color="auto"/>
              <w:right w:val="single" w:sz="4" w:space="0" w:color="auto"/>
            </w:tcBorders>
            <w:shd w:val="clear" w:color="auto" w:fill="EEECE1" w:themeFill="background2"/>
          </w:tcPr>
          <w:p w14:paraId="7833E646" w14:textId="77777777" w:rsidR="005C7DE8" w:rsidRPr="007D1918" w:rsidRDefault="005C7DE8" w:rsidP="00BF22B6">
            <w:pPr>
              <w:spacing w:before="40" w:after="40" w:line="240" w:lineRule="auto"/>
              <w:jc w:val="both"/>
              <w:rPr>
                <w:rFonts w:ascii="Arial Narrow" w:hAnsi="Arial Narrow"/>
                <w:b/>
                <w:sz w:val="20"/>
                <w:szCs w:val="20"/>
                <w:lang w:eastAsia="en-US"/>
              </w:rPr>
            </w:pPr>
          </w:p>
        </w:tc>
        <w:tc>
          <w:tcPr>
            <w:tcW w:w="411" w:type="pct"/>
            <w:vMerge/>
            <w:tcBorders>
              <w:top w:val="single" w:sz="4" w:space="0" w:color="auto"/>
              <w:left w:val="single" w:sz="4" w:space="0" w:color="auto"/>
              <w:bottom w:val="single" w:sz="4" w:space="0" w:color="auto"/>
            </w:tcBorders>
            <w:shd w:val="clear" w:color="auto" w:fill="EEECE1" w:themeFill="background2"/>
          </w:tcPr>
          <w:p w14:paraId="7A15FEAB" w14:textId="77777777" w:rsidR="005C7DE8" w:rsidRPr="007D1918" w:rsidRDefault="005C7DE8" w:rsidP="00BF22B6">
            <w:pPr>
              <w:spacing w:before="40" w:after="40" w:line="240" w:lineRule="auto"/>
              <w:jc w:val="both"/>
              <w:rPr>
                <w:rFonts w:ascii="Arial Narrow" w:hAnsi="Arial Narrow"/>
                <w:b/>
                <w:sz w:val="20"/>
                <w:szCs w:val="20"/>
                <w:lang w:eastAsia="en-US"/>
              </w:rPr>
            </w:pPr>
          </w:p>
        </w:tc>
      </w:tr>
      <w:tr w:rsidR="00E458FF" w:rsidRPr="007D1918" w14:paraId="1CF9826A" w14:textId="77777777" w:rsidTr="00E458FF">
        <w:tc>
          <w:tcPr>
            <w:tcW w:w="609" w:type="pct"/>
            <w:tcBorders>
              <w:top w:val="single" w:sz="4" w:space="0" w:color="auto"/>
              <w:bottom w:val="single" w:sz="4" w:space="0" w:color="auto"/>
              <w:right w:val="single" w:sz="4" w:space="0" w:color="auto"/>
            </w:tcBorders>
          </w:tcPr>
          <w:p w14:paraId="00B18D30" w14:textId="1135AD10"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Mortality</w:t>
            </w:r>
            <w:r w:rsidR="00EB59E4" w:rsidRPr="007D1918">
              <w:rPr>
                <w:rFonts w:ascii="Arial Narrow" w:hAnsi="Arial Narrow"/>
                <w:sz w:val="18"/>
                <w:szCs w:val="18"/>
                <w:lang w:eastAsia="en-US"/>
              </w:rPr>
              <w:t xml:space="preserve"> (% patients with event)</w:t>
            </w:r>
          </w:p>
          <w:p w14:paraId="42358656" w14:textId="227617C7" w:rsidR="00BF22B6" w:rsidRPr="007D1918" w:rsidRDefault="00BF22B6" w:rsidP="00707B9A">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IVIg v </w:t>
            </w:r>
            <w:r w:rsidR="00707B9A" w:rsidRPr="007D1918">
              <w:rPr>
                <w:rFonts w:ascii="Arial Narrow" w:hAnsi="Arial Narrow"/>
                <w:sz w:val="18"/>
                <w:szCs w:val="18"/>
                <w:lang w:eastAsia="en-US"/>
              </w:rPr>
              <w:t>placebo</w:t>
            </w:r>
          </w:p>
        </w:tc>
        <w:tc>
          <w:tcPr>
            <w:tcW w:w="514" w:type="pct"/>
            <w:tcBorders>
              <w:top w:val="single" w:sz="4" w:space="0" w:color="auto"/>
              <w:left w:val="single" w:sz="4" w:space="0" w:color="auto"/>
              <w:bottom w:val="single" w:sz="4" w:space="0" w:color="auto"/>
              <w:right w:val="single" w:sz="4" w:space="0" w:color="auto"/>
            </w:tcBorders>
          </w:tcPr>
          <w:p w14:paraId="566D8BF3"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n=62</w:t>
            </w:r>
          </w:p>
          <w:p w14:paraId="41DE7A1C" w14:textId="439EC4FD"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0EFF4D88" w14:textId="3E173550"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0</w:t>
            </w:r>
          </w:p>
          <w:p w14:paraId="734E0736"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13779449" w14:textId="2314B28F"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Indirectness: </w:t>
            </w:r>
            <w:r w:rsidR="00AC707E" w:rsidRPr="007D1918">
              <w:rPr>
                <w:rFonts w:ascii="Arial Narrow" w:hAnsi="Arial Narrow"/>
                <w:sz w:val="18"/>
                <w:szCs w:val="18"/>
                <w:lang w:eastAsia="en-US"/>
              </w:rPr>
              <w:t>-1</w:t>
            </w:r>
            <w:r w:rsidR="004B6EFD" w:rsidRPr="007D1918">
              <w:rPr>
                <w:rFonts w:ascii="Arial Narrow" w:hAnsi="Arial Narrow"/>
                <w:sz w:val="18"/>
                <w:szCs w:val="18"/>
                <w:vertAlign w:val="superscript"/>
                <w:lang w:eastAsia="en-US"/>
              </w:rPr>
              <w:t>a</w:t>
            </w:r>
          </w:p>
          <w:p w14:paraId="6D807D1F"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Imprecision: 0</w:t>
            </w:r>
          </w:p>
          <w:p w14:paraId="283F1C42" w14:textId="163B45D4" w:rsidR="00BF22B6" w:rsidRPr="007D1918" w:rsidRDefault="00707B9A" w:rsidP="004B6EFD">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Other: p</w:t>
            </w:r>
            <w:r w:rsidR="00BF22B6" w:rsidRPr="007D1918">
              <w:rPr>
                <w:rFonts w:ascii="Arial Narrow" w:hAnsi="Arial Narrow"/>
                <w:sz w:val="18"/>
                <w:szCs w:val="18"/>
                <w:lang w:eastAsia="en-US"/>
              </w:rPr>
              <w:t>ublicati</w:t>
            </w:r>
            <w:r w:rsidRPr="007D1918">
              <w:rPr>
                <w:rFonts w:ascii="Arial Narrow" w:hAnsi="Arial Narrow"/>
                <w:sz w:val="18"/>
                <w:szCs w:val="18"/>
                <w:lang w:eastAsia="en-US"/>
              </w:rPr>
              <w:t>on bias: -1</w:t>
            </w:r>
            <w:r w:rsidR="004B6EFD" w:rsidRPr="007D1918">
              <w:rPr>
                <w:rFonts w:ascii="Arial Narrow" w:hAnsi="Arial Narrow"/>
                <w:sz w:val="18"/>
                <w:szCs w:val="18"/>
                <w:vertAlign w:val="superscript"/>
                <w:lang w:eastAsia="en-US"/>
              </w:rPr>
              <w:t>b</w:t>
            </w:r>
          </w:p>
        </w:tc>
        <w:tc>
          <w:tcPr>
            <w:tcW w:w="561" w:type="pct"/>
            <w:tcBorders>
              <w:top w:val="single" w:sz="4" w:space="0" w:color="auto"/>
              <w:left w:val="single" w:sz="4" w:space="0" w:color="auto"/>
              <w:bottom w:val="single" w:sz="4" w:space="0" w:color="auto"/>
              <w:right w:val="single" w:sz="4" w:space="0" w:color="auto"/>
            </w:tcBorders>
          </w:tcPr>
          <w:p w14:paraId="182BD4D7" w14:textId="12A09392"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3.33%</w:t>
            </w:r>
          </w:p>
        </w:tc>
        <w:tc>
          <w:tcPr>
            <w:tcW w:w="561" w:type="pct"/>
            <w:tcBorders>
              <w:top w:val="single" w:sz="4" w:space="0" w:color="auto"/>
              <w:left w:val="single" w:sz="4" w:space="0" w:color="auto"/>
              <w:bottom w:val="single" w:sz="4" w:space="0" w:color="auto"/>
              <w:right w:val="single" w:sz="4" w:space="0" w:color="auto"/>
            </w:tcBorders>
          </w:tcPr>
          <w:p w14:paraId="6490ECCF" w14:textId="73343DC2"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0</w:t>
            </w:r>
          </w:p>
        </w:tc>
        <w:tc>
          <w:tcPr>
            <w:tcW w:w="512" w:type="pct"/>
            <w:tcBorders>
              <w:top w:val="single" w:sz="4" w:space="0" w:color="auto"/>
              <w:left w:val="single" w:sz="4" w:space="0" w:color="auto"/>
              <w:bottom w:val="single" w:sz="4" w:space="0" w:color="auto"/>
              <w:right w:val="single" w:sz="4" w:space="0" w:color="auto"/>
            </w:tcBorders>
          </w:tcPr>
          <w:p w14:paraId="45E47006" w14:textId="67AA62AE" w:rsidR="00707B9A" w:rsidRPr="007D1918" w:rsidRDefault="00707B9A"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3.33%</w:t>
            </w:r>
          </w:p>
          <w:p w14:paraId="0D073525" w14:textId="77777777" w:rsidR="00BF22B6" w:rsidRPr="007D1918" w:rsidRDefault="00A452B0"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0.30</w:t>
            </w:r>
          </w:p>
          <w:p w14:paraId="26D99D96" w14:textId="11C42E10" w:rsidR="00A452B0" w:rsidRPr="007D1918" w:rsidRDefault="00627721"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95% CI</w:t>
            </w:r>
            <w:r w:rsidR="00A452B0" w:rsidRPr="007D1918">
              <w:rPr>
                <w:rFonts w:ascii="Arial Narrow" w:hAnsi="Arial Narrow"/>
                <w:sz w:val="18"/>
                <w:szCs w:val="18"/>
                <w:lang w:eastAsia="en-US"/>
              </w:rPr>
              <w:t xml:space="preserve"> -7.7, 16.7</w:t>
            </w:r>
          </w:p>
        </w:tc>
        <w:tc>
          <w:tcPr>
            <w:tcW w:w="796" w:type="pct"/>
            <w:tcBorders>
              <w:top w:val="single" w:sz="4" w:space="0" w:color="auto"/>
              <w:left w:val="single" w:sz="4" w:space="0" w:color="auto"/>
              <w:bottom w:val="single" w:sz="4" w:space="0" w:color="auto"/>
              <w:right w:val="single" w:sz="4" w:space="0" w:color="auto"/>
            </w:tcBorders>
          </w:tcPr>
          <w:p w14:paraId="057F5BE9" w14:textId="77777777" w:rsidR="00BF22B6" w:rsidRPr="007D1918" w:rsidRDefault="00BF22B6" w:rsidP="00BF22B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between groups</w:t>
            </w:r>
          </w:p>
        </w:tc>
        <w:tc>
          <w:tcPr>
            <w:tcW w:w="375" w:type="pct"/>
            <w:tcBorders>
              <w:top w:val="single" w:sz="4" w:space="0" w:color="auto"/>
              <w:left w:val="single" w:sz="4" w:space="0" w:color="auto"/>
              <w:bottom w:val="single" w:sz="4" w:space="0" w:color="auto"/>
              <w:right w:val="single" w:sz="4" w:space="0" w:color="auto"/>
            </w:tcBorders>
          </w:tcPr>
          <w:p w14:paraId="01F5BA03" w14:textId="42482309" w:rsidR="00BF22B6" w:rsidRPr="007D1918" w:rsidRDefault="00707B9A"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B55CDA"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4AEDB9B0" w14:textId="04D32B8D" w:rsidR="00BF22B6" w:rsidRPr="007D1918" w:rsidRDefault="008F5A0C"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CRITICAL</w:t>
            </w:r>
          </w:p>
        </w:tc>
      </w:tr>
      <w:tr w:rsidR="00E458FF" w:rsidRPr="007D1918" w14:paraId="4F10858E" w14:textId="77777777" w:rsidTr="00E458FF">
        <w:tc>
          <w:tcPr>
            <w:tcW w:w="609" w:type="pct"/>
            <w:tcBorders>
              <w:top w:val="single" w:sz="4" w:space="0" w:color="auto"/>
              <w:bottom w:val="single" w:sz="4" w:space="0" w:color="auto"/>
              <w:right w:val="single" w:sz="4" w:space="0" w:color="auto"/>
            </w:tcBorders>
          </w:tcPr>
          <w:p w14:paraId="0A216194" w14:textId="577DD3DD"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Infection rate</w:t>
            </w:r>
            <w:r w:rsidR="00EB59E4" w:rsidRPr="007D1918">
              <w:rPr>
                <w:rFonts w:ascii="Arial Narrow" w:hAnsi="Arial Narrow"/>
                <w:sz w:val="18"/>
                <w:szCs w:val="18"/>
                <w:lang w:eastAsia="en-US"/>
              </w:rPr>
              <w:t xml:space="preserve"> (% patients with event)</w:t>
            </w:r>
          </w:p>
          <w:p w14:paraId="257149C6" w14:textId="3DA91EC4"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11CB3CB3"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n=920</w:t>
            </w:r>
          </w:p>
          <w:p w14:paraId="450A6917" w14:textId="3E153B99"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 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FFFFFF" w:themeColor="background1"/>
              <w:right w:val="single" w:sz="4" w:space="0" w:color="auto"/>
            </w:tcBorders>
          </w:tcPr>
          <w:p w14:paraId="3B6E6701" w14:textId="7D83B911" w:rsidR="00BF22B6" w:rsidRPr="007D1918" w:rsidRDefault="00A452B0"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Risk of bias: -1</w:t>
            </w:r>
            <w:r w:rsidR="00CF47E6" w:rsidRPr="007D1918">
              <w:rPr>
                <w:rFonts w:ascii="Arial Narrow" w:hAnsi="Arial Narrow"/>
                <w:sz w:val="18"/>
                <w:szCs w:val="18"/>
                <w:vertAlign w:val="superscript"/>
                <w:lang w:eastAsia="en-US"/>
              </w:rPr>
              <w:t>c</w:t>
            </w:r>
          </w:p>
          <w:p w14:paraId="15726E6D"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6203160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2B6FE601"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7ED76C55" w14:textId="60A76D3D" w:rsidR="00A452B0" w:rsidRPr="007D1918" w:rsidRDefault="00707B9A" w:rsidP="00A452B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Other: confounding likely to give spurious effect</w:t>
            </w:r>
          </w:p>
        </w:tc>
        <w:tc>
          <w:tcPr>
            <w:tcW w:w="561" w:type="pct"/>
            <w:tcBorders>
              <w:top w:val="single" w:sz="4" w:space="0" w:color="auto"/>
              <w:left w:val="single" w:sz="4" w:space="0" w:color="auto"/>
              <w:bottom w:val="single" w:sz="4" w:space="0" w:color="auto"/>
              <w:right w:val="single" w:sz="4" w:space="0" w:color="auto"/>
            </w:tcBorders>
          </w:tcPr>
          <w:p w14:paraId="2963ED05" w14:textId="35745C38"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10-1.7%</w:t>
            </w:r>
          </w:p>
        </w:tc>
        <w:tc>
          <w:tcPr>
            <w:tcW w:w="561" w:type="pct"/>
            <w:tcBorders>
              <w:top w:val="single" w:sz="4" w:space="0" w:color="auto"/>
              <w:left w:val="single" w:sz="4" w:space="0" w:color="auto"/>
              <w:bottom w:val="single" w:sz="4" w:space="0" w:color="auto"/>
              <w:right w:val="single" w:sz="4" w:space="0" w:color="auto"/>
            </w:tcBorders>
          </w:tcPr>
          <w:p w14:paraId="7988A145" w14:textId="57E784F5"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1.63% - 8.3%-1</w:t>
            </w:r>
          </w:p>
        </w:tc>
        <w:tc>
          <w:tcPr>
            <w:tcW w:w="512" w:type="pct"/>
            <w:tcBorders>
              <w:top w:val="single" w:sz="4" w:space="0" w:color="auto"/>
              <w:left w:val="single" w:sz="4" w:space="0" w:color="auto"/>
              <w:bottom w:val="single" w:sz="4" w:space="0" w:color="auto"/>
              <w:right w:val="single" w:sz="4" w:space="0" w:color="auto"/>
            </w:tcBorders>
          </w:tcPr>
          <w:p w14:paraId="5196E44C" w14:textId="4E0ADB72"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BF22B6" w:rsidRPr="007D1918">
              <w:rPr>
                <w:rFonts w:ascii="Arial Narrow" w:hAnsi="Arial Narrow"/>
                <w:sz w:val="18"/>
                <w:szCs w:val="18"/>
                <w:lang w:eastAsia="en-US"/>
              </w:rPr>
              <w:t>A</w:t>
            </w:r>
          </w:p>
        </w:tc>
        <w:tc>
          <w:tcPr>
            <w:tcW w:w="796" w:type="pct"/>
            <w:tcBorders>
              <w:top w:val="single" w:sz="4" w:space="0" w:color="auto"/>
              <w:left w:val="single" w:sz="4" w:space="0" w:color="auto"/>
              <w:bottom w:val="single" w:sz="4" w:space="0" w:color="auto"/>
              <w:right w:val="single" w:sz="4" w:space="0" w:color="auto"/>
            </w:tcBorders>
          </w:tcPr>
          <w:p w14:paraId="24C10995" w14:textId="77777777" w:rsidR="00BF22B6" w:rsidRPr="007D1918" w:rsidRDefault="00BF22B6" w:rsidP="004E0A4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between groups</w:t>
            </w:r>
          </w:p>
        </w:tc>
        <w:tc>
          <w:tcPr>
            <w:tcW w:w="375" w:type="pct"/>
            <w:tcBorders>
              <w:top w:val="single" w:sz="4" w:space="0" w:color="auto"/>
              <w:left w:val="single" w:sz="4" w:space="0" w:color="auto"/>
              <w:bottom w:val="single" w:sz="4" w:space="0" w:color="auto"/>
              <w:right w:val="single" w:sz="4" w:space="0" w:color="auto"/>
            </w:tcBorders>
          </w:tcPr>
          <w:p w14:paraId="1C996808" w14:textId="67E9E298" w:rsidR="00BF22B6" w:rsidRPr="007D1918" w:rsidRDefault="00707B9A"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4438B8A6" w14:textId="27066809" w:rsidR="00BF22B6" w:rsidRPr="007D1918" w:rsidRDefault="004E0A4C"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CRITICAL</w:t>
            </w:r>
          </w:p>
        </w:tc>
      </w:tr>
      <w:tr w:rsidR="00E458FF" w:rsidRPr="007D1918" w14:paraId="4CCF0FE3" w14:textId="77777777" w:rsidTr="00E458FF">
        <w:tc>
          <w:tcPr>
            <w:tcW w:w="609" w:type="pct"/>
            <w:tcBorders>
              <w:top w:val="single" w:sz="4" w:space="0" w:color="auto"/>
              <w:bottom w:val="single" w:sz="4" w:space="0" w:color="auto"/>
              <w:right w:val="single" w:sz="4" w:space="0" w:color="auto"/>
            </w:tcBorders>
          </w:tcPr>
          <w:p w14:paraId="5180FB0C" w14:textId="3C90F91E" w:rsidR="00D05A2F" w:rsidRPr="007D1918" w:rsidRDefault="00D05A2F" w:rsidP="002E5787">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 (mean change in score from baseline to 14 days or % change</w:t>
            </w:r>
            <w:r w:rsidR="00BF7EC9" w:rsidRPr="007D1918">
              <w:rPr>
                <w:rFonts w:ascii="Arial Narrow" w:hAnsi="Arial Narrow"/>
                <w:sz w:val="18"/>
                <w:szCs w:val="18"/>
                <w:lang w:eastAsia="en-US"/>
              </w:rPr>
              <w:t xml:space="preserve"> from baseline</w:t>
            </w:r>
            <w:r w:rsidRPr="007D1918">
              <w:rPr>
                <w:rFonts w:ascii="Arial Narrow" w:hAnsi="Arial Narrow"/>
                <w:sz w:val="18"/>
                <w:szCs w:val="18"/>
                <w:lang w:eastAsia="en-US"/>
              </w:rPr>
              <w:t>)</w:t>
            </w:r>
          </w:p>
          <w:p w14:paraId="5C2BEA8D" w14:textId="77777777"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1BD21258" w14:textId="77777777"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n=124</w:t>
            </w:r>
          </w:p>
          <w:p w14:paraId="65167BC1" w14:textId="77777777"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k=2 RCTs</w:t>
            </w:r>
          </w:p>
        </w:tc>
        <w:tc>
          <w:tcPr>
            <w:tcW w:w="661" w:type="pct"/>
            <w:tcBorders>
              <w:top w:val="single" w:sz="4" w:space="0" w:color="auto"/>
              <w:left w:val="single" w:sz="4" w:space="0" w:color="auto"/>
              <w:bottom w:val="single" w:sz="4" w:space="0" w:color="auto"/>
              <w:right w:val="single" w:sz="4" w:space="0" w:color="auto"/>
            </w:tcBorders>
          </w:tcPr>
          <w:p w14:paraId="2A968763" w14:textId="7C9797EC"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0</w:t>
            </w:r>
          </w:p>
          <w:p w14:paraId="6BD4A67F" w14:textId="0DC3CA30"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-1</w:t>
            </w:r>
          </w:p>
          <w:p w14:paraId="5804458E" w14:textId="77777777"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36ED3652" w14:textId="5C632A99"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-1</w:t>
            </w:r>
            <w:r w:rsidR="00CF47E6" w:rsidRPr="007D1918">
              <w:rPr>
                <w:rFonts w:ascii="Arial Narrow" w:hAnsi="Arial Narrow"/>
                <w:sz w:val="18"/>
                <w:szCs w:val="18"/>
                <w:vertAlign w:val="superscript"/>
                <w:lang w:eastAsia="en-US"/>
              </w:rPr>
              <w:t>d</w:t>
            </w:r>
          </w:p>
          <w:p w14:paraId="3AEC1FC5" w14:textId="20D60FA9" w:rsidR="00D05A2F" w:rsidRPr="007D1918" w:rsidRDefault="00BF7EC9" w:rsidP="00D05A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D05A2F"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0F8BAA47" w14:textId="43351E8B"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3.2 ±</w:t>
            </w:r>
            <w:r w:rsidR="004A0BA1" w:rsidRPr="007D1918">
              <w:rPr>
                <w:rFonts w:ascii="Arial Narrow" w:hAnsi="Arial Narrow"/>
                <w:sz w:val="18"/>
                <w:szCs w:val="18"/>
                <w:lang w:eastAsia="en-US"/>
              </w:rPr>
              <w:t xml:space="preserve"> 4.1</w:t>
            </w:r>
          </w:p>
          <w:p w14:paraId="7C1013DF" w14:textId="77777777" w:rsidR="00D05A2F" w:rsidRPr="007D1918" w:rsidRDefault="00D05A2F" w:rsidP="002E5787">
            <w:pPr>
              <w:spacing w:before="40" w:after="40" w:line="240" w:lineRule="auto"/>
              <w:jc w:val="both"/>
              <w:rPr>
                <w:lang w:eastAsia="en-US"/>
              </w:rPr>
            </w:pPr>
            <w:r w:rsidRPr="007D1918">
              <w:rPr>
                <w:rFonts w:ascii="Arial Narrow" w:hAnsi="Arial Narrow"/>
                <w:sz w:val="18"/>
                <w:szCs w:val="18"/>
                <w:lang w:eastAsia="en-US"/>
              </w:rPr>
              <w:t>23.8 ± 3.7%</w:t>
            </w:r>
          </w:p>
        </w:tc>
        <w:tc>
          <w:tcPr>
            <w:tcW w:w="561" w:type="pct"/>
            <w:tcBorders>
              <w:top w:val="single" w:sz="4" w:space="0" w:color="auto"/>
              <w:left w:val="single" w:sz="4" w:space="0" w:color="auto"/>
              <w:bottom w:val="single" w:sz="4" w:space="0" w:color="auto"/>
              <w:right w:val="single" w:sz="4" w:space="0" w:color="auto"/>
            </w:tcBorders>
          </w:tcPr>
          <w:p w14:paraId="0FD7470E" w14:textId="521EAEC5"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4.7 ±</w:t>
            </w:r>
            <w:r w:rsidR="004A0BA1" w:rsidRPr="007D1918">
              <w:rPr>
                <w:rFonts w:ascii="Arial Narrow" w:hAnsi="Arial Narrow"/>
                <w:sz w:val="18"/>
                <w:szCs w:val="18"/>
                <w:lang w:eastAsia="en-US"/>
              </w:rPr>
              <w:t xml:space="preserve"> 4.9</w:t>
            </w:r>
          </w:p>
          <w:p w14:paraId="50CD8D12" w14:textId="77777777"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60.8 ± 3.5%</w:t>
            </w:r>
          </w:p>
        </w:tc>
        <w:tc>
          <w:tcPr>
            <w:tcW w:w="512" w:type="pct"/>
            <w:tcBorders>
              <w:top w:val="single" w:sz="4" w:space="0" w:color="auto"/>
              <w:left w:val="single" w:sz="4" w:space="0" w:color="auto"/>
              <w:bottom w:val="single" w:sz="4" w:space="0" w:color="auto"/>
              <w:right w:val="single" w:sz="4" w:space="0" w:color="auto"/>
            </w:tcBorders>
          </w:tcPr>
          <w:p w14:paraId="4C3164E1" w14:textId="77777777" w:rsidR="00D05A2F"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0.13</w:t>
            </w:r>
          </w:p>
          <w:p w14:paraId="2613F43F" w14:textId="4F7B0C32"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&lt; 0.01</w:t>
            </w:r>
          </w:p>
        </w:tc>
        <w:tc>
          <w:tcPr>
            <w:tcW w:w="796" w:type="pct"/>
            <w:tcBorders>
              <w:top w:val="single" w:sz="4" w:space="0" w:color="auto"/>
              <w:left w:val="single" w:sz="4" w:space="0" w:color="auto"/>
              <w:bottom w:val="single" w:sz="4" w:space="0" w:color="auto"/>
              <w:right w:val="single" w:sz="4" w:space="0" w:color="auto"/>
            </w:tcBorders>
          </w:tcPr>
          <w:p w14:paraId="668DD519" w14:textId="2C5A5DFB" w:rsidR="00D05A2F" w:rsidRPr="007D1918" w:rsidRDefault="004A0BA1" w:rsidP="00707B9A">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 RCTs were inconsistent with their findings. </w:t>
            </w:r>
            <w:r w:rsidR="00707B9A" w:rsidRPr="007D1918">
              <w:rPr>
                <w:rFonts w:ascii="Arial Narrow" w:hAnsi="Arial Narrow"/>
                <w:sz w:val="18"/>
                <w:szCs w:val="18"/>
                <w:lang w:eastAsia="en-US"/>
              </w:rPr>
              <w:t>One</w:t>
            </w:r>
            <w:r w:rsidRPr="007D1918">
              <w:rPr>
                <w:rFonts w:ascii="Arial Narrow" w:hAnsi="Arial Narrow"/>
                <w:sz w:val="18"/>
                <w:szCs w:val="18"/>
                <w:lang w:eastAsia="en-US"/>
              </w:rPr>
              <w:t xml:space="preserve"> result appeared to favour PE but was not reliable.</w:t>
            </w:r>
          </w:p>
        </w:tc>
        <w:tc>
          <w:tcPr>
            <w:tcW w:w="375" w:type="pct"/>
            <w:tcBorders>
              <w:top w:val="single" w:sz="4" w:space="0" w:color="auto"/>
              <w:left w:val="single" w:sz="4" w:space="0" w:color="auto"/>
              <w:bottom w:val="single" w:sz="4" w:space="0" w:color="auto"/>
              <w:right w:val="single" w:sz="4" w:space="0" w:color="auto"/>
            </w:tcBorders>
          </w:tcPr>
          <w:p w14:paraId="6A351378" w14:textId="77777777" w:rsidR="00D05A2F" w:rsidRPr="007D1918" w:rsidRDefault="00D05A2F" w:rsidP="002E5787">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1138D84F" w14:textId="547C7275" w:rsidR="00D05A2F" w:rsidRPr="007D1918" w:rsidRDefault="00BF7EC9"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CRITICAL</w:t>
            </w:r>
          </w:p>
        </w:tc>
      </w:tr>
      <w:tr w:rsidR="00E458FF" w:rsidRPr="007D1918" w14:paraId="5B7620E8" w14:textId="77777777" w:rsidTr="00E458FF">
        <w:tc>
          <w:tcPr>
            <w:tcW w:w="609" w:type="pct"/>
            <w:tcBorders>
              <w:top w:val="single" w:sz="4" w:space="0" w:color="auto"/>
              <w:bottom w:val="single" w:sz="4" w:space="0" w:color="auto"/>
              <w:right w:val="single" w:sz="4" w:space="0" w:color="auto"/>
            </w:tcBorders>
          </w:tcPr>
          <w:p w14:paraId="0BF73929" w14:textId="1DF7F17E" w:rsidR="004A0BA1" w:rsidRPr="007D1918" w:rsidRDefault="004A0BA1" w:rsidP="002E5787">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 (mean change in score from baseline to 21 days)</w:t>
            </w:r>
          </w:p>
          <w:p w14:paraId="26589577" w14:textId="77777777"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2F6AB938" w14:textId="77777777"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n=84</w:t>
            </w:r>
          </w:p>
          <w:p w14:paraId="2C505BA8" w14:textId="4F50C3E7"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w:t>
            </w:r>
            <w:r w:rsidR="00BF7EC9" w:rsidRPr="007D1918">
              <w:rPr>
                <w:rFonts w:ascii="Arial Narrow" w:hAnsi="Arial Narrow"/>
                <w:sz w:val="18"/>
                <w:szCs w:val="18"/>
                <w:lang w:eastAsia="en-US"/>
              </w:rPr>
              <w:t xml:space="preserve"> RCT</w:t>
            </w:r>
          </w:p>
        </w:tc>
        <w:tc>
          <w:tcPr>
            <w:tcW w:w="661" w:type="pct"/>
            <w:tcBorders>
              <w:top w:val="single" w:sz="4" w:space="0" w:color="auto"/>
              <w:left w:val="single" w:sz="4" w:space="0" w:color="auto"/>
              <w:bottom w:val="single" w:sz="4" w:space="0" w:color="auto"/>
              <w:right w:val="single" w:sz="4" w:space="0" w:color="auto"/>
            </w:tcBorders>
          </w:tcPr>
          <w:p w14:paraId="21D90C5B" w14:textId="1781D57A"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31117D" w:rsidRPr="007D1918">
              <w:rPr>
                <w:rFonts w:ascii="Arial Narrow" w:hAnsi="Arial Narrow"/>
                <w:sz w:val="18"/>
                <w:szCs w:val="18"/>
                <w:lang w:eastAsia="en-US"/>
              </w:rPr>
              <w:t>0</w:t>
            </w:r>
          </w:p>
          <w:p w14:paraId="1EBBCE1C" w14:textId="77777777"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25DED3DA" w14:textId="77777777"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70721734" w14:textId="01A4D9D9"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Imprecision: </w:t>
            </w:r>
            <w:r w:rsidR="0031117D" w:rsidRPr="007D1918">
              <w:rPr>
                <w:rFonts w:ascii="Arial Narrow" w:hAnsi="Arial Narrow"/>
                <w:sz w:val="18"/>
                <w:szCs w:val="18"/>
                <w:lang w:eastAsia="en-US"/>
              </w:rPr>
              <w:t>0</w:t>
            </w:r>
          </w:p>
          <w:p w14:paraId="63F10AE4" w14:textId="054D02D2" w:rsidR="004A0BA1" w:rsidRPr="007D1918" w:rsidRDefault="00BF7EC9"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4A0BA1"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313BC756" w14:textId="77CFFA9F" w:rsidR="004A0BA1" w:rsidRPr="007D1918" w:rsidRDefault="004A0BA1" w:rsidP="002E5787">
            <w:pPr>
              <w:spacing w:before="40" w:after="40" w:line="240" w:lineRule="auto"/>
              <w:jc w:val="both"/>
              <w:rPr>
                <w:lang w:eastAsia="en-US"/>
              </w:rPr>
            </w:pPr>
            <w:r w:rsidRPr="007D1918">
              <w:rPr>
                <w:rFonts w:ascii="Arial Narrow" w:hAnsi="Arial Narrow"/>
                <w:sz w:val="18"/>
                <w:szCs w:val="18"/>
                <w:lang w:eastAsia="en-US"/>
              </w:rPr>
              <w:t>3.3 ± 3.6</w:t>
            </w:r>
          </w:p>
        </w:tc>
        <w:tc>
          <w:tcPr>
            <w:tcW w:w="561" w:type="pct"/>
            <w:tcBorders>
              <w:top w:val="single" w:sz="4" w:space="0" w:color="auto"/>
              <w:left w:val="single" w:sz="4" w:space="0" w:color="auto"/>
              <w:bottom w:val="single" w:sz="4" w:space="0" w:color="auto"/>
              <w:right w:val="single" w:sz="4" w:space="0" w:color="auto"/>
            </w:tcBorders>
          </w:tcPr>
          <w:p w14:paraId="5D5B0768" w14:textId="16B2A39F"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5.3 ± 5.5</w:t>
            </w:r>
          </w:p>
          <w:p w14:paraId="08380078" w14:textId="77777777" w:rsidR="004A0BA1" w:rsidRPr="007D1918" w:rsidRDefault="004A0BA1" w:rsidP="002E5787">
            <w:pPr>
              <w:spacing w:before="40" w:after="40" w:line="240" w:lineRule="auto"/>
              <w:jc w:val="both"/>
              <w:rPr>
                <w:rFonts w:ascii="Arial Narrow" w:hAnsi="Arial Narrow"/>
                <w:sz w:val="18"/>
                <w:szCs w:val="18"/>
                <w:lang w:eastAsia="en-US"/>
              </w:rPr>
            </w:pPr>
          </w:p>
        </w:tc>
        <w:tc>
          <w:tcPr>
            <w:tcW w:w="512" w:type="pct"/>
            <w:tcBorders>
              <w:top w:val="single" w:sz="4" w:space="0" w:color="auto"/>
              <w:left w:val="single" w:sz="4" w:space="0" w:color="auto"/>
              <w:bottom w:val="single" w:sz="4" w:space="0" w:color="auto"/>
              <w:right w:val="single" w:sz="4" w:space="0" w:color="auto"/>
            </w:tcBorders>
          </w:tcPr>
          <w:p w14:paraId="6776AD58" w14:textId="348B0102" w:rsidR="004A0BA1" w:rsidRPr="007D1918" w:rsidRDefault="004A0BA1" w:rsidP="004A0BA1">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0.07</w:t>
            </w:r>
          </w:p>
        </w:tc>
        <w:tc>
          <w:tcPr>
            <w:tcW w:w="796" w:type="pct"/>
            <w:tcBorders>
              <w:top w:val="single" w:sz="4" w:space="0" w:color="auto"/>
              <w:left w:val="single" w:sz="4" w:space="0" w:color="auto"/>
              <w:bottom w:val="single" w:sz="4" w:space="0" w:color="auto"/>
              <w:right w:val="single" w:sz="4" w:space="0" w:color="auto"/>
            </w:tcBorders>
          </w:tcPr>
          <w:p w14:paraId="4EE4FA2F" w14:textId="724A4EC0" w:rsidR="004A0BA1" w:rsidRPr="007D1918" w:rsidRDefault="004A0BA1" w:rsidP="004A0BA1">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Symptom improvement favoured PE at 21 days but was not statistically significant.</w:t>
            </w:r>
          </w:p>
        </w:tc>
        <w:tc>
          <w:tcPr>
            <w:tcW w:w="375" w:type="pct"/>
            <w:tcBorders>
              <w:top w:val="single" w:sz="4" w:space="0" w:color="auto"/>
              <w:left w:val="single" w:sz="4" w:space="0" w:color="auto"/>
              <w:bottom w:val="single" w:sz="4" w:space="0" w:color="auto"/>
              <w:right w:val="single" w:sz="4" w:space="0" w:color="auto"/>
            </w:tcBorders>
          </w:tcPr>
          <w:p w14:paraId="415EC886" w14:textId="107257EE" w:rsidR="004A0BA1" w:rsidRPr="007D1918" w:rsidRDefault="004A0BA1" w:rsidP="002E5787">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31117D" w:rsidRPr="007D1918">
              <w:rPr>
                <w:rFonts w:ascii="Cambria Math" w:hAnsi="Cambria Math" w:cs="Cambria Math"/>
                <w:color w:val="00B050"/>
                <w:sz w:val="18"/>
                <w:szCs w:val="18"/>
              </w:rPr>
              <w:t>⊕</w:t>
            </w:r>
            <w:r w:rsidR="00F44AD5"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6C3F8249" w14:textId="58623837" w:rsidR="004A0BA1" w:rsidRPr="007D1918" w:rsidRDefault="00BF7EC9"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CRITICAL</w:t>
            </w:r>
          </w:p>
        </w:tc>
      </w:tr>
      <w:tr w:rsidR="00E458FF" w:rsidRPr="007D1918" w14:paraId="67D42725" w14:textId="77777777" w:rsidTr="00E458FF">
        <w:tc>
          <w:tcPr>
            <w:tcW w:w="609" w:type="pct"/>
            <w:tcBorders>
              <w:top w:val="single" w:sz="4" w:space="0" w:color="auto"/>
              <w:bottom w:val="single" w:sz="4" w:space="0" w:color="auto"/>
              <w:right w:val="single" w:sz="4" w:space="0" w:color="auto"/>
            </w:tcBorders>
          </w:tcPr>
          <w:p w14:paraId="651FF6C9" w14:textId="25850F44" w:rsidR="00BF22B6" w:rsidRPr="007D1918" w:rsidRDefault="00BF22B6" w:rsidP="00EB59E4">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Change in QMGS </w:t>
            </w:r>
            <w:r w:rsidR="00EB59E4" w:rsidRPr="007D1918">
              <w:rPr>
                <w:rFonts w:ascii="Arial Narrow" w:hAnsi="Arial Narrow"/>
                <w:sz w:val="18"/>
                <w:szCs w:val="18"/>
                <w:lang w:eastAsia="en-US"/>
              </w:rPr>
              <w:t xml:space="preserve">(mean change in score from baseline to </w:t>
            </w:r>
            <w:r w:rsidR="00D05A2F" w:rsidRPr="007D1918">
              <w:rPr>
                <w:rFonts w:ascii="Arial Narrow" w:hAnsi="Arial Narrow"/>
                <w:sz w:val="18"/>
                <w:szCs w:val="18"/>
                <w:lang w:eastAsia="en-US"/>
              </w:rPr>
              <w:t>28</w:t>
            </w:r>
            <w:r w:rsidR="004A0BA1" w:rsidRPr="007D1918">
              <w:rPr>
                <w:rFonts w:ascii="Arial Narrow" w:hAnsi="Arial Narrow"/>
                <w:sz w:val="18"/>
                <w:szCs w:val="18"/>
                <w:lang w:eastAsia="en-US"/>
              </w:rPr>
              <w:t xml:space="preserve"> days</w:t>
            </w:r>
            <w:r w:rsidR="00EB59E4" w:rsidRPr="007D1918">
              <w:rPr>
                <w:rFonts w:ascii="Arial Narrow" w:hAnsi="Arial Narrow"/>
                <w:sz w:val="18"/>
                <w:szCs w:val="18"/>
                <w:lang w:eastAsia="en-US"/>
              </w:rPr>
              <w:t>)</w:t>
            </w:r>
          </w:p>
          <w:p w14:paraId="0A221F4C" w14:textId="164B743C"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5D012870" w14:textId="7C4EBAE4"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D05A2F" w:rsidRPr="007D1918">
              <w:rPr>
                <w:rFonts w:ascii="Arial Narrow" w:hAnsi="Arial Narrow"/>
                <w:sz w:val="18"/>
                <w:szCs w:val="18"/>
                <w:lang w:eastAsia="en-US"/>
              </w:rPr>
              <w:t>84</w:t>
            </w:r>
          </w:p>
          <w:p w14:paraId="4D3B2BEA" w14:textId="6BBCCB46" w:rsidR="00BF22B6" w:rsidRPr="007D1918" w:rsidRDefault="00BF22B6" w:rsidP="00D05A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w:t>
            </w:r>
            <w:r w:rsidR="00D05A2F" w:rsidRPr="007D1918">
              <w:rPr>
                <w:rFonts w:ascii="Arial Narrow" w:hAnsi="Arial Narrow"/>
                <w:sz w:val="18"/>
                <w:szCs w:val="18"/>
                <w:lang w:eastAsia="en-US"/>
              </w:rPr>
              <w:t>1</w:t>
            </w:r>
            <w:r w:rsidR="00BF7EC9" w:rsidRPr="007D1918">
              <w:rPr>
                <w:rFonts w:ascii="Arial Narrow" w:hAnsi="Arial Narrow"/>
                <w:sz w:val="18"/>
                <w:szCs w:val="18"/>
                <w:lang w:eastAsia="en-US"/>
              </w:rPr>
              <w:t xml:space="preserve"> RCT</w:t>
            </w:r>
          </w:p>
        </w:tc>
        <w:tc>
          <w:tcPr>
            <w:tcW w:w="661" w:type="pct"/>
            <w:tcBorders>
              <w:top w:val="single" w:sz="4" w:space="0" w:color="auto"/>
              <w:left w:val="single" w:sz="4" w:space="0" w:color="auto"/>
              <w:bottom w:val="single" w:sz="4" w:space="0" w:color="auto"/>
              <w:right w:val="single" w:sz="4" w:space="0" w:color="auto"/>
            </w:tcBorders>
          </w:tcPr>
          <w:p w14:paraId="721084F9" w14:textId="5DA67E4C"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31117D" w:rsidRPr="007D1918">
              <w:rPr>
                <w:rFonts w:ascii="Arial Narrow" w:hAnsi="Arial Narrow"/>
                <w:sz w:val="18"/>
                <w:szCs w:val="18"/>
                <w:lang w:eastAsia="en-US"/>
              </w:rPr>
              <w:t>0</w:t>
            </w:r>
          </w:p>
          <w:p w14:paraId="7ECA43E8"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309C1A7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6FAEF79A" w14:textId="4B3444F2"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Imprecision: </w:t>
            </w:r>
            <w:r w:rsidR="0031117D" w:rsidRPr="007D1918">
              <w:rPr>
                <w:rFonts w:ascii="Arial Narrow" w:hAnsi="Arial Narrow"/>
                <w:sz w:val="18"/>
                <w:szCs w:val="18"/>
                <w:lang w:eastAsia="en-US"/>
              </w:rPr>
              <w:t>0</w:t>
            </w:r>
          </w:p>
          <w:p w14:paraId="7600AC12" w14:textId="2F25A903" w:rsidR="00BF22B6" w:rsidRPr="007D1918" w:rsidRDefault="00BF7EC9" w:rsidP="00D05A2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12D62BF9" w14:textId="10E7CE42" w:rsidR="00D05A2F" w:rsidRPr="007D1918" w:rsidRDefault="00D05A2F" w:rsidP="00D05A2F">
            <w:pPr>
              <w:spacing w:before="40" w:after="40" w:line="240" w:lineRule="auto"/>
              <w:jc w:val="both"/>
              <w:rPr>
                <w:lang w:eastAsia="en-US"/>
              </w:rPr>
            </w:pPr>
            <w:r w:rsidRPr="007D1918">
              <w:rPr>
                <w:rFonts w:ascii="Arial Narrow" w:hAnsi="Arial Narrow"/>
                <w:sz w:val="18"/>
                <w:szCs w:val="18"/>
                <w:lang w:eastAsia="en-US"/>
              </w:rPr>
              <w:t>2.6 ± 4.0</w:t>
            </w:r>
          </w:p>
        </w:tc>
        <w:tc>
          <w:tcPr>
            <w:tcW w:w="561" w:type="pct"/>
            <w:tcBorders>
              <w:top w:val="single" w:sz="4" w:space="0" w:color="auto"/>
              <w:left w:val="single" w:sz="4" w:space="0" w:color="auto"/>
              <w:bottom w:val="single" w:sz="4" w:space="0" w:color="auto"/>
              <w:right w:val="single" w:sz="4" w:space="0" w:color="auto"/>
            </w:tcBorders>
          </w:tcPr>
          <w:p w14:paraId="7A76885B" w14:textId="0F16254F" w:rsidR="00BF22B6" w:rsidRPr="007D1918" w:rsidRDefault="00D05A2F"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4.7 ± </w:t>
            </w:r>
            <w:r w:rsidR="004A0BA1" w:rsidRPr="007D1918">
              <w:rPr>
                <w:rFonts w:ascii="Arial Narrow" w:hAnsi="Arial Narrow"/>
                <w:sz w:val="18"/>
                <w:szCs w:val="18"/>
                <w:lang w:eastAsia="en-US"/>
              </w:rPr>
              <w:t>5.7</w:t>
            </w:r>
          </w:p>
          <w:p w14:paraId="3D61A5A1" w14:textId="606D19FE" w:rsidR="00D05A2F" w:rsidRPr="007D1918" w:rsidRDefault="00D05A2F" w:rsidP="00BF22B6">
            <w:pPr>
              <w:spacing w:before="40" w:after="40" w:line="240" w:lineRule="auto"/>
              <w:jc w:val="both"/>
              <w:rPr>
                <w:rFonts w:ascii="Arial Narrow" w:hAnsi="Arial Narrow"/>
                <w:sz w:val="18"/>
                <w:szCs w:val="18"/>
                <w:lang w:eastAsia="en-US"/>
              </w:rPr>
            </w:pPr>
          </w:p>
        </w:tc>
        <w:tc>
          <w:tcPr>
            <w:tcW w:w="512" w:type="pct"/>
            <w:tcBorders>
              <w:top w:val="single" w:sz="4" w:space="0" w:color="auto"/>
              <w:left w:val="single" w:sz="4" w:space="0" w:color="auto"/>
              <w:bottom w:val="single" w:sz="4" w:space="0" w:color="auto"/>
              <w:right w:val="single" w:sz="4" w:space="0" w:color="auto"/>
            </w:tcBorders>
          </w:tcPr>
          <w:p w14:paraId="59FFD197" w14:textId="0C690417" w:rsidR="00BF22B6" w:rsidRPr="007D1918" w:rsidRDefault="004A0BA1"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0.08</w:t>
            </w:r>
          </w:p>
        </w:tc>
        <w:tc>
          <w:tcPr>
            <w:tcW w:w="796" w:type="pct"/>
            <w:tcBorders>
              <w:top w:val="single" w:sz="4" w:space="0" w:color="auto"/>
              <w:left w:val="single" w:sz="4" w:space="0" w:color="auto"/>
              <w:bottom w:val="single" w:sz="4" w:space="0" w:color="auto"/>
              <w:right w:val="single" w:sz="4" w:space="0" w:color="auto"/>
            </w:tcBorders>
          </w:tcPr>
          <w:p w14:paraId="46186991" w14:textId="6E13B70A" w:rsidR="00BF22B6" w:rsidRPr="007D1918" w:rsidRDefault="004A0BA1" w:rsidP="004A0BA1">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Symptom improvement favoured PE at 28 days but was not statistically significant.</w:t>
            </w:r>
          </w:p>
        </w:tc>
        <w:tc>
          <w:tcPr>
            <w:tcW w:w="375" w:type="pct"/>
            <w:tcBorders>
              <w:top w:val="single" w:sz="4" w:space="0" w:color="auto"/>
              <w:left w:val="single" w:sz="4" w:space="0" w:color="auto"/>
              <w:bottom w:val="single" w:sz="4" w:space="0" w:color="auto"/>
              <w:right w:val="single" w:sz="4" w:space="0" w:color="auto"/>
            </w:tcBorders>
          </w:tcPr>
          <w:p w14:paraId="3196C61B" w14:textId="3E8B692D"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31117D" w:rsidRPr="007D1918">
              <w:rPr>
                <w:rFonts w:ascii="Cambria Math" w:hAnsi="Cambria Math" w:cs="Cambria Math"/>
                <w:color w:val="00B050"/>
                <w:sz w:val="18"/>
                <w:szCs w:val="18"/>
              </w:rPr>
              <w:t>⊕</w:t>
            </w:r>
            <w:r w:rsidR="00F44AD5"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003AB8E7" w14:textId="09EC38E2" w:rsidR="00BF22B6" w:rsidRPr="007D1918" w:rsidRDefault="00BF7EC9"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CRITICAL</w:t>
            </w:r>
          </w:p>
        </w:tc>
      </w:tr>
      <w:tr w:rsidR="00E458FF" w:rsidRPr="007D1918" w14:paraId="30E61035" w14:textId="77777777" w:rsidTr="00E458FF">
        <w:tc>
          <w:tcPr>
            <w:tcW w:w="609" w:type="pct"/>
            <w:tcBorders>
              <w:top w:val="single" w:sz="4" w:space="0" w:color="auto"/>
              <w:bottom w:val="single" w:sz="4" w:space="0" w:color="auto"/>
              <w:right w:val="single" w:sz="4" w:space="0" w:color="auto"/>
            </w:tcBorders>
          </w:tcPr>
          <w:p w14:paraId="6C1250BF" w14:textId="5BBB7358" w:rsidR="00BF22B6" w:rsidRPr="007D1918" w:rsidRDefault="00BF22B6" w:rsidP="00BF7EC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w:t>
            </w:r>
            <w:r w:rsidR="00E33CC5" w:rsidRPr="007D1918">
              <w:rPr>
                <w:rFonts w:ascii="Arial Narrow" w:hAnsi="Arial Narrow"/>
                <w:sz w:val="18"/>
                <w:szCs w:val="18"/>
                <w:lang w:eastAsia="en-US"/>
              </w:rPr>
              <w:t xml:space="preserve"> (change in score from baseline to day 14)</w:t>
            </w:r>
          </w:p>
          <w:p w14:paraId="6D1343D7" w14:textId="15B09D62"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IVIg v placebo</w:t>
            </w:r>
          </w:p>
        </w:tc>
        <w:tc>
          <w:tcPr>
            <w:tcW w:w="514" w:type="pct"/>
            <w:tcBorders>
              <w:top w:val="single" w:sz="4" w:space="0" w:color="auto"/>
              <w:left w:val="single" w:sz="4" w:space="0" w:color="auto"/>
              <w:bottom w:val="single" w:sz="4" w:space="0" w:color="auto"/>
              <w:right w:val="single" w:sz="4" w:space="0" w:color="auto"/>
            </w:tcBorders>
          </w:tcPr>
          <w:p w14:paraId="42053B3D"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n=51</w:t>
            </w:r>
          </w:p>
          <w:p w14:paraId="0647EB3F" w14:textId="5B3C5CB5" w:rsidR="00BF22B6" w:rsidRPr="007D1918" w:rsidRDefault="00BF7EC9"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101882FE" w14:textId="0CE4110E"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31117D" w:rsidRPr="007D1918">
              <w:rPr>
                <w:rFonts w:ascii="Arial Narrow" w:hAnsi="Arial Narrow"/>
                <w:sz w:val="18"/>
                <w:szCs w:val="18"/>
                <w:lang w:eastAsia="en-US"/>
              </w:rPr>
              <w:t>0</w:t>
            </w:r>
          </w:p>
          <w:p w14:paraId="1765F91B"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3E124871" w14:textId="2C895A0D" w:rsidR="00BF22B6" w:rsidRPr="007D1918" w:rsidRDefault="00E33CC5"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Indirectness: -1</w:t>
            </w:r>
            <w:r w:rsidR="004B6EFD" w:rsidRPr="007D1918">
              <w:rPr>
                <w:rFonts w:ascii="Arial Narrow" w:hAnsi="Arial Narrow"/>
                <w:sz w:val="18"/>
                <w:szCs w:val="18"/>
                <w:vertAlign w:val="superscript"/>
                <w:lang w:eastAsia="en-US"/>
              </w:rPr>
              <w:t>a</w:t>
            </w:r>
          </w:p>
          <w:p w14:paraId="5E71E367" w14:textId="751F8943"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Imprecision: </w:t>
            </w:r>
            <w:r w:rsidR="0031117D" w:rsidRPr="007D1918">
              <w:rPr>
                <w:rFonts w:ascii="Arial Narrow" w:hAnsi="Arial Narrow"/>
                <w:sz w:val="18"/>
                <w:szCs w:val="18"/>
                <w:lang w:eastAsia="en-US"/>
              </w:rPr>
              <w:t>0</w:t>
            </w:r>
            <w:r w:rsidR="00071CA3" w:rsidRPr="007D1918">
              <w:rPr>
                <w:rFonts w:ascii="Arial Narrow" w:hAnsi="Arial Narrow"/>
                <w:sz w:val="18"/>
                <w:szCs w:val="18"/>
                <w:vertAlign w:val="superscript"/>
                <w:lang w:eastAsia="en-US"/>
              </w:rPr>
              <w:t>d</w:t>
            </w:r>
          </w:p>
          <w:p w14:paraId="522DC3C7" w14:textId="1D9B6375" w:rsidR="00BF22B6" w:rsidRPr="007D1918" w:rsidRDefault="003F20F6" w:rsidP="00E33CC5">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xml:space="preserve">: </w:t>
            </w:r>
            <w:r w:rsidR="00E33CC5"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40BC8F92" w14:textId="4B1257EA" w:rsidR="00BF22B6" w:rsidRPr="007D1918" w:rsidRDefault="00E33CC5" w:rsidP="00E33C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-2.54</w:t>
            </w:r>
          </w:p>
        </w:tc>
        <w:tc>
          <w:tcPr>
            <w:tcW w:w="561" w:type="pct"/>
            <w:tcBorders>
              <w:top w:val="single" w:sz="4" w:space="0" w:color="auto"/>
              <w:left w:val="single" w:sz="4" w:space="0" w:color="auto"/>
              <w:bottom w:val="single" w:sz="4" w:space="0" w:color="auto"/>
              <w:right w:val="single" w:sz="4" w:space="0" w:color="auto"/>
            </w:tcBorders>
          </w:tcPr>
          <w:p w14:paraId="1CDCAB8F" w14:textId="0004D6EA" w:rsidR="00BF22B6" w:rsidRPr="007D1918" w:rsidRDefault="00E33CC5" w:rsidP="00E33C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-0.89</w:t>
            </w:r>
          </w:p>
        </w:tc>
        <w:tc>
          <w:tcPr>
            <w:tcW w:w="512" w:type="pct"/>
            <w:tcBorders>
              <w:top w:val="single" w:sz="4" w:space="0" w:color="auto"/>
              <w:left w:val="single" w:sz="4" w:space="0" w:color="auto"/>
              <w:bottom w:val="single" w:sz="4" w:space="0" w:color="auto"/>
              <w:right w:val="single" w:sz="4" w:space="0" w:color="auto"/>
            </w:tcBorders>
          </w:tcPr>
          <w:p w14:paraId="58AE466B" w14:textId="19FA5298" w:rsidR="00BF22B6" w:rsidRPr="007D1918" w:rsidRDefault="00E33CC5"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0.03</w:t>
            </w:r>
          </w:p>
        </w:tc>
        <w:tc>
          <w:tcPr>
            <w:tcW w:w="796" w:type="pct"/>
            <w:tcBorders>
              <w:top w:val="single" w:sz="4" w:space="0" w:color="auto"/>
              <w:left w:val="single" w:sz="4" w:space="0" w:color="auto"/>
              <w:bottom w:val="single" w:sz="4" w:space="0" w:color="auto"/>
              <w:right w:val="single" w:sz="4" w:space="0" w:color="auto"/>
            </w:tcBorders>
          </w:tcPr>
          <w:p w14:paraId="30D05CED" w14:textId="6EF26E19" w:rsidR="00BF22B6" w:rsidRPr="007D1918" w:rsidRDefault="0021799F" w:rsidP="00EB287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There was greater symptom improvement in the IVIg group at 14 days. This outcome may show an incremental benefit of IVIg over standard </w:t>
            </w:r>
            <w:r w:rsidR="00EB287C" w:rsidRPr="007D1918">
              <w:rPr>
                <w:rFonts w:ascii="Arial Narrow" w:hAnsi="Arial Narrow"/>
                <w:sz w:val="18"/>
                <w:szCs w:val="18"/>
                <w:lang w:eastAsia="en-US"/>
              </w:rPr>
              <w:t>therapies</w:t>
            </w:r>
            <w:r w:rsidRPr="007D1918">
              <w:rPr>
                <w:rFonts w:ascii="Arial Narrow" w:hAnsi="Arial Narrow"/>
                <w:sz w:val="18"/>
                <w:szCs w:val="18"/>
                <w:lang w:eastAsia="en-US"/>
              </w:rPr>
              <w:t>.</w:t>
            </w:r>
          </w:p>
        </w:tc>
        <w:tc>
          <w:tcPr>
            <w:tcW w:w="375" w:type="pct"/>
            <w:tcBorders>
              <w:top w:val="single" w:sz="4" w:space="0" w:color="auto"/>
              <w:left w:val="single" w:sz="4" w:space="0" w:color="auto"/>
              <w:bottom w:val="single" w:sz="4" w:space="0" w:color="auto"/>
              <w:right w:val="single" w:sz="4" w:space="0" w:color="auto"/>
            </w:tcBorders>
          </w:tcPr>
          <w:p w14:paraId="4489B2B5" w14:textId="46172953"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071CA3"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7199B5F3"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1870CF39" w14:textId="77777777" w:rsidTr="00E458FF">
        <w:tc>
          <w:tcPr>
            <w:tcW w:w="609" w:type="pct"/>
            <w:tcBorders>
              <w:top w:val="single" w:sz="4" w:space="0" w:color="auto"/>
              <w:bottom w:val="single" w:sz="4" w:space="0" w:color="auto"/>
              <w:right w:val="single" w:sz="4" w:space="0" w:color="auto"/>
            </w:tcBorders>
          </w:tcPr>
          <w:p w14:paraId="7213DA4F" w14:textId="15BC1A95" w:rsidR="0021799F" w:rsidRPr="007D1918" w:rsidRDefault="0021799F" w:rsidP="00BF7EC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 (change in score from baseline to day 28)</w:t>
            </w:r>
          </w:p>
          <w:p w14:paraId="7EAAF6B1" w14:textId="77777777" w:rsidR="0021799F" w:rsidRPr="007D1918" w:rsidRDefault="0021799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IVIg v placebo</w:t>
            </w:r>
          </w:p>
        </w:tc>
        <w:tc>
          <w:tcPr>
            <w:tcW w:w="514" w:type="pct"/>
            <w:tcBorders>
              <w:top w:val="single" w:sz="4" w:space="0" w:color="auto"/>
              <w:left w:val="single" w:sz="4" w:space="0" w:color="auto"/>
              <w:bottom w:val="single" w:sz="4" w:space="0" w:color="auto"/>
              <w:right w:val="single" w:sz="4" w:space="0" w:color="auto"/>
            </w:tcBorders>
          </w:tcPr>
          <w:p w14:paraId="7FC6D703" w14:textId="77777777" w:rsidR="0021799F" w:rsidRPr="007D1918" w:rsidRDefault="0021799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n=51</w:t>
            </w:r>
          </w:p>
          <w:p w14:paraId="0A3391E4" w14:textId="3E5F64D9" w:rsidR="0021799F" w:rsidRPr="007D1918" w:rsidRDefault="00BF7EC9"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77709EC8" w14:textId="77777777" w:rsidR="0021799F" w:rsidRPr="007D1918" w:rsidRDefault="0021799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0</w:t>
            </w:r>
          </w:p>
          <w:p w14:paraId="36885F62" w14:textId="77777777" w:rsidR="0021799F" w:rsidRPr="007D1918" w:rsidRDefault="0021799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28C00ED7" w14:textId="7188CFCB" w:rsidR="0021799F" w:rsidRPr="007D1918" w:rsidRDefault="0021799F" w:rsidP="002E5787">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Indirectness: -1</w:t>
            </w:r>
            <w:r w:rsidR="004B6EFD" w:rsidRPr="007D1918">
              <w:rPr>
                <w:rFonts w:ascii="Arial Narrow" w:hAnsi="Arial Narrow"/>
                <w:sz w:val="18"/>
                <w:szCs w:val="18"/>
                <w:vertAlign w:val="superscript"/>
                <w:lang w:eastAsia="en-US"/>
              </w:rPr>
              <w:t>a</w:t>
            </w:r>
          </w:p>
          <w:p w14:paraId="6B061895" w14:textId="1D8B555C" w:rsidR="0021799F" w:rsidRPr="007D1918" w:rsidRDefault="0021799F" w:rsidP="002E5787">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Imprecision: </w:t>
            </w:r>
            <w:r w:rsidR="00B55CDA" w:rsidRPr="007D1918">
              <w:rPr>
                <w:rFonts w:ascii="Arial Narrow" w:hAnsi="Arial Narrow"/>
                <w:sz w:val="18"/>
                <w:szCs w:val="18"/>
                <w:lang w:eastAsia="en-US"/>
              </w:rPr>
              <w:t>-1</w:t>
            </w:r>
            <w:r w:rsidR="00071CA3" w:rsidRPr="007D1918">
              <w:rPr>
                <w:rFonts w:ascii="Arial Narrow" w:hAnsi="Arial Narrow"/>
                <w:sz w:val="18"/>
                <w:szCs w:val="18"/>
                <w:vertAlign w:val="superscript"/>
                <w:lang w:eastAsia="en-US"/>
              </w:rPr>
              <w:t>d</w:t>
            </w:r>
          </w:p>
          <w:p w14:paraId="63E9FB19" w14:textId="517C9BFC" w:rsidR="0021799F" w:rsidRPr="007D1918" w:rsidRDefault="003F20F6" w:rsidP="002E5787">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Other</w:t>
            </w:r>
            <w:r w:rsidR="0021799F"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2252C85F" w14:textId="578CD13E" w:rsidR="0021799F" w:rsidRPr="007D1918" w:rsidRDefault="0021799F" w:rsidP="0021799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-3.00</w:t>
            </w:r>
          </w:p>
        </w:tc>
        <w:tc>
          <w:tcPr>
            <w:tcW w:w="561" w:type="pct"/>
            <w:tcBorders>
              <w:top w:val="single" w:sz="4" w:space="0" w:color="auto"/>
              <w:left w:val="single" w:sz="4" w:space="0" w:color="auto"/>
              <w:bottom w:val="single" w:sz="4" w:space="0" w:color="auto"/>
              <w:right w:val="single" w:sz="4" w:space="0" w:color="auto"/>
            </w:tcBorders>
          </w:tcPr>
          <w:p w14:paraId="5CDDB9A1" w14:textId="1A372823" w:rsidR="0021799F" w:rsidRPr="007D1918" w:rsidRDefault="0021799F" w:rsidP="0021799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-1.19</w:t>
            </w:r>
          </w:p>
        </w:tc>
        <w:tc>
          <w:tcPr>
            <w:tcW w:w="512" w:type="pct"/>
            <w:tcBorders>
              <w:top w:val="single" w:sz="4" w:space="0" w:color="auto"/>
              <w:left w:val="single" w:sz="4" w:space="0" w:color="auto"/>
              <w:bottom w:val="single" w:sz="4" w:space="0" w:color="auto"/>
              <w:right w:val="single" w:sz="4" w:space="0" w:color="auto"/>
            </w:tcBorders>
          </w:tcPr>
          <w:p w14:paraId="41273C84" w14:textId="5AD4567C" w:rsidR="0021799F" w:rsidRPr="007D1918" w:rsidRDefault="0021799F" w:rsidP="0021799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0.055</w:t>
            </w:r>
          </w:p>
        </w:tc>
        <w:tc>
          <w:tcPr>
            <w:tcW w:w="796" w:type="pct"/>
            <w:tcBorders>
              <w:top w:val="single" w:sz="4" w:space="0" w:color="auto"/>
              <w:left w:val="single" w:sz="4" w:space="0" w:color="auto"/>
              <w:bottom w:val="single" w:sz="4" w:space="0" w:color="auto"/>
              <w:right w:val="single" w:sz="4" w:space="0" w:color="auto"/>
            </w:tcBorders>
          </w:tcPr>
          <w:p w14:paraId="1949646E" w14:textId="6299DCAA" w:rsidR="0021799F" w:rsidRPr="007D1918" w:rsidRDefault="0021799F" w:rsidP="00EB287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 symptom improvement in the IVIg group at 28 days was not statistically significant. This outcome may show an incremental benefit of IVIg over standard therapies.</w:t>
            </w:r>
          </w:p>
        </w:tc>
        <w:tc>
          <w:tcPr>
            <w:tcW w:w="375" w:type="pct"/>
            <w:tcBorders>
              <w:top w:val="single" w:sz="4" w:space="0" w:color="auto"/>
              <w:left w:val="single" w:sz="4" w:space="0" w:color="auto"/>
              <w:bottom w:val="single" w:sz="4" w:space="0" w:color="auto"/>
              <w:right w:val="single" w:sz="4" w:space="0" w:color="auto"/>
            </w:tcBorders>
          </w:tcPr>
          <w:p w14:paraId="2F9E8696" w14:textId="3712A68A" w:rsidR="0021799F" w:rsidRPr="007D1918" w:rsidRDefault="0021799F" w:rsidP="002E5787">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B55CDA" w:rsidRPr="007D1918">
              <w:rPr>
                <w:rFonts w:ascii="Cambria Math" w:hAnsi="Cambria Math" w:cs="Cambria Math"/>
                <w:color w:val="C0000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6F9DEBED" w14:textId="77777777" w:rsidR="0021799F" w:rsidRPr="007D1918" w:rsidRDefault="0021799F" w:rsidP="002E5787">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5912BD3B" w14:textId="77777777" w:rsidTr="00E458FF">
        <w:tc>
          <w:tcPr>
            <w:tcW w:w="609" w:type="pct"/>
            <w:tcBorders>
              <w:top w:val="single" w:sz="4" w:space="0" w:color="auto"/>
              <w:bottom w:val="single" w:sz="4" w:space="0" w:color="auto"/>
              <w:right w:val="single" w:sz="4" w:space="0" w:color="auto"/>
            </w:tcBorders>
          </w:tcPr>
          <w:p w14:paraId="623D097A" w14:textId="288F5570"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lastRenderedPageBreak/>
              <w:t>Change in QoL</w:t>
            </w:r>
            <w:r w:rsidR="004A0BA1" w:rsidRPr="007D1918">
              <w:rPr>
                <w:rFonts w:ascii="Arial Narrow" w:hAnsi="Arial Narrow"/>
                <w:sz w:val="18"/>
                <w:szCs w:val="18"/>
                <w:lang w:eastAsia="en-US"/>
              </w:rPr>
              <w:t xml:space="preserve"> (change in MG-QoL-60</w:t>
            </w:r>
            <w:r w:rsidR="0031117D" w:rsidRPr="007D1918">
              <w:rPr>
                <w:rFonts w:ascii="Arial Narrow" w:hAnsi="Arial Narrow"/>
                <w:sz w:val="18"/>
                <w:szCs w:val="18"/>
                <w:lang w:eastAsia="en-US"/>
              </w:rPr>
              <w:t xml:space="preserve"> from baseline to day 28</w:t>
            </w:r>
            <w:r w:rsidR="004A0BA1" w:rsidRPr="007D1918">
              <w:rPr>
                <w:rFonts w:ascii="Arial Narrow" w:hAnsi="Arial Narrow"/>
                <w:sz w:val="18"/>
                <w:szCs w:val="18"/>
                <w:lang w:eastAsia="en-US"/>
              </w:rPr>
              <w:t>)</w:t>
            </w:r>
          </w:p>
          <w:p w14:paraId="0C9756BE" w14:textId="5AA17984"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4973A55E"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n=62</w:t>
            </w:r>
          </w:p>
          <w:p w14:paraId="5AFC388B" w14:textId="749BE734"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19121C4B"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0</w:t>
            </w:r>
          </w:p>
          <w:p w14:paraId="66D41D05"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726A365C"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6FB456B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746E9419" w14:textId="75553741" w:rsidR="00BF22B6" w:rsidRPr="007D1918" w:rsidRDefault="00BF7EC9" w:rsidP="00570B3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xml:space="preserve">: </w:t>
            </w:r>
            <w:r w:rsidR="00570B3F"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51346E27" w14:textId="7BAEC23A"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-23 ± 32</w:t>
            </w:r>
          </w:p>
        </w:tc>
        <w:tc>
          <w:tcPr>
            <w:tcW w:w="561" w:type="pct"/>
            <w:tcBorders>
              <w:top w:val="single" w:sz="4" w:space="0" w:color="auto"/>
              <w:left w:val="single" w:sz="4" w:space="0" w:color="auto"/>
              <w:bottom w:val="single" w:sz="4" w:space="0" w:color="auto"/>
              <w:right w:val="single" w:sz="4" w:space="0" w:color="auto"/>
            </w:tcBorders>
          </w:tcPr>
          <w:p w14:paraId="6372BDBC" w14:textId="4D9DCC4E"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-17 ± 23</w:t>
            </w:r>
          </w:p>
        </w:tc>
        <w:tc>
          <w:tcPr>
            <w:tcW w:w="512" w:type="pct"/>
            <w:tcBorders>
              <w:top w:val="single" w:sz="4" w:space="0" w:color="auto"/>
              <w:left w:val="single" w:sz="4" w:space="0" w:color="auto"/>
              <w:bottom w:val="single" w:sz="4" w:space="0" w:color="auto"/>
              <w:right w:val="single" w:sz="4" w:space="0" w:color="auto"/>
            </w:tcBorders>
          </w:tcPr>
          <w:p w14:paraId="43E5C0E5" w14:textId="3189150C"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0.4</w:t>
            </w:r>
          </w:p>
          <w:p w14:paraId="6025E4BC" w14:textId="37E4BCCF" w:rsidR="00BF22B6" w:rsidRPr="007D1918" w:rsidRDefault="00BF22B6" w:rsidP="00BF22B6">
            <w:pPr>
              <w:spacing w:before="40" w:after="40" w:line="240" w:lineRule="auto"/>
              <w:jc w:val="both"/>
              <w:rPr>
                <w:rFonts w:ascii="Arial Narrow" w:hAnsi="Arial Narrow"/>
                <w:sz w:val="18"/>
                <w:szCs w:val="18"/>
                <w:lang w:eastAsia="en-US"/>
              </w:rPr>
            </w:pPr>
          </w:p>
        </w:tc>
        <w:tc>
          <w:tcPr>
            <w:tcW w:w="796" w:type="pct"/>
            <w:tcBorders>
              <w:top w:val="single" w:sz="4" w:space="0" w:color="auto"/>
              <w:left w:val="single" w:sz="4" w:space="0" w:color="auto"/>
              <w:bottom w:val="single" w:sz="4" w:space="0" w:color="auto"/>
              <w:right w:val="single" w:sz="4" w:space="0" w:color="auto"/>
            </w:tcBorders>
          </w:tcPr>
          <w:p w14:paraId="28C4EE71" w14:textId="0CEE39C0" w:rsidR="00BF22B6" w:rsidRPr="007D1918" w:rsidRDefault="00BF7EC9" w:rsidP="00BF7EC9">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Improvement in QoL favoured IVIg but t</w:t>
            </w:r>
            <w:r w:rsidR="00BF22B6" w:rsidRPr="007D1918">
              <w:rPr>
                <w:rFonts w:ascii="Arial Narrow" w:hAnsi="Arial Narrow"/>
                <w:sz w:val="18"/>
                <w:szCs w:val="18"/>
                <w:lang w:eastAsia="en-US"/>
              </w:rPr>
              <w:t xml:space="preserve">here was no </w:t>
            </w:r>
            <w:r w:rsidRPr="007D1918">
              <w:rPr>
                <w:rFonts w:ascii="Arial Narrow" w:hAnsi="Arial Narrow"/>
                <w:sz w:val="18"/>
                <w:szCs w:val="18"/>
                <w:lang w:eastAsia="en-US"/>
              </w:rPr>
              <w:t xml:space="preserve">statistical </w:t>
            </w:r>
            <w:r w:rsidR="00BF22B6" w:rsidRPr="007D1918">
              <w:rPr>
                <w:rFonts w:ascii="Arial Narrow" w:hAnsi="Arial Narrow"/>
                <w:sz w:val="18"/>
                <w:szCs w:val="18"/>
                <w:lang w:eastAsia="en-US"/>
              </w:rPr>
              <w:t>difference between groups</w:t>
            </w:r>
          </w:p>
        </w:tc>
        <w:tc>
          <w:tcPr>
            <w:tcW w:w="375" w:type="pct"/>
            <w:tcBorders>
              <w:top w:val="single" w:sz="4" w:space="0" w:color="auto"/>
              <w:left w:val="single" w:sz="4" w:space="0" w:color="auto"/>
              <w:bottom w:val="single" w:sz="4" w:space="0" w:color="auto"/>
              <w:right w:val="single" w:sz="4" w:space="0" w:color="auto"/>
            </w:tcBorders>
          </w:tcPr>
          <w:p w14:paraId="25FC3F57" w14:textId="1B65E9AE"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00F44AD5"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5916C1B9" w14:textId="2EDFC8F3" w:rsidR="00BF22B6" w:rsidRPr="007D1918" w:rsidRDefault="00BF7EC9"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CRITICAL</w:t>
            </w:r>
          </w:p>
        </w:tc>
      </w:tr>
      <w:tr w:rsidR="00E458FF" w:rsidRPr="007D1918" w14:paraId="09114A42" w14:textId="77777777" w:rsidTr="00E458FF">
        <w:tc>
          <w:tcPr>
            <w:tcW w:w="609" w:type="pct"/>
            <w:tcBorders>
              <w:top w:val="single" w:sz="4" w:space="0" w:color="auto"/>
              <w:bottom w:val="single" w:sz="4" w:space="0" w:color="auto"/>
              <w:right w:val="single" w:sz="4" w:space="0" w:color="auto"/>
            </w:tcBorders>
          </w:tcPr>
          <w:p w14:paraId="75B22846" w14:textId="17421754"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Rate of remission</w:t>
            </w:r>
            <w:r w:rsidR="0031117D" w:rsidRPr="007D1918">
              <w:rPr>
                <w:rFonts w:ascii="Arial Narrow" w:hAnsi="Arial Narrow"/>
                <w:sz w:val="18"/>
                <w:szCs w:val="18"/>
                <w:lang w:eastAsia="en-US"/>
              </w:rPr>
              <w:t xml:space="preserve"> (days)</w:t>
            </w:r>
          </w:p>
          <w:p w14:paraId="76D66F0D" w14:textId="4EC0093A"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07EA5186"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n=30</w:t>
            </w:r>
          </w:p>
          <w:p w14:paraId="137EED71" w14:textId="4346293E"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auto"/>
              <w:right w:val="single" w:sz="4" w:space="0" w:color="auto"/>
            </w:tcBorders>
          </w:tcPr>
          <w:p w14:paraId="0767BFA7" w14:textId="17A90611"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E33CC5" w:rsidRPr="007D1918">
              <w:rPr>
                <w:rFonts w:ascii="Arial Narrow" w:hAnsi="Arial Narrow"/>
                <w:sz w:val="18"/>
                <w:szCs w:val="18"/>
                <w:lang w:eastAsia="en-US"/>
              </w:rPr>
              <w:t>0</w:t>
            </w:r>
          </w:p>
          <w:p w14:paraId="3230149A"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799334DA"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1F5F9864" w14:textId="5029A5A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-1</w:t>
            </w:r>
            <w:r w:rsidR="00CF47E6" w:rsidRPr="007D1918">
              <w:rPr>
                <w:rFonts w:ascii="Arial Narrow" w:hAnsi="Arial Narrow"/>
                <w:sz w:val="18"/>
                <w:szCs w:val="18"/>
                <w:vertAlign w:val="superscript"/>
                <w:lang w:eastAsia="en-US"/>
              </w:rPr>
              <w:t>d</w:t>
            </w:r>
          </w:p>
          <w:p w14:paraId="30D8F4B6" w14:textId="191ED0A8" w:rsidR="00BF22B6" w:rsidRPr="007D1918" w:rsidRDefault="008D4136" w:rsidP="00E33C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0E30BAD1" w14:textId="4413F2C2"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8.4 ± 1.54</w:t>
            </w:r>
          </w:p>
        </w:tc>
        <w:tc>
          <w:tcPr>
            <w:tcW w:w="561" w:type="pct"/>
            <w:tcBorders>
              <w:top w:val="single" w:sz="4" w:space="0" w:color="auto"/>
              <w:left w:val="single" w:sz="4" w:space="0" w:color="auto"/>
              <w:bottom w:val="single" w:sz="4" w:space="0" w:color="auto"/>
              <w:right w:val="single" w:sz="4" w:space="0" w:color="auto"/>
            </w:tcBorders>
          </w:tcPr>
          <w:p w14:paraId="7E7BAF73" w14:textId="383D5943"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6.7 ± 0.34 </w:t>
            </w:r>
          </w:p>
        </w:tc>
        <w:tc>
          <w:tcPr>
            <w:tcW w:w="512" w:type="pct"/>
            <w:tcBorders>
              <w:top w:val="single" w:sz="4" w:space="0" w:color="auto"/>
              <w:left w:val="single" w:sz="4" w:space="0" w:color="auto"/>
              <w:bottom w:val="single" w:sz="4" w:space="0" w:color="auto"/>
              <w:right w:val="single" w:sz="4" w:space="0" w:color="auto"/>
            </w:tcBorders>
          </w:tcPr>
          <w:p w14:paraId="6A06D293" w14:textId="25AC415A"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P </w:t>
            </w:r>
            <w:r w:rsidR="0031117D" w:rsidRPr="007D1918">
              <w:rPr>
                <w:rFonts w:ascii="Arial Narrow" w:hAnsi="Arial Narrow"/>
                <w:sz w:val="18"/>
                <w:szCs w:val="18"/>
                <w:lang w:eastAsia="en-US"/>
              </w:rPr>
              <w:t>&lt; 0.01</w:t>
            </w:r>
          </w:p>
          <w:p w14:paraId="22C93EBA" w14:textId="24962A58" w:rsidR="00BF22B6" w:rsidRPr="007D1918" w:rsidRDefault="00BF22B6" w:rsidP="00BF22B6">
            <w:pPr>
              <w:spacing w:before="40" w:after="40" w:line="240" w:lineRule="auto"/>
              <w:jc w:val="both"/>
              <w:rPr>
                <w:rFonts w:ascii="Arial Narrow" w:hAnsi="Arial Narrow"/>
                <w:sz w:val="18"/>
                <w:szCs w:val="18"/>
                <w:lang w:eastAsia="en-US"/>
              </w:rPr>
            </w:pPr>
          </w:p>
        </w:tc>
        <w:tc>
          <w:tcPr>
            <w:tcW w:w="796" w:type="pct"/>
            <w:tcBorders>
              <w:top w:val="single" w:sz="4" w:space="0" w:color="auto"/>
              <w:left w:val="single" w:sz="4" w:space="0" w:color="auto"/>
              <w:bottom w:val="single" w:sz="4" w:space="0" w:color="auto"/>
              <w:right w:val="single" w:sz="4" w:space="0" w:color="auto"/>
            </w:tcBorders>
          </w:tcPr>
          <w:p w14:paraId="1D781993" w14:textId="78CE9371" w:rsidR="00BF22B6" w:rsidRPr="007D1918" w:rsidRDefault="0031117D" w:rsidP="00EB287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Rate of remission favoured PE, but the participant number was small, making the result unreliable</w:t>
            </w:r>
          </w:p>
        </w:tc>
        <w:tc>
          <w:tcPr>
            <w:tcW w:w="375" w:type="pct"/>
            <w:tcBorders>
              <w:top w:val="single" w:sz="4" w:space="0" w:color="auto"/>
              <w:left w:val="single" w:sz="4" w:space="0" w:color="auto"/>
              <w:bottom w:val="single" w:sz="4" w:space="0" w:color="auto"/>
              <w:right w:val="single" w:sz="4" w:space="0" w:color="auto"/>
            </w:tcBorders>
          </w:tcPr>
          <w:p w14:paraId="2379D221" w14:textId="3ADC70F8" w:rsidR="00BF22B6" w:rsidRPr="007D1918" w:rsidRDefault="00E33CC5"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137EF889"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2795E64A" w14:textId="77777777" w:rsidTr="00E458FF">
        <w:tc>
          <w:tcPr>
            <w:tcW w:w="609" w:type="pct"/>
            <w:tcBorders>
              <w:top w:val="single" w:sz="4" w:space="0" w:color="auto"/>
              <w:bottom w:val="single" w:sz="4" w:space="0" w:color="auto"/>
              <w:right w:val="single" w:sz="4" w:space="0" w:color="auto"/>
            </w:tcBorders>
          </w:tcPr>
          <w:p w14:paraId="79D64DB0" w14:textId="480759E8"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Rate of ventilation</w:t>
            </w:r>
            <w:r w:rsidR="0031117D" w:rsidRPr="007D1918">
              <w:rPr>
                <w:rFonts w:ascii="Arial Narrow" w:hAnsi="Arial Narrow"/>
                <w:sz w:val="18"/>
                <w:szCs w:val="18"/>
                <w:lang w:eastAsia="en-US"/>
              </w:rPr>
              <w:t xml:space="preserve"> (% patients using assisted ventilation)</w:t>
            </w:r>
          </w:p>
          <w:p w14:paraId="64E3C975" w14:textId="2D6F5B64"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704F0CA9"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n=30</w:t>
            </w:r>
          </w:p>
          <w:p w14:paraId="53F589B9" w14:textId="23A5B54B"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RCT</w:t>
            </w:r>
          </w:p>
        </w:tc>
        <w:tc>
          <w:tcPr>
            <w:tcW w:w="661" w:type="pct"/>
            <w:tcBorders>
              <w:top w:val="single" w:sz="4" w:space="0" w:color="auto"/>
              <w:left w:val="single" w:sz="4" w:space="0" w:color="auto"/>
              <w:bottom w:val="single" w:sz="4" w:space="0" w:color="FFFFFF" w:themeColor="background1"/>
              <w:right w:val="single" w:sz="4" w:space="0" w:color="auto"/>
            </w:tcBorders>
          </w:tcPr>
          <w:p w14:paraId="0DB15773" w14:textId="36301D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E33CC5" w:rsidRPr="007D1918">
              <w:rPr>
                <w:rFonts w:ascii="Arial Narrow" w:hAnsi="Arial Narrow"/>
                <w:sz w:val="18"/>
                <w:szCs w:val="18"/>
                <w:lang w:eastAsia="en-US"/>
              </w:rPr>
              <w:t>0</w:t>
            </w:r>
          </w:p>
          <w:p w14:paraId="6774971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7ED43B2B"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2EEED237" w14:textId="7867AEDA"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Imprecision: -1</w:t>
            </w:r>
            <w:r w:rsidR="00CF47E6" w:rsidRPr="007D1918">
              <w:rPr>
                <w:rFonts w:ascii="Arial Narrow" w:hAnsi="Arial Narrow"/>
                <w:sz w:val="18"/>
                <w:szCs w:val="18"/>
                <w:vertAlign w:val="superscript"/>
                <w:lang w:eastAsia="en-US"/>
              </w:rPr>
              <w:t>d</w:t>
            </w:r>
          </w:p>
          <w:p w14:paraId="1B03498C" w14:textId="3C0A571E" w:rsidR="00BF22B6" w:rsidRPr="007D1918" w:rsidRDefault="008D413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682930DC" w14:textId="72DA57E5"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40</w:t>
            </w:r>
            <w:r w:rsidR="00BF22B6" w:rsidRPr="007D1918">
              <w:rPr>
                <w:rFonts w:ascii="Arial Narrow" w:hAnsi="Arial Narrow"/>
                <w:sz w:val="18"/>
                <w:szCs w:val="18"/>
                <w:lang w:eastAsia="en-US"/>
              </w:rPr>
              <w:t>%</w:t>
            </w:r>
          </w:p>
        </w:tc>
        <w:tc>
          <w:tcPr>
            <w:tcW w:w="561" w:type="pct"/>
            <w:tcBorders>
              <w:top w:val="single" w:sz="4" w:space="0" w:color="auto"/>
              <w:left w:val="single" w:sz="4" w:space="0" w:color="auto"/>
              <w:bottom w:val="single" w:sz="4" w:space="0" w:color="auto"/>
              <w:right w:val="single" w:sz="4" w:space="0" w:color="auto"/>
            </w:tcBorders>
          </w:tcPr>
          <w:p w14:paraId="0F44602F" w14:textId="369CC552"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13%</w:t>
            </w:r>
          </w:p>
        </w:tc>
        <w:tc>
          <w:tcPr>
            <w:tcW w:w="512" w:type="pct"/>
            <w:tcBorders>
              <w:top w:val="single" w:sz="4" w:space="0" w:color="auto"/>
              <w:left w:val="single" w:sz="4" w:space="0" w:color="auto"/>
              <w:bottom w:val="single" w:sz="4" w:space="0" w:color="auto"/>
              <w:right w:val="single" w:sz="4" w:space="0" w:color="auto"/>
            </w:tcBorders>
          </w:tcPr>
          <w:p w14:paraId="4D2AB301" w14:textId="5A5C0DBF"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&lt; 0.05</w:t>
            </w:r>
          </w:p>
        </w:tc>
        <w:tc>
          <w:tcPr>
            <w:tcW w:w="796" w:type="pct"/>
            <w:tcBorders>
              <w:top w:val="single" w:sz="4" w:space="0" w:color="auto"/>
              <w:left w:val="single" w:sz="4" w:space="0" w:color="auto"/>
              <w:bottom w:val="single" w:sz="4" w:space="0" w:color="auto"/>
              <w:right w:val="single" w:sz="4" w:space="0" w:color="auto"/>
            </w:tcBorders>
          </w:tcPr>
          <w:p w14:paraId="7A221596" w14:textId="202C57B0" w:rsidR="00BF22B6" w:rsidRPr="007D1918" w:rsidRDefault="0031117D" w:rsidP="00EB287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Rate of ventilation favoured PE, but the participant number was small, making the result unreliable</w:t>
            </w:r>
          </w:p>
        </w:tc>
        <w:tc>
          <w:tcPr>
            <w:tcW w:w="375" w:type="pct"/>
            <w:tcBorders>
              <w:top w:val="single" w:sz="4" w:space="0" w:color="auto"/>
              <w:left w:val="single" w:sz="4" w:space="0" w:color="auto"/>
              <w:bottom w:val="single" w:sz="4" w:space="0" w:color="auto"/>
              <w:right w:val="single" w:sz="4" w:space="0" w:color="auto"/>
            </w:tcBorders>
          </w:tcPr>
          <w:p w14:paraId="08A30EBC" w14:textId="2F37E135" w:rsidR="00BF22B6" w:rsidRPr="007D1918" w:rsidRDefault="00E33CC5"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727903DB"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3A9916B3" w14:textId="77777777" w:rsidTr="00E458FF">
        <w:tc>
          <w:tcPr>
            <w:tcW w:w="609" w:type="pct"/>
            <w:tcBorders>
              <w:top w:val="single" w:sz="4" w:space="0" w:color="auto"/>
              <w:bottom w:val="single" w:sz="4" w:space="0" w:color="auto"/>
              <w:right w:val="single" w:sz="4" w:space="0" w:color="auto"/>
            </w:tcBorders>
          </w:tcPr>
          <w:p w14:paraId="593066BB" w14:textId="57629C0C"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Response to treatment in children</w:t>
            </w:r>
            <w:r w:rsidR="00E33CC5" w:rsidRPr="007D1918">
              <w:rPr>
                <w:rFonts w:ascii="Arial Narrow" w:hAnsi="Arial Narrow"/>
                <w:sz w:val="18"/>
                <w:szCs w:val="18"/>
                <w:lang w:eastAsia="en-US"/>
              </w:rPr>
              <w:t xml:space="preserve"> (% children who responded measured with </w:t>
            </w:r>
            <w:r w:rsidR="008D4136" w:rsidRPr="007D1918">
              <w:rPr>
                <w:rFonts w:ascii="Arial Narrow" w:hAnsi="Arial Narrow"/>
                <w:sz w:val="18"/>
                <w:szCs w:val="18"/>
                <w:lang w:eastAsia="en-US"/>
              </w:rPr>
              <w:t>n</w:t>
            </w:r>
            <w:r w:rsidR="00E33CC5" w:rsidRPr="007D1918">
              <w:rPr>
                <w:rFonts w:ascii="Arial Narrow" w:hAnsi="Arial Narrow"/>
                <w:sz w:val="18"/>
                <w:szCs w:val="18"/>
                <w:lang w:eastAsia="en-US"/>
              </w:rPr>
              <w:t>on-standardised tools)</w:t>
            </w:r>
          </w:p>
          <w:p w14:paraId="58CF5E54" w14:textId="30E1E947"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PE</w:t>
            </w:r>
          </w:p>
        </w:tc>
        <w:tc>
          <w:tcPr>
            <w:tcW w:w="514" w:type="pct"/>
            <w:tcBorders>
              <w:top w:val="single" w:sz="4" w:space="0" w:color="auto"/>
              <w:left w:val="single" w:sz="4" w:space="0" w:color="auto"/>
              <w:bottom w:val="single" w:sz="4" w:space="0" w:color="auto"/>
              <w:right w:val="single" w:sz="4" w:space="0" w:color="auto"/>
            </w:tcBorders>
          </w:tcPr>
          <w:p w14:paraId="62A0B09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n=17</w:t>
            </w:r>
          </w:p>
          <w:p w14:paraId="301AA821" w14:textId="60865328"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09B0B45C" w14:textId="387B6F69"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Risk of bias: </w:t>
            </w:r>
            <w:r w:rsidR="00E33CC5" w:rsidRPr="007D1918">
              <w:rPr>
                <w:rFonts w:ascii="Arial Narrow" w:hAnsi="Arial Narrow"/>
                <w:sz w:val="18"/>
                <w:szCs w:val="18"/>
                <w:lang w:eastAsia="en-US"/>
              </w:rPr>
              <w:t>0</w:t>
            </w:r>
          </w:p>
          <w:p w14:paraId="5B03F401"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41B4A84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4AA76994" w14:textId="55D1BF97"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Imprecision: </w:t>
            </w:r>
            <w:r w:rsidR="00E33CC5" w:rsidRPr="007D1918">
              <w:rPr>
                <w:rFonts w:ascii="Arial Narrow" w:hAnsi="Arial Narrow"/>
                <w:sz w:val="18"/>
                <w:szCs w:val="18"/>
                <w:lang w:eastAsia="en-US"/>
              </w:rPr>
              <w:t>-1</w:t>
            </w:r>
            <w:r w:rsidR="00CF47E6" w:rsidRPr="007D1918">
              <w:rPr>
                <w:rFonts w:ascii="Arial Narrow" w:hAnsi="Arial Narrow"/>
                <w:sz w:val="18"/>
                <w:szCs w:val="18"/>
                <w:vertAlign w:val="superscript"/>
                <w:lang w:eastAsia="en-US"/>
              </w:rPr>
              <w:t>d</w:t>
            </w:r>
          </w:p>
          <w:p w14:paraId="37F1FB91" w14:textId="5DA5BB3B" w:rsidR="00BF22B6" w:rsidRPr="007D1918" w:rsidRDefault="008D4136" w:rsidP="00E33CC5">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594CB713" w14:textId="08C3C01B"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50</w:t>
            </w:r>
            <w:r w:rsidR="00BF22B6" w:rsidRPr="007D1918">
              <w:rPr>
                <w:rFonts w:ascii="Arial Narrow" w:hAnsi="Arial Narrow"/>
                <w:sz w:val="18"/>
                <w:szCs w:val="18"/>
                <w:lang w:eastAsia="en-US"/>
              </w:rPr>
              <w:t>%</w:t>
            </w:r>
          </w:p>
        </w:tc>
        <w:tc>
          <w:tcPr>
            <w:tcW w:w="561" w:type="pct"/>
            <w:tcBorders>
              <w:top w:val="single" w:sz="4" w:space="0" w:color="auto"/>
              <w:left w:val="single" w:sz="4" w:space="0" w:color="auto"/>
              <w:bottom w:val="single" w:sz="4" w:space="0" w:color="auto"/>
              <w:right w:val="single" w:sz="4" w:space="0" w:color="auto"/>
            </w:tcBorders>
          </w:tcPr>
          <w:p w14:paraId="6F184617" w14:textId="2CDB4524" w:rsidR="00BF22B6" w:rsidRPr="007D1918" w:rsidRDefault="0031117D"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100</w:t>
            </w:r>
            <w:r w:rsidR="00BF22B6" w:rsidRPr="007D1918">
              <w:rPr>
                <w:rFonts w:ascii="Arial Narrow" w:hAnsi="Arial Narrow"/>
                <w:sz w:val="18"/>
                <w:szCs w:val="18"/>
                <w:lang w:eastAsia="en-US"/>
              </w:rPr>
              <w:t>%</w:t>
            </w:r>
          </w:p>
        </w:tc>
        <w:tc>
          <w:tcPr>
            <w:tcW w:w="512" w:type="pct"/>
            <w:tcBorders>
              <w:top w:val="single" w:sz="4" w:space="0" w:color="auto"/>
              <w:left w:val="single" w:sz="4" w:space="0" w:color="auto"/>
              <w:bottom w:val="single" w:sz="4" w:space="0" w:color="auto"/>
              <w:right w:val="single" w:sz="4" w:space="0" w:color="auto"/>
            </w:tcBorders>
          </w:tcPr>
          <w:p w14:paraId="1145D9AB" w14:textId="04F6CFD2" w:rsidR="00BF22B6" w:rsidRPr="007D1918" w:rsidRDefault="00E33CC5"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0.04</w:t>
            </w:r>
          </w:p>
        </w:tc>
        <w:tc>
          <w:tcPr>
            <w:tcW w:w="796" w:type="pct"/>
            <w:tcBorders>
              <w:top w:val="single" w:sz="4" w:space="0" w:color="auto"/>
              <w:left w:val="single" w:sz="4" w:space="0" w:color="auto"/>
              <w:bottom w:val="single" w:sz="4" w:space="0" w:color="auto"/>
              <w:right w:val="single" w:sz="4" w:space="0" w:color="auto"/>
            </w:tcBorders>
          </w:tcPr>
          <w:p w14:paraId="3FBC2B98" w14:textId="12E5FE2A" w:rsidR="00BF22B6" w:rsidRPr="007D1918" w:rsidRDefault="008D413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Response in children was better for those given PE. </w:t>
            </w:r>
            <w:r w:rsidR="00E33CC5" w:rsidRPr="007D1918">
              <w:rPr>
                <w:rFonts w:ascii="Arial Narrow" w:hAnsi="Arial Narrow"/>
                <w:sz w:val="18"/>
                <w:szCs w:val="18"/>
                <w:lang w:eastAsia="en-US"/>
              </w:rPr>
              <w:t xml:space="preserve">This result </w:t>
            </w:r>
            <w:r w:rsidRPr="007D1918">
              <w:rPr>
                <w:rFonts w:ascii="Arial Narrow" w:hAnsi="Arial Narrow"/>
                <w:sz w:val="18"/>
                <w:szCs w:val="18"/>
                <w:lang w:eastAsia="en-US"/>
              </w:rPr>
              <w:t>may be</w:t>
            </w:r>
            <w:r w:rsidR="00E33CC5" w:rsidRPr="007D1918">
              <w:rPr>
                <w:rFonts w:ascii="Arial Narrow" w:hAnsi="Arial Narrow"/>
                <w:sz w:val="18"/>
                <w:szCs w:val="18"/>
                <w:lang w:eastAsia="en-US"/>
              </w:rPr>
              <w:t xml:space="preserve"> unreliable due to non-standardised tools and small participant numbers</w:t>
            </w:r>
          </w:p>
        </w:tc>
        <w:tc>
          <w:tcPr>
            <w:tcW w:w="375" w:type="pct"/>
            <w:tcBorders>
              <w:top w:val="single" w:sz="4" w:space="0" w:color="auto"/>
              <w:left w:val="single" w:sz="4" w:space="0" w:color="auto"/>
              <w:bottom w:val="single" w:sz="4" w:space="0" w:color="auto"/>
              <w:right w:val="single" w:sz="4" w:space="0" w:color="auto"/>
            </w:tcBorders>
          </w:tcPr>
          <w:p w14:paraId="30E14215" w14:textId="40E7CF60" w:rsidR="00BF22B6" w:rsidRPr="007D1918" w:rsidRDefault="008D4136"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4CB0EDA1" w14:textId="409BC9AC" w:rsidR="00BF22B6" w:rsidRPr="007D1918" w:rsidRDefault="008D413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CRITICAL</w:t>
            </w:r>
          </w:p>
        </w:tc>
      </w:tr>
      <w:tr w:rsidR="00E458FF" w:rsidRPr="007D1918" w14:paraId="0AFC1E9F" w14:textId="77777777" w:rsidTr="00E458FF">
        <w:tc>
          <w:tcPr>
            <w:tcW w:w="609" w:type="pct"/>
            <w:tcBorders>
              <w:top w:val="single" w:sz="4" w:space="0" w:color="auto"/>
              <w:bottom w:val="single" w:sz="4" w:space="0" w:color="auto"/>
              <w:right w:val="single" w:sz="4" w:space="0" w:color="auto"/>
            </w:tcBorders>
          </w:tcPr>
          <w:p w14:paraId="6FFC99E4" w14:textId="5778A84A"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absolute score in children</w:t>
            </w:r>
            <w:r w:rsidR="00685DB6" w:rsidRPr="007D1918">
              <w:rPr>
                <w:rFonts w:ascii="Arial Narrow" w:hAnsi="Arial Narrow"/>
                <w:sz w:val="18"/>
                <w:szCs w:val="18"/>
                <w:lang w:eastAsia="en-US"/>
              </w:rPr>
              <w:t xml:space="preserve"> (mean change from baseline)</w:t>
            </w:r>
          </w:p>
          <w:p w14:paraId="4D565AE8" w14:textId="03B1A9D4" w:rsidR="00BF22B6" w:rsidRPr="007D1918" w:rsidRDefault="00BF22B6" w:rsidP="00071CA3">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IVIg </w:t>
            </w:r>
            <w:r w:rsidR="00B55CDA" w:rsidRPr="007D1918">
              <w:rPr>
                <w:rFonts w:ascii="Arial Narrow" w:hAnsi="Arial Narrow"/>
                <w:sz w:val="18"/>
                <w:szCs w:val="18"/>
                <w:lang w:eastAsia="en-US"/>
              </w:rPr>
              <w:t xml:space="preserve">+ MPN </w:t>
            </w:r>
            <w:r w:rsidRPr="007D1918">
              <w:rPr>
                <w:rFonts w:ascii="Arial Narrow" w:hAnsi="Arial Narrow"/>
                <w:sz w:val="18"/>
                <w:szCs w:val="18"/>
                <w:lang w:eastAsia="en-US"/>
              </w:rPr>
              <w:t xml:space="preserve">v </w:t>
            </w:r>
            <w:r w:rsidR="00071CA3" w:rsidRPr="007D1918">
              <w:rPr>
                <w:rFonts w:ascii="Arial Narrow" w:hAnsi="Arial Narrow"/>
                <w:sz w:val="18"/>
                <w:szCs w:val="18"/>
                <w:lang w:eastAsia="en-US"/>
              </w:rPr>
              <w:t>MPN alone</w:t>
            </w:r>
          </w:p>
        </w:tc>
        <w:tc>
          <w:tcPr>
            <w:tcW w:w="514" w:type="pct"/>
            <w:tcBorders>
              <w:top w:val="single" w:sz="4" w:space="0" w:color="auto"/>
              <w:left w:val="single" w:sz="4" w:space="0" w:color="auto"/>
              <w:bottom w:val="single" w:sz="4" w:space="0" w:color="auto"/>
              <w:right w:val="single" w:sz="4" w:space="0" w:color="auto"/>
            </w:tcBorders>
          </w:tcPr>
          <w:p w14:paraId="42AE95E8"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n=70</w:t>
            </w:r>
          </w:p>
          <w:p w14:paraId="2CD9BDE2" w14:textId="049571A9"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FFFFFF" w:themeColor="background1"/>
              <w:right w:val="single" w:sz="4" w:space="0" w:color="auto"/>
            </w:tcBorders>
          </w:tcPr>
          <w:p w14:paraId="38564C90" w14:textId="37C71D19" w:rsidR="00BF22B6" w:rsidRPr="007D1918" w:rsidRDefault="0042565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Risk of bias: -1</w:t>
            </w:r>
            <w:r w:rsidR="00EB287C" w:rsidRPr="007D1918">
              <w:rPr>
                <w:rFonts w:ascii="Arial Narrow" w:hAnsi="Arial Narrow"/>
                <w:sz w:val="18"/>
                <w:szCs w:val="18"/>
                <w:vertAlign w:val="superscript"/>
                <w:lang w:eastAsia="en-US"/>
              </w:rPr>
              <w:t>e</w:t>
            </w:r>
          </w:p>
          <w:p w14:paraId="61C3F266"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353714D6" w14:textId="44A6DD39" w:rsidR="00BF22B6" w:rsidRPr="007D1918" w:rsidRDefault="00EB287C"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Indirectness: -1</w:t>
            </w:r>
            <w:r w:rsidR="004B6EFD" w:rsidRPr="007D1918">
              <w:rPr>
                <w:rFonts w:ascii="Arial Narrow" w:hAnsi="Arial Narrow"/>
                <w:sz w:val="18"/>
                <w:szCs w:val="18"/>
                <w:vertAlign w:val="superscript"/>
                <w:lang w:eastAsia="en-US"/>
              </w:rPr>
              <w:t>a</w:t>
            </w:r>
          </w:p>
          <w:p w14:paraId="1D273128"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03959617" w14:textId="34360E89" w:rsidR="00BF22B6" w:rsidRPr="007D1918" w:rsidRDefault="00425656" w:rsidP="00EB287C">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xml:space="preserve">: </w:t>
            </w:r>
            <w:r w:rsidR="00EB287C" w:rsidRPr="007D1918">
              <w:rPr>
                <w:rFonts w:ascii="Arial Narrow" w:hAnsi="Arial Narrow"/>
                <w:sz w:val="18"/>
                <w:szCs w:val="18"/>
                <w:lang w:eastAsia="en-US"/>
              </w:rPr>
              <w:t>0</w:t>
            </w:r>
          </w:p>
        </w:tc>
        <w:tc>
          <w:tcPr>
            <w:tcW w:w="561" w:type="pct"/>
            <w:tcBorders>
              <w:top w:val="single" w:sz="4" w:space="0" w:color="auto"/>
              <w:left w:val="single" w:sz="4" w:space="0" w:color="auto"/>
              <w:bottom w:val="single" w:sz="4" w:space="0" w:color="auto"/>
              <w:right w:val="single" w:sz="4" w:space="0" w:color="auto"/>
            </w:tcBorders>
          </w:tcPr>
          <w:p w14:paraId="1CAB9992" w14:textId="435E7A4B" w:rsidR="00BF22B6" w:rsidRPr="007D1918" w:rsidRDefault="00685D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12.98 ± 7.33</w:t>
            </w:r>
          </w:p>
        </w:tc>
        <w:tc>
          <w:tcPr>
            <w:tcW w:w="561" w:type="pct"/>
            <w:tcBorders>
              <w:top w:val="single" w:sz="4" w:space="0" w:color="auto"/>
              <w:left w:val="single" w:sz="4" w:space="0" w:color="auto"/>
              <w:bottom w:val="single" w:sz="4" w:space="0" w:color="auto"/>
              <w:right w:val="single" w:sz="4" w:space="0" w:color="auto"/>
            </w:tcBorders>
          </w:tcPr>
          <w:p w14:paraId="7E2F25C4" w14:textId="3AC5C547" w:rsidR="00BF22B6" w:rsidRPr="007D1918" w:rsidRDefault="00685D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8.84 ± 7.27</w:t>
            </w:r>
          </w:p>
        </w:tc>
        <w:tc>
          <w:tcPr>
            <w:tcW w:w="512" w:type="pct"/>
            <w:tcBorders>
              <w:top w:val="single" w:sz="4" w:space="0" w:color="auto"/>
              <w:left w:val="single" w:sz="4" w:space="0" w:color="auto"/>
              <w:bottom w:val="single" w:sz="4" w:space="0" w:color="auto"/>
              <w:right w:val="single" w:sz="4" w:space="0" w:color="auto"/>
            </w:tcBorders>
          </w:tcPr>
          <w:p w14:paraId="3E3DEAFB" w14:textId="1A42702C" w:rsidR="00BF22B6" w:rsidRPr="007D1918" w:rsidRDefault="00685DB6" w:rsidP="00E458FF">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&lt; 0.05</w:t>
            </w:r>
          </w:p>
        </w:tc>
        <w:tc>
          <w:tcPr>
            <w:tcW w:w="796" w:type="pct"/>
            <w:tcBorders>
              <w:top w:val="single" w:sz="4" w:space="0" w:color="auto"/>
              <w:left w:val="single" w:sz="4" w:space="0" w:color="auto"/>
              <w:bottom w:val="single" w:sz="4" w:space="0" w:color="auto"/>
              <w:right w:val="single" w:sz="4" w:space="0" w:color="auto"/>
            </w:tcBorders>
          </w:tcPr>
          <w:p w14:paraId="686C811D" w14:textId="7F4E5038" w:rsidR="00BF22B6" w:rsidRPr="007D1918" w:rsidRDefault="00685DB6" w:rsidP="00C86C7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Symptom improvement favoured IVIg in this outcome but </w:t>
            </w:r>
            <w:r w:rsidR="00C86C70" w:rsidRPr="007D1918">
              <w:rPr>
                <w:rFonts w:ascii="Arial Narrow" w:hAnsi="Arial Narrow"/>
                <w:sz w:val="18"/>
                <w:szCs w:val="18"/>
                <w:lang w:eastAsia="en-US"/>
              </w:rPr>
              <w:t>may be</w:t>
            </w:r>
            <w:r w:rsidRPr="007D1918">
              <w:rPr>
                <w:rFonts w:ascii="Arial Narrow" w:hAnsi="Arial Narrow"/>
                <w:sz w:val="18"/>
                <w:szCs w:val="18"/>
                <w:lang w:eastAsia="en-US"/>
              </w:rPr>
              <w:t xml:space="preserve"> unreliable due to poor study quality This outcome may show incremental benefit of IVIg over standard therapy.</w:t>
            </w:r>
          </w:p>
        </w:tc>
        <w:tc>
          <w:tcPr>
            <w:tcW w:w="375" w:type="pct"/>
            <w:tcBorders>
              <w:top w:val="single" w:sz="4" w:space="0" w:color="auto"/>
              <w:left w:val="single" w:sz="4" w:space="0" w:color="auto"/>
              <w:bottom w:val="single" w:sz="4" w:space="0" w:color="auto"/>
              <w:right w:val="single" w:sz="4" w:space="0" w:color="auto"/>
            </w:tcBorders>
          </w:tcPr>
          <w:p w14:paraId="25A21EE3" w14:textId="27758CFD" w:rsidR="00BF22B6" w:rsidRPr="007D1918" w:rsidRDefault="00425656"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5787ACC6"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3084A060" w14:textId="77777777" w:rsidTr="00E458FF">
        <w:tc>
          <w:tcPr>
            <w:tcW w:w="609" w:type="pct"/>
            <w:tcBorders>
              <w:top w:val="single" w:sz="4" w:space="0" w:color="auto"/>
              <w:bottom w:val="single" w:sz="4" w:space="0" w:color="auto"/>
              <w:right w:val="single" w:sz="4" w:space="0" w:color="auto"/>
            </w:tcBorders>
          </w:tcPr>
          <w:p w14:paraId="73BECEEC" w14:textId="2D0CA0D5"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Rate of remission in children</w:t>
            </w:r>
            <w:r w:rsidR="00685DB6" w:rsidRPr="007D1918">
              <w:rPr>
                <w:rFonts w:ascii="Arial Narrow" w:hAnsi="Arial Narrow"/>
                <w:sz w:val="18"/>
                <w:szCs w:val="18"/>
                <w:lang w:eastAsia="en-US"/>
              </w:rPr>
              <w:t xml:space="preserve"> (% children recovered) </w:t>
            </w:r>
          </w:p>
          <w:p w14:paraId="05E0A175" w14:textId="7A151750" w:rsidR="00BF22B6" w:rsidRPr="007D1918" w:rsidRDefault="00BF22B6" w:rsidP="008D413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IVIg v placebo</w:t>
            </w:r>
          </w:p>
        </w:tc>
        <w:tc>
          <w:tcPr>
            <w:tcW w:w="514" w:type="pct"/>
            <w:tcBorders>
              <w:top w:val="single" w:sz="4" w:space="0" w:color="auto"/>
              <w:left w:val="single" w:sz="4" w:space="0" w:color="auto"/>
              <w:bottom w:val="single" w:sz="4" w:space="0" w:color="auto"/>
              <w:right w:val="single" w:sz="4" w:space="0" w:color="auto"/>
            </w:tcBorders>
          </w:tcPr>
          <w:p w14:paraId="2D829B19"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n=70</w:t>
            </w:r>
          </w:p>
          <w:p w14:paraId="07CBE899" w14:textId="7950E812"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34A6E35D" w14:textId="58ACC92C"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00EB287C" w:rsidRPr="007D1918">
              <w:rPr>
                <w:rFonts w:ascii="Arial Narrow" w:hAnsi="Arial Narrow"/>
                <w:sz w:val="18"/>
                <w:szCs w:val="18"/>
                <w:vertAlign w:val="superscript"/>
                <w:lang w:eastAsia="en-US"/>
              </w:rPr>
              <w:t>e</w:t>
            </w:r>
          </w:p>
          <w:p w14:paraId="016D3FF4"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573B2CF6" w14:textId="71440D0A" w:rsidR="00BF22B6" w:rsidRPr="007D1918" w:rsidRDefault="00EB287C"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Indirectness: -1</w:t>
            </w:r>
            <w:r w:rsidR="004B6EFD" w:rsidRPr="007D1918">
              <w:rPr>
                <w:rFonts w:ascii="Arial Narrow" w:hAnsi="Arial Narrow"/>
                <w:sz w:val="18"/>
                <w:szCs w:val="18"/>
                <w:vertAlign w:val="superscript"/>
                <w:lang w:eastAsia="en-US"/>
              </w:rPr>
              <w:t>a</w:t>
            </w:r>
          </w:p>
          <w:p w14:paraId="1438B17D"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-1c</w:t>
            </w:r>
          </w:p>
          <w:p w14:paraId="6996AB36" w14:textId="504DB186" w:rsidR="00BF22B6" w:rsidRPr="007D1918" w:rsidRDefault="00425656" w:rsidP="00EB287C">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5433383E" w14:textId="57128516" w:rsidR="00BF22B6" w:rsidRPr="007D1918" w:rsidRDefault="00685D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25.7</w:t>
            </w:r>
            <w:r w:rsidR="00BF22B6" w:rsidRPr="007D1918">
              <w:rPr>
                <w:rFonts w:ascii="Arial Narrow" w:hAnsi="Arial Narrow"/>
                <w:sz w:val="18"/>
                <w:szCs w:val="18"/>
                <w:lang w:eastAsia="en-US"/>
              </w:rPr>
              <w:t>%</w:t>
            </w:r>
          </w:p>
        </w:tc>
        <w:tc>
          <w:tcPr>
            <w:tcW w:w="561" w:type="pct"/>
            <w:tcBorders>
              <w:top w:val="single" w:sz="4" w:space="0" w:color="auto"/>
              <w:left w:val="single" w:sz="4" w:space="0" w:color="auto"/>
              <w:bottom w:val="single" w:sz="4" w:space="0" w:color="auto"/>
              <w:right w:val="single" w:sz="4" w:space="0" w:color="auto"/>
            </w:tcBorders>
          </w:tcPr>
          <w:p w14:paraId="4C018581" w14:textId="19BC8122" w:rsidR="00BF22B6" w:rsidRPr="007D1918" w:rsidRDefault="00BF22B6" w:rsidP="00685D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14.</w:t>
            </w:r>
            <w:r w:rsidR="00685DB6" w:rsidRPr="007D1918">
              <w:rPr>
                <w:rFonts w:ascii="Arial Narrow" w:hAnsi="Arial Narrow"/>
                <w:sz w:val="18"/>
                <w:szCs w:val="18"/>
                <w:lang w:eastAsia="en-US"/>
              </w:rPr>
              <w:t>3</w:t>
            </w:r>
            <w:r w:rsidRPr="007D1918">
              <w:rPr>
                <w:rFonts w:ascii="Arial Narrow" w:hAnsi="Arial Narrow"/>
                <w:sz w:val="18"/>
                <w:szCs w:val="18"/>
                <w:lang w:eastAsia="en-US"/>
              </w:rPr>
              <w:t>%</w:t>
            </w:r>
          </w:p>
        </w:tc>
        <w:tc>
          <w:tcPr>
            <w:tcW w:w="512" w:type="pct"/>
            <w:tcBorders>
              <w:top w:val="single" w:sz="4" w:space="0" w:color="auto"/>
              <w:left w:val="single" w:sz="4" w:space="0" w:color="auto"/>
              <w:bottom w:val="single" w:sz="4" w:space="0" w:color="auto"/>
              <w:right w:val="single" w:sz="4" w:space="0" w:color="auto"/>
            </w:tcBorders>
          </w:tcPr>
          <w:p w14:paraId="43C1518E" w14:textId="42765C0D" w:rsidR="00BF22B6" w:rsidRPr="007D1918" w:rsidRDefault="00EB287C"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0.23</w:t>
            </w:r>
          </w:p>
        </w:tc>
        <w:tc>
          <w:tcPr>
            <w:tcW w:w="796" w:type="pct"/>
            <w:tcBorders>
              <w:top w:val="single" w:sz="4" w:space="0" w:color="auto"/>
              <w:left w:val="single" w:sz="4" w:space="0" w:color="auto"/>
              <w:bottom w:val="single" w:sz="4" w:space="0" w:color="auto"/>
              <w:right w:val="single" w:sz="4" w:space="0" w:color="auto"/>
            </w:tcBorders>
          </w:tcPr>
          <w:p w14:paraId="6A628A3A" w14:textId="29495FC3" w:rsidR="00BF22B6" w:rsidRPr="007D1918" w:rsidRDefault="00BF22B6" w:rsidP="00C86C7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 xml:space="preserve">There was no difference in frequency between groups. </w:t>
            </w:r>
            <w:r w:rsidR="00EB287C" w:rsidRPr="007D1918">
              <w:rPr>
                <w:rFonts w:ascii="Arial Narrow" w:hAnsi="Arial Narrow"/>
                <w:sz w:val="18"/>
                <w:szCs w:val="18"/>
                <w:lang w:eastAsia="en-US"/>
              </w:rPr>
              <w:t xml:space="preserve">The result </w:t>
            </w:r>
            <w:r w:rsidR="00C86C70" w:rsidRPr="007D1918">
              <w:rPr>
                <w:rFonts w:ascii="Arial Narrow" w:hAnsi="Arial Narrow"/>
                <w:sz w:val="18"/>
                <w:szCs w:val="18"/>
                <w:lang w:eastAsia="en-US"/>
              </w:rPr>
              <w:t>may be</w:t>
            </w:r>
            <w:r w:rsidR="00EB287C" w:rsidRPr="007D1918">
              <w:rPr>
                <w:rFonts w:ascii="Arial Narrow" w:hAnsi="Arial Narrow"/>
                <w:sz w:val="18"/>
                <w:szCs w:val="18"/>
                <w:lang w:eastAsia="en-US"/>
              </w:rPr>
              <w:t xml:space="preserve"> unreliable due to poor study quality This outcome may show incremental benefit of IVIg over standard therapy</w:t>
            </w:r>
          </w:p>
        </w:tc>
        <w:tc>
          <w:tcPr>
            <w:tcW w:w="375" w:type="pct"/>
            <w:tcBorders>
              <w:top w:val="single" w:sz="4" w:space="0" w:color="auto"/>
              <w:left w:val="single" w:sz="4" w:space="0" w:color="auto"/>
              <w:bottom w:val="single" w:sz="4" w:space="0" w:color="auto"/>
              <w:right w:val="single" w:sz="4" w:space="0" w:color="auto"/>
            </w:tcBorders>
          </w:tcPr>
          <w:p w14:paraId="615DC483" w14:textId="3BC92AB8" w:rsidR="00BF22B6" w:rsidRPr="007D1918" w:rsidRDefault="00425656"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6548AF94"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64F6D933" w14:textId="77777777" w:rsidTr="00E458FF">
        <w:tc>
          <w:tcPr>
            <w:tcW w:w="609" w:type="pct"/>
            <w:tcBorders>
              <w:top w:val="single" w:sz="4" w:space="0" w:color="auto"/>
              <w:bottom w:val="single" w:sz="4" w:space="0" w:color="auto"/>
              <w:right w:val="single" w:sz="4" w:space="0" w:color="auto"/>
            </w:tcBorders>
          </w:tcPr>
          <w:p w14:paraId="33969B81" w14:textId="65769ECE" w:rsidR="00BF22B6" w:rsidRPr="007D1918" w:rsidRDefault="00BF22B6" w:rsidP="00EB287C">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Need for life support systems in children</w:t>
            </w:r>
            <w:r w:rsidR="00EB287C" w:rsidRPr="007D1918">
              <w:rPr>
                <w:rFonts w:ascii="Arial Narrow" w:hAnsi="Arial Narrow"/>
                <w:sz w:val="18"/>
                <w:szCs w:val="18"/>
                <w:lang w:eastAsia="en-US"/>
              </w:rPr>
              <w:t xml:space="preserve"> (% children needing breathing support)</w:t>
            </w:r>
          </w:p>
          <w:p w14:paraId="492873E0" w14:textId="33D879F5"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IVIg v placebo</w:t>
            </w:r>
          </w:p>
        </w:tc>
        <w:tc>
          <w:tcPr>
            <w:tcW w:w="514" w:type="pct"/>
            <w:tcBorders>
              <w:top w:val="single" w:sz="4" w:space="0" w:color="auto"/>
              <w:left w:val="single" w:sz="4" w:space="0" w:color="auto"/>
              <w:bottom w:val="single" w:sz="4" w:space="0" w:color="auto"/>
              <w:right w:val="single" w:sz="4" w:space="0" w:color="auto"/>
            </w:tcBorders>
          </w:tcPr>
          <w:p w14:paraId="18108CA1"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n=70</w:t>
            </w:r>
          </w:p>
          <w:p w14:paraId="78FEBF57" w14:textId="557E7C0F"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R</w:t>
            </w:r>
            <w:r w:rsidR="00773DFA" w:rsidRPr="007D1918">
              <w:rPr>
                <w:rFonts w:ascii="Arial Narrow" w:hAnsi="Arial Narrow"/>
                <w:sz w:val="18"/>
                <w:szCs w:val="18"/>
                <w:lang w:eastAsia="en-US"/>
              </w:rPr>
              <w:t xml:space="preserve">et </w:t>
            </w:r>
            <w:r w:rsidRPr="007D1918">
              <w:rPr>
                <w:rFonts w:ascii="Arial Narrow" w:hAnsi="Arial Narrow"/>
                <w:sz w:val="18"/>
                <w:szCs w:val="18"/>
                <w:lang w:eastAsia="en-US"/>
              </w:rPr>
              <w:t>CoH</w:t>
            </w:r>
          </w:p>
        </w:tc>
        <w:tc>
          <w:tcPr>
            <w:tcW w:w="661" w:type="pct"/>
            <w:tcBorders>
              <w:top w:val="single" w:sz="4" w:space="0" w:color="auto"/>
              <w:left w:val="single" w:sz="4" w:space="0" w:color="auto"/>
              <w:bottom w:val="single" w:sz="4" w:space="0" w:color="auto"/>
              <w:right w:val="single" w:sz="4" w:space="0" w:color="auto"/>
            </w:tcBorders>
          </w:tcPr>
          <w:p w14:paraId="5FFF61DE" w14:textId="1ED091A2"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Risk of bias: -1</w:t>
            </w:r>
            <w:r w:rsidR="00EB287C" w:rsidRPr="007D1918">
              <w:rPr>
                <w:rFonts w:ascii="Arial Narrow" w:hAnsi="Arial Narrow"/>
                <w:sz w:val="18"/>
                <w:szCs w:val="18"/>
                <w:vertAlign w:val="superscript"/>
                <w:lang w:eastAsia="en-US"/>
              </w:rPr>
              <w:t>e</w:t>
            </w:r>
          </w:p>
          <w:p w14:paraId="635A65D3"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1E014A3D" w14:textId="129DD83F"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Indirectness: </w:t>
            </w:r>
            <w:r w:rsidR="00EB287C" w:rsidRPr="007D1918">
              <w:rPr>
                <w:rFonts w:ascii="Arial Narrow" w:hAnsi="Arial Narrow"/>
                <w:sz w:val="18"/>
                <w:szCs w:val="18"/>
                <w:lang w:eastAsia="en-US"/>
              </w:rPr>
              <w:t>-1</w:t>
            </w:r>
            <w:r w:rsidR="004B6EFD" w:rsidRPr="007D1918">
              <w:rPr>
                <w:rFonts w:ascii="Arial Narrow" w:hAnsi="Arial Narrow"/>
                <w:sz w:val="18"/>
                <w:szCs w:val="18"/>
                <w:vertAlign w:val="superscript"/>
                <w:lang w:eastAsia="en-US"/>
              </w:rPr>
              <w:t>a</w:t>
            </w:r>
          </w:p>
          <w:p w14:paraId="3289BFEE"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10BC63AC" w14:textId="56EA381D" w:rsidR="00BF22B6" w:rsidRPr="007D1918" w:rsidRDefault="00425656" w:rsidP="00EB287C">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264884D1" w14:textId="689988B3" w:rsidR="00BF22B6" w:rsidRPr="007D1918" w:rsidRDefault="00EB287C"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lastRenderedPageBreak/>
              <w:t>5.71</w:t>
            </w:r>
            <w:r w:rsidR="00BF22B6" w:rsidRPr="007D1918">
              <w:rPr>
                <w:rFonts w:ascii="Arial Narrow" w:hAnsi="Arial Narrow"/>
                <w:sz w:val="18"/>
                <w:szCs w:val="18"/>
                <w:lang w:eastAsia="en-US"/>
              </w:rPr>
              <w:t>%</w:t>
            </w:r>
          </w:p>
        </w:tc>
        <w:tc>
          <w:tcPr>
            <w:tcW w:w="561" w:type="pct"/>
            <w:tcBorders>
              <w:top w:val="single" w:sz="4" w:space="0" w:color="auto"/>
              <w:left w:val="single" w:sz="4" w:space="0" w:color="auto"/>
              <w:bottom w:val="single" w:sz="4" w:space="0" w:color="auto"/>
              <w:right w:val="single" w:sz="4" w:space="0" w:color="auto"/>
            </w:tcBorders>
          </w:tcPr>
          <w:p w14:paraId="471C1CC4" w14:textId="43BD3DE6" w:rsidR="00BF22B6" w:rsidRPr="007D1918" w:rsidRDefault="00EB287C"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8.57</w:t>
            </w:r>
            <w:r w:rsidR="00BF22B6" w:rsidRPr="007D1918">
              <w:rPr>
                <w:rFonts w:ascii="Arial Narrow" w:hAnsi="Arial Narrow"/>
                <w:sz w:val="18"/>
                <w:szCs w:val="18"/>
                <w:lang w:eastAsia="en-US"/>
              </w:rPr>
              <w:t>%</w:t>
            </w:r>
          </w:p>
        </w:tc>
        <w:tc>
          <w:tcPr>
            <w:tcW w:w="512" w:type="pct"/>
            <w:tcBorders>
              <w:top w:val="single" w:sz="4" w:space="0" w:color="auto"/>
              <w:left w:val="single" w:sz="4" w:space="0" w:color="auto"/>
              <w:bottom w:val="single" w:sz="4" w:space="0" w:color="auto"/>
              <w:right w:val="single" w:sz="4" w:space="0" w:color="auto"/>
            </w:tcBorders>
          </w:tcPr>
          <w:p w14:paraId="1C88790D" w14:textId="65A221F9" w:rsidR="00BF22B6" w:rsidRPr="007D1918" w:rsidRDefault="00EB287C"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P = 0.67</w:t>
            </w:r>
          </w:p>
        </w:tc>
        <w:tc>
          <w:tcPr>
            <w:tcW w:w="796" w:type="pct"/>
            <w:tcBorders>
              <w:top w:val="single" w:sz="4" w:space="0" w:color="auto"/>
              <w:left w:val="single" w:sz="4" w:space="0" w:color="auto"/>
              <w:bottom w:val="single" w:sz="4" w:space="0" w:color="auto"/>
              <w:right w:val="single" w:sz="4" w:space="0" w:color="auto"/>
            </w:tcBorders>
          </w:tcPr>
          <w:p w14:paraId="3A98A623" w14:textId="4A18E484" w:rsidR="00BF22B6" w:rsidRPr="007D1918" w:rsidRDefault="00BF22B6" w:rsidP="00C86C70">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no difference in frequency between groups</w:t>
            </w:r>
            <w:r w:rsidR="00EB287C" w:rsidRPr="007D1918">
              <w:rPr>
                <w:rFonts w:ascii="Arial Narrow" w:hAnsi="Arial Narrow"/>
                <w:sz w:val="18"/>
                <w:szCs w:val="18"/>
                <w:lang w:eastAsia="en-US"/>
              </w:rPr>
              <w:t xml:space="preserve">. The result </w:t>
            </w:r>
            <w:r w:rsidR="00C86C70" w:rsidRPr="007D1918">
              <w:rPr>
                <w:rFonts w:ascii="Arial Narrow" w:hAnsi="Arial Narrow"/>
                <w:sz w:val="18"/>
                <w:szCs w:val="18"/>
                <w:lang w:eastAsia="en-US"/>
              </w:rPr>
              <w:t>may be</w:t>
            </w:r>
            <w:r w:rsidR="00EB287C" w:rsidRPr="007D1918">
              <w:rPr>
                <w:rFonts w:ascii="Arial Narrow" w:hAnsi="Arial Narrow"/>
                <w:sz w:val="18"/>
                <w:szCs w:val="18"/>
                <w:lang w:eastAsia="en-US"/>
              </w:rPr>
              <w:t xml:space="preserve"> unreliable due to poor study quality This outcome </w:t>
            </w:r>
            <w:r w:rsidR="00EB287C" w:rsidRPr="007D1918">
              <w:rPr>
                <w:rFonts w:ascii="Arial Narrow" w:hAnsi="Arial Narrow"/>
                <w:sz w:val="18"/>
                <w:szCs w:val="18"/>
                <w:lang w:eastAsia="en-US"/>
              </w:rPr>
              <w:lastRenderedPageBreak/>
              <w:t>may show incremental benefit of IVIg over standard therapy</w:t>
            </w:r>
          </w:p>
        </w:tc>
        <w:tc>
          <w:tcPr>
            <w:tcW w:w="375" w:type="pct"/>
            <w:tcBorders>
              <w:top w:val="single" w:sz="4" w:space="0" w:color="auto"/>
              <w:left w:val="single" w:sz="4" w:space="0" w:color="auto"/>
              <w:bottom w:val="single" w:sz="4" w:space="0" w:color="auto"/>
              <w:right w:val="single" w:sz="4" w:space="0" w:color="auto"/>
            </w:tcBorders>
          </w:tcPr>
          <w:p w14:paraId="0D2A7252" w14:textId="4114E0CD" w:rsidR="00BF22B6" w:rsidRPr="007D1918" w:rsidRDefault="00425656"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lastRenderedPageBreak/>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307072F4"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511DEA69" w14:textId="77777777" w:rsidTr="00E458FF">
        <w:tc>
          <w:tcPr>
            <w:tcW w:w="609" w:type="pct"/>
            <w:tcBorders>
              <w:top w:val="single" w:sz="4" w:space="0" w:color="auto"/>
              <w:bottom w:val="single" w:sz="4" w:space="0" w:color="auto"/>
              <w:right w:val="single" w:sz="4" w:space="0" w:color="auto"/>
            </w:tcBorders>
          </w:tcPr>
          <w:p w14:paraId="232874AC" w14:textId="1785A450"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QMGS</w:t>
            </w:r>
            <w:r w:rsidR="00CF5871" w:rsidRPr="007D1918">
              <w:rPr>
                <w:rFonts w:ascii="Arial Narrow" w:hAnsi="Arial Narrow"/>
                <w:sz w:val="18"/>
                <w:szCs w:val="18"/>
                <w:lang w:eastAsia="en-US"/>
              </w:rPr>
              <w:t xml:space="preserve"> (change from baseline to week 6)</w:t>
            </w:r>
          </w:p>
          <w:p w14:paraId="68993F8F" w14:textId="3B5CAF5A"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SCIg (</w:t>
            </w:r>
            <w:r w:rsidR="00425656" w:rsidRPr="007D1918">
              <w:rPr>
                <w:rFonts w:ascii="Arial Narrow" w:hAnsi="Arial Narrow"/>
                <w:sz w:val="18"/>
                <w:szCs w:val="18"/>
                <w:lang w:eastAsia="en-US"/>
              </w:rPr>
              <w:t>no comparator</w:t>
            </w:r>
            <w:r w:rsidRPr="007D1918">
              <w:rPr>
                <w:rFonts w:ascii="Arial Narrow" w:hAnsi="Arial Narrow"/>
                <w:sz w:val="18"/>
                <w:szCs w:val="18"/>
                <w:lang w:eastAsia="en-US"/>
              </w:rPr>
              <w:t>)</w:t>
            </w:r>
          </w:p>
        </w:tc>
        <w:tc>
          <w:tcPr>
            <w:tcW w:w="514" w:type="pct"/>
            <w:tcBorders>
              <w:top w:val="single" w:sz="4" w:space="0" w:color="auto"/>
              <w:left w:val="single" w:sz="4" w:space="0" w:color="auto"/>
              <w:bottom w:val="single" w:sz="4" w:space="0" w:color="auto"/>
              <w:right w:val="single" w:sz="4" w:space="0" w:color="auto"/>
            </w:tcBorders>
          </w:tcPr>
          <w:p w14:paraId="52BC2801"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n=22</w:t>
            </w:r>
          </w:p>
          <w:p w14:paraId="53CA445D" w14:textId="1757A042"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CS</w:t>
            </w:r>
          </w:p>
        </w:tc>
        <w:tc>
          <w:tcPr>
            <w:tcW w:w="661" w:type="pct"/>
            <w:tcBorders>
              <w:top w:val="single" w:sz="4" w:space="0" w:color="auto"/>
              <w:left w:val="single" w:sz="4" w:space="0" w:color="auto"/>
              <w:bottom w:val="single" w:sz="4" w:space="0" w:color="auto"/>
              <w:right w:val="single" w:sz="4" w:space="0" w:color="auto"/>
            </w:tcBorders>
          </w:tcPr>
          <w:p w14:paraId="11AD75FC" w14:textId="120A6AC7"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Risk of bias: </w:t>
            </w:r>
            <w:r w:rsidR="00D00E8B" w:rsidRPr="007D1918">
              <w:rPr>
                <w:rFonts w:ascii="Arial Narrow" w:hAnsi="Arial Narrow"/>
                <w:sz w:val="18"/>
                <w:szCs w:val="18"/>
                <w:lang w:eastAsia="en-US"/>
              </w:rPr>
              <w:t>-2</w:t>
            </w:r>
            <w:r w:rsidR="00D00E8B" w:rsidRPr="007D1918">
              <w:rPr>
                <w:rFonts w:ascii="Arial Narrow" w:hAnsi="Arial Narrow"/>
                <w:sz w:val="18"/>
                <w:szCs w:val="18"/>
                <w:vertAlign w:val="superscript"/>
                <w:lang w:eastAsia="en-US"/>
              </w:rPr>
              <w:t>f</w:t>
            </w:r>
          </w:p>
          <w:p w14:paraId="469401FD"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371D1EA7"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732DBB0A"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Imprecision: 0</w:t>
            </w:r>
          </w:p>
          <w:p w14:paraId="3C6D6EB0" w14:textId="0662A528" w:rsidR="00BF22B6" w:rsidRPr="007D1918" w:rsidRDefault="003F20F6" w:rsidP="00CF5871">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CF5871"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4D3C19BF" w14:textId="093B8162" w:rsidR="00BF22B6" w:rsidRPr="007D1918" w:rsidRDefault="00D00E8B"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5.1</w:t>
            </w:r>
          </w:p>
        </w:tc>
        <w:tc>
          <w:tcPr>
            <w:tcW w:w="561" w:type="pct"/>
            <w:tcBorders>
              <w:top w:val="single" w:sz="4" w:space="0" w:color="auto"/>
              <w:left w:val="single" w:sz="4" w:space="0" w:color="auto"/>
              <w:bottom w:val="single" w:sz="4" w:space="0" w:color="auto"/>
              <w:right w:val="single" w:sz="4" w:space="0" w:color="auto"/>
            </w:tcBorders>
          </w:tcPr>
          <w:p w14:paraId="15B49CFD" w14:textId="4E876029"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D00E8B" w:rsidRPr="007D1918">
              <w:rPr>
                <w:rFonts w:ascii="Arial Narrow" w:hAnsi="Arial Narrow"/>
                <w:sz w:val="18"/>
                <w:szCs w:val="18"/>
                <w:lang w:eastAsia="en-US"/>
              </w:rPr>
              <w:t>A</w:t>
            </w:r>
          </w:p>
        </w:tc>
        <w:tc>
          <w:tcPr>
            <w:tcW w:w="512" w:type="pct"/>
            <w:tcBorders>
              <w:top w:val="single" w:sz="4" w:space="0" w:color="auto"/>
              <w:left w:val="single" w:sz="4" w:space="0" w:color="auto"/>
              <w:bottom w:val="single" w:sz="4" w:space="0" w:color="auto"/>
              <w:right w:val="single" w:sz="4" w:space="0" w:color="auto"/>
            </w:tcBorders>
          </w:tcPr>
          <w:p w14:paraId="490E86E0" w14:textId="16D327B5"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D00E8B" w:rsidRPr="007D1918">
              <w:rPr>
                <w:rFonts w:ascii="Arial Narrow" w:hAnsi="Arial Narrow"/>
                <w:sz w:val="18"/>
                <w:szCs w:val="18"/>
                <w:lang w:eastAsia="en-US"/>
              </w:rPr>
              <w:t>A</w:t>
            </w:r>
          </w:p>
        </w:tc>
        <w:tc>
          <w:tcPr>
            <w:tcW w:w="796" w:type="pct"/>
            <w:tcBorders>
              <w:top w:val="single" w:sz="4" w:space="0" w:color="auto"/>
              <w:left w:val="single" w:sz="4" w:space="0" w:color="auto"/>
              <w:bottom w:val="single" w:sz="4" w:space="0" w:color="auto"/>
              <w:right w:val="single" w:sz="4" w:space="0" w:color="auto"/>
            </w:tcBorders>
          </w:tcPr>
          <w:p w14:paraId="4D590AAD" w14:textId="6CBDD41A" w:rsidR="00BF22B6" w:rsidRPr="007D1918" w:rsidRDefault="00D00E8B" w:rsidP="00D00E8B">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improvement at week 6 but no conclusion can be made from this result</w:t>
            </w:r>
          </w:p>
        </w:tc>
        <w:tc>
          <w:tcPr>
            <w:tcW w:w="375" w:type="pct"/>
            <w:tcBorders>
              <w:top w:val="single" w:sz="4" w:space="0" w:color="auto"/>
              <w:left w:val="single" w:sz="4" w:space="0" w:color="auto"/>
              <w:bottom w:val="single" w:sz="4" w:space="0" w:color="auto"/>
              <w:right w:val="single" w:sz="4" w:space="0" w:color="auto"/>
            </w:tcBorders>
          </w:tcPr>
          <w:p w14:paraId="6BFB7DBD" w14:textId="0289D45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2A13B545"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42B4B2EA" w14:textId="77777777" w:rsidTr="00E458FF">
        <w:tc>
          <w:tcPr>
            <w:tcW w:w="609" w:type="pct"/>
            <w:tcBorders>
              <w:top w:val="single" w:sz="4" w:space="0" w:color="auto"/>
              <w:bottom w:val="single" w:sz="4" w:space="0" w:color="auto"/>
              <w:right w:val="single" w:sz="4" w:space="0" w:color="auto"/>
            </w:tcBorders>
          </w:tcPr>
          <w:p w14:paraId="59777352" w14:textId="6A33FEF0"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MMT</w:t>
            </w:r>
            <w:r w:rsidR="00CF5871" w:rsidRPr="007D1918">
              <w:rPr>
                <w:rFonts w:ascii="Arial Narrow" w:hAnsi="Arial Narrow"/>
                <w:sz w:val="18"/>
                <w:szCs w:val="18"/>
                <w:lang w:eastAsia="en-US"/>
              </w:rPr>
              <w:t xml:space="preserve"> (change from baseline to week 6)</w:t>
            </w:r>
          </w:p>
          <w:p w14:paraId="128666F8" w14:textId="35D45AA6"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SCIg (</w:t>
            </w:r>
            <w:r w:rsidR="00425656" w:rsidRPr="007D1918">
              <w:rPr>
                <w:rFonts w:ascii="Arial Narrow" w:hAnsi="Arial Narrow"/>
                <w:sz w:val="18"/>
                <w:szCs w:val="18"/>
                <w:lang w:eastAsia="en-US"/>
              </w:rPr>
              <w:t xml:space="preserve">no </w:t>
            </w:r>
            <w:r w:rsidR="00773DFA" w:rsidRPr="007D1918">
              <w:rPr>
                <w:rFonts w:ascii="Arial Narrow" w:hAnsi="Arial Narrow"/>
                <w:sz w:val="18"/>
                <w:szCs w:val="18"/>
                <w:lang w:eastAsia="en-US"/>
              </w:rPr>
              <w:t>comparator</w:t>
            </w:r>
            <w:r w:rsidRPr="007D1918">
              <w:rPr>
                <w:rFonts w:ascii="Arial Narrow" w:hAnsi="Arial Narrow"/>
                <w:sz w:val="18"/>
                <w:szCs w:val="18"/>
                <w:lang w:eastAsia="en-US"/>
              </w:rPr>
              <w:t>)</w:t>
            </w:r>
          </w:p>
        </w:tc>
        <w:tc>
          <w:tcPr>
            <w:tcW w:w="514" w:type="pct"/>
            <w:tcBorders>
              <w:top w:val="single" w:sz="4" w:space="0" w:color="auto"/>
              <w:left w:val="single" w:sz="4" w:space="0" w:color="auto"/>
              <w:bottom w:val="single" w:sz="4" w:space="0" w:color="auto"/>
              <w:right w:val="single" w:sz="4" w:space="0" w:color="auto"/>
            </w:tcBorders>
          </w:tcPr>
          <w:p w14:paraId="35A620E7"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n=22</w:t>
            </w:r>
          </w:p>
          <w:p w14:paraId="40470434" w14:textId="41491223"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CS</w:t>
            </w:r>
          </w:p>
        </w:tc>
        <w:tc>
          <w:tcPr>
            <w:tcW w:w="661" w:type="pct"/>
            <w:tcBorders>
              <w:top w:val="single" w:sz="4" w:space="0" w:color="auto"/>
              <w:left w:val="single" w:sz="4" w:space="0" w:color="auto"/>
              <w:bottom w:val="single" w:sz="4" w:space="0" w:color="auto"/>
              <w:right w:val="single" w:sz="4" w:space="0" w:color="auto"/>
            </w:tcBorders>
          </w:tcPr>
          <w:p w14:paraId="7F792623" w14:textId="34AF07C5"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Risk of bias: </w:t>
            </w:r>
            <w:r w:rsidR="00D00E8B" w:rsidRPr="007D1918">
              <w:rPr>
                <w:rFonts w:ascii="Arial Narrow" w:hAnsi="Arial Narrow"/>
                <w:sz w:val="18"/>
                <w:szCs w:val="18"/>
                <w:lang w:eastAsia="en-US"/>
              </w:rPr>
              <w:t>-2</w:t>
            </w:r>
            <w:r w:rsidR="00D00E8B" w:rsidRPr="007D1918">
              <w:rPr>
                <w:rFonts w:ascii="Arial Narrow" w:hAnsi="Arial Narrow"/>
                <w:sz w:val="18"/>
                <w:szCs w:val="18"/>
                <w:vertAlign w:val="superscript"/>
                <w:lang w:eastAsia="en-US"/>
              </w:rPr>
              <w:t>f</w:t>
            </w:r>
          </w:p>
          <w:p w14:paraId="65B91874"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08EC1135"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635CC36B" w14:textId="06C9465F"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Imprecision: </w:t>
            </w:r>
            <w:r w:rsidR="00D00E8B" w:rsidRPr="007D1918">
              <w:rPr>
                <w:rFonts w:ascii="Arial Narrow" w:hAnsi="Arial Narrow"/>
                <w:sz w:val="18"/>
                <w:szCs w:val="18"/>
                <w:lang w:eastAsia="en-US"/>
              </w:rPr>
              <w:t>0</w:t>
            </w:r>
          </w:p>
          <w:p w14:paraId="3B884695" w14:textId="3CC2EC23" w:rsidR="00BF22B6" w:rsidRPr="007D1918" w:rsidRDefault="003F20F6" w:rsidP="00CF5871">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760895AC" w14:textId="7EC05614" w:rsidR="00BF22B6" w:rsidRPr="007D1918" w:rsidRDefault="00D00E8B"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12.6</w:t>
            </w:r>
          </w:p>
        </w:tc>
        <w:tc>
          <w:tcPr>
            <w:tcW w:w="561" w:type="pct"/>
            <w:tcBorders>
              <w:top w:val="single" w:sz="4" w:space="0" w:color="auto"/>
              <w:left w:val="single" w:sz="4" w:space="0" w:color="auto"/>
              <w:bottom w:val="single" w:sz="4" w:space="0" w:color="auto"/>
              <w:right w:val="single" w:sz="4" w:space="0" w:color="auto"/>
            </w:tcBorders>
          </w:tcPr>
          <w:p w14:paraId="4262D5A1" w14:textId="7CE5045A"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D00E8B" w:rsidRPr="007D1918">
              <w:rPr>
                <w:rFonts w:ascii="Arial Narrow" w:hAnsi="Arial Narrow"/>
                <w:sz w:val="18"/>
                <w:szCs w:val="18"/>
                <w:lang w:eastAsia="en-US"/>
              </w:rPr>
              <w:t>A</w:t>
            </w:r>
          </w:p>
        </w:tc>
        <w:tc>
          <w:tcPr>
            <w:tcW w:w="512" w:type="pct"/>
            <w:tcBorders>
              <w:top w:val="single" w:sz="4" w:space="0" w:color="auto"/>
              <w:left w:val="single" w:sz="4" w:space="0" w:color="auto"/>
              <w:bottom w:val="single" w:sz="4" w:space="0" w:color="auto"/>
              <w:right w:val="single" w:sz="4" w:space="0" w:color="auto"/>
            </w:tcBorders>
          </w:tcPr>
          <w:p w14:paraId="76957626" w14:textId="03C384D1"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D00E8B" w:rsidRPr="007D1918">
              <w:rPr>
                <w:rFonts w:ascii="Arial Narrow" w:hAnsi="Arial Narrow"/>
                <w:sz w:val="18"/>
                <w:szCs w:val="18"/>
                <w:lang w:eastAsia="en-US"/>
              </w:rPr>
              <w:t>A</w:t>
            </w:r>
          </w:p>
        </w:tc>
        <w:tc>
          <w:tcPr>
            <w:tcW w:w="796" w:type="pct"/>
            <w:tcBorders>
              <w:top w:val="single" w:sz="4" w:space="0" w:color="auto"/>
              <w:left w:val="single" w:sz="4" w:space="0" w:color="auto"/>
              <w:bottom w:val="single" w:sz="4" w:space="0" w:color="auto"/>
              <w:right w:val="single" w:sz="4" w:space="0" w:color="auto"/>
            </w:tcBorders>
          </w:tcPr>
          <w:p w14:paraId="5EE294F3" w14:textId="23860642" w:rsidR="00BF22B6" w:rsidRPr="007D1918" w:rsidRDefault="00D00E8B" w:rsidP="00D00E8B">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improvement at week 6 but no conclusion can be made from this result</w:t>
            </w:r>
          </w:p>
        </w:tc>
        <w:tc>
          <w:tcPr>
            <w:tcW w:w="375" w:type="pct"/>
            <w:tcBorders>
              <w:top w:val="single" w:sz="4" w:space="0" w:color="auto"/>
              <w:left w:val="single" w:sz="4" w:space="0" w:color="auto"/>
              <w:bottom w:val="single" w:sz="4" w:space="0" w:color="auto"/>
              <w:right w:val="single" w:sz="4" w:space="0" w:color="auto"/>
            </w:tcBorders>
          </w:tcPr>
          <w:p w14:paraId="357925F0" w14:textId="23F8ABF7" w:rsidR="00BF22B6" w:rsidRPr="007D1918" w:rsidRDefault="00EB59E4"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03B1451A"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61F97BD7" w14:textId="77777777" w:rsidTr="00E458FF">
        <w:tc>
          <w:tcPr>
            <w:tcW w:w="609" w:type="pct"/>
            <w:tcBorders>
              <w:top w:val="single" w:sz="4" w:space="0" w:color="auto"/>
              <w:bottom w:val="single" w:sz="4" w:space="0" w:color="auto"/>
              <w:right w:val="single" w:sz="4" w:space="0" w:color="auto"/>
            </w:tcBorders>
          </w:tcPr>
          <w:p w14:paraId="70B0D0BC" w14:textId="066C8813"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MGC</w:t>
            </w:r>
            <w:r w:rsidR="00CF5871" w:rsidRPr="007D1918">
              <w:rPr>
                <w:rFonts w:ascii="Arial Narrow" w:hAnsi="Arial Narrow"/>
                <w:sz w:val="18"/>
                <w:szCs w:val="18"/>
                <w:lang w:eastAsia="en-US"/>
              </w:rPr>
              <w:t xml:space="preserve"> (change from baseline to week 6)</w:t>
            </w:r>
          </w:p>
          <w:p w14:paraId="2B36D60D" w14:textId="6FA0ACC2"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SCIg (</w:t>
            </w:r>
            <w:r w:rsidR="00425656" w:rsidRPr="007D1918">
              <w:rPr>
                <w:rFonts w:ascii="Arial Narrow" w:hAnsi="Arial Narrow"/>
                <w:sz w:val="18"/>
                <w:szCs w:val="18"/>
                <w:lang w:eastAsia="en-US"/>
              </w:rPr>
              <w:t xml:space="preserve">no </w:t>
            </w:r>
            <w:r w:rsidR="00773DFA" w:rsidRPr="007D1918">
              <w:rPr>
                <w:rFonts w:ascii="Arial Narrow" w:hAnsi="Arial Narrow"/>
                <w:sz w:val="18"/>
                <w:szCs w:val="18"/>
                <w:lang w:eastAsia="en-US"/>
              </w:rPr>
              <w:t>comparator</w:t>
            </w:r>
            <w:r w:rsidRPr="007D1918">
              <w:rPr>
                <w:rFonts w:ascii="Arial Narrow" w:hAnsi="Arial Narrow"/>
                <w:sz w:val="18"/>
                <w:szCs w:val="18"/>
                <w:lang w:eastAsia="en-US"/>
              </w:rPr>
              <w:t>)</w:t>
            </w:r>
          </w:p>
        </w:tc>
        <w:tc>
          <w:tcPr>
            <w:tcW w:w="514" w:type="pct"/>
            <w:tcBorders>
              <w:top w:val="single" w:sz="4" w:space="0" w:color="auto"/>
              <w:left w:val="single" w:sz="4" w:space="0" w:color="auto"/>
              <w:bottom w:val="single" w:sz="4" w:space="0" w:color="auto"/>
              <w:right w:val="single" w:sz="4" w:space="0" w:color="auto"/>
            </w:tcBorders>
          </w:tcPr>
          <w:p w14:paraId="43DF6865"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n=22</w:t>
            </w:r>
          </w:p>
          <w:p w14:paraId="3515F0A6" w14:textId="6CB4C32E"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k=1 CS</w:t>
            </w:r>
          </w:p>
        </w:tc>
        <w:tc>
          <w:tcPr>
            <w:tcW w:w="661" w:type="pct"/>
            <w:tcBorders>
              <w:top w:val="single" w:sz="4" w:space="0" w:color="auto"/>
              <w:left w:val="single" w:sz="4" w:space="0" w:color="auto"/>
              <w:bottom w:val="single" w:sz="4" w:space="0" w:color="FFFFFF" w:themeColor="background1"/>
              <w:right w:val="single" w:sz="4" w:space="0" w:color="auto"/>
            </w:tcBorders>
          </w:tcPr>
          <w:p w14:paraId="25BDF157" w14:textId="39C9E23D"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Risk of bias: </w:t>
            </w:r>
            <w:r w:rsidR="00D00E8B" w:rsidRPr="007D1918">
              <w:rPr>
                <w:rFonts w:ascii="Arial Narrow" w:hAnsi="Arial Narrow"/>
                <w:sz w:val="18"/>
                <w:szCs w:val="18"/>
                <w:lang w:eastAsia="en-US"/>
              </w:rPr>
              <w:t>-2</w:t>
            </w:r>
            <w:r w:rsidR="00D00E8B" w:rsidRPr="007D1918">
              <w:rPr>
                <w:rFonts w:ascii="Arial Narrow" w:hAnsi="Arial Narrow"/>
                <w:sz w:val="18"/>
                <w:szCs w:val="18"/>
                <w:vertAlign w:val="superscript"/>
                <w:lang w:eastAsia="en-US"/>
              </w:rPr>
              <w:t>f</w:t>
            </w:r>
          </w:p>
          <w:p w14:paraId="02E052B4"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72D16A6D"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66ECC9CA" w14:textId="156B2284"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Imprecision: </w:t>
            </w:r>
            <w:r w:rsidR="00D00E8B" w:rsidRPr="007D1918">
              <w:rPr>
                <w:rFonts w:ascii="Arial Narrow" w:hAnsi="Arial Narrow"/>
                <w:sz w:val="18"/>
                <w:szCs w:val="18"/>
                <w:lang w:eastAsia="en-US"/>
              </w:rPr>
              <w:t>0</w:t>
            </w:r>
          </w:p>
          <w:p w14:paraId="25063469" w14:textId="3E5EECC2" w:rsidR="00BF22B6" w:rsidRPr="007D1918" w:rsidRDefault="003F20F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7A155471" w14:textId="5753584C" w:rsidR="00BF22B6" w:rsidRPr="007D1918" w:rsidRDefault="00D00E8B"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3.9</w:t>
            </w:r>
          </w:p>
        </w:tc>
        <w:tc>
          <w:tcPr>
            <w:tcW w:w="561" w:type="pct"/>
            <w:tcBorders>
              <w:top w:val="single" w:sz="4" w:space="0" w:color="auto"/>
              <w:left w:val="single" w:sz="4" w:space="0" w:color="auto"/>
              <w:bottom w:val="single" w:sz="4" w:space="0" w:color="auto"/>
              <w:right w:val="single" w:sz="4" w:space="0" w:color="auto"/>
            </w:tcBorders>
          </w:tcPr>
          <w:p w14:paraId="1F556B03" w14:textId="4D6123FC"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BF22B6" w:rsidRPr="007D1918">
              <w:rPr>
                <w:rFonts w:ascii="Arial Narrow" w:hAnsi="Arial Narrow"/>
                <w:sz w:val="18"/>
                <w:szCs w:val="18"/>
                <w:lang w:eastAsia="en-US"/>
              </w:rPr>
              <w:t>A</w:t>
            </w:r>
          </w:p>
        </w:tc>
        <w:tc>
          <w:tcPr>
            <w:tcW w:w="512" w:type="pct"/>
            <w:tcBorders>
              <w:top w:val="single" w:sz="4" w:space="0" w:color="auto"/>
              <w:left w:val="single" w:sz="4" w:space="0" w:color="auto"/>
              <w:bottom w:val="single" w:sz="4" w:space="0" w:color="auto"/>
              <w:right w:val="single" w:sz="4" w:space="0" w:color="auto"/>
            </w:tcBorders>
          </w:tcPr>
          <w:p w14:paraId="2AF72496" w14:textId="14A32EBE"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BF22B6" w:rsidRPr="007D1918">
              <w:rPr>
                <w:rFonts w:ascii="Arial Narrow" w:hAnsi="Arial Narrow"/>
                <w:sz w:val="18"/>
                <w:szCs w:val="18"/>
                <w:lang w:eastAsia="en-US"/>
              </w:rPr>
              <w:t>A</w:t>
            </w:r>
          </w:p>
        </w:tc>
        <w:tc>
          <w:tcPr>
            <w:tcW w:w="796" w:type="pct"/>
            <w:tcBorders>
              <w:top w:val="single" w:sz="4" w:space="0" w:color="auto"/>
              <w:left w:val="single" w:sz="4" w:space="0" w:color="auto"/>
              <w:bottom w:val="single" w:sz="4" w:space="0" w:color="auto"/>
              <w:right w:val="single" w:sz="4" w:space="0" w:color="auto"/>
            </w:tcBorders>
          </w:tcPr>
          <w:p w14:paraId="664367CE" w14:textId="22AFA7E7" w:rsidR="00BF22B6" w:rsidRPr="007D1918" w:rsidRDefault="00D00E8B" w:rsidP="00D00E8B">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There was improvement at week 6 but no conclusion can be made from this result</w:t>
            </w:r>
          </w:p>
        </w:tc>
        <w:tc>
          <w:tcPr>
            <w:tcW w:w="375" w:type="pct"/>
            <w:tcBorders>
              <w:top w:val="single" w:sz="4" w:space="0" w:color="auto"/>
              <w:left w:val="single" w:sz="4" w:space="0" w:color="auto"/>
              <w:bottom w:val="single" w:sz="4" w:space="0" w:color="auto"/>
              <w:right w:val="single" w:sz="4" w:space="0" w:color="auto"/>
            </w:tcBorders>
          </w:tcPr>
          <w:p w14:paraId="42F23775" w14:textId="37CE04F6" w:rsidR="00BF22B6" w:rsidRPr="007D1918" w:rsidRDefault="00EB59E4"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6146536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E458FF" w:rsidRPr="007D1918" w14:paraId="7432AA38" w14:textId="77777777" w:rsidTr="00E458FF">
        <w:tc>
          <w:tcPr>
            <w:tcW w:w="609" w:type="pct"/>
            <w:tcBorders>
              <w:top w:val="single" w:sz="4" w:space="0" w:color="auto"/>
              <w:bottom w:val="single" w:sz="4" w:space="0" w:color="auto"/>
              <w:right w:val="single" w:sz="4" w:space="0" w:color="auto"/>
            </w:tcBorders>
          </w:tcPr>
          <w:p w14:paraId="566D4100" w14:textId="0033CC2F"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Change in QoL</w:t>
            </w:r>
            <w:r w:rsidR="00D00E8B" w:rsidRPr="007D1918">
              <w:rPr>
                <w:rFonts w:ascii="Arial Narrow" w:hAnsi="Arial Narrow"/>
                <w:sz w:val="18"/>
                <w:szCs w:val="18"/>
                <w:lang w:eastAsia="en-US"/>
              </w:rPr>
              <w:t xml:space="preserve"> (change in MG-ADL from baseline to week 4)</w:t>
            </w:r>
          </w:p>
          <w:p w14:paraId="34705F05" w14:textId="0AE88D09" w:rsidR="00BF22B6" w:rsidRPr="007D1918" w:rsidRDefault="00BF22B6" w:rsidP="0042565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SCIg (</w:t>
            </w:r>
            <w:r w:rsidR="00425656" w:rsidRPr="007D1918">
              <w:rPr>
                <w:rFonts w:ascii="Arial Narrow" w:hAnsi="Arial Narrow"/>
                <w:sz w:val="18"/>
                <w:szCs w:val="18"/>
                <w:lang w:eastAsia="en-US"/>
              </w:rPr>
              <w:t>no comparator</w:t>
            </w:r>
            <w:r w:rsidRPr="007D1918">
              <w:rPr>
                <w:rFonts w:ascii="Arial Narrow" w:hAnsi="Arial Narrow"/>
                <w:sz w:val="18"/>
                <w:szCs w:val="18"/>
                <w:lang w:eastAsia="en-US"/>
              </w:rPr>
              <w:t>)</w:t>
            </w:r>
          </w:p>
        </w:tc>
        <w:tc>
          <w:tcPr>
            <w:tcW w:w="514" w:type="pct"/>
            <w:tcBorders>
              <w:top w:val="single" w:sz="4" w:space="0" w:color="auto"/>
              <w:left w:val="single" w:sz="4" w:space="0" w:color="auto"/>
              <w:bottom w:val="single" w:sz="4" w:space="0" w:color="auto"/>
              <w:right w:val="single" w:sz="4" w:space="0" w:color="auto"/>
            </w:tcBorders>
          </w:tcPr>
          <w:p w14:paraId="7FA786F2"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n=31</w:t>
            </w:r>
          </w:p>
          <w:p w14:paraId="77D3C312" w14:textId="58F0F350"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k=2 CS</w:t>
            </w:r>
          </w:p>
        </w:tc>
        <w:tc>
          <w:tcPr>
            <w:tcW w:w="661" w:type="pct"/>
            <w:tcBorders>
              <w:top w:val="single" w:sz="4" w:space="0" w:color="auto"/>
              <w:left w:val="single" w:sz="4" w:space="0" w:color="auto"/>
              <w:bottom w:val="single" w:sz="4" w:space="0" w:color="FFFFFF" w:themeColor="background1"/>
              <w:right w:val="single" w:sz="4" w:space="0" w:color="auto"/>
            </w:tcBorders>
          </w:tcPr>
          <w:p w14:paraId="11EF7C55" w14:textId="10F9178E" w:rsidR="00BF22B6" w:rsidRPr="007D1918" w:rsidRDefault="00BF22B6" w:rsidP="00BF22B6">
            <w:pPr>
              <w:spacing w:before="40" w:after="40" w:line="240" w:lineRule="auto"/>
              <w:jc w:val="both"/>
              <w:rPr>
                <w:rFonts w:ascii="Arial Narrow" w:hAnsi="Arial Narrow"/>
                <w:sz w:val="18"/>
                <w:szCs w:val="18"/>
                <w:vertAlign w:val="superscript"/>
                <w:lang w:eastAsia="en-US"/>
              </w:rPr>
            </w:pPr>
            <w:r w:rsidRPr="007D1918">
              <w:rPr>
                <w:rFonts w:ascii="Arial Narrow" w:hAnsi="Arial Narrow"/>
                <w:sz w:val="18"/>
                <w:szCs w:val="18"/>
                <w:lang w:eastAsia="en-US"/>
              </w:rPr>
              <w:t xml:space="preserve">Risk of bias: </w:t>
            </w:r>
            <w:r w:rsidR="00D00E8B" w:rsidRPr="007D1918">
              <w:rPr>
                <w:rFonts w:ascii="Arial Narrow" w:hAnsi="Arial Narrow"/>
                <w:sz w:val="18"/>
                <w:szCs w:val="18"/>
                <w:lang w:eastAsia="en-US"/>
              </w:rPr>
              <w:t>-2</w:t>
            </w:r>
            <w:r w:rsidR="00D00E8B" w:rsidRPr="007D1918">
              <w:rPr>
                <w:rFonts w:ascii="Arial Narrow" w:hAnsi="Arial Narrow"/>
                <w:sz w:val="18"/>
                <w:szCs w:val="18"/>
                <w:vertAlign w:val="superscript"/>
                <w:lang w:eastAsia="en-US"/>
              </w:rPr>
              <w:t>f</w:t>
            </w:r>
          </w:p>
          <w:p w14:paraId="2B8186D9"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Inconsistency: 0</w:t>
            </w:r>
          </w:p>
          <w:p w14:paraId="231EEEA0"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Indirectness: 0</w:t>
            </w:r>
          </w:p>
          <w:p w14:paraId="74B54803" w14:textId="325E1A03"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 xml:space="preserve">Imprecision: </w:t>
            </w:r>
            <w:r w:rsidR="00D00E8B" w:rsidRPr="007D1918">
              <w:rPr>
                <w:rFonts w:ascii="Arial Narrow" w:hAnsi="Arial Narrow"/>
                <w:sz w:val="18"/>
                <w:szCs w:val="18"/>
                <w:lang w:eastAsia="en-US"/>
              </w:rPr>
              <w:t>0</w:t>
            </w:r>
          </w:p>
          <w:p w14:paraId="69989DC3" w14:textId="35A0A461" w:rsidR="00BF22B6" w:rsidRPr="007D1918" w:rsidRDefault="003F20F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Other</w:t>
            </w:r>
            <w:r w:rsidR="00BF22B6" w:rsidRPr="007D1918">
              <w:rPr>
                <w:rFonts w:ascii="Arial Narrow" w:hAnsi="Arial Narrow"/>
                <w:sz w:val="18"/>
                <w:szCs w:val="18"/>
                <w:lang w:eastAsia="en-US"/>
              </w:rPr>
              <w:t>: 0</w:t>
            </w:r>
          </w:p>
        </w:tc>
        <w:tc>
          <w:tcPr>
            <w:tcW w:w="561" w:type="pct"/>
            <w:tcBorders>
              <w:top w:val="single" w:sz="4" w:space="0" w:color="auto"/>
              <w:left w:val="single" w:sz="4" w:space="0" w:color="auto"/>
              <w:bottom w:val="single" w:sz="4" w:space="0" w:color="auto"/>
              <w:right w:val="single" w:sz="4" w:space="0" w:color="auto"/>
            </w:tcBorders>
          </w:tcPr>
          <w:p w14:paraId="1EE939A7" w14:textId="36EE8DF9" w:rsidR="00BF22B6" w:rsidRPr="007D1918" w:rsidRDefault="00D00E8B" w:rsidP="00D00E8B">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2.1-3.6</w:t>
            </w:r>
          </w:p>
        </w:tc>
        <w:tc>
          <w:tcPr>
            <w:tcW w:w="561" w:type="pct"/>
            <w:tcBorders>
              <w:top w:val="single" w:sz="4" w:space="0" w:color="auto"/>
              <w:left w:val="single" w:sz="4" w:space="0" w:color="auto"/>
              <w:bottom w:val="single" w:sz="4" w:space="0" w:color="auto"/>
              <w:right w:val="single" w:sz="4" w:space="0" w:color="auto"/>
            </w:tcBorders>
          </w:tcPr>
          <w:p w14:paraId="74558026" w14:textId="17F3B4AC"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D00E8B" w:rsidRPr="007D1918">
              <w:rPr>
                <w:rFonts w:ascii="Arial Narrow" w:hAnsi="Arial Narrow"/>
                <w:sz w:val="18"/>
                <w:szCs w:val="18"/>
                <w:lang w:eastAsia="en-US"/>
              </w:rPr>
              <w:t>A</w:t>
            </w:r>
          </w:p>
        </w:tc>
        <w:tc>
          <w:tcPr>
            <w:tcW w:w="512" w:type="pct"/>
            <w:tcBorders>
              <w:top w:val="single" w:sz="4" w:space="0" w:color="auto"/>
              <w:left w:val="single" w:sz="4" w:space="0" w:color="auto"/>
              <w:bottom w:val="single" w:sz="4" w:space="0" w:color="auto"/>
              <w:right w:val="single" w:sz="4" w:space="0" w:color="auto"/>
            </w:tcBorders>
          </w:tcPr>
          <w:p w14:paraId="0F2232C2" w14:textId="336C82E7" w:rsidR="00BF22B6" w:rsidRPr="007D1918" w:rsidRDefault="00D97CDE"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N</w:t>
            </w:r>
            <w:r w:rsidR="00D00E8B" w:rsidRPr="007D1918">
              <w:rPr>
                <w:rFonts w:ascii="Arial Narrow" w:hAnsi="Arial Narrow"/>
                <w:sz w:val="18"/>
                <w:szCs w:val="18"/>
                <w:lang w:eastAsia="en-US"/>
              </w:rPr>
              <w:t>A</w:t>
            </w:r>
          </w:p>
        </w:tc>
        <w:tc>
          <w:tcPr>
            <w:tcW w:w="796" w:type="pct"/>
            <w:tcBorders>
              <w:top w:val="single" w:sz="4" w:space="0" w:color="auto"/>
              <w:left w:val="single" w:sz="4" w:space="0" w:color="auto"/>
              <w:bottom w:val="single" w:sz="4" w:space="0" w:color="auto"/>
              <w:right w:val="single" w:sz="4" w:space="0" w:color="auto"/>
            </w:tcBorders>
          </w:tcPr>
          <w:p w14:paraId="2E02072E" w14:textId="29F0D34B" w:rsidR="00BF22B6" w:rsidRPr="007D1918" w:rsidRDefault="00D00E8B" w:rsidP="00D00E8B">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There was improvement at week 4 but no conclusion can be made from this result</w:t>
            </w:r>
          </w:p>
        </w:tc>
        <w:tc>
          <w:tcPr>
            <w:tcW w:w="375" w:type="pct"/>
            <w:tcBorders>
              <w:top w:val="single" w:sz="4" w:space="0" w:color="auto"/>
              <w:left w:val="single" w:sz="4" w:space="0" w:color="auto"/>
              <w:bottom w:val="single" w:sz="4" w:space="0" w:color="auto"/>
              <w:right w:val="single" w:sz="4" w:space="0" w:color="auto"/>
            </w:tcBorders>
          </w:tcPr>
          <w:p w14:paraId="1EDA4D39" w14:textId="7833B9AD" w:rsidR="00BF22B6" w:rsidRPr="007D1918" w:rsidRDefault="00EB59E4" w:rsidP="00BF22B6">
            <w:pPr>
              <w:spacing w:before="40" w:after="40" w:line="240" w:lineRule="auto"/>
              <w:jc w:val="both"/>
              <w:rPr>
                <w:rFonts w:ascii="Arial Narrow" w:hAnsi="Arial Narrow"/>
                <w:sz w:val="18"/>
                <w:szCs w:val="18"/>
                <w:lang w:eastAsia="en-US"/>
              </w:rPr>
            </w:pP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p>
        </w:tc>
        <w:tc>
          <w:tcPr>
            <w:tcW w:w="411" w:type="pct"/>
            <w:tcBorders>
              <w:top w:val="single" w:sz="4" w:space="0" w:color="auto"/>
              <w:left w:val="single" w:sz="4" w:space="0" w:color="auto"/>
              <w:bottom w:val="single" w:sz="4" w:space="0" w:color="auto"/>
            </w:tcBorders>
          </w:tcPr>
          <w:p w14:paraId="37D1518F" w14:textId="77777777" w:rsidR="00BF22B6" w:rsidRPr="007D1918" w:rsidRDefault="00BF22B6" w:rsidP="00BF22B6">
            <w:pPr>
              <w:spacing w:before="40" w:after="40" w:line="240" w:lineRule="auto"/>
              <w:jc w:val="both"/>
              <w:rPr>
                <w:rFonts w:ascii="Arial Narrow" w:hAnsi="Arial Narrow"/>
                <w:sz w:val="18"/>
                <w:szCs w:val="18"/>
                <w:lang w:eastAsia="en-US"/>
              </w:rPr>
            </w:pPr>
            <w:r w:rsidRPr="007D1918">
              <w:rPr>
                <w:rFonts w:ascii="Arial Narrow" w:hAnsi="Arial Narrow"/>
                <w:sz w:val="18"/>
                <w:szCs w:val="18"/>
                <w:lang w:eastAsia="en-US"/>
              </w:rPr>
              <w:t>IMPORTANT</w:t>
            </w:r>
          </w:p>
        </w:tc>
      </w:tr>
      <w:tr w:rsidR="005C7DE8" w:rsidRPr="007D1918" w14:paraId="344FCF1E" w14:textId="77777777" w:rsidTr="00BF22B6">
        <w:tc>
          <w:tcPr>
            <w:tcW w:w="5000" w:type="pct"/>
            <w:gridSpan w:val="9"/>
            <w:tcBorders>
              <w:top w:val="single" w:sz="4" w:space="0" w:color="auto"/>
              <w:left w:val="nil"/>
              <w:bottom w:val="single" w:sz="12" w:space="0" w:color="000000"/>
              <w:right w:val="nil"/>
            </w:tcBorders>
            <w:tcMar>
              <w:top w:w="15" w:type="dxa"/>
              <w:left w:w="15" w:type="dxa"/>
              <w:bottom w:w="15" w:type="dxa"/>
              <w:right w:w="15" w:type="dxa"/>
            </w:tcMar>
            <w:vAlign w:val="center"/>
            <w:hideMark/>
          </w:tcPr>
          <w:p w14:paraId="05088E82" w14:textId="77777777" w:rsidR="005C7DE8" w:rsidRPr="007D1918" w:rsidRDefault="005C7DE8" w:rsidP="00BF22B6">
            <w:pPr>
              <w:spacing w:before="40" w:after="40" w:line="240" w:lineRule="auto"/>
              <w:rPr>
                <w:rFonts w:ascii="Arial Narrow" w:hAnsi="Arial Narrow"/>
                <w:sz w:val="18"/>
                <w:szCs w:val="18"/>
                <w:lang w:eastAsia="en-US"/>
              </w:rPr>
            </w:pPr>
            <w:r w:rsidRPr="007D1918">
              <w:rPr>
                <w:rFonts w:ascii="Arial Narrow" w:hAnsi="Arial Narrow"/>
                <w:sz w:val="18"/>
                <w:szCs w:val="18"/>
                <w:lang w:eastAsia="en-US"/>
              </w:rPr>
              <w:t>GRADE Working Group grades of evidence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Arial Narrow" w:hAnsi="Arial Narrow" w:cs="Cambria Math"/>
                <w:color w:val="00B050"/>
                <w:sz w:val="18"/>
                <w:szCs w:val="18"/>
              </w:rPr>
              <w:t xml:space="preserve"> </w:t>
            </w:r>
            <w:r w:rsidRPr="007D1918">
              <w:rPr>
                <w:rFonts w:ascii="Arial Narrow" w:hAnsi="Arial Narrow"/>
                <w:b/>
                <w:bCs/>
                <w:sz w:val="18"/>
                <w:szCs w:val="18"/>
                <w:lang w:eastAsia="en-US"/>
              </w:rPr>
              <w:t>High quality:</w:t>
            </w:r>
            <w:r w:rsidRPr="007D1918">
              <w:rPr>
                <w:rFonts w:ascii="Arial Narrow" w:hAnsi="Arial Narrow"/>
                <w:sz w:val="18"/>
                <w:szCs w:val="18"/>
                <w:lang w:eastAsia="en-US"/>
              </w:rPr>
              <w:t xml:space="preserve"> Further research is very unlikely to change our confidence in the estimate of effect. </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Moderate quality:</w:t>
            </w:r>
            <w:r w:rsidRPr="007D1918">
              <w:rPr>
                <w:rFonts w:ascii="Arial Narrow" w:hAnsi="Arial Narrow"/>
                <w:sz w:val="18"/>
                <w:szCs w:val="18"/>
                <w:lang w:eastAsia="en-US"/>
              </w:rPr>
              <w:t xml:space="preserve"> Further research is likely to have an important impact on our confidence in the estimate of effect and may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Low quality:</w:t>
            </w:r>
            <w:r w:rsidRPr="007D1918">
              <w:rPr>
                <w:rFonts w:ascii="Arial Narrow" w:hAnsi="Arial Narrow"/>
                <w:sz w:val="18"/>
                <w:szCs w:val="18"/>
                <w:lang w:eastAsia="en-US"/>
              </w:rPr>
              <w:t xml:space="preserve"> Further research is very likely to have an important impact on our confidence in the estimate of effect and is likely to change the estimate.</w:t>
            </w:r>
            <w:r w:rsidRPr="007D1918">
              <w:rPr>
                <w:rFonts w:ascii="Arial Narrow" w:hAnsi="Arial Narrow"/>
                <w:sz w:val="18"/>
                <w:szCs w:val="18"/>
                <w:lang w:eastAsia="en-US"/>
              </w:rPr>
              <w:br/>
            </w:r>
            <w:r w:rsidRPr="007D1918">
              <w:rPr>
                <w:rFonts w:ascii="Cambria Math" w:hAnsi="Cambria Math" w:cs="Cambria Math"/>
                <w:color w:val="00B050"/>
                <w:sz w:val="18"/>
                <w:szCs w:val="18"/>
              </w:rPr>
              <w:t>⊕</w:t>
            </w:r>
            <w:r w:rsidRPr="007D1918">
              <w:rPr>
                <w:rFonts w:ascii="Cambria Math" w:hAnsi="Cambria Math" w:cs="Cambria Math"/>
                <w:color w:val="C00000"/>
                <w:sz w:val="18"/>
                <w:szCs w:val="18"/>
              </w:rPr>
              <w:t>⊝⊝⊝</w:t>
            </w:r>
            <w:r w:rsidRPr="007D1918">
              <w:rPr>
                <w:rFonts w:ascii="Arial Narrow" w:hAnsi="Arial Narrow" w:cs="Cambria Math"/>
                <w:color w:val="C00000"/>
                <w:sz w:val="18"/>
                <w:szCs w:val="18"/>
              </w:rPr>
              <w:t xml:space="preserve"> </w:t>
            </w:r>
            <w:r w:rsidRPr="007D1918">
              <w:rPr>
                <w:rFonts w:ascii="Arial Narrow" w:hAnsi="Arial Narrow"/>
                <w:b/>
                <w:bCs/>
                <w:sz w:val="18"/>
                <w:szCs w:val="18"/>
                <w:lang w:eastAsia="en-US"/>
              </w:rPr>
              <w:t>Very low quality:</w:t>
            </w:r>
            <w:r w:rsidRPr="007D1918">
              <w:rPr>
                <w:rFonts w:ascii="Arial Narrow" w:hAnsi="Arial Narrow"/>
                <w:sz w:val="18"/>
                <w:szCs w:val="18"/>
                <w:lang w:eastAsia="en-US"/>
              </w:rPr>
              <w:t xml:space="preserve"> We are very uncertain about the estimate.</w:t>
            </w:r>
          </w:p>
        </w:tc>
      </w:tr>
    </w:tbl>
    <w:p w14:paraId="74C98D15" w14:textId="299B3F5D" w:rsidR="005C7DE8" w:rsidRPr="007D1918" w:rsidRDefault="00884BF0" w:rsidP="004C15D0">
      <w:pPr>
        <w:pStyle w:val="Tablenotes0"/>
        <w:spacing w:after="80"/>
        <w:contextualSpacing w:val="0"/>
      </w:pPr>
      <w:r w:rsidRPr="007D1918">
        <w:t xml:space="preserve">CS = case series; </w:t>
      </w:r>
      <w:r w:rsidR="005C7DE8" w:rsidRPr="007D1918">
        <w:t xml:space="preserve">IVIg = intravenous immunoglobulin therapy; MG = </w:t>
      </w:r>
      <w:r w:rsidR="00A514E5" w:rsidRPr="007D1918">
        <w:t>myasthenia</w:t>
      </w:r>
      <w:r w:rsidR="005C7DE8" w:rsidRPr="007D1918">
        <w:t xml:space="preserve"> gravis; </w:t>
      </w:r>
      <w:r w:rsidRPr="007D1918">
        <w:t xml:space="preserve">MG-ADL = myasthenia gravis activities of daily living score; MGC = myasthenia gravis </w:t>
      </w:r>
      <w:r w:rsidR="00D97CDE" w:rsidRPr="007D1918">
        <w:t>composite</w:t>
      </w:r>
      <w:r w:rsidRPr="007D1918">
        <w:t xml:space="preserve"> score;</w:t>
      </w:r>
      <w:r w:rsidR="00A514E5" w:rsidRPr="007D1918">
        <w:t xml:space="preserve"> MG-QoL-60 = myasthenia quality of life score – 60 questions; </w:t>
      </w:r>
      <w:r w:rsidRPr="007D1918">
        <w:t xml:space="preserve">MMS = myasthenia muscle score; </w:t>
      </w:r>
      <w:r w:rsidR="00A514E5" w:rsidRPr="007D1918">
        <w:t xml:space="preserve">MMT = manual muscle test; </w:t>
      </w:r>
      <w:r w:rsidR="00071CA3" w:rsidRPr="007D1918">
        <w:t xml:space="preserve">MPN = methylprednisolone; </w:t>
      </w:r>
      <w:r w:rsidR="005C7DE8" w:rsidRPr="007D1918">
        <w:t xml:space="preserve">PE = plasma exchange therapy; </w:t>
      </w:r>
      <w:r w:rsidR="00D97CDE" w:rsidRPr="007D1918">
        <w:t xml:space="preserve">NA = not applicable; </w:t>
      </w:r>
      <w:r w:rsidR="00A514E5" w:rsidRPr="007D1918">
        <w:t xml:space="preserve">QMGS = quantitative myasthenia gravid score; </w:t>
      </w:r>
      <w:r w:rsidRPr="007D1918">
        <w:t xml:space="preserve">QoL = quality of life; </w:t>
      </w:r>
      <w:r w:rsidR="005C7DE8" w:rsidRPr="007D1918">
        <w:t>R</w:t>
      </w:r>
      <w:r w:rsidR="00773DFA" w:rsidRPr="007D1918">
        <w:t xml:space="preserve">et </w:t>
      </w:r>
      <w:r w:rsidR="005C7DE8" w:rsidRPr="007D1918">
        <w:t xml:space="preserve">CoH = retrospective cohort study; RCT = randomised controlled trial; </w:t>
      </w:r>
      <w:r w:rsidR="00A514E5" w:rsidRPr="007D1918">
        <w:t>SCIg = subcutaneous immunoglobulin therapy</w:t>
      </w:r>
    </w:p>
    <w:p w14:paraId="6D788E9B" w14:textId="3AF36AE9" w:rsidR="004B6EFD" w:rsidRPr="007D1918" w:rsidRDefault="004B6EFD" w:rsidP="004B6EFD">
      <w:pPr>
        <w:pStyle w:val="Tablenotes0"/>
        <w:rPr>
          <w:rStyle w:val="note-text"/>
        </w:rPr>
      </w:pPr>
      <w:r w:rsidRPr="007D1918">
        <w:rPr>
          <w:rStyle w:val="note-text"/>
          <w:vertAlign w:val="superscript"/>
        </w:rPr>
        <w:t>a</w:t>
      </w:r>
      <w:r w:rsidRPr="007D1918">
        <w:rPr>
          <w:rStyle w:val="note-text"/>
        </w:rPr>
        <w:t xml:space="preserve"> Comparator may not be applicable</w:t>
      </w:r>
    </w:p>
    <w:p w14:paraId="08343F4E" w14:textId="040A5112" w:rsidR="005C7DE8" w:rsidRPr="007D1918" w:rsidRDefault="00CF47E6" w:rsidP="005C7DE8">
      <w:pPr>
        <w:pStyle w:val="Tablenotes0"/>
      </w:pPr>
      <w:r w:rsidRPr="007D1918">
        <w:rPr>
          <w:vertAlign w:val="superscript"/>
        </w:rPr>
        <w:t>b</w:t>
      </w:r>
      <w:r w:rsidR="005C7DE8" w:rsidRPr="007D1918">
        <w:t xml:space="preserve"> Data available online only; no publication available yet</w:t>
      </w:r>
    </w:p>
    <w:p w14:paraId="6B5122AC" w14:textId="11F1F355" w:rsidR="00A452B0" w:rsidRPr="007D1918" w:rsidRDefault="00CF47E6" w:rsidP="00A452B0">
      <w:pPr>
        <w:pStyle w:val="Tablenotes0"/>
      </w:pPr>
      <w:r w:rsidRPr="007D1918">
        <w:rPr>
          <w:vertAlign w:val="superscript"/>
        </w:rPr>
        <w:t>c</w:t>
      </w:r>
      <w:r w:rsidR="00A452B0" w:rsidRPr="007D1918">
        <w:t xml:space="preserve"> Selection bias could not be ruled out in the cohort study</w:t>
      </w:r>
    </w:p>
    <w:p w14:paraId="576D4204" w14:textId="76D0533B" w:rsidR="005C7DE8" w:rsidRPr="007D1918" w:rsidRDefault="00CF47E6" w:rsidP="005C7DE8">
      <w:pPr>
        <w:pStyle w:val="Tablenotes0"/>
        <w:rPr>
          <w:rStyle w:val="note-text"/>
        </w:rPr>
      </w:pPr>
      <w:r w:rsidRPr="007D1918">
        <w:rPr>
          <w:vertAlign w:val="superscript"/>
        </w:rPr>
        <w:t>d</w:t>
      </w:r>
      <w:r w:rsidR="005C7DE8" w:rsidRPr="007D1918">
        <w:t xml:space="preserve"> </w:t>
      </w:r>
      <w:r w:rsidR="005C7DE8" w:rsidRPr="007D1918">
        <w:rPr>
          <w:rStyle w:val="note-text"/>
        </w:rPr>
        <w:t>The participant numbers were too small for an accurate comparison</w:t>
      </w:r>
    </w:p>
    <w:p w14:paraId="5DA47E1D" w14:textId="77E1E1CF" w:rsidR="00EB287C" w:rsidRPr="007D1918" w:rsidRDefault="00EB287C" w:rsidP="005C7DE8">
      <w:pPr>
        <w:pStyle w:val="Tablenotes0"/>
        <w:rPr>
          <w:rStyle w:val="note-text"/>
        </w:rPr>
      </w:pPr>
      <w:r w:rsidRPr="007D1918">
        <w:rPr>
          <w:rStyle w:val="note-text"/>
          <w:vertAlign w:val="superscript"/>
        </w:rPr>
        <w:t>e</w:t>
      </w:r>
      <w:r w:rsidRPr="007D1918">
        <w:rPr>
          <w:rStyle w:val="note-text"/>
        </w:rPr>
        <w:t xml:space="preserve"> Poor study design</w:t>
      </w:r>
    </w:p>
    <w:p w14:paraId="113D54FC" w14:textId="1F04F947" w:rsidR="00F6213D" w:rsidRPr="007D1918" w:rsidRDefault="00D00E8B" w:rsidP="00F6213D">
      <w:pPr>
        <w:pStyle w:val="Tablenotes0"/>
      </w:pPr>
      <w:r w:rsidRPr="007D1918">
        <w:rPr>
          <w:rStyle w:val="note-text"/>
          <w:vertAlign w:val="superscript"/>
        </w:rPr>
        <w:t>f</w:t>
      </w:r>
      <w:r w:rsidRPr="007D1918">
        <w:rPr>
          <w:rStyle w:val="note-text"/>
        </w:rPr>
        <w:t xml:space="preserve"> This outcome had no comparator</w:t>
      </w:r>
      <w:r w:rsidR="008F365F" w:rsidRPr="007D1918">
        <w:rPr>
          <w:rStyle w:val="note-text"/>
        </w:rPr>
        <w:t xml:space="preserve"> </w:t>
      </w:r>
    </w:p>
    <w:p w14:paraId="7877135A" w14:textId="1CDBCB86" w:rsidR="00852C78" w:rsidRPr="007D1918" w:rsidRDefault="00852C78" w:rsidP="00E6429D">
      <w:pPr>
        <w:pStyle w:val="Tablenotes0"/>
        <w:sectPr w:rsidR="00852C78" w:rsidRPr="007D1918" w:rsidSect="00945DB8">
          <w:pgSz w:w="16838" w:h="11906" w:orient="landscape"/>
          <w:pgMar w:top="1440" w:right="851" w:bottom="1440" w:left="851" w:header="720" w:footer="720" w:gutter="0"/>
          <w:paperSrc w:first="7" w:other="7"/>
          <w:cols w:space="720"/>
        </w:sectPr>
      </w:pPr>
    </w:p>
    <w:p w14:paraId="7B6AEF86" w14:textId="77777777" w:rsidR="007A7960" w:rsidRPr="007D1918" w:rsidRDefault="00193B87" w:rsidP="00DF343F">
      <w:pPr>
        <w:pStyle w:val="Heading1"/>
        <w:jc w:val="both"/>
      </w:pPr>
      <w:bookmarkStart w:id="618" w:name="_Ref364237293"/>
      <w:bookmarkStart w:id="619" w:name="_Ref363131580"/>
      <w:bookmarkStart w:id="620" w:name="_Toc379118102"/>
      <w:bookmarkStart w:id="621" w:name="_Toc381796506"/>
      <w:bookmarkStart w:id="622" w:name="_Toc23767026"/>
      <w:r w:rsidRPr="007D1918">
        <w:lastRenderedPageBreak/>
        <w:t xml:space="preserve">Appendix </w:t>
      </w:r>
      <w:r w:rsidR="000B6AFD" w:rsidRPr="007D1918">
        <w:rPr>
          <w:noProof/>
        </w:rPr>
        <w:fldChar w:fldCharType="begin"/>
      </w:r>
      <w:r w:rsidR="000B6AFD" w:rsidRPr="007D1918">
        <w:rPr>
          <w:noProof/>
        </w:rPr>
        <w:instrText xml:space="preserve"> SEQ Appendix \* ALPHABETIC </w:instrText>
      </w:r>
      <w:r w:rsidR="000B6AFD" w:rsidRPr="007D1918">
        <w:rPr>
          <w:noProof/>
        </w:rPr>
        <w:fldChar w:fldCharType="separate"/>
      </w:r>
      <w:r w:rsidR="009A4D6B" w:rsidRPr="007D1918">
        <w:rPr>
          <w:noProof/>
        </w:rPr>
        <w:t>E</w:t>
      </w:r>
      <w:r w:rsidR="000B6AFD" w:rsidRPr="007D1918">
        <w:rPr>
          <w:noProof/>
        </w:rPr>
        <w:fldChar w:fldCharType="end"/>
      </w:r>
      <w:bookmarkEnd w:id="618"/>
      <w:r w:rsidR="00A40011" w:rsidRPr="007D1918">
        <w:tab/>
      </w:r>
      <w:bookmarkEnd w:id="605"/>
      <w:bookmarkEnd w:id="619"/>
      <w:bookmarkEnd w:id="620"/>
      <w:bookmarkEnd w:id="621"/>
      <w:r w:rsidR="00591A6D" w:rsidRPr="007D1918">
        <w:t xml:space="preserve">Excluded </w:t>
      </w:r>
      <w:r w:rsidR="0077418B" w:rsidRPr="007D1918">
        <w:t>Studies</w:t>
      </w:r>
      <w:bookmarkEnd w:id="622"/>
    </w:p>
    <w:bookmarkEnd w:id="606"/>
    <w:p w14:paraId="07CA8F57" w14:textId="124A6D09" w:rsidR="001341F5" w:rsidRPr="007D1918" w:rsidRDefault="00D0376D" w:rsidP="0077418B">
      <w:pPr>
        <w:jc w:val="both"/>
      </w:pPr>
      <w:r w:rsidRPr="007D1918">
        <w:t>Studies that met the inclusion criteria on full text analysis, but were subsequently excluded are listed under reason for exclusion.</w:t>
      </w:r>
    </w:p>
    <w:p w14:paraId="50D18198" w14:textId="66233B2F" w:rsidR="00D0376D" w:rsidRPr="007D1918" w:rsidRDefault="00D0376D" w:rsidP="00D0376D">
      <w:pPr>
        <w:pStyle w:val="Heading4"/>
      </w:pPr>
      <w:r w:rsidRPr="007D1918">
        <w:t>Duplicated data</w:t>
      </w:r>
    </w:p>
    <w:p w14:paraId="45D14A11"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Bril, V, Barnett-Tapia, C, Barth, D &amp; Katzberg, HD 2012, 'IVIG and PLEX in the treatment of myasthenia gravis', Article, vol. 1275, no. (Bril V., vera.bril@utoronto.ca; Barnett-Tapia C.; Katzberg H.D.) Department of Medicine (Neurology), University Health Network, University of Toronto, Toronto, ON, Canada, pp. 1-6, DOI: 10.1111/j.1749-6632.2012.06767.x,&lt;http://www.embase.com/search/results?subaction=viewrecord&amp;from=export&amp;id=L366344246</w:t>
      </w:r>
    </w:p>
    <w:p w14:paraId="10F1BE10"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25152C2E"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Fergusson, D, Hutton, B, Sharma, M, Tinmouth, A, Wilson, K, Cameron, DW &amp; Hebert, PC 2005, 'Use of intravenous immunoglobulin for treatment of neurologic conditions: a systematic review', </w:t>
      </w:r>
      <w:r w:rsidRPr="007D1918">
        <w:rPr>
          <w:rFonts w:ascii="Segoe UI" w:hAnsi="Segoe UI" w:cs="Segoe UI"/>
          <w:i/>
          <w:iCs/>
          <w:sz w:val="18"/>
          <w:szCs w:val="18"/>
        </w:rPr>
        <w:t>Transfusion</w:t>
      </w:r>
      <w:r w:rsidRPr="007D1918">
        <w:rPr>
          <w:rFonts w:ascii="Segoe UI" w:hAnsi="Segoe UI" w:cs="Segoe UI"/>
          <w:sz w:val="18"/>
          <w:szCs w:val="18"/>
        </w:rPr>
        <w:t>, vol. 45, no. 10, pp. 1640-1657.</w:t>
      </w:r>
    </w:p>
    <w:p w14:paraId="384C9550"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6D08E52B"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Furlan, JC, Barth, D, Barnett, C &amp; Bril, V 2015, 'Cost-minimization analysis comparing intravenous immunoglobulin (IVIg) with plasma exchange (PLEX) in the management of patients with myasthenia gravis: different perspectives for different payers', </w:t>
      </w:r>
      <w:r w:rsidRPr="007D1918">
        <w:rPr>
          <w:rFonts w:ascii="Segoe UI" w:hAnsi="Segoe UI" w:cs="Segoe UI"/>
          <w:i/>
          <w:iCs/>
          <w:sz w:val="18"/>
          <w:szCs w:val="18"/>
        </w:rPr>
        <w:t>Canadian journal of neurological sciences</w:t>
      </w:r>
      <w:r w:rsidRPr="007D1918">
        <w:rPr>
          <w:rFonts w:ascii="Segoe UI" w:hAnsi="Segoe UI" w:cs="Segoe UI"/>
          <w:sz w:val="18"/>
          <w:szCs w:val="18"/>
        </w:rPr>
        <w:t>, vol. 42, no. Suppl S1, p. S18.</w:t>
      </w:r>
    </w:p>
    <w:p w14:paraId="094C8AED"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587A5394"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Gajdos, P, Chevret, S &amp; Toyka, KV 2002, 'Plasma exchange for generalised myasthenia gravis', </w:t>
      </w:r>
      <w:r w:rsidRPr="007D1918">
        <w:rPr>
          <w:rFonts w:ascii="Segoe UI" w:hAnsi="Segoe UI" w:cs="Segoe UI"/>
          <w:i/>
          <w:iCs/>
          <w:sz w:val="18"/>
          <w:szCs w:val="18"/>
        </w:rPr>
        <w:t>Cochrane Database of Systematic Reviews</w:t>
      </w:r>
      <w:r w:rsidRPr="007D1918">
        <w:rPr>
          <w:rFonts w:ascii="Segoe UI" w:hAnsi="Segoe UI" w:cs="Segoe UI"/>
          <w:sz w:val="18"/>
          <w:szCs w:val="18"/>
        </w:rPr>
        <w:t>, no. 4.</w:t>
      </w:r>
    </w:p>
    <w:p w14:paraId="67E5386B"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5FB2510A"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Kivity, S, Katz, U, Daniel, N, Nussinovitch, U, Papageorgiou, N &amp; Shoenfeld, Y 2010, 'Evidence for the use of intravenous immunoglobulins - A review of the literature', </w:t>
      </w:r>
      <w:r w:rsidRPr="007D1918">
        <w:rPr>
          <w:rFonts w:ascii="Segoe UI" w:hAnsi="Segoe UI" w:cs="Segoe UI"/>
          <w:i/>
          <w:iCs/>
          <w:sz w:val="18"/>
          <w:szCs w:val="18"/>
        </w:rPr>
        <w:t>Clinical Reviews in Allergy and Immunology</w:t>
      </w:r>
      <w:r w:rsidRPr="007D1918">
        <w:rPr>
          <w:rFonts w:ascii="Segoe UI" w:hAnsi="Segoe UI" w:cs="Segoe UI"/>
          <w:sz w:val="18"/>
          <w:szCs w:val="18"/>
        </w:rPr>
        <w:t>, vol. 38, no. 2-3, pp. 201-269.</w:t>
      </w:r>
    </w:p>
    <w:p w14:paraId="56DBC340"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47DE4731"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Nct 2010, 'Intravenous Immunoglobulin and Plasma Exchange in Myasthenia Gravis', </w:t>
      </w:r>
      <w:r w:rsidRPr="007D1918">
        <w:rPr>
          <w:rFonts w:ascii="Segoe UI" w:hAnsi="Segoe UI" w:cs="Segoe UI"/>
          <w:i/>
          <w:iCs/>
          <w:sz w:val="18"/>
          <w:szCs w:val="18"/>
        </w:rPr>
        <w:t>Https://clinicaltrials.gov/show/nct01179893</w:t>
      </w:r>
      <w:r w:rsidRPr="007D1918">
        <w:rPr>
          <w:rFonts w:ascii="Segoe UI" w:hAnsi="Segoe UI" w:cs="Segoe UI"/>
          <w:sz w:val="18"/>
          <w:szCs w:val="18"/>
        </w:rPr>
        <w:t>.</w:t>
      </w:r>
    </w:p>
    <w:p w14:paraId="355DED95"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6F702B3E" w14:textId="4504FEBD"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Tapia, CB, Grinberg, Y, Ghani, M, Rogaeva, E, St. George-Hyslop, P, Katzberg, H &amp; Bril, V 2012, 'FC</w:t>
      </w:r>
      <w:r w:rsidR="00E25683" w:rsidRPr="007D1918">
        <w:rPr>
          <w:rFonts w:ascii="Segoe UI" w:hAnsi="Segoe UI" w:cs="Segoe UI"/>
          <w:sz w:val="18"/>
          <w:szCs w:val="18"/>
        </w:rPr>
        <w:t xml:space="preserve"> </w:t>
      </w:r>
      <w:r w:rsidRPr="007D1918">
        <w:rPr>
          <w:rFonts w:ascii="Segoe UI" w:hAnsi="Segoe UI" w:cs="Segoe UI"/>
          <w:sz w:val="18"/>
          <w:szCs w:val="18"/>
        </w:rPr>
        <w:t>gamma</w:t>
      </w:r>
      <w:r w:rsidR="00E25683" w:rsidRPr="007D1918">
        <w:rPr>
          <w:rFonts w:ascii="Segoe UI" w:hAnsi="Segoe UI" w:cs="Segoe UI"/>
          <w:sz w:val="18"/>
          <w:szCs w:val="18"/>
        </w:rPr>
        <w:t xml:space="preserve"> </w:t>
      </w:r>
      <w:r w:rsidRPr="007D1918">
        <w:rPr>
          <w:rFonts w:ascii="Segoe UI" w:hAnsi="Segoe UI" w:cs="Segoe UI"/>
          <w:sz w:val="18"/>
          <w:szCs w:val="18"/>
        </w:rPr>
        <w:t xml:space="preserve">receptor polymorphisms, disease severity and response to IVIG treatment in myasthenia gravis', </w:t>
      </w:r>
      <w:r w:rsidRPr="007D1918">
        <w:rPr>
          <w:rFonts w:ascii="Segoe UI" w:hAnsi="Segoe UI" w:cs="Segoe UI"/>
          <w:i/>
          <w:iCs/>
          <w:sz w:val="18"/>
          <w:szCs w:val="18"/>
        </w:rPr>
        <w:t>Neurology</w:t>
      </w:r>
      <w:r w:rsidRPr="007D1918">
        <w:rPr>
          <w:rFonts w:ascii="Segoe UI" w:hAnsi="Segoe UI" w:cs="Segoe UI"/>
          <w:sz w:val="18"/>
          <w:szCs w:val="18"/>
        </w:rPr>
        <w:t>, vol. 78, no. 1.</w:t>
      </w:r>
    </w:p>
    <w:p w14:paraId="3D37D99E"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22A4520D"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Topakian, R, Zimprich, F, Iglseder, S, Embacher, N, Guger, M, Stieglbauer, K, Langenscheidt, D, Rath, J, Quasthoff, S, Simschitz, P, Wanschitz, J, Müller, P, Oel, D, Einsiedler, S, Schustereder, G, Windisch, D &amp; Löscher, W 2018, 'High efficacy and safety of rituximab for myasthenia gravis: A nationwide study by austrian adult neurologists', </w:t>
      </w:r>
      <w:r w:rsidRPr="007D1918">
        <w:rPr>
          <w:rFonts w:ascii="Segoe UI" w:hAnsi="Segoe UI" w:cs="Segoe UI"/>
          <w:i/>
          <w:iCs/>
          <w:sz w:val="18"/>
          <w:szCs w:val="18"/>
        </w:rPr>
        <w:t>Journal of Neuromuscular Diseases</w:t>
      </w:r>
      <w:r w:rsidRPr="007D1918">
        <w:rPr>
          <w:rFonts w:ascii="Segoe UI" w:hAnsi="Segoe UI" w:cs="Segoe UI"/>
          <w:sz w:val="18"/>
          <w:szCs w:val="18"/>
        </w:rPr>
        <w:t>, vol. 5, pp. S338-S339.</w:t>
      </w:r>
    </w:p>
    <w:p w14:paraId="14EC736C"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4E14C0A3"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Zinman, L, Baryshnik, D &amp; Bril, V 2008, 'Surrogate therapeutic outcome measures in patients with myasthenia gravis', </w:t>
      </w:r>
      <w:r w:rsidRPr="007D1918">
        <w:rPr>
          <w:rFonts w:ascii="Segoe UI" w:hAnsi="Segoe UI" w:cs="Segoe UI"/>
          <w:i/>
          <w:iCs/>
          <w:sz w:val="18"/>
          <w:szCs w:val="18"/>
        </w:rPr>
        <w:t>Muscle &amp; nerve</w:t>
      </w:r>
      <w:r w:rsidRPr="007D1918">
        <w:rPr>
          <w:rFonts w:ascii="Segoe UI" w:hAnsi="Segoe UI" w:cs="Segoe UI"/>
          <w:sz w:val="18"/>
          <w:szCs w:val="18"/>
        </w:rPr>
        <w:t>, vol. 37, no. 2, pp. 172‐176.</w:t>
      </w:r>
    </w:p>
    <w:p w14:paraId="0D2F1538"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0C063B72" w14:textId="3D7C8532" w:rsidR="00D0376D" w:rsidRPr="007D1918" w:rsidRDefault="00D0376D" w:rsidP="00D0376D">
      <w:pPr>
        <w:pStyle w:val="Heading4"/>
      </w:pPr>
      <w:r w:rsidRPr="007D1918">
        <w:t>Data could not be extracted</w:t>
      </w:r>
    </w:p>
    <w:p w14:paraId="0C8D4BD6"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Barnett, C, Bril, V, Kapral, M, Kulkarni, AV &amp; Davis, AM 2017, 'Myasthenia gravis impairment index: Responsiveness, meaningful change, and relative efficiency', </w:t>
      </w:r>
      <w:r w:rsidRPr="007D1918">
        <w:rPr>
          <w:rFonts w:ascii="Segoe UI" w:hAnsi="Segoe UI" w:cs="Segoe UI"/>
          <w:i/>
          <w:iCs/>
          <w:sz w:val="18"/>
          <w:szCs w:val="18"/>
        </w:rPr>
        <w:t>Neurology</w:t>
      </w:r>
      <w:r w:rsidRPr="007D1918">
        <w:rPr>
          <w:rFonts w:ascii="Segoe UI" w:hAnsi="Segoe UI" w:cs="Segoe UI"/>
          <w:sz w:val="18"/>
          <w:szCs w:val="18"/>
        </w:rPr>
        <w:t>, vol. 89, no. 23, pp. 2357-2364.</w:t>
      </w:r>
    </w:p>
    <w:p w14:paraId="23A30438"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3FE5AA04"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Barraud, C, Desguerre, I, Barnerias, C, Gitiaux, C, Boulay, C &amp; Chabrol, B 2018, 'Clinical features and evolution of juvenile myasthenia gravis in a French cohort', </w:t>
      </w:r>
      <w:r w:rsidRPr="007D1918">
        <w:rPr>
          <w:rFonts w:ascii="Segoe UI" w:hAnsi="Segoe UI" w:cs="Segoe UI"/>
          <w:i/>
          <w:iCs/>
          <w:sz w:val="18"/>
          <w:szCs w:val="18"/>
        </w:rPr>
        <w:t>Muscle and Nerve</w:t>
      </w:r>
      <w:r w:rsidRPr="007D1918">
        <w:rPr>
          <w:rFonts w:ascii="Segoe UI" w:hAnsi="Segoe UI" w:cs="Segoe UI"/>
          <w:sz w:val="18"/>
          <w:szCs w:val="18"/>
        </w:rPr>
        <w:t>, vol. 57, no. 4, pp. 603-609.</w:t>
      </w:r>
    </w:p>
    <w:p w14:paraId="68B834D7"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7DD010B1"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Castro, D, Derisavifard, S, Anderson, M, Greene, M &amp; Iannaccone, S 2013, 'Juvenile myasthenia gravis: A twenty-year experience', </w:t>
      </w:r>
      <w:r w:rsidRPr="007D1918">
        <w:rPr>
          <w:rFonts w:ascii="Segoe UI" w:hAnsi="Segoe UI" w:cs="Segoe UI"/>
          <w:i/>
          <w:iCs/>
          <w:sz w:val="18"/>
          <w:szCs w:val="18"/>
        </w:rPr>
        <w:t>Journal of Clinical Neuromuscular Disease</w:t>
      </w:r>
      <w:r w:rsidRPr="007D1918">
        <w:rPr>
          <w:rFonts w:ascii="Segoe UI" w:hAnsi="Segoe UI" w:cs="Segoe UI"/>
          <w:sz w:val="18"/>
          <w:szCs w:val="18"/>
        </w:rPr>
        <w:t>, vol. 14, no. 3, pp. 95-102.</w:t>
      </w:r>
    </w:p>
    <w:p w14:paraId="321D486B"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286FFCED"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lastRenderedPageBreak/>
        <w:t xml:space="preserve">Clark, SL &amp; Rabinstein, AA 2015, 'Safety of intravenous immunoglobulin and plasma exchange in critically ill patients', </w:t>
      </w:r>
      <w:r w:rsidRPr="007D1918">
        <w:rPr>
          <w:rFonts w:ascii="Segoe UI" w:hAnsi="Segoe UI" w:cs="Segoe UI"/>
          <w:i/>
          <w:iCs/>
          <w:sz w:val="18"/>
          <w:szCs w:val="18"/>
        </w:rPr>
        <w:t>Neurological research</w:t>
      </w:r>
      <w:r w:rsidRPr="007D1918">
        <w:rPr>
          <w:rFonts w:ascii="Segoe UI" w:hAnsi="Segoe UI" w:cs="Segoe UI"/>
          <w:sz w:val="18"/>
          <w:szCs w:val="18"/>
        </w:rPr>
        <w:t>, vol. 37, no. 7, pp. 593‐598.</w:t>
      </w:r>
    </w:p>
    <w:p w14:paraId="6B46D195"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16E337E5"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Griffin, R, Chen, J, Hanna, K &amp; Mondou, E 2017, 'A randomized placebo-controlled clinical trial evaluating efficacy and safety of IGIV-C in corticosteroid dependent patients with generalized myasthenia gravis', </w:t>
      </w:r>
      <w:r w:rsidRPr="007D1918">
        <w:rPr>
          <w:rFonts w:ascii="Segoe UI" w:hAnsi="Segoe UI" w:cs="Segoe UI"/>
          <w:i/>
          <w:iCs/>
          <w:sz w:val="18"/>
          <w:szCs w:val="18"/>
        </w:rPr>
        <w:t>Muscle and Nerve</w:t>
      </w:r>
      <w:r w:rsidRPr="007D1918">
        <w:rPr>
          <w:rFonts w:ascii="Segoe UI" w:hAnsi="Segoe UI" w:cs="Segoe UI"/>
          <w:sz w:val="18"/>
          <w:szCs w:val="18"/>
        </w:rPr>
        <w:t>, vol. 56, no. 3, p. 604.</w:t>
      </w:r>
    </w:p>
    <w:p w14:paraId="25E3FBEC"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36445B43"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Nadeau, JO, Bhibhatbhan, A, McDougall, D &amp; Toth, C 2010, 'Identification and comparison of adverse events for preparations of IVIG in patients with neuromuscular diseases', </w:t>
      </w:r>
      <w:r w:rsidRPr="007D1918">
        <w:rPr>
          <w:rFonts w:ascii="Segoe UI" w:hAnsi="Segoe UI" w:cs="Segoe UI"/>
          <w:i/>
          <w:iCs/>
          <w:sz w:val="18"/>
          <w:szCs w:val="18"/>
        </w:rPr>
        <w:t>Clinical Neurology and Neurosurgery</w:t>
      </w:r>
      <w:r w:rsidRPr="007D1918">
        <w:rPr>
          <w:rFonts w:ascii="Segoe UI" w:hAnsi="Segoe UI" w:cs="Segoe UI"/>
          <w:sz w:val="18"/>
          <w:szCs w:val="18"/>
        </w:rPr>
        <w:t>, vol. 112, no. 6, pp. 467-469.</w:t>
      </w:r>
    </w:p>
    <w:p w14:paraId="776DDA99"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4C6827CD"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O'Riordan, JI, Miller, DH, Mottershead, JP, Hirsch, NP &amp; Howard, RS 1998, 'The management and outcome of patients with myasthenia gravis treated acutely in a neurological intensive care unit', </w:t>
      </w:r>
      <w:r w:rsidRPr="007D1918">
        <w:rPr>
          <w:rFonts w:ascii="Segoe UI" w:hAnsi="Segoe UI" w:cs="Segoe UI"/>
          <w:i/>
          <w:iCs/>
          <w:sz w:val="18"/>
          <w:szCs w:val="18"/>
        </w:rPr>
        <w:t>European Journal of Neurology</w:t>
      </w:r>
      <w:r w:rsidRPr="007D1918">
        <w:rPr>
          <w:rFonts w:ascii="Segoe UI" w:hAnsi="Segoe UI" w:cs="Segoe UI"/>
          <w:sz w:val="18"/>
          <w:szCs w:val="18"/>
        </w:rPr>
        <w:t>, vol. 5, no. 2, pp. 137-142.</w:t>
      </w:r>
    </w:p>
    <w:p w14:paraId="52CBC601"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6E77E8BB"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Santos, E, Braga, A, Gabriel, D, Duarte, S, Martins da Silva, A, Matos, I, Freijo, M, Martins, J, Silveira, F, Nadais, G, Sousa, F, Fraga, C, Santos Silva, R, Lopes, C, Gonçalves, G, Pinto, C, Sousa Braga, J &amp; Leite, MI 2018, 'MuSK myasthenia gravis and pregnancy', </w:t>
      </w:r>
      <w:r w:rsidRPr="007D1918">
        <w:rPr>
          <w:rFonts w:ascii="Segoe UI" w:hAnsi="Segoe UI" w:cs="Segoe UI"/>
          <w:i/>
          <w:iCs/>
          <w:sz w:val="18"/>
          <w:szCs w:val="18"/>
        </w:rPr>
        <w:t>Neuromuscular Disorders</w:t>
      </w:r>
      <w:r w:rsidRPr="007D1918">
        <w:rPr>
          <w:rFonts w:ascii="Segoe UI" w:hAnsi="Segoe UI" w:cs="Segoe UI"/>
          <w:sz w:val="18"/>
          <w:szCs w:val="18"/>
        </w:rPr>
        <w:t>, vol. 28, no. 2, pp. 150-153.</w:t>
      </w:r>
    </w:p>
    <w:p w14:paraId="09283C02"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6792C5C2"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Schneider-Gold, C, Gajdos, P, Toyka, KV &amp; Hohlfeld, RR 2005, 'Corticosteroids for myasthenia gravis', </w:t>
      </w:r>
      <w:r w:rsidRPr="007D1918">
        <w:rPr>
          <w:rFonts w:ascii="Segoe UI" w:hAnsi="Segoe UI" w:cs="Segoe UI"/>
          <w:i/>
          <w:iCs/>
          <w:sz w:val="18"/>
          <w:szCs w:val="18"/>
        </w:rPr>
        <w:t>Cochrane database of systematic reviews (Online)</w:t>
      </w:r>
      <w:r w:rsidRPr="007D1918">
        <w:rPr>
          <w:rFonts w:ascii="Segoe UI" w:hAnsi="Segoe UI" w:cs="Segoe UI"/>
          <w:sz w:val="18"/>
          <w:szCs w:val="18"/>
        </w:rPr>
        <w:t>, no. 2, p. CD002828.</w:t>
      </w:r>
    </w:p>
    <w:p w14:paraId="04B983B0"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5BFDB31B"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Stangel, M, Baumann, U, Borte, M, Fasshauer, M, Hensel, M, Huscher, D, Kirch, W, Pittrow, D, Reiser, M &amp; Gold, R 2013, 'Treatment of neurological autoimmune diseases with immunoglobulins: First insights from the prospective signs registry', </w:t>
      </w:r>
      <w:r w:rsidRPr="007D1918">
        <w:rPr>
          <w:rFonts w:ascii="Segoe UI" w:hAnsi="Segoe UI" w:cs="Segoe UI"/>
          <w:i/>
          <w:iCs/>
          <w:sz w:val="18"/>
          <w:szCs w:val="18"/>
        </w:rPr>
        <w:t>Journal of Clinical Immunology</w:t>
      </w:r>
      <w:r w:rsidRPr="007D1918">
        <w:rPr>
          <w:rFonts w:ascii="Segoe UI" w:hAnsi="Segoe UI" w:cs="Segoe UI"/>
          <w:sz w:val="18"/>
          <w:szCs w:val="18"/>
        </w:rPr>
        <w:t>, vol. 33, no. SUPPL.1, pp. S67-S71.</w:t>
      </w:r>
    </w:p>
    <w:p w14:paraId="2ECCE72E"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05CD976C"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Steinberger, BA, Ford, SM &amp; Coleman, TA 2003, 'Intravenous immunoglobulin therapy results in post-infusional hyperproteinemia, increased serum viscosity, and pseudohyponatremia', </w:t>
      </w:r>
      <w:r w:rsidRPr="007D1918">
        <w:rPr>
          <w:rFonts w:ascii="Segoe UI" w:hAnsi="Segoe UI" w:cs="Segoe UI"/>
          <w:i/>
          <w:iCs/>
          <w:sz w:val="18"/>
          <w:szCs w:val="18"/>
        </w:rPr>
        <w:t>American Journal of Hematology</w:t>
      </w:r>
      <w:r w:rsidRPr="007D1918">
        <w:rPr>
          <w:rFonts w:ascii="Segoe UI" w:hAnsi="Segoe UI" w:cs="Segoe UI"/>
          <w:sz w:val="18"/>
          <w:szCs w:val="18"/>
        </w:rPr>
        <w:t>, vol. 73, no. 2, pp. 97-100.</w:t>
      </w:r>
    </w:p>
    <w:p w14:paraId="3B36B731"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3D1EAC0A"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Tran, C, Bril, V, Katzberg, HD &amp; Barnett, C 2018, 'Fatigue is a relevant outcome in patients with myasthenia gravis', </w:t>
      </w:r>
      <w:r w:rsidRPr="007D1918">
        <w:rPr>
          <w:rFonts w:ascii="Segoe UI" w:hAnsi="Segoe UI" w:cs="Segoe UI"/>
          <w:i/>
          <w:iCs/>
          <w:sz w:val="18"/>
          <w:szCs w:val="18"/>
        </w:rPr>
        <w:t>Muscle and Nerve</w:t>
      </w:r>
      <w:r w:rsidRPr="007D1918">
        <w:rPr>
          <w:rFonts w:ascii="Segoe UI" w:hAnsi="Segoe UI" w:cs="Segoe UI"/>
          <w:sz w:val="18"/>
          <w:szCs w:val="18"/>
        </w:rPr>
        <w:t>, vol. 58, no. 2, pp. 197-203.</w:t>
      </w:r>
    </w:p>
    <w:p w14:paraId="5CBAE248"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0887DE85"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Utsugisawa, K, Nagane, Y, Akaishi, T, Suzuki, Y, Imai, T, Tsuda, E, Minami, N, Uzawa, A, Kawaguchi, N, Masuda, M, Konno, S, Suzuki, H, Murai, H &amp; Aoki, M 2017, 'Early fast-acting treatment strategy against generalized myasthenia gravis', </w:t>
      </w:r>
      <w:r w:rsidRPr="007D1918">
        <w:rPr>
          <w:rFonts w:ascii="Segoe UI" w:hAnsi="Segoe UI" w:cs="Segoe UI"/>
          <w:i/>
          <w:iCs/>
          <w:sz w:val="18"/>
          <w:szCs w:val="18"/>
        </w:rPr>
        <w:t>Journal of the Neurological Sciences</w:t>
      </w:r>
      <w:r w:rsidRPr="007D1918">
        <w:rPr>
          <w:rFonts w:ascii="Segoe UI" w:hAnsi="Segoe UI" w:cs="Segoe UI"/>
          <w:sz w:val="18"/>
          <w:szCs w:val="18"/>
        </w:rPr>
        <w:t>, vol. 381, pp. 1082-1083.</w:t>
      </w:r>
    </w:p>
    <w:p w14:paraId="5F70392E"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6F4E81A2"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Wang, L, Zhang, Y &amp; He, M 2017, 'Clinical predictors for the prognosis of myasthenia gravis', </w:t>
      </w:r>
      <w:r w:rsidRPr="007D1918">
        <w:rPr>
          <w:rFonts w:ascii="Segoe UI" w:hAnsi="Segoe UI" w:cs="Segoe UI"/>
          <w:i/>
          <w:iCs/>
          <w:sz w:val="18"/>
          <w:szCs w:val="18"/>
        </w:rPr>
        <w:t>BMC Neurology</w:t>
      </w:r>
      <w:r w:rsidRPr="007D1918">
        <w:rPr>
          <w:rFonts w:ascii="Segoe UI" w:hAnsi="Segoe UI" w:cs="Segoe UI"/>
          <w:sz w:val="18"/>
          <w:szCs w:val="18"/>
        </w:rPr>
        <w:t>, vol. 17, no. 1.</w:t>
      </w:r>
    </w:p>
    <w:p w14:paraId="31D02195"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5B649A33" w14:textId="12434B38" w:rsidR="00D0376D" w:rsidRPr="007D1918" w:rsidRDefault="00D0376D" w:rsidP="00D0376D">
      <w:pPr>
        <w:pStyle w:val="Heading4"/>
      </w:pPr>
      <w:r w:rsidRPr="007D1918">
        <w:t>Manuscript unavailable</w:t>
      </w:r>
    </w:p>
    <w:p w14:paraId="1E8F29EB"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Nct 2000, 'Randomized Study of Intravenous Immunoglobulin in Patients With Mild or Moderate Myasthenia Gravis', </w:t>
      </w:r>
      <w:r w:rsidRPr="007D1918">
        <w:rPr>
          <w:rFonts w:ascii="Segoe UI" w:hAnsi="Segoe UI" w:cs="Segoe UI"/>
          <w:i/>
          <w:iCs/>
          <w:sz w:val="18"/>
          <w:szCs w:val="18"/>
        </w:rPr>
        <w:t>Https://clinicaltrials.gov/show/nct00004682</w:t>
      </w:r>
      <w:r w:rsidRPr="007D1918">
        <w:rPr>
          <w:rFonts w:ascii="Segoe UI" w:hAnsi="Segoe UI" w:cs="Segoe UI"/>
          <w:sz w:val="18"/>
          <w:szCs w:val="18"/>
        </w:rPr>
        <w:t>.</w:t>
      </w:r>
    </w:p>
    <w:p w14:paraId="7547E832"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62A3CAF9"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Nct 2006, 'Intravenous Immune Globulin Treatment Compared to Placebo in Patients With Myasthenia Gravis', </w:t>
      </w:r>
      <w:r w:rsidRPr="007D1918">
        <w:rPr>
          <w:rFonts w:ascii="Segoe UI" w:hAnsi="Segoe UI" w:cs="Segoe UI"/>
          <w:i/>
          <w:iCs/>
          <w:sz w:val="18"/>
          <w:szCs w:val="18"/>
        </w:rPr>
        <w:t>Https://clinicaltrials.gov/show/nct00306033</w:t>
      </w:r>
      <w:r w:rsidRPr="007D1918">
        <w:rPr>
          <w:rFonts w:ascii="Segoe UI" w:hAnsi="Segoe UI" w:cs="Segoe UI"/>
          <w:sz w:val="18"/>
          <w:szCs w:val="18"/>
        </w:rPr>
        <w:t>.</w:t>
      </w:r>
    </w:p>
    <w:p w14:paraId="40AE9DFB"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05EF72C4"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Nct 2007, 'Efficacy and Safety Study of GB-0998 for Treatment of Generalized Myasthenia Gravis', </w:t>
      </w:r>
      <w:r w:rsidRPr="007D1918">
        <w:rPr>
          <w:rFonts w:ascii="Segoe UI" w:hAnsi="Segoe UI" w:cs="Segoe UI"/>
          <w:i/>
          <w:iCs/>
          <w:sz w:val="18"/>
          <w:szCs w:val="18"/>
        </w:rPr>
        <w:t>Https://clinicaltrials.gov/show/nct00515450</w:t>
      </w:r>
      <w:r w:rsidRPr="007D1918">
        <w:rPr>
          <w:rFonts w:ascii="Segoe UI" w:hAnsi="Segoe UI" w:cs="Segoe UI"/>
          <w:sz w:val="18"/>
          <w:szCs w:val="18"/>
        </w:rPr>
        <w:t>.</w:t>
      </w:r>
    </w:p>
    <w:p w14:paraId="4E126EBE"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342F48F0"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r w:rsidRPr="007D1918">
        <w:rPr>
          <w:rFonts w:ascii="Segoe UI" w:hAnsi="Segoe UI" w:cs="Segoe UI"/>
          <w:sz w:val="18"/>
          <w:szCs w:val="18"/>
        </w:rPr>
        <w:t xml:space="preserve">Xu, XH 1986, 'Myasthenia gravis. Laboratory and clinical analysis of 120 cases', </w:t>
      </w:r>
      <w:r w:rsidRPr="007D1918">
        <w:rPr>
          <w:rFonts w:ascii="Segoe UI" w:hAnsi="Segoe UI" w:cs="Segoe UI"/>
          <w:i/>
          <w:iCs/>
          <w:sz w:val="18"/>
          <w:szCs w:val="18"/>
        </w:rPr>
        <w:t>Chin Med J (Engl)</w:t>
      </w:r>
      <w:r w:rsidRPr="007D1918">
        <w:rPr>
          <w:rFonts w:ascii="Segoe UI" w:hAnsi="Segoe UI" w:cs="Segoe UI"/>
          <w:sz w:val="18"/>
          <w:szCs w:val="18"/>
        </w:rPr>
        <w:t>, vol. 99, no. 7, Jul, pp. 555-560.</w:t>
      </w:r>
    </w:p>
    <w:p w14:paraId="150DF7D5" w14:textId="77777777" w:rsidR="00D0376D" w:rsidRPr="007D1918" w:rsidRDefault="00D0376D" w:rsidP="00D0376D">
      <w:pPr>
        <w:autoSpaceDE w:val="0"/>
        <w:autoSpaceDN w:val="0"/>
        <w:adjustRightInd w:val="0"/>
        <w:spacing w:after="0" w:line="240" w:lineRule="auto"/>
        <w:rPr>
          <w:rFonts w:ascii="Segoe UI" w:hAnsi="Segoe UI" w:cs="Segoe UI"/>
          <w:sz w:val="18"/>
          <w:szCs w:val="18"/>
        </w:rPr>
      </w:pPr>
    </w:p>
    <w:p w14:paraId="00E9B2B5" w14:textId="77777777" w:rsidR="001341F5" w:rsidRPr="007D1918" w:rsidRDefault="001341F5" w:rsidP="00DF343F">
      <w:pPr>
        <w:jc w:val="both"/>
        <w:rPr>
          <w:rFonts w:eastAsiaTheme="minorHAnsi"/>
          <w:lang w:eastAsia="en-US"/>
        </w:rPr>
      </w:pPr>
      <w:r w:rsidRPr="007D1918">
        <w:rPr>
          <w:rFonts w:eastAsiaTheme="minorHAnsi"/>
          <w:lang w:eastAsia="en-US"/>
        </w:rPr>
        <w:br w:type="page"/>
      </w:r>
    </w:p>
    <w:p w14:paraId="3AFE93F0" w14:textId="4394E80E" w:rsidR="00615BDD" w:rsidRPr="007D1918" w:rsidRDefault="00615BDD" w:rsidP="00615BDD">
      <w:pPr>
        <w:pStyle w:val="Heading1"/>
        <w:rPr>
          <w:rFonts w:eastAsiaTheme="minorHAnsi"/>
          <w:lang w:eastAsia="en-US"/>
        </w:rPr>
      </w:pPr>
      <w:bookmarkStart w:id="623" w:name="_Toc23767027"/>
      <w:r w:rsidRPr="007D1918">
        <w:rPr>
          <w:rFonts w:eastAsiaTheme="minorHAnsi"/>
          <w:lang w:eastAsia="en-US"/>
        </w:rPr>
        <w:lastRenderedPageBreak/>
        <w:t>Appendix F</w:t>
      </w:r>
      <w:r w:rsidRPr="007D1918">
        <w:rPr>
          <w:rFonts w:eastAsiaTheme="minorHAnsi"/>
          <w:lang w:eastAsia="en-US"/>
        </w:rPr>
        <w:tab/>
        <w:t>Criteria for MG Indications 1-3 (NBA criteria, Version 3)</w:t>
      </w:r>
      <w:bookmarkEnd w:id="623"/>
    </w:p>
    <w:p w14:paraId="75773C50" w14:textId="77777777" w:rsidR="00615BDD" w:rsidRPr="007D1918" w:rsidRDefault="00615BDD" w:rsidP="00615BDD">
      <w:pPr>
        <w:widowControl w:val="0"/>
        <w:shd w:val="clear" w:color="auto" w:fill="FDE9D9"/>
        <w:autoSpaceDE w:val="0"/>
        <w:autoSpaceDN w:val="0"/>
        <w:adjustRightInd w:val="0"/>
        <w:spacing w:after="120"/>
        <w:ind w:right="86"/>
        <w:rPr>
          <w:rFonts w:eastAsia="Arial Narrow" w:cs="Calibri"/>
          <w:b/>
          <w:bCs/>
          <w:sz w:val="18"/>
          <w:szCs w:val="18"/>
          <w:u w:val="single"/>
          <w:lang w:val="en-US" w:eastAsia="en-US"/>
        </w:rPr>
      </w:pPr>
      <w:r w:rsidRPr="007D1918">
        <w:rPr>
          <w:rFonts w:eastAsia="Arial Narrow" w:cs="Calibri"/>
          <w:b/>
          <w:bCs/>
          <w:sz w:val="18"/>
          <w:szCs w:val="18"/>
          <w:u w:val="single"/>
          <w:lang w:val="en-US" w:eastAsia="en-US"/>
        </w:rPr>
        <w:t>Indication 1: Myasthenic crisis as an alternative treatment to plasma exchange</w:t>
      </w:r>
    </w:p>
    <w:p w14:paraId="7A51BAE0" w14:textId="77777777" w:rsidR="00615BDD" w:rsidRPr="007D1918" w:rsidRDefault="00615BDD" w:rsidP="00615BDD">
      <w:pPr>
        <w:widowControl w:val="0"/>
        <w:shd w:val="clear" w:color="auto" w:fill="FDE9D9"/>
        <w:autoSpaceDE w:val="0"/>
        <w:autoSpaceDN w:val="0"/>
        <w:adjustRightInd w:val="0"/>
        <w:spacing w:after="120"/>
        <w:ind w:right="86"/>
        <w:rPr>
          <w:rFonts w:eastAsia="Arial Narrow" w:cs="Calibri"/>
          <w:b/>
          <w:bCs/>
          <w:sz w:val="18"/>
          <w:szCs w:val="18"/>
          <w:lang w:val="en-US" w:eastAsia="en-US"/>
        </w:rPr>
      </w:pPr>
      <w:r w:rsidRPr="007D1918">
        <w:rPr>
          <w:rFonts w:eastAsia="Arial Narrow" w:cs="Calibri"/>
          <w:b/>
          <w:bCs/>
          <w:sz w:val="18"/>
          <w:szCs w:val="18"/>
          <w:lang w:val="en-US" w:eastAsia="en-US"/>
        </w:rPr>
        <w:t>Initial Qualifying Criteria:</w:t>
      </w:r>
    </w:p>
    <w:p w14:paraId="2C7B2048" w14:textId="77777777" w:rsidR="00615BDD" w:rsidRPr="007D1918" w:rsidRDefault="00615BDD" w:rsidP="00615BDD">
      <w:pPr>
        <w:widowControl w:val="0"/>
        <w:shd w:val="clear" w:color="auto" w:fill="FDE9D9"/>
        <w:autoSpaceDE w:val="0"/>
        <w:autoSpaceDN w:val="0"/>
        <w:adjustRightInd w:val="0"/>
        <w:spacing w:after="120"/>
        <w:ind w:right="86"/>
        <w:rPr>
          <w:rFonts w:eastAsia="Arial Narrow" w:cs="Calibri"/>
          <w:sz w:val="18"/>
          <w:szCs w:val="18"/>
          <w:lang w:val="en-US" w:eastAsia="en-US"/>
        </w:rPr>
      </w:pPr>
      <w:r w:rsidRPr="007D1918">
        <w:rPr>
          <w:rFonts w:eastAsia="Arial Narrow" w:cs="Calibri"/>
          <w:sz w:val="18"/>
          <w:szCs w:val="18"/>
          <w:lang w:val="en-US" w:eastAsia="en-US"/>
        </w:rPr>
        <w:t>Myasthenic crisis with respiratory insufficiency requiring intubation and assisted ventilation.</w:t>
      </w:r>
    </w:p>
    <w:p w14:paraId="0A923C35" w14:textId="77777777" w:rsidR="00615BDD" w:rsidRPr="007D1918" w:rsidRDefault="00615BDD" w:rsidP="00615BDD">
      <w:pPr>
        <w:widowControl w:val="0"/>
        <w:shd w:val="clear" w:color="auto" w:fill="FDE9D9"/>
        <w:autoSpaceDE w:val="0"/>
        <w:autoSpaceDN w:val="0"/>
        <w:adjustRightInd w:val="0"/>
        <w:spacing w:after="120"/>
        <w:ind w:right="86"/>
        <w:jc w:val="center"/>
        <w:rPr>
          <w:rFonts w:eastAsia="Arial Narrow" w:cs="Calibri"/>
          <w:sz w:val="18"/>
          <w:szCs w:val="18"/>
          <w:lang w:val="en-US" w:eastAsia="en-US"/>
        </w:rPr>
      </w:pPr>
      <w:r w:rsidRPr="007D1918">
        <w:rPr>
          <w:rFonts w:eastAsia="Arial Narrow" w:cs="Calibri"/>
          <w:sz w:val="18"/>
          <w:szCs w:val="18"/>
          <w:lang w:val="en-US" w:eastAsia="en-US"/>
        </w:rPr>
        <w:t>OR</w:t>
      </w:r>
    </w:p>
    <w:p w14:paraId="271C6CC3" w14:textId="77777777" w:rsidR="00615BDD" w:rsidRPr="007D1918" w:rsidRDefault="00615BDD" w:rsidP="00615BDD">
      <w:pPr>
        <w:widowControl w:val="0"/>
        <w:shd w:val="clear" w:color="auto" w:fill="FDE9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Patient at risk of myasthenic crisis displaying symptoms of respiratory insufficiency such as persistent difficulty with speech, difficulty chewing or swallowing and/or shortness of breath on minimal activity.</w:t>
      </w:r>
    </w:p>
    <w:p w14:paraId="08852E77" w14:textId="77777777" w:rsidR="00615BDD" w:rsidRPr="007D1918" w:rsidRDefault="00615BDD" w:rsidP="00615BDD">
      <w:pPr>
        <w:widowControl w:val="0"/>
        <w:shd w:val="clear" w:color="auto" w:fill="FDE9D9"/>
        <w:autoSpaceDE w:val="0"/>
        <w:autoSpaceDN w:val="0"/>
        <w:adjustRightInd w:val="0"/>
        <w:spacing w:before="120" w:after="120"/>
        <w:ind w:right="86"/>
        <w:rPr>
          <w:rFonts w:eastAsia="Arial Narrow" w:cs="Calibri"/>
          <w:b/>
          <w:bCs/>
          <w:sz w:val="18"/>
          <w:szCs w:val="18"/>
          <w:lang w:val="en-US" w:eastAsia="en-US"/>
        </w:rPr>
      </w:pPr>
      <w:r w:rsidRPr="007D1918">
        <w:rPr>
          <w:rFonts w:eastAsia="Arial Narrow" w:cs="Calibri"/>
          <w:b/>
          <w:bCs/>
          <w:sz w:val="18"/>
          <w:szCs w:val="18"/>
          <w:lang w:val="en-US" w:eastAsia="en-US"/>
        </w:rPr>
        <w:t>AND</w:t>
      </w:r>
    </w:p>
    <w:p w14:paraId="7854327D" w14:textId="77777777" w:rsidR="00615BDD" w:rsidRPr="007D1918" w:rsidRDefault="00615BDD" w:rsidP="00615BDD">
      <w:pPr>
        <w:widowControl w:val="0"/>
        <w:shd w:val="clear" w:color="auto" w:fill="FDE9D9"/>
        <w:autoSpaceDE w:val="0"/>
        <w:autoSpaceDN w:val="0"/>
        <w:adjustRightInd w:val="0"/>
        <w:ind w:right="86"/>
        <w:rPr>
          <w:rFonts w:eastAsia="Arial Narrow" w:cs="Calibri"/>
          <w:sz w:val="18"/>
          <w:szCs w:val="18"/>
          <w:lang w:val="en-US" w:eastAsia="en-US"/>
        </w:rPr>
      </w:pPr>
      <w:r w:rsidRPr="007D1918">
        <w:rPr>
          <w:rFonts w:eastAsia="Arial Narrow" w:cs="Calibri"/>
          <w:sz w:val="18"/>
          <w:szCs w:val="18"/>
          <w:lang w:val="en-US" w:eastAsia="en-US"/>
        </w:rPr>
        <w:t>Clinical assessment confirms severe disability as measured by a Myasthenia Gravis Composite (MGC) score of at least four points.</w:t>
      </w:r>
    </w:p>
    <w:p w14:paraId="5121EC81" w14:textId="77777777" w:rsidR="00615BDD" w:rsidRPr="007D1918" w:rsidRDefault="00615BDD" w:rsidP="00615BDD">
      <w:pPr>
        <w:widowControl w:val="0"/>
        <w:shd w:val="clear" w:color="auto" w:fill="EAF1DD"/>
        <w:autoSpaceDE w:val="0"/>
        <w:autoSpaceDN w:val="0"/>
        <w:adjustRightInd w:val="0"/>
        <w:spacing w:after="120"/>
        <w:ind w:right="86"/>
        <w:rPr>
          <w:rFonts w:eastAsia="Arial Narrow" w:cs="Calibri"/>
          <w:b/>
          <w:bCs/>
          <w:sz w:val="18"/>
          <w:szCs w:val="18"/>
          <w:u w:val="single"/>
          <w:lang w:val="en-US" w:eastAsia="en-US"/>
        </w:rPr>
      </w:pPr>
      <w:r w:rsidRPr="007D1918">
        <w:rPr>
          <w:rFonts w:eastAsia="Arial Narrow" w:cs="Calibri"/>
          <w:b/>
          <w:bCs/>
          <w:sz w:val="18"/>
          <w:szCs w:val="18"/>
          <w:u w:val="single"/>
          <w:lang w:val="en-US" w:eastAsia="en-US"/>
        </w:rPr>
        <w:t>Indication 2: MG prior to surgery and/or thymectomy in patients with advanced disease, bulbar symptoms or respiratory involvement, as an alternative treatment to plasma exchange</w:t>
      </w:r>
    </w:p>
    <w:p w14:paraId="1D7AFDE3" w14:textId="77777777" w:rsidR="00615BDD" w:rsidRPr="007D1918" w:rsidRDefault="00615BDD" w:rsidP="00615BDD">
      <w:pPr>
        <w:widowControl w:val="0"/>
        <w:shd w:val="clear" w:color="auto" w:fill="EAF1DD"/>
        <w:autoSpaceDE w:val="0"/>
        <w:autoSpaceDN w:val="0"/>
        <w:adjustRightInd w:val="0"/>
        <w:spacing w:after="120"/>
        <w:ind w:right="86"/>
        <w:rPr>
          <w:rFonts w:eastAsia="Arial Narrow" w:cs="Calibri"/>
          <w:b/>
          <w:bCs/>
          <w:sz w:val="18"/>
          <w:szCs w:val="18"/>
          <w:lang w:val="en-US" w:eastAsia="en-US"/>
        </w:rPr>
      </w:pPr>
      <w:r w:rsidRPr="007D1918">
        <w:rPr>
          <w:rFonts w:eastAsia="Arial Narrow" w:cs="Calibri"/>
          <w:b/>
          <w:bCs/>
          <w:sz w:val="18"/>
          <w:szCs w:val="18"/>
          <w:lang w:val="en-US" w:eastAsia="en-US"/>
        </w:rPr>
        <w:t>Initial Qualifying Criteria:</w:t>
      </w:r>
    </w:p>
    <w:p w14:paraId="126AABF5" w14:textId="77777777" w:rsidR="00615BDD" w:rsidRPr="007D1918" w:rsidRDefault="00615BDD" w:rsidP="00615BDD">
      <w:pPr>
        <w:widowControl w:val="0"/>
        <w:shd w:val="clear" w:color="auto" w:fill="EAF1DD"/>
        <w:autoSpaceDE w:val="0"/>
        <w:autoSpaceDN w:val="0"/>
        <w:adjustRightInd w:val="0"/>
        <w:spacing w:after="120"/>
        <w:ind w:right="86"/>
        <w:rPr>
          <w:rFonts w:eastAsia="Arial Narrow" w:cs="Calibri"/>
          <w:sz w:val="18"/>
          <w:szCs w:val="18"/>
          <w:lang w:val="en-US" w:eastAsia="en-US"/>
        </w:rPr>
      </w:pPr>
      <w:r w:rsidRPr="007D1918">
        <w:rPr>
          <w:rFonts w:eastAsia="Arial Narrow" w:cs="Calibri"/>
          <w:sz w:val="18"/>
          <w:szCs w:val="18"/>
          <w:lang w:val="en-US" w:eastAsia="en-US"/>
        </w:rPr>
        <w:t>Surgery is planned.</w:t>
      </w:r>
    </w:p>
    <w:p w14:paraId="21539C37" w14:textId="77777777" w:rsidR="00615BDD" w:rsidRPr="007D1918" w:rsidRDefault="00615BDD" w:rsidP="00615BDD">
      <w:pPr>
        <w:widowControl w:val="0"/>
        <w:shd w:val="clear" w:color="auto" w:fill="EAF1DD"/>
        <w:autoSpaceDE w:val="0"/>
        <w:autoSpaceDN w:val="0"/>
        <w:adjustRightInd w:val="0"/>
        <w:spacing w:after="120"/>
        <w:ind w:right="86"/>
        <w:rPr>
          <w:rFonts w:eastAsia="Arial Narrow" w:cs="Calibri"/>
          <w:b/>
          <w:bCs/>
          <w:sz w:val="18"/>
          <w:szCs w:val="18"/>
          <w:lang w:val="en-US" w:eastAsia="en-US"/>
        </w:rPr>
      </w:pPr>
      <w:r w:rsidRPr="007D1918">
        <w:rPr>
          <w:rFonts w:eastAsia="Arial Narrow" w:cs="Calibri"/>
          <w:b/>
          <w:bCs/>
          <w:sz w:val="18"/>
          <w:szCs w:val="18"/>
          <w:lang w:val="en-US" w:eastAsia="en-US"/>
        </w:rPr>
        <w:t>AND</w:t>
      </w:r>
    </w:p>
    <w:p w14:paraId="1F9CA507" w14:textId="77777777" w:rsidR="00615BDD" w:rsidRPr="007D1918" w:rsidRDefault="00615BDD" w:rsidP="00615BDD">
      <w:pPr>
        <w:widowControl w:val="0"/>
        <w:shd w:val="clear" w:color="auto" w:fill="EAF1DD"/>
        <w:autoSpaceDE w:val="0"/>
        <w:autoSpaceDN w:val="0"/>
        <w:adjustRightInd w:val="0"/>
        <w:ind w:right="86"/>
        <w:rPr>
          <w:rFonts w:eastAsia="Arial Narrow" w:cs="Calibri"/>
          <w:sz w:val="18"/>
          <w:szCs w:val="18"/>
          <w:lang w:val="en-US" w:eastAsia="en-US"/>
        </w:rPr>
      </w:pPr>
      <w:r w:rsidRPr="007D1918">
        <w:rPr>
          <w:rFonts w:eastAsia="Arial Narrow" w:cs="Calibri"/>
          <w:sz w:val="18"/>
          <w:szCs w:val="18"/>
          <w:lang w:val="en-US" w:eastAsia="en-US"/>
        </w:rPr>
        <w:t>The patient has advanced MG disease, bulbar symptoms and/or respiratory involvement.</w:t>
      </w:r>
    </w:p>
    <w:p w14:paraId="5773B61D" w14:textId="77777777" w:rsidR="00615BDD" w:rsidRPr="007D1918" w:rsidRDefault="00615BDD" w:rsidP="00615BDD">
      <w:pPr>
        <w:widowControl w:val="0"/>
        <w:shd w:val="clear" w:color="auto" w:fill="F2DBDB"/>
        <w:autoSpaceDE w:val="0"/>
        <w:autoSpaceDN w:val="0"/>
        <w:adjustRightInd w:val="0"/>
        <w:spacing w:after="120"/>
        <w:ind w:right="86"/>
        <w:rPr>
          <w:rFonts w:eastAsia="Arial Narrow" w:cs="Calibri"/>
          <w:b/>
          <w:bCs/>
          <w:sz w:val="18"/>
          <w:szCs w:val="18"/>
          <w:u w:val="single"/>
          <w:lang w:val="en-US" w:eastAsia="en-US"/>
        </w:rPr>
      </w:pPr>
      <w:r w:rsidRPr="007D1918">
        <w:rPr>
          <w:rFonts w:eastAsia="Arial Narrow" w:cs="Calibri"/>
          <w:b/>
          <w:bCs/>
          <w:sz w:val="18"/>
          <w:szCs w:val="18"/>
          <w:u w:val="single"/>
          <w:lang w:val="en-US" w:eastAsia="en-US"/>
        </w:rPr>
        <w:t>Indication 3: As maintenance therapy for moderate to severe MG when other treatments have been ineffective or caused intolerable side effects.</w:t>
      </w:r>
    </w:p>
    <w:p w14:paraId="0D1E55B3" w14:textId="77777777" w:rsidR="00615BDD" w:rsidRPr="007D1918" w:rsidRDefault="00615BDD" w:rsidP="00615BDD">
      <w:pPr>
        <w:widowControl w:val="0"/>
        <w:shd w:val="clear" w:color="auto" w:fill="F2DBDB"/>
        <w:autoSpaceDE w:val="0"/>
        <w:autoSpaceDN w:val="0"/>
        <w:adjustRightInd w:val="0"/>
        <w:spacing w:after="120"/>
        <w:ind w:right="86"/>
        <w:rPr>
          <w:rFonts w:eastAsia="Arial Narrow" w:cs="Calibri"/>
          <w:b/>
          <w:bCs/>
          <w:sz w:val="18"/>
          <w:szCs w:val="18"/>
          <w:lang w:val="en-US" w:eastAsia="en-US"/>
        </w:rPr>
      </w:pPr>
      <w:r w:rsidRPr="007D1918">
        <w:rPr>
          <w:rFonts w:eastAsia="Arial Narrow" w:cs="Calibri"/>
          <w:b/>
          <w:bCs/>
          <w:sz w:val="18"/>
          <w:szCs w:val="18"/>
          <w:lang w:val="en-US" w:eastAsia="en-US"/>
        </w:rPr>
        <w:t>Initial Qualifying Criteria:</w:t>
      </w:r>
    </w:p>
    <w:p w14:paraId="5FCA5B5D" w14:textId="77777777" w:rsidR="00615BDD" w:rsidRPr="007D1918" w:rsidRDefault="00615BDD" w:rsidP="00615BDD">
      <w:pPr>
        <w:widowControl w:val="0"/>
        <w:shd w:val="clear" w:color="auto" w:fill="F2DBDB"/>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 xml:space="preserve">The patient has moderate to severe MG as assessed by a </w:t>
      </w:r>
      <w:hyperlink r:id="rId75" w:history="1">
        <w:r w:rsidRPr="007D1918">
          <w:rPr>
            <w:rFonts w:eastAsia="Arial Narrow" w:cs="Calibri"/>
            <w:color w:val="0000FF"/>
            <w:sz w:val="18"/>
            <w:szCs w:val="18"/>
            <w:u w:val="single"/>
            <w:lang w:val="en-US" w:eastAsia="en-US"/>
          </w:rPr>
          <w:t>Myasthenia Gravis Composite (MGC)</w:t>
        </w:r>
      </w:hyperlink>
      <w:r w:rsidRPr="007D1918">
        <w:rPr>
          <w:rFonts w:eastAsia="Arial Narrow" w:cs="Calibri"/>
          <w:sz w:val="18"/>
          <w:szCs w:val="18"/>
          <w:lang w:val="en-US" w:eastAsia="en-US"/>
        </w:rPr>
        <w:t xml:space="preserve"> score of at least four points.</w:t>
      </w:r>
    </w:p>
    <w:p w14:paraId="711FE67C" w14:textId="77777777" w:rsidR="00615BDD" w:rsidRPr="007D1918" w:rsidRDefault="00615BDD" w:rsidP="00615BDD">
      <w:pPr>
        <w:widowControl w:val="0"/>
        <w:shd w:val="clear" w:color="auto" w:fill="F2DBDB"/>
        <w:autoSpaceDE w:val="0"/>
        <w:autoSpaceDN w:val="0"/>
        <w:adjustRightInd w:val="0"/>
        <w:spacing w:before="120" w:after="120"/>
        <w:ind w:right="86"/>
        <w:rPr>
          <w:rFonts w:eastAsia="Arial Narrow" w:cs="Calibri"/>
          <w:b/>
          <w:bCs/>
          <w:sz w:val="18"/>
          <w:szCs w:val="18"/>
          <w:lang w:val="en-US" w:eastAsia="en-US"/>
        </w:rPr>
      </w:pPr>
      <w:r w:rsidRPr="007D1918">
        <w:rPr>
          <w:rFonts w:eastAsia="Arial Narrow" w:cs="Calibri"/>
          <w:b/>
          <w:bCs/>
          <w:sz w:val="18"/>
          <w:szCs w:val="18"/>
          <w:lang w:val="en-US" w:eastAsia="en-US"/>
        </w:rPr>
        <w:t>AND</w:t>
      </w:r>
    </w:p>
    <w:p w14:paraId="6FDA0BDE" w14:textId="77777777" w:rsidR="00615BDD" w:rsidRPr="007D1918" w:rsidRDefault="00615BDD" w:rsidP="00615BDD">
      <w:pPr>
        <w:widowControl w:val="0"/>
        <w:shd w:val="clear" w:color="auto" w:fill="F2DBDB"/>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At least two other treatments are ineffective, are contraindicated, unavailable or caused intolerable side effects.</w:t>
      </w:r>
    </w:p>
    <w:p w14:paraId="1B064859" w14:textId="77777777" w:rsidR="00615BDD" w:rsidRPr="007D1918" w:rsidRDefault="00615BDD" w:rsidP="00615BDD">
      <w:pPr>
        <w:widowControl w:val="0"/>
        <w:shd w:val="clear" w:color="auto" w:fill="F2DBDB"/>
        <w:autoSpaceDE w:val="0"/>
        <w:autoSpaceDN w:val="0"/>
        <w:adjustRightInd w:val="0"/>
        <w:spacing w:before="120" w:after="120"/>
        <w:ind w:right="86"/>
        <w:rPr>
          <w:rFonts w:eastAsia="Arial Narrow" w:cs="Calibri"/>
          <w:b/>
          <w:bCs/>
          <w:sz w:val="18"/>
          <w:szCs w:val="18"/>
          <w:lang w:val="en-US" w:eastAsia="en-US"/>
        </w:rPr>
      </w:pPr>
      <w:r w:rsidRPr="007D1918">
        <w:rPr>
          <w:rFonts w:eastAsia="Arial Narrow" w:cs="Calibri"/>
          <w:b/>
          <w:bCs/>
          <w:sz w:val="18"/>
          <w:szCs w:val="18"/>
          <w:lang w:val="en-US" w:eastAsia="en-US"/>
        </w:rPr>
        <w:t>Qualifying postscript</w:t>
      </w:r>
    </w:p>
    <w:p w14:paraId="5B124C2E" w14:textId="77777777" w:rsidR="00615BDD" w:rsidRPr="007D1918" w:rsidRDefault="00615BDD" w:rsidP="00615BDD">
      <w:pPr>
        <w:widowControl w:val="0"/>
        <w:shd w:val="clear" w:color="auto" w:fill="F2DBDB"/>
        <w:autoSpaceDE w:val="0"/>
        <w:autoSpaceDN w:val="0"/>
        <w:adjustRightInd w:val="0"/>
        <w:spacing w:after="120"/>
        <w:ind w:right="86"/>
        <w:rPr>
          <w:rFonts w:eastAsia="Arial Narrow" w:cs="Calibri"/>
          <w:i/>
          <w:iCs/>
          <w:sz w:val="18"/>
          <w:szCs w:val="18"/>
          <w:lang w:val="en-US" w:eastAsia="en-US"/>
        </w:rPr>
      </w:pPr>
      <w:r w:rsidRPr="007D1918">
        <w:rPr>
          <w:rFonts w:eastAsia="Arial Narrow" w:cs="Calibri"/>
          <w:sz w:val="18"/>
          <w:szCs w:val="18"/>
          <w:lang w:val="en-US" w:eastAsia="en-US"/>
        </w:rPr>
        <w:t>IVIg should be regarded as a stopgap treatment while using short-term drugs such as pyridostigmine and while introducing effective immunotherapy</w:t>
      </w:r>
      <w:r w:rsidRPr="007D1918">
        <w:rPr>
          <w:rFonts w:eastAsia="Arial Narrow" w:cs="Calibri"/>
          <w:i/>
          <w:iCs/>
          <w:sz w:val="18"/>
          <w:szCs w:val="18"/>
          <w:lang w:val="en-US" w:eastAsia="en-US"/>
        </w:rPr>
        <w:t>.</w:t>
      </w:r>
    </w:p>
    <w:p w14:paraId="68017659" w14:textId="77777777" w:rsidR="00615BDD" w:rsidRPr="007D1918" w:rsidRDefault="00615BDD" w:rsidP="00615BDD">
      <w:pPr>
        <w:widowControl w:val="0"/>
        <w:shd w:val="clear" w:color="auto" w:fill="F2DBDB"/>
        <w:autoSpaceDE w:val="0"/>
        <w:autoSpaceDN w:val="0"/>
        <w:adjustRightInd w:val="0"/>
        <w:spacing w:after="120"/>
        <w:ind w:right="86"/>
        <w:rPr>
          <w:rFonts w:eastAsia="Arial Narrow" w:cs="Calibri"/>
          <w:sz w:val="18"/>
          <w:szCs w:val="18"/>
          <w:lang w:val="en-US" w:eastAsia="en-US"/>
        </w:rPr>
      </w:pPr>
      <w:r w:rsidRPr="007D1918">
        <w:rPr>
          <w:rFonts w:eastAsia="Arial Narrow" w:cs="Calibri"/>
          <w:sz w:val="18"/>
          <w:szCs w:val="18"/>
          <w:lang w:val="en-US" w:eastAsia="en-US"/>
        </w:rPr>
        <w:t>IVIg should be used for four months (induction plus three maintenance cycles) before determining whether the patient has responded. If there is no benefit after this treatment, IVIg therapy should be abandoned.</w:t>
      </w:r>
    </w:p>
    <w:p w14:paraId="1B2614EB" w14:textId="77777777" w:rsidR="00615BDD" w:rsidRPr="007D1918" w:rsidRDefault="00615BDD" w:rsidP="00615BDD">
      <w:pPr>
        <w:widowControl w:val="0"/>
        <w:shd w:val="clear" w:color="auto" w:fill="F2DBDB"/>
        <w:autoSpaceDE w:val="0"/>
        <w:autoSpaceDN w:val="0"/>
        <w:adjustRightInd w:val="0"/>
        <w:spacing w:after="120"/>
        <w:ind w:right="86"/>
        <w:rPr>
          <w:rFonts w:eastAsia="Arial Narrow" w:cs="Calibri"/>
          <w:sz w:val="18"/>
          <w:szCs w:val="18"/>
          <w:lang w:val="en-US" w:eastAsia="en-US"/>
        </w:rPr>
      </w:pPr>
      <w:r w:rsidRPr="007D1918">
        <w:rPr>
          <w:rFonts w:eastAsia="Arial Narrow" w:cs="Calibri"/>
          <w:sz w:val="18"/>
          <w:szCs w:val="18"/>
          <w:lang w:val="en-US" w:eastAsia="en-US"/>
        </w:rPr>
        <w:t xml:space="preserve">Review by a neurologist is required within four months and annually thereafter. </w:t>
      </w:r>
    </w:p>
    <w:p w14:paraId="1EFD3405" w14:textId="77777777" w:rsidR="00615BDD" w:rsidRPr="007D1918" w:rsidRDefault="00615BDD" w:rsidP="00615BDD">
      <w:pPr>
        <w:widowControl w:val="0"/>
        <w:shd w:val="clear" w:color="auto" w:fill="F2DBDB"/>
        <w:autoSpaceDE w:val="0"/>
        <w:autoSpaceDN w:val="0"/>
        <w:adjustRightInd w:val="0"/>
        <w:spacing w:after="120"/>
        <w:ind w:right="86"/>
        <w:rPr>
          <w:rFonts w:eastAsia="Arial Narrow" w:cs="Calibri"/>
          <w:sz w:val="18"/>
          <w:szCs w:val="18"/>
          <w:lang w:val="en-US" w:eastAsia="en-US"/>
        </w:rPr>
      </w:pPr>
      <w:r w:rsidRPr="007D1918">
        <w:rPr>
          <w:rFonts w:eastAsia="Arial Narrow" w:cs="Calibri"/>
          <w:sz w:val="18"/>
          <w:szCs w:val="18"/>
          <w:lang w:val="en-US" w:eastAsia="en-US"/>
        </w:rPr>
        <w:t>Documentation of clinical effectiveness is necessary for continuation of IVIg therapy.</w:t>
      </w:r>
    </w:p>
    <w:p w14:paraId="72C16394" w14:textId="48FBB370" w:rsidR="00615BDD" w:rsidRPr="007D1918" w:rsidRDefault="00615BDD" w:rsidP="00615BDD">
      <w:pPr>
        <w:widowControl w:val="0"/>
        <w:shd w:val="clear" w:color="auto" w:fill="FFFFFF"/>
        <w:autoSpaceDE w:val="0"/>
        <w:autoSpaceDN w:val="0"/>
        <w:adjustRightInd w:val="0"/>
        <w:spacing w:before="240"/>
        <w:ind w:right="86"/>
        <w:rPr>
          <w:rFonts w:ascii="Arial Narrow" w:eastAsia="Arial Narrow" w:hAnsi="Arial Narrow" w:cs="Calibri"/>
          <w:sz w:val="18"/>
          <w:szCs w:val="18"/>
          <w:lang w:val="en-US" w:eastAsia="en-US"/>
        </w:rPr>
      </w:pPr>
      <w:r w:rsidRPr="007D1918">
        <w:rPr>
          <w:rFonts w:ascii="Arial Narrow" w:eastAsia="Arial Narrow" w:hAnsi="Arial Narrow" w:cs="Calibri"/>
          <w:sz w:val="18"/>
          <w:szCs w:val="18"/>
          <w:lang w:val="en-US" w:eastAsia="en-US"/>
        </w:rPr>
        <w:t xml:space="preserve">Source: National Blood Authority </w:t>
      </w:r>
      <w:r w:rsidRPr="007D1918">
        <w:rPr>
          <w:rFonts w:ascii="Arial Narrow" w:eastAsia="Arial Narrow" w:hAnsi="Arial Narrow" w:cs="Calibri"/>
          <w:sz w:val="18"/>
          <w:szCs w:val="18"/>
          <w:lang w:val="en-US" w:eastAsia="en-US"/>
        </w:rPr>
        <w:fldChar w:fldCharType="begin"/>
      </w:r>
      <w:r w:rsidR="00995E14" w:rsidRPr="007D1918">
        <w:rPr>
          <w:rFonts w:ascii="Arial Narrow" w:eastAsia="Arial Narrow" w:hAnsi="Arial Narrow" w:cs="Calibri"/>
          <w:sz w:val="18"/>
          <w:szCs w:val="18"/>
          <w:lang w:val="en-US" w:eastAsia="en-US"/>
        </w:rPr>
        <w:instrText xml:space="preserve"> ADDIN EN.CITE &lt;EndNote&gt;&lt;Cite&gt;&lt;Author&gt;National Blood Authority&lt;/Author&gt;&lt;Year&gt;2018&lt;/Year&gt;&lt;RecNum&gt;2&lt;/RecNum&gt;&lt;DisplayText&gt;(National Blood Authority, . 2018)&lt;/DisplayText&gt;&lt;record&gt;&lt;rec-number&gt;2&lt;/rec-number&gt;&lt;foreign-keys&gt;&lt;key app="EN" db-id="vex0tx9ritwr5tett205fw0dv0aafrwx9apd" timestamp="1547692164"&gt;2&lt;/key&gt;&lt;/foreign-keys&gt;&lt;ref-type name="Web Page"&gt;12&lt;/ref-type&gt;&lt;contributors&gt;&lt;authors&gt;&lt;author&gt;National Blood Authority,.&lt;/author&gt;&lt;/authors&gt;&lt;/contributors&gt;&lt;titles&gt;&lt;title&gt;Criteria for the clinical use of immunoglobulin in Australia v3.0.1&lt;/title&gt;&lt;/titles&gt;&lt;volume&gt;2018&lt;/volume&gt;&lt;number&gt;16 Jan&lt;/number&gt;&lt;dates&gt;&lt;year&gt;2018&lt;/year&gt;&lt;/dates&gt;&lt;publisher&gt;National Blood Authority&lt;/publisher&gt;&lt;urls&gt;&lt;related-urls&gt;&lt;url&gt;&lt;style face="underline" font="default" size="100%"&gt;https://www.criteria.blood.gov.au/MedicalCondition/View/2549&lt;/style&gt;&lt;/url&gt;&lt;/related-urls&gt;&lt;/urls&gt;&lt;/record&gt;&lt;/Cite&gt;&lt;/EndNote&gt;</w:instrText>
      </w:r>
      <w:r w:rsidRPr="007D1918">
        <w:rPr>
          <w:rFonts w:ascii="Arial Narrow" w:eastAsia="Arial Narrow" w:hAnsi="Arial Narrow" w:cs="Calibri"/>
          <w:sz w:val="18"/>
          <w:szCs w:val="18"/>
          <w:lang w:val="en-US" w:eastAsia="en-US"/>
        </w:rPr>
        <w:fldChar w:fldCharType="separate"/>
      </w:r>
      <w:r w:rsidR="00995E14" w:rsidRPr="007D1918">
        <w:rPr>
          <w:rFonts w:ascii="Arial Narrow" w:eastAsia="Arial Narrow" w:hAnsi="Arial Narrow" w:cs="Calibri"/>
          <w:noProof/>
          <w:sz w:val="18"/>
          <w:szCs w:val="18"/>
          <w:lang w:val="en-US" w:eastAsia="en-US"/>
        </w:rPr>
        <w:t>(</w:t>
      </w:r>
      <w:hyperlink w:anchor="_ENREF_71" w:tooltip="National Blood Authority, 2018 #2" w:history="1">
        <w:r w:rsidR="007D4948" w:rsidRPr="007D1918">
          <w:rPr>
            <w:rFonts w:ascii="Arial Narrow" w:eastAsia="Arial Narrow" w:hAnsi="Arial Narrow" w:cs="Calibri"/>
            <w:noProof/>
            <w:sz w:val="18"/>
            <w:szCs w:val="18"/>
            <w:lang w:val="en-US" w:eastAsia="en-US"/>
          </w:rPr>
          <w:t>National Blood Authority, . 2018</w:t>
        </w:r>
      </w:hyperlink>
      <w:r w:rsidR="00995E14" w:rsidRPr="007D1918">
        <w:rPr>
          <w:rFonts w:ascii="Arial Narrow" w:eastAsia="Arial Narrow" w:hAnsi="Arial Narrow" w:cs="Calibri"/>
          <w:noProof/>
          <w:sz w:val="18"/>
          <w:szCs w:val="18"/>
          <w:lang w:val="en-US" w:eastAsia="en-US"/>
        </w:rPr>
        <w:t>)</w:t>
      </w:r>
      <w:r w:rsidRPr="007D1918">
        <w:rPr>
          <w:rFonts w:ascii="Arial Narrow" w:eastAsia="Arial Narrow" w:hAnsi="Arial Narrow" w:cs="Calibri"/>
          <w:sz w:val="18"/>
          <w:szCs w:val="18"/>
          <w:lang w:val="en-US" w:eastAsia="en-US"/>
        </w:rPr>
        <w:fldChar w:fldCharType="end"/>
      </w:r>
    </w:p>
    <w:p w14:paraId="4E17AC97" w14:textId="77777777" w:rsidR="00773DFA" w:rsidRPr="007D1918" w:rsidRDefault="00773DFA" w:rsidP="00615BDD">
      <w:pPr>
        <w:widowControl w:val="0"/>
        <w:shd w:val="clear" w:color="auto" w:fill="FFFFFF"/>
        <w:autoSpaceDE w:val="0"/>
        <w:autoSpaceDN w:val="0"/>
        <w:adjustRightInd w:val="0"/>
        <w:spacing w:before="240"/>
        <w:ind w:right="86"/>
        <w:rPr>
          <w:rFonts w:ascii="Arial Narrow" w:eastAsia="Arial Narrow" w:hAnsi="Arial Narrow" w:cs="Calibri"/>
          <w:sz w:val="18"/>
          <w:szCs w:val="18"/>
          <w:lang w:val="en-US" w:eastAsia="en-US"/>
        </w:rPr>
      </w:pPr>
    </w:p>
    <w:p w14:paraId="001614B6" w14:textId="5B9FEFCA" w:rsidR="00615BDD" w:rsidRPr="007D1918" w:rsidRDefault="00816750" w:rsidP="00773DFA">
      <w:pPr>
        <w:widowControl w:val="0"/>
        <w:shd w:val="clear" w:color="auto" w:fill="FFFFFF"/>
        <w:autoSpaceDE w:val="0"/>
        <w:autoSpaceDN w:val="0"/>
        <w:adjustRightInd w:val="0"/>
        <w:spacing w:before="240"/>
        <w:ind w:right="86"/>
        <w:jc w:val="both"/>
        <w:rPr>
          <w:rFonts w:eastAsia="Arial Narrow" w:cs="Calibri"/>
          <w:lang w:val="en-US" w:eastAsia="en-US"/>
        </w:rPr>
      </w:pPr>
      <w:r w:rsidRPr="007D1918">
        <w:rPr>
          <w:rFonts w:eastAsia="Arial Narrow" w:cs="Calibri"/>
          <w:lang w:val="en-US" w:eastAsia="en-US"/>
        </w:rPr>
        <w:lastRenderedPageBreak/>
        <w:t>For I</w:t>
      </w:r>
      <w:r w:rsidR="00615BDD" w:rsidRPr="007D1918">
        <w:rPr>
          <w:rFonts w:eastAsia="Arial Narrow" w:cs="Calibri"/>
          <w:lang w:val="en-US" w:eastAsia="en-US"/>
        </w:rPr>
        <w:t xml:space="preserve">ndications 1 and 3, a clinical assessment must confirm a moderate to severe disability using the Myasthenia Gravis Composite (MGC) score, of at least four points. The MGC score is calculated from a 10 question clinical assessment questionnaire (seen in Appendix A). </w:t>
      </w:r>
    </w:p>
    <w:p w14:paraId="6A254BFA" w14:textId="77777777" w:rsidR="00615BDD" w:rsidRPr="007D1918" w:rsidRDefault="00615BDD" w:rsidP="00773DFA">
      <w:pPr>
        <w:widowControl w:val="0"/>
        <w:autoSpaceDE w:val="0"/>
        <w:autoSpaceDN w:val="0"/>
        <w:adjustRightInd w:val="0"/>
        <w:spacing w:after="0"/>
        <w:ind w:right="86"/>
        <w:jc w:val="both"/>
        <w:rPr>
          <w:rFonts w:eastAsia="Arial Narrow" w:cs="Calibri"/>
          <w:lang w:val="en-US" w:eastAsia="en-US"/>
        </w:rPr>
      </w:pPr>
      <w:r w:rsidRPr="007D1918">
        <w:rPr>
          <w:rFonts w:eastAsia="Arial Narrow" w:cs="Calibri"/>
          <w:lang w:val="en-US" w:eastAsia="en-US"/>
        </w:rPr>
        <w:t>For access to ongoing Ig treatment for patients using it as maintenance therapy (indication 3), the criteria are listed below.</w:t>
      </w:r>
    </w:p>
    <w:p w14:paraId="74E69CBB" w14:textId="77777777" w:rsidR="00773DFA" w:rsidRPr="007D1918" w:rsidRDefault="00773DFA" w:rsidP="00773DFA">
      <w:pPr>
        <w:widowControl w:val="0"/>
        <w:autoSpaceDE w:val="0"/>
        <w:autoSpaceDN w:val="0"/>
        <w:adjustRightInd w:val="0"/>
        <w:spacing w:after="0"/>
        <w:ind w:right="86"/>
        <w:jc w:val="both"/>
        <w:rPr>
          <w:rFonts w:eastAsia="Arial Narrow" w:cs="Calibri"/>
          <w:lang w:val="en-US" w:eastAsia="en-US"/>
        </w:rPr>
      </w:pPr>
    </w:p>
    <w:p w14:paraId="5C84E5D9" w14:textId="77777777" w:rsidR="00615BDD" w:rsidRPr="007D1918" w:rsidRDefault="00615BDD" w:rsidP="00615BDD">
      <w:pPr>
        <w:widowControl w:val="0"/>
        <w:shd w:val="clear" w:color="auto" w:fill="CCC0D9"/>
        <w:autoSpaceDE w:val="0"/>
        <w:autoSpaceDN w:val="0"/>
        <w:adjustRightInd w:val="0"/>
        <w:spacing w:after="120"/>
        <w:ind w:right="86"/>
        <w:rPr>
          <w:rFonts w:eastAsia="Arial Narrow" w:cs="Calibri"/>
          <w:sz w:val="18"/>
          <w:szCs w:val="18"/>
          <w:u w:val="single"/>
          <w:lang w:val="en-US" w:eastAsia="en-US"/>
        </w:rPr>
      </w:pPr>
      <w:r w:rsidRPr="007D1918">
        <w:rPr>
          <w:rFonts w:eastAsia="Arial Narrow" w:cs="Calibri"/>
          <w:b/>
          <w:bCs/>
          <w:sz w:val="18"/>
          <w:szCs w:val="18"/>
          <w:u w:val="single"/>
          <w:lang w:val="en-US" w:eastAsia="en-US"/>
        </w:rPr>
        <w:t>On review of the initial authorisation period</w:t>
      </w:r>
      <w:r w:rsidRPr="007D1918">
        <w:rPr>
          <w:rFonts w:eastAsia="Arial Narrow" w:cs="Calibri"/>
          <w:sz w:val="18"/>
          <w:szCs w:val="18"/>
          <w:u w:val="single"/>
          <w:lang w:val="en-US" w:eastAsia="en-US"/>
        </w:rPr>
        <w:t xml:space="preserve"> </w:t>
      </w:r>
    </w:p>
    <w:p w14:paraId="7172AACB" w14:textId="77777777" w:rsidR="00615BDD" w:rsidRPr="007D1918" w:rsidRDefault="00615BDD" w:rsidP="00615BDD">
      <w:pPr>
        <w:widowControl w:val="0"/>
        <w:shd w:val="clear" w:color="auto" w:fill="CCC0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 xml:space="preserve">Improvement in fatigability and weakness as measured by a </w:t>
      </w:r>
      <w:hyperlink r:id="rId76" w:history="1">
        <w:r w:rsidRPr="007D1918">
          <w:rPr>
            <w:rFonts w:eastAsia="Arial Narrow" w:cs="Calibri"/>
            <w:color w:val="0000FF"/>
            <w:sz w:val="18"/>
            <w:szCs w:val="18"/>
            <w:u w:val="single"/>
            <w:lang w:val="en-US" w:eastAsia="en-US"/>
          </w:rPr>
          <w:t>Myasthenia Gravis Composite (MGC)</w:t>
        </w:r>
      </w:hyperlink>
      <w:r w:rsidRPr="007D1918">
        <w:rPr>
          <w:rFonts w:eastAsia="Arial Narrow" w:cs="Calibri"/>
          <w:sz w:val="18"/>
          <w:szCs w:val="18"/>
          <w:lang w:val="en-US" w:eastAsia="en-US"/>
        </w:rPr>
        <w:t xml:space="preserve"> score of at least three points less than the qualifying score</w:t>
      </w:r>
    </w:p>
    <w:p w14:paraId="570F1C57" w14:textId="77777777" w:rsidR="00615BDD" w:rsidRPr="007D1918" w:rsidRDefault="00615BDD" w:rsidP="00615BDD">
      <w:pPr>
        <w:widowControl w:val="0"/>
        <w:shd w:val="clear" w:color="auto" w:fill="CCC0D9"/>
        <w:autoSpaceDE w:val="0"/>
        <w:autoSpaceDN w:val="0"/>
        <w:adjustRightInd w:val="0"/>
        <w:spacing w:before="120" w:after="120"/>
        <w:ind w:right="86"/>
        <w:rPr>
          <w:rFonts w:eastAsia="Arial Narrow" w:cs="Calibri"/>
          <w:b/>
          <w:sz w:val="18"/>
          <w:szCs w:val="18"/>
          <w:lang w:val="en-US" w:eastAsia="en-US"/>
        </w:rPr>
      </w:pPr>
      <w:r w:rsidRPr="007D1918">
        <w:rPr>
          <w:rFonts w:eastAsia="Arial Narrow" w:cs="Calibri"/>
          <w:b/>
          <w:sz w:val="18"/>
          <w:szCs w:val="18"/>
          <w:lang w:val="en-US" w:eastAsia="en-US"/>
        </w:rPr>
        <w:t>OR</w:t>
      </w:r>
    </w:p>
    <w:p w14:paraId="79BF1356" w14:textId="77777777" w:rsidR="00615BDD" w:rsidRPr="007D1918" w:rsidRDefault="00615BDD" w:rsidP="00615BDD">
      <w:pPr>
        <w:widowControl w:val="0"/>
        <w:shd w:val="clear" w:color="auto" w:fill="CCC0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The patient with severe disease continues to report improvement in symptoms and disability post infusion, with end-of-cycle deterioration</w:t>
      </w:r>
    </w:p>
    <w:p w14:paraId="3255D35D" w14:textId="77777777" w:rsidR="00615BDD" w:rsidRPr="007D1918" w:rsidRDefault="00615BDD" w:rsidP="00615BDD">
      <w:pPr>
        <w:widowControl w:val="0"/>
        <w:shd w:val="clear" w:color="auto" w:fill="CCC0D9"/>
        <w:autoSpaceDE w:val="0"/>
        <w:autoSpaceDN w:val="0"/>
        <w:adjustRightInd w:val="0"/>
        <w:spacing w:before="120" w:after="120"/>
        <w:ind w:right="86"/>
        <w:rPr>
          <w:rFonts w:eastAsia="Arial Narrow" w:cs="Calibri"/>
          <w:b/>
          <w:sz w:val="18"/>
          <w:szCs w:val="18"/>
          <w:lang w:val="en-US" w:eastAsia="en-US"/>
        </w:rPr>
      </w:pPr>
      <w:r w:rsidRPr="007D1918">
        <w:rPr>
          <w:rFonts w:eastAsia="Arial Narrow" w:cs="Calibri"/>
          <w:b/>
          <w:sz w:val="18"/>
          <w:szCs w:val="18"/>
          <w:lang w:val="en-US" w:eastAsia="en-US"/>
        </w:rPr>
        <w:t>AND</w:t>
      </w:r>
    </w:p>
    <w:p w14:paraId="219A59D9" w14:textId="77777777" w:rsidR="00615BDD" w:rsidRPr="007D1918" w:rsidRDefault="00615BDD" w:rsidP="00615BDD">
      <w:pPr>
        <w:widowControl w:val="0"/>
        <w:shd w:val="clear" w:color="auto" w:fill="CCC0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At least two other treatments are being prescribed concurrently</w:t>
      </w:r>
    </w:p>
    <w:p w14:paraId="3975A31D" w14:textId="77777777" w:rsidR="00615BDD" w:rsidRPr="007D1918" w:rsidRDefault="00615BDD" w:rsidP="00615BDD">
      <w:pPr>
        <w:widowControl w:val="0"/>
        <w:shd w:val="clear" w:color="auto" w:fill="CCC0D9"/>
        <w:autoSpaceDE w:val="0"/>
        <w:autoSpaceDN w:val="0"/>
        <w:adjustRightInd w:val="0"/>
        <w:spacing w:before="120" w:after="120"/>
        <w:ind w:right="86"/>
        <w:rPr>
          <w:rFonts w:eastAsia="Arial Narrow" w:cs="Calibri"/>
          <w:b/>
          <w:sz w:val="18"/>
          <w:szCs w:val="18"/>
          <w:lang w:val="en-US" w:eastAsia="en-US"/>
        </w:rPr>
      </w:pPr>
      <w:r w:rsidRPr="007D1918">
        <w:rPr>
          <w:rFonts w:eastAsia="Arial Narrow" w:cs="Calibri"/>
          <w:b/>
          <w:sz w:val="18"/>
          <w:szCs w:val="18"/>
          <w:lang w:val="en-US" w:eastAsia="en-US"/>
        </w:rPr>
        <w:t>OR</w:t>
      </w:r>
    </w:p>
    <w:p w14:paraId="70FF5BBC" w14:textId="77777777" w:rsidR="00615BDD" w:rsidRPr="007D1918" w:rsidRDefault="00615BDD" w:rsidP="00615BDD">
      <w:pPr>
        <w:widowControl w:val="0"/>
        <w:shd w:val="clear" w:color="auto" w:fill="CCC0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 xml:space="preserve">Unable to be prescribed two other treatments concurrently, including: </w:t>
      </w:r>
    </w:p>
    <w:p w14:paraId="0F6F3116" w14:textId="22E8D3C5"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Anticholinesterase</w:t>
      </w:r>
      <w:r w:rsidR="00305766" w:rsidRPr="007D1918">
        <w:rPr>
          <w:rFonts w:eastAsia="Arial Narrow" w:cs="Calibri"/>
          <w:sz w:val="18"/>
          <w:szCs w:val="18"/>
          <w:lang w:val="en-US" w:eastAsia="en-US"/>
        </w:rPr>
        <w:t>s</w:t>
      </w:r>
    </w:p>
    <w:p w14:paraId="37BAE126"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Corticosteroids</w:t>
      </w:r>
    </w:p>
    <w:p w14:paraId="175C4593"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Azathioprine</w:t>
      </w:r>
    </w:p>
    <w:p w14:paraId="49E5D8EA"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Methotrexate</w:t>
      </w:r>
    </w:p>
    <w:p w14:paraId="11BF71E9"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Cyclophosphamide</w:t>
      </w:r>
    </w:p>
    <w:p w14:paraId="7881B682"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Cyclosporin</w:t>
      </w:r>
    </w:p>
    <w:p w14:paraId="23438247"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Mycoplenolate mofetil</w:t>
      </w:r>
    </w:p>
    <w:p w14:paraId="6FE9AABE"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Monoclonal antibodies</w:t>
      </w:r>
    </w:p>
    <w:p w14:paraId="724829C4"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Plasma exchange</w:t>
      </w:r>
    </w:p>
    <w:p w14:paraId="55773006" w14:textId="77777777" w:rsidR="00615BDD" w:rsidRPr="007D1918" w:rsidRDefault="00615BDD" w:rsidP="00CE3A8B">
      <w:pPr>
        <w:widowControl w:val="0"/>
        <w:numPr>
          <w:ilvl w:val="0"/>
          <w:numId w:val="18"/>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Thymectomy</w:t>
      </w:r>
    </w:p>
    <w:p w14:paraId="587A3EB4" w14:textId="77777777" w:rsidR="00615BDD" w:rsidRPr="007D1918" w:rsidRDefault="00615BDD" w:rsidP="00615BDD">
      <w:pPr>
        <w:widowControl w:val="0"/>
        <w:shd w:val="clear" w:color="auto" w:fill="CCC0D9"/>
        <w:autoSpaceDE w:val="0"/>
        <w:autoSpaceDN w:val="0"/>
        <w:adjustRightInd w:val="0"/>
        <w:spacing w:after="120"/>
        <w:ind w:right="86"/>
        <w:rPr>
          <w:rFonts w:eastAsia="Arial Narrow" w:cs="Calibri"/>
          <w:sz w:val="18"/>
          <w:szCs w:val="18"/>
          <w:u w:val="single"/>
          <w:lang w:val="en-US" w:eastAsia="en-US"/>
        </w:rPr>
      </w:pPr>
      <w:r w:rsidRPr="007D1918">
        <w:rPr>
          <w:rFonts w:eastAsia="Arial Narrow" w:cs="Calibri"/>
          <w:b/>
          <w:bCs/>
          <w:sz w:val="18"/>
          <w:szCs w:val="18"/>
          <w:u w:val="single"/>
          <w:lang w:val="en-US" w:eastAsia="en-US"/>
        </w:rPr>
        <w:t>On review of a continuing authorisation period</w:t>
      </w:r>
      <w:r w:rsidRPr="007D1918">
        <w:rPr>
          <w:rFonts w:eastAsia="Arial Narrow" w:cs="Calibri"/>
          <w:sz w:val="18"/>
          <w:szCs w:val="18"/>
          <w:u w:val="single"/>
          <w:lang w:val="en-US" w:eastAsia="en-US"/>
        </w:rPr>
        <w:t xml:space="preserve"> </w:t>
      </w:r>
    </w:p>
    <w:p w14:paraId="64C46823" w14:textId="77777777" w:rsidR="00615BDD" w:rsidRPr="007D1918" w:rsidRDefault="00615BDD" w:rsidP="00615BDD">
      <w:pPr>
        <w:widowControl w:val="0"/>
        <w:shd w:val="clear" w:color="auto" w:fill="CCC0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 xml:space="preserve">Stability in fatigability and weakness as measured by a </w:t>
      </w:r>
      <w:hyperlink r:id="rId77" w:history="1">
        <w:r w:rsidRPr="007D1918">
          <w:rPr>
            <w:rFonts w:eastAsia="Arial Narrow" w:cs="Calibri"/>
            <w:color w:val="0000FF"/>
            <w:sz w:val="18"/>
            <w:szCs w:val="18"/>
            <w:u w:val="single"/>
            <w:lang w:val="en-US" w:eastAsia="en-US"/>
          </w:rPr>
          <w:t>Myasthenia Gravis Composite (MGC) score</w:t>
        </w:r>
      </w:hyperlink>
      <w:r w:rsidRPr="007D1918">
        <w:rPr>
          <w:rFonts w:eastAsia="Arial Narrow" w:cs="Calibri"/>
          <w:sz w:val="18"/>
          <w:szCs w:val="18"/>
          <w:lang w:val="en-US" w:eastAsia="en-US"/>
        </w:rPr>
        <w:t xml:space="preserve"> compared to the previous review and less than the qualifying score</w:t>
      </w:r>
    </w:p>
    <w:p w14:paraId="5DDC045E" w14:textId="77777777" w:rsidR="00615BDD" w:rsidRPr="007D1918" w:rsidRDefault="00615BDD" w:rsidP="00615BDD">
      <w:pPr>
        <w:widowControl w:val="0"/>
        <w:shd w:val="clear" w:color="auto" w:fill="CCC0D9"/>
        <w:autoSpaceDE w:val="0"/>
        <w:autoSpaceDN w:val="0"/>
        <w:adjustRightInd w:val="0"/>
        <w:spacing w:before="120" w:after="120"/>
        <w:ind w:right="86"/>
        <w:rPr>
          <w:rFonts w:eastAsia="Arial Narrow" w:cs="Calibri"/>
          <w:b/>
          <w:sz w:val="18"/>
          <w:szCs w:val="18"/>
          <w:lang w:val="en-US" w:eastAsia="en-US"/>
        </w:rPr>
      </w:pPr>
      <w:r w:rsidRPr="007D1918">
        <w:rPr>
          <w:rFonts w:eastAsia="Arial Narrow" w:cs="Calibri"/>
          <w:b/>
          <w:sz w:val="18"/>
          <w:szCs w:val="18"/>
          <w:lang w:val="en-US" w:eastAsia="en-US"/>
        </w:rPr>
        <w:t>OR</w:t>
      </w:r>
    </w:p>
    <w:p w14:paraId="5CA07B70" w14:textId="77777777" w:rsidR="00615BDD" w:rsidRPr="007D1918" w:rsidRDefault="00615BDD" w:rsidP="00615BDD">
      <w:pPr>
        <w:widowControl w:val="0"/>
        <w:shd w:val="clear" w:color="auto" w:fill="CCC0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The patient with severe disease continues to report improvement in symptoms and disability post infusion, with end-of-cycle deterioration</w:t>
      </w:r>
    </w:p>
    <w:p w14:paraId="13AC6A1B" w14:textId="77777777" w:rsidR="00615BDD" w:rsidRPr="007D1918" w:rsidRDefault="00615BDD" w:rsidP="00615BDD">
      <w:pPr>
        <w:widowControl w:val="0"/>
        <w:shd w:val="clear" w:color="auto" w:fill="CCC0D9"/>
        <w:autoSpaceDE w:val="0"/>
        <w:autoSpaceDN w:val="0"/>
        <w:adjustRightInd w:val="0"/>
        <w:spacing w:before="120" w:after="120"/>
        <w:ind w:right="86"/>
        <w:rPr>
          <w:rFonts w:eastAsia="Arial Narrow" w:cs="Calibri"/>
          <w:b/>
          <w:sz w:val="18"/>
          <w:szCs w:val="18"/>
          <w:lang w:val="en-US" w:eastAsia="en-US"/>
        </w:rPr>
      </w:pPr>
      <w:r w:rsidRPr="007D1918">
        <w:rPr>
          <w:rFonts w:eastAsia="Arial Narrow" w:cs="Calibri"/>
          <w:b/>
          <w:sz w:val="18"/>
          <w:szCs w:val="18"/>
          <w:lang w:val="en-US" w:eastAsia="en-US"/>
        </w:rPr>
        <w:t>AND</w:t>
      </w:r>
    </w:p>
    <w:p w14:paraId="586F4F4B" w14:textId="77777777" w:rsidR="00615BDD" w:rsidRPr="007D1918" w:rsidRDefault="00615BDD" w:rsidP="00615BDD">
      <w:pPr>
        <w:widowControl w:val="0"/>
        <w:shd w:val="clear" w:color="auto" w:fill="CCC0D9"/>
        <w:autoSpaceDE w:val="0"/>
        <w:autoSpaceDN w:val="0"/>
        <w:adjustRightInd w:val="0"/>
        <w:spacing w:after="0"/>
        <w:ind w:right="86"/>
        <w:rPr>
          <w:rFonts w:eastAsia="Arial Narrow" w:cs="Calibri"/>
          <w:sz w:val="18"/>
          <w:szCs w:val="18"/>
          <w:lang w:val="en-US" w:eastAsia="en-US"/>
        </w:rPr>
      </w:pPr>
      <w:r w:rsidRPr="007D1918">
        <w:rPr>
          <w:rFonts w:eastAsia="Arial Narrow" w:cs="Calibri"/>
          <w:sz w:val="18"/>
          <w:szCs w:val="18"/>
          <w:lang w:val="en-US" w:eastAsia="en-US"/>
        </w:rPr>
        <w:t>At least two other treatments being prescribed concurrently</w:t>
      </w:r>
    </w:p>
    <w:p w14:paraId="4141E702" w14:textId="77777777" w:rsidR="00615BDD" w:rsidRPr="007D1918" w:rsidRDefault="00615BDD" w:rsidP="00615BDD">
      <w:pPr>
        <w:widowControl w:val="0"/>
        <w:shd w:val="clear" w:color="auto" w:fill="CCC0D9"/>
        <w:autoSpaceDE w:val="0"/>
        <w:autoSpaceDN w:val="0"/>
        <w:adjustRightInd w:val="0"/>
        <w:spacing w:before="120" w:after="120"/>
        <w:ind w:right="86"/>
        <w:rPr>
          <w:rFonts w:eastAsia="Arial Narrow" w:cs="Calibri"/>
          <w:b/>
          <w:sz w:val="18"/>
          <w:szCs w:val="18"/>
          <w:lang w:val="en-US" w:eastAsia="en-US"/>
        </w:rPr>
      </w:pPr>
      <w:r w:rsidRPr="007D1918">
        <w:rPr>
          <w:rFonts w:eastAsia="Arial Narrow" w:cs="Calibri"/>
          <w:b/>
          <w:sz w:val="18"/>
          <w:szCs w:val="18"/>
          <w:lang w:val="en-US" w:eastAsia="en-US"/>
        </w:rPr>
        <w:t>OR</w:t>
      </w:r>
    </w:p>
    <w:p w14:paraId="18480DBF" w14:textId="77777777" w:rsidR="00615BDD" w:rsidRPr="007D1918" w:rsidRDefault="00615BDD" w:rsidP="00615BDD">
      <w:pPr>
        <w:widowControl w:val="0"/>
        <w:shd w:val="clear" w:color="auto" w:fill="CCC0D9"/>
        <w:autoSpaceDE w:val="0"/>
        <w:autoSpaceDN w:val="0"/>
        <w:adjustRightInd w:val="0"/>
        <w:spacing w:after="120"/>
        <w:ind w:right="86"/>
        <w:rPr>
          <w:rFonts w:eastAsia="Arial Narrow" w:cs="Calibri"/>
          <w:sz w:val="18"/>
          <w:szCs w:val="18"/>
          <w:lang w:val="en-US" w:eastAsia="en-US"/>
        </w:rPr>
      </w:pPr>
      <w:r w:rsidRPr="007D1918">
        <w:rPr>
          <w:rFonts w:eastAsia="Arial Narrow" w:cs="Calibri"/>
          <w:sz w:val="18"/>
          <w:szCs w:val="18"/>
          <w:lang w:val="en-US" w:eastAsia="en-US"/>
        </w:rPr>
        <w:t xml:space="preserve">Unable to be prescribed two other treatments concurrently, including: </w:t>
      </w:r>
    </w:p>
    <w:p w14:paraId="1F441FF2" w14:textId="458A262C"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Anticholinesterase</w:t>
      </w:r>
      <w:r w:rsidR="00305766" w:rsidRPr="007D1918">
        <w:rPr>
          <w:rFonts w:eastAsia="Arial Narrow" w:cs="Calibri"/>
          <w:sz w:val="18"/>
          <w:szCs w:val="18"/>
          <w:lang w:val="en-US" w:eastAsia="en-US"/>
        </w:rPr>
        <w:t>s</w:t>
      </w:r>
    </w:p>
    <w:p w14:paraId="138A4C4D"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Corticosteroids</w:t>
      </w:r>
    </w:p>
    <w:p w14:paraId="3B9DE117"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Azathioprine</w:t>
      </w:r>
    </w:p>
    <w:p w14:paraId="32D11542"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Methotrexate</w:t>
      </w:r>
    </w:p>
    <w:p w14:paraId="1A296004"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Cyclophosphamide</w:t>
      </w:r>
    </w:p>
    <w:p w14:paraId="40554787"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Cyclosporin</w:t>
      </w:r>
    </w:p>
    <w:p w14:paraId="22A5EA39"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Mycoplenolate mofetil</w:t>
      </w:r>
    </w:p>
    <w:p w14:paraId="521760ED"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lastRenderedPageBreak/>
        <w:t>Monoclonal antibodies</w:t>
      </w:r>
    </w:p>
    <w:p w14:paraId="65EE443B"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Plasma exchange</w:t>
      </w:r>
    </w:p>
    <w:p w14:paraId="00BC6700" w14:textId="77777777" w:rsidR="00615BDD" w:rsidRPr="007D1918" w:rsidRDefault="00615BDD" w:rsidP="00CE3A8B">
      <w:pPr>
        <w:widowControl w:val="0"/>
        <w:numPr>
          <w:ilvl w:val="0"/>
          <w:numId w:val="19"/>
        </w:numPr>
        <w:shd w:val="clear" w:color="auto" w:fill="CCC0D9"/>
        <w:autoSpaceDE w:val="0"/>
        <w:autoSpaceDN w:val="0"/>
        <w:adjustRightInd w:val="0"/>
        <w:spacing w:after="0" w:line="240" w:lineRule="auto"/>
        <w:ind w:right="86"/>
        <w:rPr>
          <w:rFonts w:eastAsia="Arial Narrow" w:cs="Calibri"/>
          <w:sz w:val="18"/>
          <w:szCs w:val="18"/>
          <w:lang w:val="en-US" w:eastAsia="en-US"/>
        </w:rPr>
      </w:pPr>
      <w:r w:rsidRPr="007D1918">
        <w:rPr>
          <w:rFonts w:eastAsia="Arial Narrow" w:cs="Calibri"/>
          <w:sz w:val="18"/>
          <w:szCs w:val="18"/>
          <w:lang w:val="en-US" w:eastAsia="en-US"/>
        </w:rPr>
        <w:t>Thymectomy</w:t>
      </w:r>
    </w:p>
    <w:p w14:paraId="56C81D20" w14:textId="77777777" w:rsidR="00615BDD" w:rsidRPr="007D1918" w:rsidRDefault="00615BDD" w:rsidP="00615BDD">
      <w:pPr>
        <w:widowControl w:val="0"/>
        <w:shd w:val="clear" w:color="auto" w:fill="CCC0D9"/>
        <w:autoSpaceDE w:val="0"/>
        <w:autoSpaceDN w:val="0"/>
        <w:adjustRightInd w:val="0"/>
        <w:spacing w:before="120" w:after="120"/>
        <w:ind w:right="86"/>
        <w:rPr>
          <w:rFonts w:eastAsia="Arial Narrow" w:cs="Calibri"/>
          <w:b/>
          <w:sz w:val="18"/>
          <w:szCs w:val="18"/>
          <w:lang w:val="en-US" w:eastAsia="en-US"/>
        </w:rPr>
      </w:pPr>
      <w:r w:rsidRPr="007D1918">
        <w:rPr>
          <w:rFonts w:eastAsia="Arial Narrow" w:cs="Calibri"/>
          <w:b/>
          <w:sz w:val="18"/>
          <w:szCs w:val="18"/>
          <w:lang w:val="en-US" w:eastAsia="en-US"/>
        </w:rPr>
        <w:t>AND</w:t>
      </w:r>
    </w:p>
    <w:p w14:paraId="56124252" w14:textId="77777777" w:rsidR="00615BDD" w:rsidRPr="007D1918" w:rsidRDefault="00615BDD" w:rsidP="00615BDD">
      <w:pPr>
        <w:widowControl w:val="0"/>
        <w:shd w:val="clear" w:color="auto" w:fill="CCC0D9"/>
        <w:autoSpaceDE w:val="0"/>
        <w:autoSpaceDN w:val="0"/>
        <w:adjustRightInd w:val="0"/>
        <w:ind w:right="86"/>
        <w:rPr>
          <w:rFonts w:eastAsia="Arial Narrow" w:cs="Calibri"/>
          <w:sz w:val="18"/>
          <w:szCs w:val="18"/>
          <w:lang w:val="en-US" w:eastAsia="en-US"/>
        </w:rPr>
      </w:pPr>
      <w:r w:rsidRPr="007D1918">
        <w:rPr>
          <w:rFonts w:eastAsia="Arial Narrow" w:cs="Calibri"/>
          <w:sz w:val="18"/>
          <w:szCs w:val="18"/>
          <w:lang w:val="en-US" w:eastAsia="en-US"/>
        </w:rPr>
        <w:t>A trial of weaning/cessation of Ig therapy is planned for patients who are clinically stable to identify those in remission or a reason provided as to why a trial is not planned</w:t>
      </w:r>
    </w:p>
    <w:p w14:paraId="15872619" w14:textId="069587D2" w:rsidR="00615BDD" w:rsidRPr="007D1918" w:rsidRDefault="00615BDD" w:rsidP="00615BDD">
      <w:pPr>
        <w:widowControl w:val="0"/>
        <w:shd w:val="clear" w:color="auto" w:fill="FFFFFF"/>
        <w:autoSpaceDE w:val="0"/>
        <w:autoSpaceDN w:val="0"/>
        <w:adjustRightInd w:val="0"/>
        <w:spacing w:before="240"/>
        <w:ind w:right="86"/>
        <w:rPr>
          <w:rFonts w:ascii="Arial Narrow" w:eastAsia="Arial Narrow" w:hAnsi="Arial Narrow" w:cs="Calibri"/>
          <w:sz w:val="18"/>
          <w:szCs w:val="18"/>
          <w:lang w:val="en-US" w:eastAsia="en-US"/>
        </w:rPr>
      </w:pPr>
      <w:r w:rsidRPr="007D1918">
        <w:rPr>
          <w:rFonts w:ascii="Arial Narrow" w:eastAsia="Arial Narrow" w:hAnsi="Arial Narrow" w:cs="Calibri"/>
          <w:sz w:val="18"/>
          <w:szCs w:val="18"/>
          <w:lang w:val="en-US" w:eastAsia="en-US"/>
        </w:rPr>
        <w:t xml:space="preserve">Source: National Blood Authority </w:t>
      </w:r>
      <w:r w:rsidRPr="007D1918">
        <w:rPr>
          <w:rFonts w:ascii="Arial Narrow" w:eastAsia="Arial Narrow" w:hAnsi="Arial Narrow" w:cs="Calibri"/>
          <w:sz w:val="18"/>
          <w:szCs w:val="18"/>
          <w:lang w:val="en-US" w:eastAsia="en-US"/>
        </w:rPr>
        <w:fldChar w:fldCharType="begin"/>
      </w:r>
      <w:r w:rsidR="00995E14" w:rsidRPr="007D1918">
        <w:rPr>
          <w:rFonts w:ascii="Arial Narrow" w:eastAsia="Arial Narrow" w:hAnsi="Arial Narrow" w:cs="Calibri"/>
          <w:sz w:val="18"/>
          <w:szCs w:val="18"/>
          <w:lang w:val="en-US" w:eastAsia="en-US"/>
        </w:rPr>
        <w:instrText xml:space="preserve"> ADDIN EN.CITE &lt;EndNote&gt;&lt;Cite&gt;&lt;Author&gt;National Blood Authority&lt;/Author&gt;&lt;Year&gt;2018&lt;/Year&gt;&lt;RecNum&gt;2&lt;/RecNum&gt;&lt;DisplayText&gt;(National Blood Authority, . 2018)&lt;/DisplayText&gt;&lt;record&gt;&lt;rec-number&gt;2&lt;/rec-number&gt;&lt;foreign-keys&gt;&lt;key app="EN" db-id="vex0tx9ritwr5tett205fw0dv0aafrwx9apd" timestamp="1547692164"&gt;2&lt;/key&gt;&lt;/foreign-keys&gt;&lt;ref-type name="Web Page"&gt;12&lt;/ref-type&gt;&lt;contributors&gt;&lt;authors&gt;&lt;author&gt;National Blood Authority,.&lt;/author&gt;&lt;/authors&gt;&lt;/contributors&gt;&lt;titles&gt;&lt;title&gt;Criteria for the clinical use of immunoglobulin in Australia v3.0.1&lt;/title&gt;&lt;/titles&gt;&lt;volume&gt;2018&lt;/volume&gt;&lt;number&gt;16 Jan&lt;/number&gt;&lt;dates&gt;&lt;year&gt;2018&lt;/year&gt;&lt;/dates&gt;&lt;publisher&gt;National Blood Authority&lt;/publisher&gt;&lt;urls&gt;&lt;related-urls&gt;&lt;url&gt;&lt;style face="underline" font="default" size="100%"&gt;https://www.criteria.blood.gov.au/MedicalCondition/View/2549&lt;/style&gt;&lt;/url&gt;&lt;/related-urls&gt;&lt;/urls&gt;&lt;/record&gt;&lt;/Cite&gt;&lt;/EndNote&gt;</w:instrText>
      </w:r>
      <w:r w:rsidRPr="007D1918">
        <w:rPr>
          <w:rFonts w:ascii="Arial Narrow" w:eastAsia="Arial Narrow" w:hAnsi="Arial Narrow" w:cs="Calibri"/>
          <w:sz w:val="18"/>
          <w:szCs w:val="18"/>
          <w:lang w:val="en-US" w:eastAsia="en-US"/>
        </w:rPr>
        <w:fldChar w:fldCharType="separate"/>
      </w:r>
      <w:r w:rsidR="00995E14" w:rsidRPr="007D1918">
        <w:rPr>
          <w:rFonts w:ascii="Arial Narrow" w:eastAsia="Arial Narrow" w:hAnsi="Arial Narrow" w:cs="Calibri"/>
          <w:noProof/>
          <w:sz w:val="18"/>
          <w:szCs w:val="18"/>
          <w:lang w:val="en-US" w:eastAsia="en-US"/>
        </w:rPr>
        <w:t>(</w:t>
      </w:r>
      <w:hyperlink w:anchor="_ENREF_71" w:tooltip="National Blood Authority, 2018 #2" w:history="1">
        <w:r w:rsidR="007D4948" w:rsidRPr="007D1918">
          <w:rPr>
            <w:rFonts w:ascii="Arial Narrow" w:eastAsia="Arial Narrow" w:hAnsi="Arial Narrow" w:cs="Calibri"/>
            <w:noProof/>
            <w:sz w:val="18"/>
            <w:szCs w:val="18"/>
            <w:lang w:val="en-US" w:eastAsia="en-US"/>
          </w:rPr>
          <w:t>National Blood Authority, . 2018</w:t>
        </w:r>
      </w:hyperlink>
      <w:r w:rsidR="00995E14" w:rsidRPr="007D1918">
        <w:rPr>
          <w:rFonts w:ascii="Arial Narrow" w:eastAsia="Arial Narrow" w:hAnsi="Arial Narrow" w:cs="Calibri"/>
          <w:noProof/>
          <w:sz w:val="18"/>
          <w:szCs w:val="18"/>
          <w:lang w:val="en-US" w:eastAsia="en-US"/>
        </w:rPr>
        <w:t>)</w:t>
      </w:r>
      <w:r w:rsidRPr="007D1918">
        <w:rPr>
          <w:rFonts w:ascii="Arial Narrow" w:eastAsia="Arial Narrow" w:hAnsi="Arial Narrow" w:cs="Calibri"/>
          <w:sz w:val="18"/>
          <w:szCs w:val="18"/>
          <w:lang w:val="en-US" w:eastAsia="en-US"/>
        </w:rPr>
        <w:fldChar w:fldCharType="end"/>
      </w:r>
    </w:p>
    <w:p w14:paraId="054283D5" w14:textId="575F0A5E" w:rsidR="00D67C68" w:rsidRPr="007D1918" w:rsidRDefault="00D67C68">
      <w:pPr>
        <w:spacing w:after="0" w:line="240" w:lineRule="auto"/>
        <w:rPr>
          <w:rFonts w:eastAsiaTheme="minorHAnsi"/>
          <w:lang w:eastAsia="en-US"/>
        </w:rPr>
      </w:pPr>
      <w:r w:rsidRPr="007D1918">
        <w:rPr>
          <w:rFonts w:eastAsiaTheme="minorHAnsi"/>
          <w:lang w:eastAsia="en-US"/>
        </w:rPr>
        <w:br w:type="page"/>
      </w:r>
    </w:p>
    <w:p w14:paraId="09BEC077" w14:textId="77777777" w:rsidR="00D67C68" w:rsidRPr="007D1918" w:rsidRDefault="00D67C68" w:rsidP="00D67C68">
      <w:pPr>
        <w:pStyle w:val="Heading1"/>
        <w:rPr>
          <w:rFonts w:eastAsia="Arial Narrow" w:cs="Calibri"/>
          <w:b w:val="0"/>
          <w:bCs/>
          <w:sz w:val="18"/>
          <w:szCs w:val="18"/>
          <w:u w:val="single"/>
          <w:lang w:val="en-US" w:eastAsia="en-US"/>
        </w:rPr>
      </w:pPr>
      <w:bookmarkStart w:id="624" w:name="_Ref14429306"/>
      <w:bookmarkStart w:id="625" w:name="_Ref14430339"/>
      <w:bookmarkStart w:id="626" w:name="_Toc23767028"/>
      <w:r w:rsidRPr="007D1918">
        <w:rPr>
          <w:rFonts w:eastAsiaTheme="minorHAnsi"/>
          <w:lang w:eastAsia="en-US"/>
        </w:rPr>
        <w:lastRenderedPageBreak/>
        <w:t>Appendix G</w:t>
      </w:r>
      <w:r w:rsidRPr="007D1918">
        <w:rPr>
          <w:rFonts w:eastAsiaTheme="minorHAnsi"/>
          <w:lang w:eastAsia="en-US"/>
        </w:rPr>
        <w:tab/>
      </w:r>
      <w:r w:rsidRPr="007D1918">
        <w:t>Economic analysis appendices</w:t>
      </w:r>
      <w:bookmarkEnd w:id="624"/>
      <w:bookmarkEnd w:id="625"/>
      <w:bookmarkEnd w:id="626"/>
      <w:r w:rsidRPr="007D1918">
        <w:rPr>
          <w:rFonts w:eastAsia="Arial Narrow" w:cs="Calibri"/>
          <w:b w:val="0"/>
          <w:bCs/>
          <w:sz w:val="18"/>
          <w:szCs w:val="18"/>
          <w:u w:val="single"/>
          <w:lang w:val="en-US" w:eastAsia="en-US"/>
        </w:rPr>
        <w:t xml:space="preserve"> </w:t>
      </w:r>
    </w:p>
    <w:p w14:paraId="1831B738" w14:textId="77777777" w:rsidR="00D2504B" w:rsidRPr="007D1918" w:rsidRDefault="00D2504B" w:rsidP="00D2504B">
      <w:pPr>
        <w:pStyle w:val="Caption"/>
      </w:pPr>
      <w:bookmarkStart w:id="627" w:name="_Ref13214532"/>
      <w:bookmarkStart w:id="628" w:name="_Toc13645614"/>
      <w:bookmarkStart w:id="629" w:name="_Toc15562008"/>
      <w:bookmarkStart w:id="630" w:name="_Toc23769596"/>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109</w:t>
      </w:r>
      <w:r w:rsidRPr="007D1918">
        <w:rPr>
          <w:noProof/>
        </w:rPr>
        <w:fldChar w:fldCharType="end"/>
      </w:r>
      <w:bookmarkEnd w:id="627"/>
      <w:r w:rsidRPr="007D1918">
        <w:tab/>
        <w:t>Estimation of Ig costs</w:t>
      </w:r>
      <w:bookmarkEnd w:id="628"/>
      <w:bookmarkEnd w:id="629"/>
      <w:bookmarkEnd w:id="630"/>
    </w:p>
    <w:tbl>
      <w:tblPr>
        <w:tblW w:w="5000" w:type="pct"/>
        <w:tblLayout w:type="fixed"/>
        <w:tblLook w:val="04A0" w:firstRow="1" w:lastRow="0" w:firstColumn="1" w:lastColumn="0" w:noHBand="0" w:noVBand="1"/>
      </w:tblPr>
      <w:tblGrid>
        <w:gridCol w:w="2425"/>
        <w:gridCol w:w="1173"/>
        <w:gridCol w:w="1173"/>
        <w:gridCol w:w="1173"/>
        <w:gridCol w:w="3062"/>
      </w:tblGrid>
      <w:tr w:rsidR="00D2504B" w:rsidRPr="007D1918" w14:paraId="3C352D17" w14:textId="77777777" w:rsidTr="00153384">
        <w:trPr>
          <w:cantSplit/>
          <w:trHeight w:val="315"/>
          <w:tblHeader/>
        </w:trPr>
        <w:tc>
          <w:tcPr>
            <w:tcW w:w="134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4EA94C" w14:textId="77777777" w:rsidR="00D2504B" w:rsidRPr="007D1918" w:rsidRDefault="00D2504B" w:rsidP="00153384">
            <w:pPr>
              <w:keepNext/>
              <w:spacing w:before="40" w:after="40" w:line="240" w:lineRule="auto"/>
              <w:jc w:val="both"/>
              <w:rPr>
                <w:rFonts w:ascii="Arial Narrow" w:hAnsi="Arial Narrow"/>
                <w:b/>
                <w:sz w:val="20"/>
                <w:szCs w:val="20"/>
              </w:rPr>
            </w:pPr>
            <w:r w:rsidRPr="007D1918">
              <w:rPr>
                <w:rFonts w:ascii="Arial Narrow" w:hAnsi="Arial Narrow"/>
                <w:b/>
                <w:sz w:val="20"/>
                <w:szCs w:val="20"/>
              </w:rPr>
              <w:t>2017/18 Ig Report</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52C1AD2A" w14:textId="77777777" w:rsidR="00D2504B" w:rsidRPr="007D1918" w:rsidRDefault="00D2504B" w:rsidP="00153384">
            <w:pPr>
              <w:keepNext/>
              <w:spacing w:before="40" w:after="40" w:line="240" w:lineRule="auto"/>
              <w:jc w:val="both"/>
              <w:rPr>
                <w:rFonts w:ascii="Arial Narrow" w:hAnsi="Arial Narrow"/>
                <w:b/>
                <w:sz w:val="20"/>
                <w:szCs w:val="20"/>
              </w:rPr>
            </w:pPr>
            <w:r w:rsidRPr="007D1918">
              <w:rPr>
                <w:rFonts w:ascii="Arial Narrow" w:hAnsi="Arial Narrow"/>
                <w:b/>
                <w:sz w:val="20"/>
                <w:szCs w:val="20"/>
              </w:rPr>
              <w:t>Price in $(m)</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6B1CF4F4" w14:textId="77777777" w:rsidR="00D2504B" w:rsidRPr="007D1918" w:rsidRDefault="00D2504B" w:rsidP="00153384">
            <w:pPr>
              <w:keepNext/>
              <w:spacing w:before="40" w:after="40" w:line="240" w:lineRule="auto"/>
              <w:jc w:val="both"/>
              <w:rPr>
                <w:rFonts w:ascii="Arial Narrow" w:hAnsi="Arial Narrow"/>
                <w:b/>
                <w:sz w:val="20"/>
                <w:szCs w:val="20"/>
              </w:rPr>
            </w:pPr>
            <w:r w:rsidRPr="007D1918">
              <w:rPr>
                <w:rFonts w:ascii="Arial Narrow" w:hAnsi="Arial Narrow"/>
                <w:b/>
                <w:sz w:val="20"/>
                <w:szCs w:val="20"/>
              </w:rPr>
              <w:t>Grams</w:t>
            </w:r>
          </w:p>
          <w:p w14:paraId="50EE2688" w14:textId="77777777" w:rsidR="00D2504B" w:rsidRPr="007D1918" w:rsidRDefault="00D2504B" w:rsidP="00153384">
            <w:pPr>
              <w:keepNext/>
              <w:spacing w:before="40" w:after="40" w:line="240" w:lineRule="auto"/>
              <w:jc w:val="both"/>
              <w:rPr>
                <w:rFonts w:ascii="Arial Narrow" w:hAnsi="Arial Narrow"/>
                <w:b/>
                <w:sz w:val="20"/>
                <w:szCs w:val="20"/>
              </w:rPr>
            </w:pPr>
            <w:r w:rsidRPr="007D1918">
              <w:rPr>
                <w:rFonts w:ascii="Arial Narrow" w:hAnsi="Arial Narrow"/>
                <w:b/>
                <w:sz w:val="20"/>
                <w:szCs w:val="20"/>
              </w:rPr>
              <w:t>(weight,%)</w:t>
            </w:r>
          </w:p>
        </w:tc>
        <w:tc>
          <w:tcPr>
            <w:tcW w:w="651" w:type="pct"/>
            <w:tcBorders>
              <w:top w:val="single" w:sz="8" w:space="0" w:color="auto"/>
              <w:left w:val="nil"/>
              <w:bottom w:val="single" w:sz="8" w:space="0" w:color="auto"/>
              <w:right w:val="single" w:sz="8" w:space="0" w:color="auto"/>
            </w:tcBorders>
            <w:shd w:val="clear" w:color="auto" w:fill="auto"/>
            <w:noWrap/>
            <w:vAlign w:val="center"/>
            <w:hideMark/>
          </w:tcPr>
          <w:p w14:paraId="5B490CD7" w14:textId="77777777" w:rsidR="00D2504B" w:rsidRPr="007D1918" w:rsidRDefault="00D2504B" w:rsidP="00153384">
            <w:pPr>
              <w:keepNext/>
              <w:spacing w:before="40" w:after="40" w:line="240" w:lineRule="auto"/>
              <w:jc w:val="both"/>
              <w:rPr>
                <w:rFonts w:ascii="Arial Narrow" w:hAnsi="Arial Narrow"/>
                <w:b/>
                <w:sz w:val="20"/>
                <w:szCs w:val="20"/>
              </w:rPr>
            </w:pPr>
            <w:r w:rsidRPr="007D1918">
              <w:rPr>
                <w:rFonts w:ascii="Arial Narrow" w:hAnsi="Arial Narrow"/>
                <w:b/>
                <w:sz w:val="20"/>
                <w:szCs w:val="20"/>
              </w:rPr>
              <w:t>Price/gram in $</w:t>
            </w:r>
          </w:p>
        </w:tc>
        <w:tc>
          <w:tcPr>
            <w:tcW w:w="1700" w:type="pct"/>
            <w:tcBorders>
              <w:top w:val="single" w:sz="8" w:space="0" w:color="auto"/>
              <w:left w:val="nil"/>
              <w:bottom w:val="single" w:sz="8" w:space="0" w:color="auto"/>
              <w:right w:val="single" w:sz="8" w:space="0" w:color="auto"/>
            </w:tcBorders>
            <w:shd w:val="clear" w:color="auto" w:fill="auto"/>
            <w:noWrap/>
            <w:vAlign w:val="center"/>
            <w:hideMark/>
          </w:tcPr>
          <w:p w14:paraId="1C7E815A" w14:textId="77777777" w:rsidR="00D2504B" w:rsidRPr="007D1918" w:rsidRDefault="00D2504B" w:rsidP="00153384">
            <w:pPr>
              <w:keepNext/>
              <w:spacing w:before="40" w:after="40" w:line="240" w:lineRule="auto"/>
              <w:jc w:val="both"/>
              <w:rPr>
                <w:rFonts w:ascii="Arial Narrow" w:hAnsi="Arial Narrow"/>
                <w:b/>
                <w:sz w:val="20"/>
                <w:szCs w:val="20"/>
              </w:rPr>
            </w:pPr>
            <w:r w:rsidRPr="007D1918">
              <w:rPr>
                <w:rFonts w:ascii="Arial Narrow" w:hAnsi="Arial Narrow"/>
                <w:b/>
                <w:sz w:val="20"/>
                <w:szCs w:val="20"/>
              </w:rPr>
              <w:t>Reference to Ig report section</w:t>
            </w:r>
          </w:p>
        </w:tc>
      </w:tr>
      <w:tr w:rsidR="00D2504B" w:rsidRPr="007D1918" w14:paraId="5626410F" w14:textId="77777777" w:rsidTr="00153384">
        <w:trPr>
          <w:cantSplit/>
          <w:trHeight w:val="300"/>
        </w:trPr>
        <w:tc>
          <w:tcPr>
            <w:tcW w:w="1346" w:type="pc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5F0FAB90" w14:textId="77777777" w:rsidR="00D2504B" w:rsidRPr="007D1918" w:rsidRDefault="00D2504B" w:rsidP="00153384">
            <w:pPr>
              <w:spacing w:before="40" w:after="40" w:line="240" w:lineRule="auto"/>
              <w:rPr>
                <w:rFonts w:ascii="Arial Narrow" w:hAnsi="Arial Narrow"/>
                <w:sz w:val="20"/>
                <w:szCs w:val="20"/>
              </w:rPr>
            </w:pPr>
            <w:r w:rsidRPr="007D1918">
              <w:rPr>
                <w:rFonts w:ascii="Arial Narrow" w:hAnsi="Arial Narrow"/>
                <w:sz w:val="20"/>
                <w:szCs w:val="20"/>
              </w:rPr>
              <w:t>Domestic IVIg including plasma fractionation (excluding hyperimmune plasma)</w:t>
            </w:r>
          </w:p>
          <w:p w14:paraId="773595D7" w14:textId="77777777" w:rsidR="00D2504B" w:rsidRPr="007D1918" w:rsidRDefault="00D2504B" w:rsidP="00153384">
            <w:pPr>
              <w:spacing w:before="40" w:after="40" w:line="240" w:lineRule="auto"/>
              <w:rPr>
                <w:rFonts w:ascii="Arial Narrow" w:hAnsi="Arial Narrow"/>
                <w:sz w:val="20"/>
                <w:szCs w:val="20"/>
              </w:rPr>
            </w:pPr>
            <w:r w:rsidRPr="007D1918">
              <w:rPr>
                <w:rFonts w:ascii="Arial Narrow" w:hAnsi="Arial Narrow"/>
                <w:sz w:val="20"/>
                <w:szCs w:val="20"/>
              </w:rPr>
              <w:t xml:space="preserve">Intragam P* </w:t>
            </w:r>
          </w:p>
          <w:p w14:paraId="5DC253D6" w14:textId="77777777" w:rsidR="00D2504B" w:rsidRPr="007D1918" w:rsidRDefault="00D2504B" w:rsidP="00153384">
            <w:pPr>
              <w:spacing w:before="40" w:after="40" w:line="240" w:lineRule="auto"/>
              <w:rPr>
                <w:rFonts w:ascii="Arial Narrow" w:hAnsi="Arial Narrow"/>
                <w:sz w:val="20"/>
                <w:szCs w:val="20"/>
              </w:rPr>
            </w:pPr>
            <w:r w:rsidRPr="007D1918">
              <w:rPr>
                <w:rFonts w:ascii="Arial Narrow" w:hAnsi="Arial Narrow"/>
                <w:sz w:val="20"/>
                <w:szCs w:val="20"/>
              </w:rPr>
              <w:t>Intragam 10</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31726F7"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443.2</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A3E8CA0"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3,161,673</w:t>
            </w:r>
          </w:p>
          <w:p w14:paraId="3CA5A720"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(51.6%)</w:t>
            </w:r>
          </w:p>
        </w:tc>
        <w:tc>
          <w:tcPr>
            <w:tcW w:w="651"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A094EAB"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140.18</w:t>
            </w:r>
          </w:p>
        </w:tc>
        <w:tc>
          <w:tcPr>
            <w:tcW w:w="1700" w:type="pct"/>
            <w:tcBorders>
              <w:top w:val="single" w:sz="8" w:space="0" w:color="auto"/>
              <w:left w:val="nil"/>
              <w:bottom w:val="single" w:sz="4" w:space="0" w:color="auto"/>
              <w:right w:val="single" w:sz="8" w:space="0" w:color="auto"/>
            </w:tcBorders>
            <w:shd w:val="clear" w:color="000000" w:fill="FFFFFF"/>
            <w:noWrap/>
            <w:vAlign w:val="center"/>
            <w:hideMark/>
          </w:tcPr>
          <w:p w14:paraId="121BBA02"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Calculation required for cost: Plasma fractionation costs of $252.2M (expenditure section) + total domestic product cost of $195M (Table 6) – Evogam product cost of $4M (Table 6) = $443.2M </w:t>
            </w:r>
          </w:p>
          <w:p w14:paraId="4CBBA7EE"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Calculation for grams: Total domestic grams 3,225,722 (Table 6) – Evogam grams 64,049 = 3,161,673</w:t>
            </w:r>
          </w:p>
        </w:tc>
      </w:tr>
      <w:tr w:rsidR="00D2504B" w:rsidRPr="007D1918" w14:paraId="738368DF" w14:textId="77777777" w:rsidTr="00153384">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49AAFFF"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Domestic IVIg excluding plasma fractionation </w:t>
            </w:r>
          </w:p>
          <w:p w14:paraId="0D5E916C"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Intragam P* </w:t>
            </w:r>
          </w:p>
          <w:p w14:paraId="7FFD9028"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Intragam 10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3D904A03"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191</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3743C1D"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3,161,673</w:t>
            </w:r>
          </w:p>
          <w:p w14:paraId="7D331B5E"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(51.6%)</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CADE880"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60.41</w:t>
            </w:r>
          </w:p>
        </w:tc>
        <w:tc>
          <w:tcPr>
            <w:tcW w:w="1700" w:type="pct"/>
            <w:tcBorders>
              <w:top w:val="single" w:sz="4" w:space="0" w:color="auto"/>
              <w:left w:val="nil"/>
              <w:bottom w:val="single" w:sz="4" w:space="0" w:color="auto"/>
              <w:right w:val="single" w:sz="8" w:space="0" w:color="auto"/>
            </w:tcBorders>
            <w:shd w:val="clear" w:color="000000" w:fill="FFFFFF"/>
            <w:noWrap/>
            <w:vAlign w:val="center"/>
            <w:hideMark/>
          </w:tcPr>
          <w:p w14:paraId="26BD3A03"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Table 6: </w:t>
            </w:r>
          </w:p>
          <w:p w14:paraId="446751D1"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Calculation for price: Total domestic price – Evogam price </w:t>
            </w:r>
          </w:p>
          <w:p w14:paraId="4ABA98C4"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Calculation for grams: Total domestic grams – Evogam grams</w:t>
            </w:r>
          </w:p>
        </w:tc>
      </w:tr>
      <w:tr w:rsidR="00D2504B" w:rsidRPr="007D1918" w14:paraId="3F3EA1BA" w14:textId="77777777" w:rsidTr="00153384">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35B32C4"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Imported IVIg </w:t>
            </w:r>
          </w:p>
          <w:p w14:paraId="2CB75781"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Flebogamma </w:t>
            </w:r>
          </w:p>
          <w:p w14:paraId="10A4C296"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Privigen</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BC9BC5A"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124</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54B8397"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2,759,266</w:t>
            </w:r>
          </w:p>
          <w:p w14:paraId="5D0408DA"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(45.0%)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ED47A98"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44.94</w:t>
            </w:r>
          </w:p>
        </w:tc>
        <w:tc>
          <w:tcPr>
            <w:tcW w:w="1700" w:type="pct"/>
            <w:tcBorders>
              <w:top w:val="single" w:sz="4" w:space="0" w:color="auto"/>
              <w:left w:val="nil"/>
              <w:bottom w:val="single" w:sz="4" w:space="0" w:color="auto"/>
              <w:right w:val="single" w:sz="8" w:space="0" w:color="auto"/>
            </w:tcBorders>
            <w:shd w:val="clear" w:color="000000" w:fill="FFFFFF"/>
            <w:noWrap/>
            <w:vAlign w:val="center"/>
            <w:hideMark/>
          </w:tcPr>
          <w:p w14:paraId="38700C89"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Table 6: </w:t>
            </w:r>
          </w:p>
          <w:p w14:paraId="3D9DAC3A"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Calculation for price: Total imported price – Hizentra price </w:t>
            </w:r>
          </w:p>
          <w:p w14:paraId="64E4F958"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Calculation for grams: Total imported grams – Hizentra grams</w:t>
            </w:r>
          </w:p>
        </w:tc>
      </w:tr>
      <w:tr w:rsidR="00D2504B" w:rsidRPr="007D1918" w14:paraId="6F687A65" w14:textId="77777777" w:rsidTr="00153384">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60CF209B"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SCIg domestic </w:t>
            </w:r>
          </w:p>
          <w:p w14:paraId="0522B174"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Evogam</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EFE6C22"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4</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18728A6"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64,049</w:t>
            </w:r>
          </w:p>
          <w:p w14:paraId="592F290B"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(1.0%)</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1466271"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62.45</w:t>
            </w:r>
          </w:p>
        </w:tc>
        <w:tc>
          <w:tcPr>
            <w:tcW w:w="170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43B3B8E"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Table 6</w:t>
            </w:r>
          </w:p>
        </w:tc>
      </w:tr>
      <w:tr w:rsidR="00D2504B" w:rsidRPr="007D1918" w14:paraId="4F172D22" w14:textId="77777777" w:rsidTr="00153384">
        <w:trPr>
          <w:cantSplit/>
          <w:trHeight w:val="300"/>
        </w:trPr>
        <w:tc>
          <w:tcPr>
            <w:tcW w:w="1346" w:type="pct"/>
            <w:tcBorders>
              <w:top w:val="single" w:sz="4" w:space="0" w:color="auto"/>
              <w:left w:val="single" w:sz="8" w:space="0" w:color="auto"/>
              <w:bottom w:val="single" w:sz="4" w:space="0" w:color="auto"/>
              <w:right w:val="single" w:sz="8" w:space="0" w:color="auto"/>
            </w:tcBorders>
            <w:shd w:val="clear" w:color="000000" w:fill="FFFFFF"/>
            <w:noWrap/>
            <w:vAlign w:val="center"/>
            <w:hideMark/>
          </w:tcPr>
          <w:p w14:paraId="162C68CA"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 xml:space="preserve">SCIg imported </w:t>
            </w:r>
          </w:p>
          <w:p w14:paraId="40BCDDC8"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Hizentra</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289517AD"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8</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7ABA0F67"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143,729</w:t>
            </w:r>
          </w:p>
          <w:p w14:paraId="4EEDCE2A"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(2.3%)</w:t>
            </w:r>
          </w:p>
        </w:tc>
        <w:tc>
          <w:tcPr>
            <w:tcW w:w="651"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140B02E4"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55.66</w:t>
            </w:r>
          </w:p>
        </w:tc>
        <w:tc>
          <w:tcPr>
            <w:tcW w:w="170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57AB24F"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Table 6</w:t>
            </w:r>
          </w:p>
        </w:tc>
      </w:tr>
      <w:tr w:rsidR="00D2504B" w:rsidRPr="007D1918" w14:paraId="053E2220" w14:textId="77777777" w:rsidTr="00153384">
        <w:trPr>
          <w:cantSplit/>
          <w:trHeight w:val="315"/>
        </w:trPr>
        <w:tc>
          <w:tcPr>
            <w:tcW w:w="1346" w:type="pct"/>
            <w:tcBorders>
              <w:top w:val="nil"/>
              <w:left w:val="single" w:sz="8" w:space="0" w:color="auto"/>
              <w:bottom w:val="single" w:sz="8" w:space="0" w:color="auto"/>
              <w:right w:val="single" w:sz="8" w:space="0" w:color="auto"/>
            </w:tcBorders>
            <w:shd w:val="clear" w:color="auto" w:fill="auto"/>
            <w:noWrap/>
            <w:vAlign w:val="center"/>
            <w:hideMark/>
          </w:tcPr>
          <w:p w14:paraId="472B402D"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Total domestic Ig grams</w:t>
            </w:r>
          </w:p>
        </w:tc>
        <w:tc>
          <w:tcPr>
            <w:tcW w:w="651" w:type="pct"/>
            <w:tcBorders>
              <w:top w:val="nil"/>
              <w:left w:val="nil"/>
              <w:bottom w:val="single" w:sz="8" w:space="0" w:color="auto"/>
              <w:right w:val="single" w:sz="8" w:space="0" w:color="auto"/>
            </w:tcBorders>
            <w:shd w:val="clear" w:color="auto" w:fill="auto"/>
            <w:noWrap/>
            <w:vAlign w:val="center"/>
            <w:hideMark/>
          </w:tcPr>
          <w:p w14:paraId="6149DB7B"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 </w:t>
            </w:r>
          </w:p>
        </w:tc>
        <w:tc>
          <w:tcPr>
            <w:tcW w:w="651" w:type="pct"/>
            <w:tcBorders>
              <w:top w:val="nil"/>
              <w:left w:val="nil"/>
              <w:bottom w:val="single" w:sz="8" w:space="0" w:color="auto"/>
              <w:right w:val="single" w:sz="8" w:space="0" w:color="auto"/>
            </w:tcBorders>
            <w:shd w:val="clear" w:color="auto" w:fill="auto"/>
            <w:noWrap/>
            <w:vAlign w:val="center"/>
            <w:hideMark/>
          </w:tcPr>
          <w:p w14:paraId="6975F56B"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3,225,722</w:t>
            </w:r>
          </w:p>
        </w:tc>
        <w:tc>
          <w:tcPr>
            <w:tcW w:w="651" w:type="pct"/>
            <w:tcBorders>
              <w:top w:val="nil"/>
              <w:left w:val="nil"/>
              <w:bottom w:val="single" w:sz="8" w:space="0" w:color="auto"/>
              <w:right w:val="single" w:sz="8" w:space="0" w:color="auto"/>
            </w:tcBorders>
            <w:shd w:val="clear" w:color="auto" w:fill="auto"/>
            <w:noWrap/>
            <w:vAlign w:val="center"/>
            <w:hideMark/>
          </w:tcPr>
          <w:p w14:paraId="6D54EDC0"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 </w:t>
            </w:r>
          </w:p>
        </w:tc>
        <w:tc>
          <w:tcPr>
            <w:tcW w:w="1700" w:type="pct"/>
            <w:tcBorders>
              <w:top w:val="nil"/>
              <w:left w:val="nil"/>
              <w:bottom w:val="single" w:sz="8" w:space="0" w:color="auto"/>
              <w:right w:val="single" w:sz="8" w:space="0" w:color="auto"/>
            </w:tcBorders>
            <w:shd w:val="clear" w:color="auto" w:fill="auto"/>
            <w:noWrap/>
            <w:vAlign w:val="center"/>
            <w:hideMark/>
          </w:tcPr>
          <w:p w14:paraId="6E31BD75"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Expenditure</w:t>
            </w:r>
          </w:p>
        </w:tc>
      </w:tr>
      <w:tr w:rsidR="00D2504B" w:rsidRPr="007D1918" w14:paraId="0DDC15B4" w14:textId="77777777" w:rsidTr="00153384">
        <w:trPr>
          <w:cantSplit/>
          <w:trHeight w:val="315"/>
        </w:trPr>
        <w:tc>
          <w:tcPr>
            <w:tcW w:w="1346" w:type="pct"/>
            <w:tcBorders>
              <w:top w:val="nil"/>
              <w:left w:val="single" w:sz="8" w:space="0" w:color="auto"/>
              <w:bottom w:val="single" w:sz="8" w:space="0" w:color="auto"/>
              <w:right w:val="single" w:sz="8" w:space="0" w:color="auto"/>
            </w:tcBorders>
            <w:shd w:val="clear" w:color="auto" w:fill="auto"/>
            <w:noWrap/>
            <w:vAlign w:val="center"/>
            <w:hideMark/>
          </w:tcPr>
          <w:p w14:paraId="3BAFD967"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Total imported Ig grams</w:t>
            </w:r>
          </w:p>
        </w:tc>
        <w:tc>
          <w:tcPr>
            <w:tcW w:w="651" w:type="pct"/>
            <w:tcBorders>
              <w:top w:val="nil"/>
              <w:left w:val="nil"/>
              <w:bottom w:val="single" w:sz="8" w:space="0" w:color="auto"/>
              <w:right w:val="single" w:sz="8" w:space="0" w:color="auto"/>
            </w:tcBorders>
            <w:shd w:val="clear" w:color="auto" w:fill="auto"/>
            <w:noWrap/>
            <w:vAlign w:val="center"/>
            <w:hideMark/>
          </w:tcPr>
          <w:p w14:paraId="64340B99"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 </w:t>
            </w:r>
          </w:p>
        </w:tc>
        <w:tc>
          <w:tcPr>
            <w:tcW w:w="651" w:type="pct"/>
            <w:tcBorders>
              <w:top w:val="nil"/>
              <w:left w:val="nil"/>
              <w:bottom w:val="single" w:sz="8" w:space="0" w:color="auto"/>
              <w:right w:val="single" w:sz="8" w:space="0" w:color="auto"/>
            </w:tcBorders>
            <w:shd w:val="clear" w:color="auto" w:fill="auto"/>
            <w:noWrap/>
            <w:vAlign w:val="center"/>
            <w:hideMark/>
          </w:tcPr>
          <w:p w14:paraId="3BADDBDA"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2,902,995</w:t>
            </w:r>
          </w:p>
        </w:tc>
        <w:tc>
          <w:tcPr>
            <w:tcW w:w="651" w:type="pct"/>
            <w:tcBorders>
              <w:top w:val="nil"/>
              <w:left w:val="nil"/>
              <w:bottom w:val="single" w:sz="8" w:space="0" w:color="auto"/>
              <w:right w:val="single" w:sz="8" w:space="0" w:color="auto"/>
            </w:tcBorders>
            <w:shd w:val="clear" w:color="auto" w:fill="auto"/>
            <w:noWrap/>
            <w:vAlign w:val="center"/>
            <w:hideMark/>
          </w:tcPr>
          <w:p w14:paraId="17D809EC" w14:textId="77777777" w:rsidR="00D2504B" w:rsidRPr="007D1918" w:rsidRDefault="00D2504B" w:rsidP="00153384">
            <w:pPr>
              <w:spacing w:before="40" w:after="40" w:line="240" w:lineRule="auto"/>
              <w:jc w:val="right"/>
              <w:rPr>
                <w:rFonts w:ascii="Arial Narrow" w:hAnsi="Arial Narrow"/>
                <w:sz w:val="20"/>
                <w:szCs w:val="20"/>
              </w:rPr>
            </w:pPr>
            <w:r w:rsidRPr="007D1918">
              <w:rPr>
                <w:rFonts w:ascii="Arial Narrow" w:hAnsi="Arial Narrow"/>
                <w:sz w:val="20"/>
                <w:szCs w:val="20"/>
              </w:rPr>
              <w:t> </w:t>
            </w:r>
          </w:p>
        </w:tc>
        <w:tc>
          <w:tcPr>
            <w:tcW w:w="1700" w:type="pct"/>
            <w:tcBorders>
              <w:top w:val="nil"/>
              <w:left w:val="nil"/>
              <w:bottom w:val="single" w:sz="8" w:space="0" w:color="auto"/>
              <w:right w:val="single" w:sz="8" w:space="0" w:color="auto"/>
            </w:tcBorders>
            <w:shd w:val="clear" w:color="auto" w:fill="auto"/>
            <w:noWrap/>
            <w:vAlign w:val="center"/>
            <w:hideMark/>
          </w:tcPr>
          <w:p w14:paraId="56016066" w14:textId="77777777" w:rsidR="00D2504B" w:rsidRPr="007D1918" w:rsidRDefault="00D2504B" w:rsidP="00153384">
            <w:pPr>
              <w:spacing w:before="40" w:after="40" w:line="240" w:lineRule="auto"/>
              <w:jc w:val="both"/>
              <w:rPr>
                <w:rFonts w:ascii="Arial Narrow" w:hAnsi="Arial Narrow"/>
                <w:sz w:val="20"/>
                <w:szCs w:val="20"/>
              </w:rPr>
            </w:pPr>
            <w:r w:rsidRPr="007D1918">
              <w:rPr>
                <w:rFonts w:ascii="Arial Narrow" w:hAnsi="Arial Narrow"/>
                <w:sz w:val="20"/>
                <w:szCs w:val="20"/>
              </w:rPr>
              <w:t>Expenditure</w:t>
            </w:r>
          </w:p>
        </w:tc>
      </w:tr>
    </w:tbl>
    <w:p w14:paraId="4F395C67" w14:textId="77777777" w:rsidR="00D2504B" w:rsidRPr="007D1918" w:rsidRDefault="00D2504B" w:rsidP="00D2504B">
      <w:pPr>
        <w:spacing w:line="259" w:lineRule="auto"/>
        <w:contextualSpacing/>
        <w:jc w:val="both"/>
        <w:rPr>
          <w:rFonts w:ascii="Arial Narrow" w:eastAsiaTheme="minorHAnsi" w:hAnsi="Arial Narrow" w:cs="Arial"/>
          <w:sz w:val="18"/>
          <w:lang w:eastAsia="en-US"/>
        </w:rPr>
      </w:pPr>
      <w:r w:rsidRPr="007D1918">
        <w:rPr>
          <w:rFonts w:ascii="Arial Narrow" w:eastAsiaTheme="minorHAnsi" w:hAnsi="Arial Narrow" w:cs="Arial"/>
          <w:sz w:val="18"/>
          <w:lang w:eastAsia="en-US"/>
        </w:rPr>
        <w:t>Ig = immunoglobulin; IVIg = intravenous immunoglobulin; SCIg = subcutaneous immunoglobulin.</w:t>
      </w:r>
    </w:p>
    <w:p w14:paraId="669AB63B" w14:textId="77777777" w:rsidR="00D2504B" w:rsidRPr="007D1918" w:rsidRDefault="00D2504B" w:rsidP="00D2504B">
      <w:pPr>
        <w:spacing w:after="360" w:line="259" w:lineRule="auto"/>
        <w:jc w:val="both"/>
        <w:rPr>
          <w:rFonts w:ascii="Arial Narrow" w:eastAsiaTheme="minorHAnsi" w:hAnsi="Arial Narrow" w:cs="Arial"/>
          <w:sz w:val="18"/>
          <w:lang w:eastAsia="en-US"/>
        </w:rPr>
      </w:pPr>
      <w:r w:rsidRPr="007D1918">
        <w:rPr>
          <w:rFonts w:ascii="Arial Narrow" w:eastAsiaTheme="minorHAnsi" w:hAnsi="Arial Narrow" w:cs="Arial"/>
          <w:sz w:val="18"/>
          <w:lang w:eastAsia="en-US"/>
        </w:rPr>
        <w:t>Source: NBA (2019)</w:t>
      </w:r>
    </w:p>
    <w:p w14:paraId="584DD4F7" w14:textId="77777777" w:rsidR="00D2504B" w:rsidRPr="007D1918" w:rsidRDefault="00D2504B" w:rsidP="00D2504B">
      <w:pPr>
        <w:keepNext/>
        <w:spacing w:before="240" w:after="120"/>
        <w:jc w:val="both"/>
        <w:outlineLvl w:val="2"/>
        <w:rPr>
          <w:b/>
          <w:smallCaps/>
          <w:sz w:val="24"/>
          <w:szCs w:val="24"/>
        </w:rPr>
      </w:pPr>
      <w:bookmarkStart w:id="631" w:name="_Toc15561908"/>
      <w:bookmarkStart w:id="632" w:name="_Toc23767029"/>
      <w:r w:rsidRPr="007D1918">
        <w:rPr>
          <w:b/>
          <w:smallCaps/>
          <w:sz w:val="24"/>
          <w:szCs w:val="24"/>
        </w:rPr>
        <w:t>Results</w:t>
      </w:r>
      <w:bookmarkEnd w:id="631"/>
      <w:r w:rsidRPr="007D1918">
        <w:rPr>
          <w:b/>
          <w:smallCaps/>
          <w:sz w:val="24"/>
          <w:szCs w:val="24"/>
        </w:rPr>
        <w:t xml:space="preserve"> calculation tables</w:t>
      </w:r>
      <w:bookmarkEnd w:id="632"/>
    </w:p>
    <w:p w14:paraId="3CEFF846" w14:textId="551BD959" w:rsidR="00D2504B" w:rsidRPr="007D1918" w:rsidRDefault="00D2504B" w:rsidP="00D2504B">
      <w:pPr>
        <w:jc w:val="both"/>
        <w:rPr>
          <w:rFonts w:eastAsiaTheme="minorHAnsi"/>
          <w:lang w:eastAsia="en-US"/>
        </w:rPr>
      </w:pPr>
      <w:r w:rsidRPr="007D1918">
        <w:rPr>
          <w:rFonts w:eastAsiaTheme="minorHAnsi"/>
          <w:lang w:eastAsia="en-US"/>
        </w:rPr>
        <w:t>A table of the dissagregated resource use (uncosted) for each of the cost analyses, including trial-based and step</w:t>
      </w:r>
      <w:r w:rsidR="007F4CDE" w:rsidRPr="007D1918">
        <w:rPr>
          <w:rFonts w:eastAsiaTheme="minorHAnsi"/>
          <w:lang w:eastAsia="en-US"/>
        </w:rPr>
        <w:t>ped analyses is presented below.</w:t>
      </w:r>
    </w:p>
    <w:p w14:paraId="5D146886" w14:textId="77777777" w:rsidR="00D2504B" w:rsidRPr="007D1918" w:rsidRDefault="00D2504B" w:rsidP="00D2504B">
      <w:pPr>
        <w:pStyle w:val="Caption"/>
        <w:keepNext/>
        <w:jc w:val="both"/>
      </w:pPr>
      <w:bookmarkStart w:id="633" w:name="_Toc15562009"/>
      <w:bookmarkStart w:id="634" w:name="_Toc23769597"/>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110</w:t>
      </w:r>
      <w:r w:rsidRPr="007D1918">
        <w:rPr>
          <w:noProof/>
        </w:rPr>
        <w:fldChar w:fldCharType="end"/>
      </w:r>
      <w:r w:rsidRPr="007D1918">
        <w:t xml:space="preserve"> </w:t>
      </w:r>
      <w:r w:rsidRPr="007D1918">
        <w:tab/>
        <w:t>Indication 1 Trial based resource use (Gajdos 1997)</w:t>
      </w:r>
      <w:bookmarkEnd w:id="633"/>
      <w:bookmarkEnd w:id="634"/>
    </w:p>
    <w:tbl>
      <w:tblPr>
        <w:tblStyle w:val="TableGrid2"/>
        <w:tblW w:w="8959"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3289"/>
        <w:gridCol w:w="1890"/>
        <w:gridCol w:w="1890"/>
        <w:gridCol w:w="1890"/>
      </w:tblGrid>
      <w:tr w:rsidR="00D2504B" w:rsidRPr="007D1918" w14:paraId="2B368832"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3289" w:type="dxa"/>
            <w:tcBorders>
              <w:bottom w:val="single" w:sz="4" w:space="0" w:color="auto"/>
            </w:tcBorders>
          </w:tcPr>
          <w:p w14:paraId="72FAC760" w14:textId="77777777" w:rsidR="00D2504B" w:rsidRPr="007D1918" w:rsidRDefault="00D2504B" w:rsidP="00153384">
            <w:pPr>
              <w:keepNext/>
              <w:spacing w:after="40" w:line="240" w:lineRule="auto"/>
              <w:jc w:val="both"/>
              <w:rPr>
                <w:rFonts w:ascii="Arial Narrow" w:hAnsi="Arial Narrow"/>
                <w:b/>
                <w:sz w:val="20"/>
                <w:szCs w:val="20"/>
              </w:rPr>
            </w:pPr>
            <w:r w:rsidRPr="007D1918">
              <w:rPr>
                <w:rFonts w:ascii="Arial Narrow" w:hAnsi="Arial Narrow"/>
                <w:b/>
                <w:sz w:val="20"/>
                <w:szCs w:val="20"/>
              </w:rPr>
              <w:t xml:space="preserve">Resources </w:t>
            </w:r>
          </w:p>
        </w:tc>
        <w:tc>
          <w:tcPr>
            <w:tcW w:w="1890" w:type="dxa"/>
            <w:tcBorders>
              <w:bottom w:val="single" w:sz="4" w:space="0" w:color="auto"/>
            </w:tcBorders>
          </w:tcPr>
          <w:p w14:paraId="19BFA0E5"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 3 doses</w:t>
            </w:r>
          </w:p>
        </w:tc>
        <w:tc>
          <w:tcPr>
            <w:tcW w:w="1890" w:type="dxa"/>
            <w:tcBorders>
              <w:bottom w:val="single" w:sz="4" w:space="0" w:color="auto"/>
            </w:tcBorders>
          </w:tcPr>
          <w:p w14:paraId="678C1DC6"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 5 doses</w:t>
            </w:r>
          </w:p>
        </w:tc>
        <w:tc>
          <w:tcPr>
            <w:tcW w:w="1890" w:type="dxa"/>
            <w:tcBorders>
              <w:bottom w:val="single" w:sz="4" w:space="0" w:color="auto"/>
            </w:tcBorders>
          </w:tcPr>
          <w:p w14:paraId="055F11B2"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r>
      <w:tr w:rsidR="00D2504B" w:rsidRPr="007D1918" w14:paraId="569DCF95" w14:textId="77777777" w:rsidTr="00153384">
        <w:tc>
          <w:tcPr>
            <w:tcW w:w="3289" w:type="dxa"/>
          </w:tcPr>
          <w:p w14:paraId="6613B849"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IVig procurement</w:t>
            </w:r>
          </w:p>
        </w:tc>
        <w:tc>
          <w:tcPr>
            <w:tcW w:w="1890" w:type="dxa"/>
            <w:tcBorders>
              <w:top w:val="single" w:sz="4" w:space="0" w:color="auto"/>
              <w:bottom w:val="single" w:sz="4" w:space="0" w:color="auto"/>
            </w:tcBorders>
          </w:tcPr>
          <w:p w14:paraId="1D91A55C"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97g</w:t>
            </w:r>
          </w:p>
        </w:tc>
        <w:tc>
          <w:tcPr>
            <w:tcW w:w="1890" w:type="dxa"/>
            <w:tcBorders>
              <w:top w:val="single" w:sz="4" w:space="0" w:color="auto"/>
              <w:bottom w:val="single" w:sz="4" w:space="0" w:color="auto"/>
            </w:tcBorders>
          </w:tcPr>
          <w:p w14:paraId="77816FEB"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162g</w:t>
            </w:r>
          </w:p>
        </w:tc>
        <w:tc>
          <w:tcPr>
            <w:tcW w:w="1890" w:type="dxa"/>
            <w:tcBorders>
              <w:top w:val="single" w:sz="4" w:space="0" w:color="auto"/>
              <w:bottom w:val="single" w:sz="4" w:space="0" w:color="auto"/>
            </w:tcBorders>
          </w:tcPr>
          <w:p w14:paraId="3BAF7EBC"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w:t>
            </w:r>
          </w:p>
        </w:tc>
      </w:tr>
      <w:tr w:rsidR="00D2504B" w:rsidRPr="007D1918" w14:paraId="02CC14FF" w14:textId="77777777" w:rsidTr="00153384">
        <w:tc>
          <w:tcPr>
            <w:tcW w:w="3289" w:type="dxa"/>
          </w:tcPr>
          <w:p w14:paraId="7F31666F"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PE replacement Albumin 4%</w:t>
            </w:r>
          </w:p>
        </w:tc>
        <w:tc>
          <w:tcPr>
            <w:tcW w:w="1890" w:type="dxa"/>
            <w:tcBorders>
              <w:top w:val="single" w:sz="4" w:space="0" w:color="auto"/>
              <w:bottom w:val="single" w:sz="4" w:space="0" w:color="auto"/>
            </w:tcBorders>
          </w:tcPr>
          <w:p w14:paraId="2533B254"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w:t>
            </w:r>
          </w:p>
        </w:tc>
        <w:tc>
          <w:tcPr>
            <w:tcW w:w="1890" w:type="dxa"/>
            <w:tcBorders>
              <w:top w:val="single" w:sz="4" w:space="0" w:color="auto"/>
              <w:bottom w:val="single" w:sz="4" w:space="0" w:color="auto"/>
              <w:right w:val="single" w:sz="4" w:space="0" w:color="auto"/>
            </w:tcBorders>
          </w:tcPr>
          <w:p w14:paraId="4B4CF9B0"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63139F1D"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6.75L</w:t>
            </w:r>
          </w:p>
        </w:tc>
      </w:tr>
      <w:tr w:rsidR="00D2504B" w:rsidRPr="007D1918" w14:paraId="7AA3E5D4" w14:textId="77777777" w:rsidTr="00153384">
        <w:tc>
          <w:tcPr>
            <w:tcW w:w="3289" w:type="dxa"/>
          </w:tcPr>
          <w:p w14:paraId="6A4E3EF8"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PE replacement diluent (Gelatin)</w:t>
            </w:r>
          </w:p>
        </w:tc>
        <w:tc>
          <w:tcPr>
            <w:tcW w:w="1890" w:type="dxa"/>
            <w:tcBorders>
              <w:top w:val="single" w:sz="4" w:space="0" w:color="auto"/>
              <w:bottom w:val="single" w:sz="4" w:space="0" w:color="auto"/>
            </w:tcBorders>
          </w:tcPr>
          <w:p w14:paraId="56D2A31C" w14:textId="77777777" w:rsidR="00D2504B" w:rsidRPr="007D1918" w:rsidRDefault="00D2504B" w:rsidP="00153384">
            <w:pPr>
              <w:spacing w:after="40" w:line="240" w:lineRule="auto"/>
              <w:jc w:val="center"/>
              <w:rPr>
                <w:rFonts w:ascii="Arial Narrow" w:hAnsi="Arial Narrow"/>
                <w:sz w:val="20"/>
                <w:szCs w:val="20"/>
              </w:rPr>
            </w:pPr>
          </w:p>
        </w:tc>
        <w:tc>
          <w:tcPr>
            <w:tcW w:w="1890" w:type="dxa"/>
            <w:tcBorders>
              <w:top w:val="single" w:sz="4" w:space="0" w:color="auto"/>
              <w:bottom w:val="single" w:sz="4" w:space="0" w:color="auto"/>
              <w:right w:val="single" w:sz="4" w:space="0" w:color="auto"/>
            </w:tcBorders>
          </w:tcPr>
          <w:p w14:paraId="69C8530B" w14:textId="77777777" w:rsidR="00D2504B" w:rsidRPr="007D1918" w:rsidRDefault="00D2504B" w:rsidP="00153384">
            <w:pPr>
              <w:spacing w:after="40" w:line="240" w:lineRule="auto"/>
              <w:jc w:val="center"/>
              <w:rPr>
                <w:rFonts w:ascii="Arial Narrow" w:hAnsi="Arial Narrow"/>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bottom"/>
          </w:tcPr>
          <w:p w14:paraId="4526C016"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6.75L</w:t>
            </w:r>
          </w:p>
        </w:tc>
      </w:tr>
      <w:tr w:rsidR="00D2504B" w:rsidRPr="007D1918" w14:paraId="0485317F" w14:textId="77777777" w:rsidTr="00153384">
        <w:tc>
          <w:tcPr>
            <w:tcW w:w="3289" w:type="dxa"/>
          </w:tcPr>
          <w:p w14:paraId="7CB4EE0C"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Hospital admission</w:t>
            </w:r>
          </w:p>
        </w:tc>
        <w:tc>
          <w:tcPr>
            <w:tcW w:w="1890" w:type="dxa"/>
            <w:tcBorders>
              <w:top w:val="single" w:sz="4" w:space="0" w:color="auto"/>
              <w:bottom w:val="single" w:sz="4" w:space="0" w:color="auto"/>
            </w:tcBorders>
          </w:tcPr>
          <w:p w14:paraId="441D4243"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1</w:t>
            </w:r>
          </w:p>
        </w:tc>
        <w:tc>
          <w:tcPr>
            <w:tcW w:w="1890" w:type="dxa"/>
            <w:tcBorders>
              <w:top w:val="single" w:sz="4" w:space="0" w:color="auto"/>
              <w:bottom w:val="single" w:sz="4" w:space="0" w:color="auto"/>
            </w:tcBorders>
          </w:tcPr>
          <w:p w14:paraId="3183E094"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1</w:t>
            </w:r>
          </w:p>
        </w:tc>
        <w:tc>
          <w:tcPr>
            <w:tcW w:w="1890" w:type="dxa"/>
            <w:tcBorders>
              <w:top w:val="single" w:sz="4" w:space="0" w:color="auto"/>
              <w:bottom w:val="single" w:sz="4" w:space="0" w:color="auto"/>
            </w:tcBorders>
          </w:tcPr>
          <w:p w14:paraId="2B4B583F"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1</w:t>
            </w:r>
          </w:p>
        </w:tc>
      </w:tr>
    </w:tbl>
    <w:p w14:paraId="04C888FE" w14:textId="77777777" w:rsidR="00D2504B" w:rsidRPr="007D1918" w:rsidRDefault="00D2504B" w:rsidP="00D2504B">
      <w:pPr>
        <w:pStyle w:val="Tablenotes0"/>
        <w:rPr>
          <w:bCs/>
        </w:rPr>
      </w:pPr>
      <w:r w:rsidRPr="007D1918">
        <w:rPr>
          <w:bCs/>
        </w:rPr>
        <w:t xml:space="preserve">*hospital admission cost captures medical/nursing staffing, </w:t>
      </w:r>
      <w:r w:rsidRPr="007D1918">
        <w:t>consumables, co-administered therapies and management of adverse effects</w:t>
      </w:r>
    </w:p>
    <w:p w14:paraId="1C3C2010" w14:textId="77777777" w:rsidR="00D2504B" w:rsidRPr="007D1918" w:rsidRDefault="00D2504B" w:rsidP="00D2504B">
      <w:pPr>
        <w:pStyle w:val="Caption"/>
        <w:keepNext/>
        <w:jc w:val="both"/>
      </w:pPr>
      <w:bookmarkStart w:id="635" w:name="_Toc15562010"/>
      <w:bookmarkStart w:id="636" w:name="_Toc23769598"/>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111</w:t>
      </w:r>
      <w:r w:rsidRPr="007D1918">
        <w:rPr>
          <w:noProof/>
        </w:rPr>
        <w:fldChar w:fldCharType="end"/>
      </w:r>
      <w:r w:rsidRPr="007D1918">
        <w:t xml:space="preserve"> </w:t>
      </w:r>
      <w:r w:rsidRPr="007D1918">
        <w:tab/>
        <w:t>Indication 1 Stepped resource use to replicate Australian practice</w:t>
      </w:r>
      <w:bookmarkEnd w:id="635"/>
      <w:bookmarkEnd w:id="636"/>
    </w:p>
    <w:tbl>
      <w:tblPr>
        <w:tblStyle w:val="TableGrid2"/>
        <w:tblW w:w="8959"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282"/>
        <w:gridCol w:w="2268"/>
        <w:gridCol w:w="2409"/>
      </w:tblGrid>
      <w:tr w:rsidR="00D2504B" w:rsidRPr="007D1918" w14:paraId="310B08E3" w14:textId="77777777" w:rsidTr="002106C0">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49A6CA99" w14:textId="77777777" w:rsidR="00D2504B" w:rsidRPr="007D1918" w:rsidRDefault="00D2504B" w:rsidP="00153384">
            <w:pPr>
              <w:keepNext/>
              <w:spacing w:after="40" w:line="240" w:lineRule="auto"/>
              <w:jc w:val="both"/>
              <w:rPr>
                <w:rFonts w:ascii="Arial Narrow" w:hAnsi="Arial Narrow"/>
                <w:b/>
                <w:sz w:val="20"/>
                <w:szCs w:val="20"/>
              </w:rPr>
            </w:pPr>
            <w:r w:rsidRPr="007D1918">
              <w:rPr>
                <w:rFonts w:ascii="Arial Narrow" w:hAnsi="Arial Narrow"/>
                <w:b/>
                <w:sz w:val="20"/>
                <w:szCs w:val="20"/>
              </w:rPr>
              <w:t>Resources (disaggregated)</w:t>
            </w:r>
          </w:p>
        </w:tc>
        <w:tc>
          <w:tcPr>
            <w:tcW w:w="2268" w:type="dxa"/>
            <w:tcBorders>
              <w:bottom w:val="single" w:sz="4" w:space="0" w:color="auto"/>
            </w:tcBorders>
          </w:tcPr>
          <w:p w14:paraId="1EB71FAF"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2409" w:type="dxa"/>
            <w:tcBorders>
              <w:bottom w:val="single" w:sz="4" w:space="0" w:color="auto"/>
            </w:tcBorders>
          </w:tcPr>
          <w:p w14:paraId="724736B7"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r>
      <w:tr w:rsidR="00D2504B" w:rsidRPr="007D1918" w14:paraId="153C8FEB" w14:textId="77777777" w:rsidTr="002106C0">
        <w:trPr>
          <w:cnfStyle w:val="100000000000" w:firstRow="1" w:lastRow="0" w:firstColumn="0" w:lastColumn="0" w:oddVBand="0" w:evenVBand="0" w:oddHBand="0" w:evenHBand="0" w:firstRowFirstColumn="0" w:firstRowLastColumn="0" w:lastRowFirstColumn="0" w:lastRowLastColumn="0"/>
          <w:tblHeader/>
        </w:trPr>
        <w:tc>
          <w:tcPr>
            <w:tcW w:w="4282" w:type="dxa"/>
            <w:tcBorders>
              <w:bottom w:val="single" w:sz="4" w:space="0" w:color="auto"/>
            </w:tcBorders>
          </w:tcPr>
          <w:p w14:paraId="0F60B06E" w14:textId="77777777" w:rsidR="00D2504B" w:rsidRPr="007D1918" w:rsidRDefault="00D2504B" w:rsidP="00153384">
            <w:pPr>
              <w:keepNext/>
              <w:spacing w:after="40" w:line="240" w:lineRule="auto"/>
              <w:jc w:val="both"/>
              <w:rPr>
                <w:rFonts w:ascii="Arial Narrow" w:hAnsi="Arial Narrow"/>
                <w:b/>
                <w:sz w:val="20"/>
                <w:szCs w:val="20"/>
              </w:rPr>
            </w:pPr>
            <w:r w:rsidRPr="007D1918">
              <w:rPr>
                <w:rFonts w:ascii="Arial Narrow" w:hAnsi="Arial Narrow"/>
                <w:b/>
                <w:sz w:val="20"/>
                <w:szCs w:val="20"/>
              </w:rPr>
              <w:t>Step 1: Australian doses and fluids (historical)</w:t>
            </w:r>
          </w:p>
        </w:tc>
        <w:tc>
          <w:tcPr>
            <w:tcW w:w="2268" w:type="dxa"/>
            <w:tcBorders>
              <w:bottom w:val="single" w:sz="4" w:space="0" w:color="auto"/>
            </w:tcBorders>
          </w:tcPr>
          <w:p w14:paraId="0B5D15C6" w14:textId="77777777" w:rsidR="00D2504B" w:rsidRPr="007D1918" w:rsidRDefault="00D2504B" w:rsidP="00153384">
            <w:pPr>
              <w:keepNext/>
              <w:spacing w:after="40" w:line="240" w:lineRule="auto"/>
              <w:jc w:val="center"/>
              <w:rPr>
                <w:rFonts w:ascii="Arial Narrow" w:hAnsi="Arial Narrow"/>
                <w:sz w:val="20"/>
                <w:szCs w:val="20"/>
              </w:rPr>
            </w:pPr>
          </w:p>
        </w:tc>
        <w:tc>
          <w:tcPr>
            <w:tcW w:w="2409" w:type="dxa"/>
            <w:tcBorders>
              <w:bottom w:val="single" w:sz="4" w:space="0" w:color="auto"/>
            </w:tcBorders>
          </w:tcPr>
          <w:p w14:paraId="0D190E0C" w14:textId="77777777" w:rsidR="00D2504B" w:rsidRPr="007D1918" w:rsidRDefault="00D2504B" w:rsidP="00153384">
            <w:pPr>
              <w:keepNext/>
              <w:spacing w:after="40" w:line="240" w:lineRule="auto"/>
              <w:jc w:val="center"/>
              <w:rPr>
                <w:rFonts w:ascii="Arial Narrow" w:hAnsi="Arial Narrow"/>
                <w:sz w:val="20"/>
                <w:szCs w:val="20"/>
              </w:rPr>
            </w:pPr>
          </w:p>
        </w:tc>
      </w:tr>
      <w:tr w:rsidR="00D2504B" w:rsidRPr="007D1918" w14:paraId="01314643" w14:textId="77777777" w:rsidTr="002106C0">
        <w:tc>
          <w:tcPr>
            <w:tcW w:w="4282" w:type="dxa"/>
          </w:tcPr>
          <w:p w14:paraId="4F69EEA1" w14:textId="77777777" w:rsidR="00D2504B" w:rsidRPr="007D1918" w:rsidRDefault="00D2504B"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IVIg product </w:t>
            </w:r>
          </w:p>
        </w:tc>
        <w:tc>
          <w:tcPr>
            <w:tcW w:w="2268" w:type="dxa"/>
            <w:tcBorders>
              <w:top w:val="single" w:sz="4" w:space="0" w:color="auto"/>
              <w:left w:val="nil"/>
              <w:bottom w:val="single" w:sz="4" w:space="0" w:color="auto"/>
              <w:right w:val="single" w:sz="4" w:space="0" w:color="auto"/>
            </w:tcBorders>
            <w:shd w:val="clear" w:color="auto" w:fill="auto"/>
            <w:vAlign w:val="bottom"/>
          </w:tcPr>
          <w:p w14:paraId="2DF48289"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230g</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184098C4" w14:textId="77777777" w:rsidR="00D2504B" w:rsidRPr="007D1918" w:rsidRDefault="00D2504B" w:rsidP="00153384">
            <w:pPr>
              <w:spacing w:after="40" w:line="240" w:lineRule="auto"/>
              <w:jc w:val="center"/>
              <w:rPr>
                <w:rFonts w:ascii="Arial Narrow" w:hAnsi="Arial Narrow"/>
                <w:sz w:val="20"/>
                <w:szCs w:val="20"/>
              </w:rPr>
            </w:pPr>
          </w:p>
        </w:tc>
      </w:tr>
      <w:tr w:rsidR="00D2504B" w:rsidRPr="007D1918" w14:paraId="66047231" w14:textId="77777777" w:rsidTr="002106C0">
        <w:tc>
          <w:tcPr>
            <w:tcW w:w="4282" w:type="dxa"/>
          </w:tcPr>
          <w:p w14:paraId="5A612E83" w14:textId="77777777" w:rsidR="00D2504B" w:rsidRPr="007D1918" w:rsidRDefault="00D2504B"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 xml:space="preserve">PE tubing and equipment depreciation </w:t>
            </w:r>
          </w:p>
        </w:tc>
        <w:tc>
          <w:tcPr>
            <w:tcW w:w="2268" w:type="dxa"/>
            <w:tcBorders>
              <w:top w:val="single" w:sz="4" w:space="0" w:color="auto"/>
              <w:left w:val="nil"/>
              <w:bottom w:val="single" w:sz="4" w:space="0" w:color="auto"/>
              <w:right w:val="single" w:sz="4" w:space="0" w:color="auto"/>
            </w:tcBorders>
            <w:shd w:val="clear" w:color="auto" w:fill="auto"/>
            <w:vAlign w:val="bottom"/>
          </w:tcPr>
          <w:p w14:paraId="5D423DF1" w14:textId="77777777" w:rsidR="00D2504B" w:rsidRPr="007D1918" w:rsidRDefault="00D2504B" w:rsidP="00153384">
            <w:pPr>
              <w:spacing w:after="40" w:line="240" w:lineRule="auto"/>
              <w:jc w:val="center"/>
              <w:rPr>
                <w:rFonts w:ascii="Arial Narrow" w:hAnsi="Arial Narrow"/>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514F3080"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4 administrations</w:t>
            </w:r>
          </w:p>
        </w:tc>
      </w:tr>
      <w:tr w:rsidR="00D2504B" w:rsidRPr="007D1918" w14:paraId="75409277" w14:textId="77777777" w:rsidTr="002106C0">
        <w:tc>
          <w:tcPr>
            <w:tcW w:w="4282" w:type="dxa"/>
          </w:tcPr>
          <w:p w14:paraId="539DBDE2" w14:textId="77777777" w:rsidR="00D2504B" w:rsidRPr="007D1918" w:rsidRDefault="00D2504B"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PE replacement Albumin 4%</w:t>
            </w:r>
          </w:p>
        </w:tc>
        <w:tc>
          <w:tcPr>
            <w:tcW w:w="2268" w:type="dxa"/>
            <w:tcBorders>
              <w:top w:val="single" w:sz="4" w:space="0" w:color="auto"/>
              <w:left w:val="nil"/>
              <w:bottom w:val="single" w:sz="4" w:space="0" w:color="auto"/>
              <w:right w:val="single" w:sz="4" w:space="0" w:color="auto"/>
            </w:tcBorders>
            <w:shd w:val="clear" w:color="auto" w:fill="auto"/>
            <w:vAlign w:val="bottom"/>
          </w:tcPr>
          <w:p w14:paraId="658A5925" w14:textId="77777777" w:rsidR="00D2504B" w:rsidRPr="007D1918" w:rsidRDefault="00D2504B" w:rsidP="00153384">
            <w:pPr>
              <w:spacing w:after="40" w:line="240" w:lineRule="auto"/>
              <w:jc w:val="center"/>
              <w:rPr>
                <w:rFonts w:ascii="Arial Narrow" w:hAnsi="Arial Narrow"/>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078ADCAD"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8L</w:t>
            </w:r>
          </w:p>
        </w:tc>
      </w:tr>
      <w:tr w:rsidR="00D2504B" w:rsidRPr="007D1918" w14:paraId="6DE13FB7" w14:textId="77777777" w:rsidTr="002106C0">
        <w:tc>
          <w:tcPr>
            <w:tcW w:w="4282" w:type="dxa"/>
          </w:tcPr>
          <w:p w14:paraId="493FD338" w14:textId="77777777" w:rsidR="00D2504B" w:rsidRPr="007D1918" w:rsidRDefault="00D2504B"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PE replacement diluent FFP</w:t>
            </w:r>
          </w:p>
        </w:tc>
        <w:tc>
          <w:tcPr>
            <w:tcW w:w="2268" w:type="dxa"/>
            <w:tcBorders>
              <w:top w:val="single" w:sz="4" w:space="0" w:color="auto"/>
              <w:left w:val="nil"/>
              <w:bottom w:val="single" w:sz="4" w:space="0" w:color="auto"/>
              <w:right w:val="single" w:sz="4" w:space="0" w:color="auto"/>
            </w:tcBorders>
            <w:shd w:val="clear" w:color="auto" w:fill="auto"/>
            <w:vAlign w:val="bottom"/>
          </w:tcPr>
          <w:p w14:paraId="3096EC14" w14:textId="77777777" w:rsidR="00D2504B" w:rsidRPr="007D1918" w:rsidRDefault="00D2504B" w:rsidP="00153384">
            <w:pPr>
              <w:spacing w:after="40" w:line="240" w:lineRule="auto"/>
              <w:jc w:val="center"/>
              <w:rPr>
                <w:rFonts w:ascii="Arial Narrow" w:hAnsi="Arial Narrow"/>
                <w:sz w:val="20"/>
                <w:szCs w:val="20"/>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28EB81DA"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8L</w:t>
            </w:r>
          </w:p>
        </w:tc>
      </w:tr>
      <w:tr w:rsidR="00D2504B" w:rsidRPr="007D1918" w14:paraId="45A887EB" w14:textId="77777777" w:rsidTr="002106C0">
        <w:tc>
          <w:tcPr>
            <w:tcW w:w="4282" w:type="dxa"/>
          </w:tcPr>
          <w:p w14:paraId="7556402B" w14:textId="77777777" w:rsidR="00D2504B" w:rsidRPr="007D1918" w:rsidRDefault="00D2504B" w:rsidP="00153384">
            <w:pPr>
              <w:spacing w:after="40" w:line="240" w:lineRule="auto"/>
              <w:ind w:left="346" w:hanging="141"/>
              <w:jc w:val="both"/>
              <w:rPr>
                <w:rFonts w:ascii="Arial Narrow" w:hAnsi="Arial Narrow"/>
                <w:sz w:val="20"/>
                <w:szCs w:val="20"/>
              </w:rPr>
            </w:pPr>
            <w:r w:rsidRPr="007D1918">
              <w:rPr>
                <w:rFonts w:ascii="Arial Narrow" w:hAnsi="Arial Narrow"/>
                <w:sz w:val="20"/>
                <w:szCs w:val="20"/>
              </w:rPr>
              <w:t>Hospital admission</w:t>
            </w:r>
          </w:p>
        </w:tc>
        <w:tc>
          <w:tcPr>
            <w:tcW w:w="2268" w:type="dxa"/>
            <w:tcBorders>
              <w:top w:val="single" w:sz="4" w:space="0" w:color="auto"/>
              <w:left w:val="nil"/>
              <w:bottom w:val="single" w:sz="4" w:space="0" w:color="auto"/>
              <w:right w:val="single" w:sz="4" w:space="0" w:color="auto"/>
            </w:tcBorders>
            <w:shd w:val="clear" w:color="auto" w:fill="auto"/>
            <w:vAlign w:val="bottom"/>
          </w:tcPr>
          <w:p w14:paraId="08E8B905"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14:paraId="630EB0FB" w14:textId="77777777" w:rsidR="00D2504B" w:rsidRPr="007D1918" w:rsidRDefault="00D2504B" w:rsidP="00153384">
            <w:pPr>
              <w:spacing w:after="40" w:line="240" w:lineRule="auto"/>
              <w:jc w:val="center"/>
              <w:rPr>
                <w:rFonts w:ascii="Arial Narrow" w:hAnsi="Arial Narrow"/>
                <w:sz w:val="20"/>
                <w:szCs w:val="20"/>
              </w:rPr>
            </w:pPr>
            <w:r w:rsidRPr="007D1918">
              <w:rPr>
                <w:rFonts w:ascii="Arial Narrow" w:hAnsi="Arial Narrow"/>
                <w:sz w:val="20"/>
                <w:szCs w:val="20"/>
              </w:rPr>
              <w:t>1</w:t>
            </w:r>
          </w:p>
        </w:tc>
      </w:tr>
      <w:tr w:rsidR="00D2504B" w:rsidRPr="007D1918" w14:paraId="11D527AA" w14:textId="77777777" w:rsidTr="002106C0">
        <w:tc>
          <w:tcPr>
            <w:tcW w:w="4282" w:type="dxa"/>
          </w:tcPr>
          <w:p w14:paraId="6D730A13" w14:textId="77777777" w:rsidR="00D2504B" w:rsidRPr="007D1918" w:rsidRDefault="00D2504B" w:rsidP="00153384">
            <w:pPr>
              <w:keepNext/>
              <w:spacing w:after="40" w:line="240" w:lineRule="auto"/>
              <w:jc w:val="both"/>
              <w:rPr>
                <w:rFonts w:ascii="Arial Narrow" w:hAnsi="Arial Narrow"/>
                <w:b/>
                <w:sz w:val="20"/>
                <w:szCs w:val="20"/>
              </w:rPr>
            </w:pPr>
            <w:r w:rsidRPr="007D1918">
              <w:rPr>
                <w:rFonts w:ascii="Arial Narrow" w:hAnsi="Arial Narrow"/>
                <w:b/>
                <w:sz w:val="20"/>
                <w:szCs w:val="20"/>
              </w:rPr>
              <w:t>Step 2: Assuming retreatment in treatment failure</w:t>
            </w:r>
          </w:p>
        </w:tc>
        <w:tc>
          <w:tcPr>
            <w:tcW w:w="2268" w:type="dxa"/>
          </w:tcPr>
          <w:p w14:paraId="71567495" w14:textId="77777777" w:rsidR="00D2504B" w:rsidRPr="007D1918" w:rsidRDefault="00D2504B" w:rsidP="00153384">
            <w:pPr>
              <w:keepNext/>
              <w:spacing w:after="40" w:line="240" w:lineRule="auto"/>
              <w:jc w:val="center"/>
              <w:rPr>
                <w:rFonts w:ascii="Arial Narrow" w:hAnsi="Arial Narrow"/>
                <w:b/>
                <w:sz w:val="20"/>
                <w:szCs w:val="20"/>
              </w:rPr>
            </w:pPr>
          </w:p>
        </w:tc>
        <w:tc>
          <w:tcPr>
            <w:tcW w:w="2409" w:type="dxa"/>
          </w:tcPr>
          <w:p w14:paraId="1CC377BC" w14:textId="77777777" w:rsidR="00D2504B" w:rsidRPr="007D1918" w:rsidRDefault="00D2504B" w:rsidP="00153384">
            <w:pPr>
              <w:keepNext/>
              <w:spacing w:after="40" w:line="240" w:lineRule="auto"/>
              <w:jc w:val="center"/>
              <w:rPr>
                <w:rFonts w:ascii="Arial Narrow" w:hAnsi="Arial Narrow"/>
                <w:b/>
                <w:sz w:val="20"/>
                <w:szCs w:val="20"/>
              </w:rPr>
            </w:pPr>
          </w:p>
        </w:tc>
      </w:tr>
      <w:tr w:rsidR="00D2504B" w:rsidRPr="007D1918" w14:paraId="2CE587D1" w14:textId="77777777" w:rsidTr="002106C0">
        <w:tc>
          <w:tcPr>
            <w:tcW w:w="4282" w:type="dxa"/>
          </w:tcPr>
          <w:p w14:paraId="395F595C" w14:textId="77777777" w:rsidR="00D2504B" w:rsidRPr="007D1918" w:rsidRDefault="00D2504B" w:rsidP="00153384">
            <w:pPr>
              <w:pStyle w:val="Tabletext1"/>
              <w:ind w:left="170"/>
            </w:pPr>
            <w:r w:rsidRPr="007D1918">
              <w:t>IVIg Retreatment (4.88% of PE patients)</w:t>
            </w:r>
          </w:p>
        </w:tc>
        <w:tc>
          <w:tcPr>
            <w:tcW w:w="2268" w:type="dxa"/>
          </w:tcPr>
          <w:p w14:paraId="19F3E588" w14:textId="77777777" w:rsidR="00D2504B" w:rsidRPr="007D1918" w:rsidRDefault="00D2504B" w:rsidP="00153384">
            <w:pPr>
              <w:keepNext/>
              <w:spacing w:after="40" w:line="240" w:lineRule="auto"/>
              <w:jc w:val="center"/>
              <w:rPr>
                <w:rFonts w:ascii="Arial Narrow" w:hAnsi="Arial Narrow"/>
                <w:sz w:val="20"/>
                <w:szCs w:val="20"/>
              </w:rPr>
            </w:pPr>
          </w:p>
        </w:tc>
        <w:tc>
          <w:tcPr>
            <w:tcW w:w="2409" w:type="dxa"/>
          </w:tcPr>
          <w:p w14:paraId="3CB95458" w14:textId="77777777" w:rsidR="00D2504B" w:rsidRPr="007D1918" w:rsidRDefault="00D2504B" w:rsidP="00153384">
            <w:pPr>
              <w:keepNext/>
              <w:spacing w:after="40" w:line="240" w:lineRule="auto"/>
              <w:jc w:val="center"/>
              <w:rPr>
                <w:rFonts w:ascii="Arial Narrow" w:hAnsi="Arial Narrow"/>
                <w:sz w:val="20"/>
                <w:szCs w:val="20"/>
              </w:rPr>
            </w:pPr>
            <w:r w:rsidRPr="007D1918">
              <w:rPr>
                <w:rFonts w:ascii="Arial Narrow" w:hAnsi="Arial Narrow"/>
                <w:sz w:val="20"/>
                <w:szCs w:val="20"/>
              </w:rPr>
              <w:t>11.22g (=0.0488*230g)</w:t>
            </w:r>
          </w:p>
        </w:tc>
      </w:tr>
      <w:tr w:rsidR="00D2504B" w:rsidRPr="007D1918" w14:paraId="1AEAF01F" w14:textId="77777777" w:rsidTr="002106C0">
        <w:tc>
          <w:tcPr>
            <w:tcW w:w="4282" w:type="dxa"/>
          </w:tcPr>
          <w:p w14:paraId="7C981A37" w14:textId="77777777" w:rsidR="00D2504B" w:rsidRPr="007D1918" w:rsidRDefault="00D2504B" w:rsidP="00153384">
            <w:pPr>
              <w:keepNext/>
              <w:spacing w:after="40" w:line="240" w:lineRule="auto"/>
              <w:jc w:val="both"/>
              <w:rPr>
                <w:rFonts w:ascii="Arial Narrow" w:hAnsi="Arial Narrow"/>
                <w:sz w:val="20"/>
                <w:szCs w:val="20"/>
              </w:rPr>
            </w:pPr>
            <w:r w:rsidRPr="007D1918">
              <w:rPr>
                <w:rFonts w:ascii="Arial Narrow" w:hAnsi="Arial Narrow"/>
                <w:b/>
                <w:sz w:val="20"/>
                <w:szCs w:val="20"/>
              </w:rPr>
              <w:t>Step 3: Assuming updated PE fluid protocol</w:t>
            </w:r>
          </w:p>
        </w:tc>
        <w:tc>
          <w:tcPr>
            <w:tcW w:w="2268" w:type="dxa"/>
          </w:tcPr>
          <w:p w14:paraId="7232A025" w14:textId="77777777" w:rsidR="00D2504B" w:rsidRPr="007D1918" w:rsidRDefault="00D2504B" w:rsidP="00153384">
            <w:pPr>
              <w:keepNext/>
              <w:spacing w:after="40" w:line="240" w:lineRule="auto"/>
              <w:jc w:val="center"/>
              <w:rPr>
                <w:rFonts w:ascii="Arial Narrow" w:hAnsi="Arial Narrow"/>
                <w:sz w:val="20"/>
                <w:szCs w:val="20"/>
              </w:rPr>
            </w:pPr>
          </w:p>
        </w:tc>
        <w:tc>
          <w:tcPr>
            <w:tcW w:w="2409" w:type="dxa"/>
          </w:tcPr>
          <w:p w14:paraId="1B36A880" w14:textId="77777777" w:rsidR="00D2504B" w:rsidRPr="007D1918" w:rsidRDefault="00D2504B" w:rsidP="00153384">
            <w:pPr>
              <w:keepNext/>
              <w:spacing w:after="40" w:line="240" w:lineRule="auto"/>
              <w:jc w:val="center"/>
              <w:rPr>
                <w:rFonts w:ascii="Arial Narrow" w:hAnsi="Arial Narrow"/>
                <w:sz w:val="20"/>
                <w:szCs w:val="20"/>
              </w:rPr>
            </w:pPr>
          </w:p>
        </w:tc>
      </w:tr>
      <w:tr w:rsidR="00D2504B" w:rsidRPr="007D1918" w14:paraId="6A05E60E" w14:textId="77777777" w:rsidTr="002106C0">
        <w:tc>
          <w:tcPr>
            <w:tcW w:w="4282" w:type="dxa"/>
          </w:tcPr>
          <w:p w14:paraId="420AA2E3" w14:textId="77777777" w:rsidR="00D2504B" w:rsidRPr="007D1918" w:rsidRDefault="00D2504B" w:rsidP="00153384">
            <w:pPr>
              <w:keepNext/>
              <w:spacing w:after="40" w:line="240" w:lineRule="auto"/>
              <w:ind w:left="170"/>
              <w:jc w:val="both"/>
              <w:rPr>
                <w:rFonts w:ascii="Arial Narrow" w:hAnsi="Arial Narrow"/>
                <w:sz w:val="20"/>
                <w:szCs w:val="20"/>
              </w:rPr>
            </w:pPr>
            <w:r w:rsidRPr="007D1918">
              <w:rPr>
                <w:rFonts w:ascii="Arial Narrow" w:hAnsi="Arial Narrow"/>
                <w:sz w:val="20"/>
                <w:szCs w:val="20"/>
              </w:rPr>
              <w:t>100% PE replacement fluid: Albumin 4%</w:t>
            </w:r>
          </w:p>
        </w:tc>
        <w:tc>
          <w:tcPr>
            <w:tcW w:w="2268" w:type="dxa"/>
          </w:tcPr>
          <w:p w14:paraId="2D17BF33" w14:textId="77777777" w:rsidR="00D2504B" w:rsidRPr="007D1918" w:rsidRDefault="00D2504B" w:rsidP="00153384">
            <w:pPr>
              <w:keepNext/>
              <w:spacing w:after="40" w:line="240" w:lineRule="auto"/>
              <w:jc w:val="center"/>
              <w:rPr>
                <w:rFonts w:ascii="Arial Narrow" w:hAnsi="Arial Narrow"/>
                <w:sz w:val="20"/>
                <w:szCs w:val="20"/>
              </w:rPr>
            </w:pPr>
          </w:p>
        </w:tc>
        <w:tc>
          <w:tcPr>
            <w:tcW w:w="2409" w:type="dxa"/>
          </w:tcPr>
          <w:p w14:paraId="030ECE1D" w14:textId="77777777" w:rsidR="00D2504B" w:rsidRPr="007D1918" w:rsidRDefault="00D2504B" w:rsidP="00153384">
            <w:pPr>
              <w:keepNext/>
              <w:spacing w:after="40" w:line="240" w:lineRule="auto"/>
              <w:jc w:val="center"/>
              <w:rPr>
                <w:rFonts w:ascii="Arial Narrow" w:hAnsi="Arial Narrow"/>
                <w:sz w:val="20"/>
                <w:szCs w:val="20"/>
              </w:rPr>
            </w:pPr>
            <w:r w:rsidRPr="007D1918">
              <w:rPr>
                <w:rFonts w:ascii="Arial Narrow" w:hAnsi="Arial Narrow"/>
                <w:sz w:val="20"/>
                <w:szCs w:val="20"/>
              </w:rPr>
              <w:t>Add 8L</w:t>
            </w:r>
          </w:p>
        </w:tc>
      </w:tr>
      <w:tr w:rsidR="00D2504B" w:rsidRPr="007D1918" w14:paraId="3B553240" w14:textId="77777777" w:rsidTr="002106C0">
        <w:tc>
          <w:tcPr>
            <w:tcW w:w="4282" w:type="dxa"/>
          </w:tcPr>
          <w:p w14:paraId="7F5797C7" w14:textId="77777777" w:rsidR="00D2504B" w:rsidRPr="007D1918" w:rsidRDefault="00D2504B" w:rsidP="00153384">
            <w:pPr>
              <w:keepNext/>
              <w:spacing w:after="40" w:line="240" w:lineRule="auto"/>
              <w:ind w:left="170"/>
              <w:jc w:val="both"/>
              <w:rPr>
                <w:rFonts w:ascii="Arial Narrow" w:hAnsi="Arial Narrow"/>
                <w:sz w:val="20"/>
                <w:szCs w:val="20"/>
              </w:rPr>
            </w:pPr>
            <w:r w:rsidRPr="007D1918">
              <w:rPr>
                <w:rFonts w:ascii="Arial Narrow" w:hAnsi="Arial Narrow"/>
                <w:sz w:val="20"/>
                <w:szCs w:val="20"/>
              </w:rPr>
              <w:t>Remove FFP</w:t>
            </w:r>
          </w:p>
        </w:tc>
        <w:tc>
          <w:tcPr>
            <w:tcW w:w="2268" w:type="dxa"/>
          </w:tcPr>
          <w:p w14:paraId="5E66A554" w14:textId="77777777" w:rsidR="00D2504B" w:rsidRPr="007D1918" w:rsidRDefault="00D2504B" w:rsidP="00153384">
            <w:pPr>
              <w:keepNext/>
              <w:spacing w:after="40" w:line="240" w:lineRule="auto"/>
              <w:jc w:val="center"/>
              <w:rPr>
                <w:rFonts w:ascii="Arial Narrow" w:hAnsi="Arial Narrow"/>
                <w:sz w:val="20"/>
                <w:szCs w:val="20"/>
              </w:rPr>
            </w:pPr>
          </w:p>
        </w:tc>
        <w:tc>
          <w:tcPr>
            <w:tcW w:w="2409" w:type="dxa"/>
          </w:tcPr>
          <w:p w14:paraId="22E1610F" w14:textId="77777777" w:rsidR="00D2504B" w:rsidRPr="007D1918" w:rsidRDefault="00D2504B" w:rsidP="00153384">
            <w:pPr>
              <w:pStyle w:val="ListParagraph"/>
              <w:keepNext/>
              <w:spacing w:after="40" w:line="240" w:lineRule="auto"/>
              <w:jc w:val="center"/>
              <w:rPr>
                <w:rFonts w:ascii="Arial Narrow" w:hAnsi="Arial Narrow"/>
                <w:sz w:val="20"/>
                <w:szCs w:val="20"/>
              </w:rPr>
            </w:pPr>
            <w:r w:rsidRPr="007D1918">
              <w:rPr>
                <w:rFonts w:ascii="Arial Narrow" w:hAnsi="Arial Narrow"/>
                <w:sz w:val="20"/>
                <w:szCs w:val="20"/>
              </w:rPr>
              <w:t>Remove 8L</w:t>
            </w:r>
          </w:p>
        </w:tc>
      </w:tr>
      <w:tr w:rsidR="00D2504B" w:rsidRPr="007D1918" w14:paraId="0D72F992" w14:textId="77777777" w:rsidTr="00153384">
        <w:tc>
          <w:tcPr>
            <w:tcW w:w="8959" w:type="dxa"/>
            <w:gridSpan w:val="3"/>
            <w:tcBorders>
              <w:right w:val="single" w:sz="4" w:space="0" w:color="auto"/>
            </w:tcBorders>
          </w:tcPr>
          <w:p w14:paraId="4E7584C3" w14:textId="77777777" w:rsidR="00D2504B" w:rsidRPr="007D1918" w:rsidRDefault="00D2504B" w:rsidP="00153384">
            <w:pPr>
              <w:keepNext/>
              <w:keepLines/>
              <w:spacing w:after="40" w:line="240" w:lineRule="auto"/>
              <w:rPr>
                <w:rFonts w:ascii="Arial Narrow" w:hAnsi="Arial Narrow"/>
                <w:b/>
                <w:sz w:val="20"/>
                <w:szCs w:val="20"/>
              </w:rPr>
            </w:pPr>
            <w:r w:rsidRPr="007D1918">
              <w:rPr>
                <w:rFonts w:ascii="Arial Narrow" w:hAnsi="Arial Narrow"/>
                <w:b/>
                <w:sz w:val="20"/>
                <w:szCs w:val="20"/>
              </w:rPr>
              <w:t>Step 4: Adding the costs of treating adverse events</w:t>
            </w:r>
          </w:p>
        </w:tc>
      </w:tr>
      <w:tr w:rsidR="00D2504B" w:rsidRPr="007D1918" w14:paraId="57B98B2D" w14:textId="77777777" w:rsidTr="002106C0">
        <w:tc>
          <w:tcPr>
            <w:tcW w:w="4282" w:type="dxa"/>
          </w:tcPr>
          <w:p w14:paraId="0EDD0985" w14:textId="77777777" w:rsidR="00D2504B" w:rsidRPr="007D1918" w:rsidRDefault="00D2504B" w:rsidP="00153384">
            <w:pPr>
              <w:pStyle w:val="Tablecontents"/>
              <w:keepNext/>
              <w:keepLines/>
            </w:pPr>
            <w:r w:rsidRPr="007D1918">
              <w:t>Retroperitoneal Haematoma (in 2.44% of patients)</w:t>
            </w:r>
          </w:p>
        </w:tc>
        <w:tc>
          <w:tcPr>
            <w:tcW w:w="2268" w:type="dxa"/>
            <w:tcBorders>
              <w:top w:val="single" w:sz="4" w:space="0" w:color="auto"/>
              <w:left w:val="nil"/>
              <w:bottom w:val="single" w:sz="4" w:space="0" w:color="auto"/>
            </w:tcBorders>
            <w:shd w:val="clear" w:color="auto" w:fill="auto"/>
            <w:vAlign w:val="bottom"/>
          </w:tcPr>
          <w:p w14:paraId="50C2DEA0" w14:textId="77777777" w:rsidR="00D2504B" w:rsidRPr="007D1918" w:rsidRDefault="00D2504B" w:rsidP="00153384">
            <w:pPr>
              <w:keepNext/>
              <w:keepLines/>
              <w:spacing w:after="40" w:line="240" w:lineRule="auto"/>
              <w:jc w:val="right"/>
              <w:rPr>
                <w:rFonts w:ascii="Arial Narrow" w:hAnsi="Arial Narrow"/>
                <w:sz w:val="20"/>
                <w:szCs w:val="20"/>
              </w:rPr>
            </w:pPr>
          </w:p>
        </w:tc>
        <w:tc>
          <w:tcPr>
            <w:tcW w:w="2409" w:type="dxa"/>
            <w:vAlign w:val="center"/>
          </w:tcPr>
          <w:p w14:paraId="5EE37983" w14:textId="4F3756F1" w:rsidR="00D2504B" w:rsidRPr="007D1918" w:rsidRDefault="00D2504B" w:rsidP="002106C0">
            <w:pPr>
              <w:keepNext/>
              <w:keepLines/>
              <w:spacing w:after="40" w:line="240" w:lineRule="auto"/>
              <w:jc w:val="right"/>
              <w:rPr>
                <w:rFonts w:ascii="Arial Narrow" w:hAnsi="Arial Narrow"/>
                <w:sz w:val="20"/>
                <w:szCs w:val="20"/>
              </w:rPr>
            </w:pPr>
            <w:r w:rsidRPr="007D1918">
              <w:rPr>
                <w:rFonts w:ascii="Arial Narrow" w:hAnsi="Arial Narrow"/>
                <w:sz w:val="20"/>
                <w:szCs w:val="20"/>
              </w:rPr>
              <w:t>2.44% x $22,576 (</w:t>
            </w:r>
            <w:r w:rsidR="002106C0" w:rsidRPr="007D1918">
              <w:rPr>
                <w:rFonts w:ascii="Arial Narrow" w:hAnsi="Arial Narrow" w:cs="Times New Roman"/>
                <w:sz w:val="20"/>
                <w:szCs w:val="20"/>
              </w:rPr>
              <w:fldChar w:fldCharType="begin"/>
            </w:r>
            <w:r w:rsidR="002106C0" w:rsidRPr="007D1918">
              <w:rPr>
                <w:rFonts w:ascii="Arial Narrow" w:hAnsi="Arial Narrow" w:cs="Times New Roman"/>
                <w:sz w:val="20"/>
                <w:szCs w:val="20"/>
              </w:rPr>
              <w:instrText xml:space="preserve"> REF _Ref18023197 \h  \* MERGEFORMAT </w:instrText>
            </w:r>
            <w:r w:rsidR="002106C0" w:rsidRPr="007D1918">
              <w:rPr>
                <w:rFonts w:ascii="Arial Narrow" w:hAnsi="Arial Narrow" w:cs="Times New Roman"/>
                <w:sz w:val="20"/>
                <w:szCs w:val="20"/>
              </w:rPr>
            </w:r>
            <w:r w:rsidR="002106C0" w:rsidRPr="007D1918">
              <w:rPr>
                <w:rFonts w:ascii="Arial Narrow" w:hAnsi="Arial Narrow" w:cs="Times New Roman"/>
                <w:sz w:val="20"/>
                <w:szCs w:val="20"/>
              </w:rPr>
              <w:fldChar w:fldCharType="separate"/>
            </w:r>
            <w:r w:rsidR="002106C0" w:rsidRPr="007D1918">
              <w:rPr>
                <w:rFonts w:ascii="Arial Narrow" w:hAnsi="Arial Narrow" w:cs="Times New Roman"/>
                <w:sz w:val="20"/>
                <w:szCs w:val="20"/>
              </w:rPr>
              <w:t>Table 74</w:t>
            </w:r>
            <w:r w:rsidR="002106C0" w:rsidRPr="007D1918">
              <w:rPr>
                <w:rFonts w:ascii="Arial Narrow" w:hAnsi="Arial Narrow" w:cs="Times New Roman"/>
                <w:sz w:val="20"/>
                <w:szCs w:val="20"/>
              </w:rPr>
              <w:fldChar w:fldCharType="end"/>
            </w:r>
            <w:r w:rsidRPr="007D1918">
              <w:rPr>
                <w:rFonts w:ascii="Arial Narrow" w:hAnsi="Arial Narrow"/>
                <w:sz w:val="20"/>
                <w:szCs w:val="20"/>
              </w:rPr>
              <w:t>)</w:t>
            </w:r>
          </w:p>
        </w:tc>
      </w:tr>
      <w:tr w:rsidR="00D2504B" w:rsidRPr="007D1918" w14:paraId="2E01B14F" w14:textId="77777777" w:rsidTr="002106C0">
        <w:tc>
          <w:tcPr>
            <w:tcW w:w="4282" w:type="dxa"/>
          </w:tcPr>
          <w:p w14:paraId="041D2F78" w14:textId="77777777" w:rsidR="00D2504B" w:rsidRPr="007D1918" w:rsidRDefault="00D2504B" w:rsidP="00153384">
            <w:pPr>
              <w:pStyle w:val="Tablecontents"/>
              <w:keepNext/>
              <w:keepLines/>
            </w:pPr>
            <w:r w:rsidRPr="007D1918">
              <w:t>Femoral Thrombosis (in 2.44% of patients)</w:t>
            </w:r>
          </w:p>
        </w:tc>
        <w:tc>
          <w:tcPr>
            <w:tcW w:w="2268" w:type="dxa"/>
            <w:tcBorders>
              <w:top w:val="single" w:sz="4" w:space="0" w:color="auto"/>
              <w:left w:val="nil"/>
              <w:bottom w:val="single" w:sz="4" w:space="0" w:color="auto"/>
              <w:right w:val="single" w:sz="4" w:space="0" w:color="auto"/>
            </w:tcBorders>
            <w:shd w:val="clear" w:color="auto" w:fill="auto"/>
            <w:vAlign w:val="bottom"/>
          </w:tcPr>
          <w:p w14:paraId="6EB2B435" w14:textId="77777777" w:rsidR="00D2504B" w:rsidRPr="007D1918" w:rsidRDefault="00D2504B" w:rsidP="00153384">
            <w:pPr>
              <w:keepNext/>
              <w:keepLines/>
              <w:spacing w:after="40" w:line="240" w:lineRule="auto"/>
              <w:jc w:val="right"/>
              <w:rPr>
                <w:rFonts w:ascii="Arial Narrow" w:hAnsi="Arial Narrow"/>
                <w:sz w:val="20"/>
                <w:szCs w:val="20"/>
              </w:rPr>
            </w:pPr>
          </w:p>
        </w:tc>
        <w:tc>
          <w:tcPr>
            <w:tcW w:w="2409" w:type="dxa"/>
            <w:vAlign w:val="center"/>
          </w:tcPr>
          <w:p w14:paraId="58B83623" w14:textId="143BA5F2" w:rsidR="00D2504B" w:rsidRPr="007D1918" w:rsidRDefault="00D2504B" w:rsidP="002106C0">
            <w:pPr>
              <w:keepNext/>
              <w:keepLines/>
              <w:spacing w:after="40" w:line="240" w:lineRule="auto"/>
              <w:jc w:val="right"/>
              <w:rPr>
                <w:rFonts w:ascii="Arial Narrow" w:hAnsi="Arial Narrow"/>
                <w:sz w:val="20"/>
                <w:szCs w:val="20"/>
              </w:rPr>
            </w:pPr>
            <w:r w:rsidRPr="007D1918">
              <w:rPr>
                <w:rFonts w:ascii="Arial Narrow" w:hAnsi="Arial Narrow"/>
                <w:sz w:val="20"/>
                <w:szCs w:val="20"/>
              </w:rPr>
              <w:t>2.44% x $2,427 (</w:t>
            </w:r>
            <w:r w:rsidR="002106C0" w:rsidRPr="007D1918">
              <w:rPr>
                <w:rFonts w:ascii="Arial Narrow" w:hAnsi="Arial Narrow" w:cs="Times New Roman"/>
                <w:sz w:val="20"/>
                <w:szCs w:val="20"/>
              </w:rPr>
              <w:fldChar w:fldCharType="begin"/>
            </w:r>
            <w:r w:rsidR="002106C0" w:rsidRPr="007D1918">
              <w:rPr>
                <w:rFonts w:ascii="Arial Narrow" w:hAnsi="Arial Narrow" w:cs="Times New Roman"/>
                <w:sz w:val="20"/>
                <w:szCs w:val="20"/>
              </w:rPr>
              <w:instrText xml:space="preserve"> REF _Ref18023197 \h  \* MERGEFORMAT </w:instrText>
            </w:r>
            <w:r w:rsidR="002106C0" w:rsidRPr="007D1918">
              <w:rPr>
                <w:rFonts w:ascii="Arial Narrow" w:hAnsi="Arial Narrow" w:cs="Times New Roman"/>
                <w:sz w:val="20"/>
                <w:szCs w:val="20"/>
              </w:rPr>
            </w:r>
            <w:r w:rsidR="002106C0" w:rsidRPr="007D1918">
              <w:rPr>
                <w:rFonts w:ascii="Arial Narrow" w:hAnsi="Arial Narrow" w:cs="Times New Roman"/>
                <w:sz w:val="20"/>
                <w:szCs w:val="20"/>
              </w:rPr>
              <w:fldChar w:fldCharType="separate"/>
            </w:r>
            <w:r w:rsidR="002106C0" w:rsidRPr="007D1918">
              <w:rPr>
                <w:rFonts w:ascii="Arial Narrow" w:hAnsi="Arial Narrow" w:cs="Times New Roman"/>
                <w:sz w:val="20"/>
                <w:szCs w:val="20"/>
              </w:rPr>
              <w:t>Table 74</w:t>
            </w:r>
            <w:r w:rsidR="002106C0" w:rsidRPr="007D1918">
              <w:rPr>
                <w:rFonts w:ascii="Arial Narrow" w:hAnsi="Arial Narrow" w:cs="Times New Roman"/>
                <w:sz w:val="20"/>
                <w:szCs w:val="20"/>
              </w:rPr>
              <w:fldChar w:fldCharType="end"/>
            </w:r>
            <w:r w:rsidRPr="007D1918">
              <w:rPr>
                <w:rFonts w:ascii="Arial Narrow" w:hAnsi="Arial Narrow"/>
                <w:sz w:val="20"/>
                <w:szCs w:val="20"/>
              </w:rPr>
              <w:t>)</w:t>
            </w:r>
          </w:p>
        </w:tc>
      </w:tr>
    </w:tbl>
    <w:p w14:paraId="11FC0050" w14:textId="77777777" w:rsidR="00D2504B" w:rsidRPr="007D1918" w:rsidRDefault="00D2504B" w:rsidP="00D2504B"/>
    <w:p w14:paraId="0BA4C406" w14:textId="77777777" w:rsidR="00D2504B" w:rsidRPr="007D1918" w:rsidRDefault="00D2504B" w:rsidP="00D2504B">
      <w:pPr>
        <w:pStyle w:val="Caption"/>
        <w:keepNext/>
        <w:jc w:val="both"/>
      </w:pPr>
      <w:bookmarkStart w:id="637" w:name="_Toc15562011"/>
      <w:bookmarkStart w:id="638" w:name="_Toc23769599"/>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112</w:t>
      </w:r>
      <w:r w:rsidRPr="007D1918">
        <w:rPr>
          <w:noProof/>
        </w:rPr>
        <w:fldChar w:fldCharType="end"/>
      </w:r>
      <w:r w:rsidRPr="007D1918">
        <w:t xml:space="preserve"> </w:t>
      </w:r>
      <w:r w:rsidRPr="007D1918">
        <w:tab/>
        <w:t>Indication 2 Trial-based resource use (Alipour-Faz, 2017)</w:t>
      </w:r>
      <w:bookmarkEnd w:id="637"/>
      <w:bookmarkEnd w:id="638"/>
    </w:p>
    <w:tbl>
      <w:tblPr>
        <w:tblStyle w:val="TableGrid2"/>
        <w:tblW w:w="8818"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565"/>
        <w:gridCol w:w="2126"/>
        <w:gridCol w:w="2127"/>
      </w:tblGrid>
      <w:tr w:rsidR="00D2504B" w:rsidRPr="007D1918" w14:paraId="666AB14C"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565" w:type="dxa"/>
            <w:tcBorders>
              <w:bottom w:val="single" w:sz="4" w:space="0" w:color="auto"/>
            </w:tcBorders>
          </w:tcPr>
          <w:p w14:paraId="4B00CE2E" w14:textId="77777777" w:rsidR="00D2504B" w:rsidRPr="007D1918" w:rsidRDefault="00D2504B" w:rsidP="00153384">
            <w:pPr>
              <w:keepNext/>
              <w:spacing w:after="40" w:line="240" w:lineRule="auto"/>
              <w:jc w:val="both"/>
              <w:rPr>
                <w:rFonts w:ascii="Arial Narrow" w:hAnsi="Arial Narrow"/>
                <w:b/>
                <w:sz w:val="20"/>
                <w:szCs w:val="20"/>
              </w:rPr>
            </w:pPr>
            <w:r w:rsidRPr="007D1918">
              <w:rPr>
                <w:rFonts w:ascii="Arial Narrow" w:hAnsi="Arial Narrow"/>
                <w:b/>
                <w:sz w:val="20"/>
                <w:szCs w:val="20"/>
              </w:rPr>
              <w:t>Resources</w:t>
            </w:r>
          </w:p>
        </w:tc>
        <w:tc>
          <w:tcPr>
            <w:tcW w:w="2126" w:type="dxa"/>
            <w:tcBorders>
              <w:bottom w:val="single" w:sz="4" w:space="0" w:color="auto"/>
            </w:tcBorders>
          </w:tcPr>
          <w:p w14:paraId="78F296CB"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2127" w:type="dxa"/>
            <w:tcBorders>
              <w:bottom w:val="single" w:sz="4" w:space="0" w:color="auto"/>
            </w:tcBorders>
          </w:tcPr>
          <w:p w14:paraId="0D8FF305"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r>
      <w:tr w:rsidR="00D2504B" w:rsidRPr="007D1918" w14:paraId="09E59EA7" w14:textId="77777777" w:rsidTr="00153384">
        <w:tc>
          <w:tcPr>
            <w:tcW w:w="4565" w:type="dxa"/>
          </w:tcPr>
          <w:p w14:paraId="2620B070"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IVIg product</w:t>
            </w:r>
          </w:p>
        </w:tc>
        <w:tc>
          <w:tcPr>
            <w:tcW w:w="2126" w:type="dxa"/>
            <w:tcBorders>
              <w:top w:val="single" w:sz="4" w:space="0" w:color="auto"/>
              <w:bottom w:val="single" w:sz="4" w:space="0" w:color="auto"/>
            </w:tcBorders>
          </w:tcPr>
          <w:p w14:paraId="4F1D8DE1"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162g</w:t>
            </w:r>
          </w:p>
        </w:tc>
        <w:tc>
          <w:tcPr>
            <w:tcW w:w="2127" w:type="dxa"/>
            <w:tcBorders>
              <w:top w:val="single" w:sz="4" w:space="0" w:color="auto"/>
              <w:bottom w:val="single" w:sz="4" w:space="0" w:color="auto"/>
            </w:tcBorders>
          </w:tcPr>
          <w:p w14:paraId="3BD8DEBC" w14:textId="77777777" w:rsidR="00D2504B" w:rsidRPr="007D1918" w:rsidRDefault="00D2504B" w:rsidP="00153384">
            <w:pPr>
              <w:spacing w:after="40" w:line="240" w:lineRule="auto"/>
              <w:jc w:val="right"/>
              <w:rPr>
                <w:rFonts w:ascii="Arial Narrow" w:hAnsi="Arial Narrow"/>
                <w:sz w:val="20"/>
                <w:szCs w:val="20"/>
              </w:rPr>
            </w:pPr>
          </w:p>
        </w:tc>
      </w:tr>
      <w:tr w:rsidR="00D2504B" w:rsidRPr="007D1918" w14:paraId="51E07DDA" w14:textId="77777777" w:rsidTr="00153384">
        <w:tc>
          <w:tcPr>
            <w:tcW w:w="4565" w:type="dxa"/>
          </w:tcPr>
          <w:p w14:paraId="490423AA"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PE replacement fluid (Albumin 4%)</w:t>
            </w:r>
          </w:p>
        </w:tc>
        <w:tc>
          <w:tcPr>
            <w:tcW w:w="2126" w:type="dxa"/>
            <w:tcBorders>
              <w:top w:val="single" w:sz="4" w:space="0" w:color="auto"/>
              <w:bottom w:val="single" w:sz="4" w:space="0" w:color="auto"/>
            </w:tcBorders>
          </w:tcPr>
          <w:p w14:paraId="3ED91709" w14:textId="77777777" w:rsidR="00D2504B" w:rsidRPr="007D1918" w:rsidRDefault="00D2504B" w:rsidP="00153384">
            <w:pPr>
              <w:spacing w:after="40" w:line="240" w:lineRule="auto"/>
              <w:jc w:val="right"/>
              <w:rPr>
                <w:rFonts w:ascii="Arial Narrow" w:hAnsi="Arial Narrow"/>
                <w:sz w:val="20"/>
                <w:szCs w:val="20"/>
              </w:rPr>
            </w:pPr>
          </w:p>
        </w:tc>
        <w:tc>
          <w:tcPr>
            <w:tcW w:w="2127" w:type="dxa"/>
            <w:tcBorders>
              <w:top w:val="single" w:sz="4" w:space="0" w:color="auto"/>
              <w:bottom w:val="single" w:sz="4" w:space="0" w:color="auto"/>
            </w:tcBorders>
          </w:tcPr>
          <w:p w14:paraId="29558BCA"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5L</w:t>
            </w:r>
          </w:p>
        </w:tc>
      </w:tr>
      <w:tr w:rsidR="00D2504B" w:rsidRPr="007D1918" w14:paraId="6492FAD3" w14:textId="77777777" w:rsidTr="00153384">
        <w:tc>
          <w:tcPr>
            <w:tcW w:w="4565" w:type="dxa"/>
          </w:tcPr>
          <w:p w14:paraId="2C48FA40"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Outpatient Tx administrations (pre-admission)</w:t>
            </w:r>
          </w:p>
        </w:tc>
        <w:tc>
          <w:tcPr>
            <w:tcW w:w="2126" w:type="dxa"/>
            <w:tcBorders>
              <w:top w:val="single" w:sz="4" w:space="0" w:color="auto"/>
              <w:bottom w:val="single" w:sz="4" w:space="0" w:color="auto"/>
            </w:tcBorders>
          </w:tcPr>
          <w:p w14:paraId="06B52BDD"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2</w:t>
            </w:r>
          </w:p>
        </w:tc>
        <w:tc>
          <w:tcPr>
            <w:tcW w:w="2127" w:type="dxa"/>
            <w:tcBorders>
              <w:top w:val="single" w:sz="4" w:space="0" w:color="auto"/>
              <w:bottom w:val="single" w:sz="4" w:space="0" w:color="auto"/>
            </w:tcBorders>
          </w:tcPr>
          <w:p w14:paraId="6F60831E"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5</w:t>
            </w:r>
          </w:p>
        </w:tc>
      </w:tr>
      <w:tr w:rsidR="00D2504B" w:rsidRPr="007D1918" w14:paraId="412DA58E" w14:textId="77777777" w:rsidTr="00153384">
        <w:tc>
          <w:tcPr>
            <w:tcW w:w="4565" w:type="dxa"/>
          </w:tcPr>
          <w:p w14:paraId="75AD6444"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Thymectomy Operating Theatre costs</w:t>
            </w:r>
          </w:p>
        </w:tc>
        <w:tc>
          <w:tcPr>
            <w:tcW w:w="2126" w:type="dxa"/>
            <w:tcBorders>
              <w:top w:val="single" w:sz="4" w:space="0" w:color="auto"/>
              <w:bottom w:val="single" w:sz="4" w:space="0" w:color="auto"/>
            </w:tcBorders>
          </w:tcPr>
          <w:p w14:paraId="17EC68F6"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w:t>
            </w:r>
          </w:p>
        </w:tc>
        <w:tc>
          <w:tcPr>
            <w:tcW w:w="2127" w:type="dxa"/>
            <w:tcBorders>
              <w:top w:val="single" w:sz="4" w:space="0" w:color="auto"/>
              <w:bottom w:val="single" w:sz="4" w:space="0" w:color="auto"/>
            </w:tcBorders>
          </w:tcPr>
          <w:p w14:paraId="63835A57"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1.17</w:t>
            </w:r>
          </w:p>
        </w:tc>
      </w:tr>
      <w:tr w:rsidR="00D2504B" w:rsidRPr="007D1918" w14:paraId="56010F1A" w14:textId="77777777" w:rsidTr="00153384">
        <w:tc>
          <w:tcPr>
            <w:tcW w:w="4565" w:type="dxa"/>
          </w:tcPr>
          <w:p w14:paraId="0F350C49"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Other hospitalisation (for surgery) costs</w:t>
            </w:r>
          </w:p>
        </w:tc>
        <w:tc>
          <w:tcPr>
            <w:tcW w:w="2126" w:type="dxa"/>
            <w:tcBorders>
              <w:top w:val="single" w:sz="4" w:space="0" w:color="auto"/>
              <w:bottom w:val="single" w:sz="4" w:space="0" w:color="auto"/>
            </w:tcBorders>
          </w:tcPr>
          <w:p w14:paraId="0124FBE1"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w:t>
            </w:r>
          </w:p>
        </w:tc>
        <w:tc>
          <w:tcPr>
            <w:tcW w:w="2127" w:type="dxa"/>
            <w:tcBorders>
              <w:top w:val="single" w:sz="4" w:space="0" w:color="auto"/>
              <w:bottom w:val="single" w:sz="4" w:space="0" w:color="auto"/>
            </w:tcBorders>
          </w:tcPr>
          <w:p w14:paraId="02DF926D"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w:t>
            </w:r>
          </w:p>
        </w:tc>
      </w:tr>
    </w:tbl>
    <w:p w14:paraId="01AD43EF" w14:textId="77777777" w:rsidR="00D2504B" w:rsidRPr="007D1918" w:rsidRDefault="00D2504B" w:rsidP="00D2504B">
      <w:pPr>
        <w:jc w:val="both"/>
      </w:pPr>
    </w:p>
    <w:p w14:paraId="6F13C6C4" w14:textId="77777777" w:rsidR="00D2504B" w:rsidRPr="007D1918" w:rsidRDefault="00D2504B" w:rsidP="00D2504B">
      <w:pPr>
        <w:pStyle w:val="Caption"/>
        <w:keepNext/>
        <w:jc w:val="both"/>
      </w:pPr>
      <w:bookmarkStart w:id="639" w:name="_Toc15562012"/>
      <w:bookmarkStart w:id="640" w:name="_Toc23769600"/>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113</w:t>
      </w:r>
      <w:r w:rsidRPr="007D1918">
        <w:rPr>
          <w:noProof/>
        </w:rPr>
        <w:fldChar w:fldCharType="end"/>
      </w:r>
      <w:r w:rsidRPr="007D1918">
        <w:t xml:space="preserve"> </w:t>
      </w:r>
      <w:r w:rsidRPr="007D1918">
        <w:tab/>
        <w:t>Indication 2 Stepped analysis resource use (base case)</w:t>
      </w:r>
      <w:bookmarkEnd w:id="639"/>
      <w:bookmarkEnd w:id="640"/>
    </w:p>
    <w:tbl>
      <w:tblPr>
        <w:tblStyle w:val="TableGrid2"/>
        <w:tblW w:w="8818"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4565"/>
        <w:gridCol w:w="2126"/>
        <w:gridCol w:w="2127"/>
      </w:tblGrid>
      <w:tr w:rsidR="00D2504B" w:rsidRPr="007D1918" w14:paraId="297736C8"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4565" w:type="dxa"/>
            <w:tcBorders>
              <w:bottom w:val="single" w:sz="4" w:space="0" w:color="auto"/>
            </w:tcBorders>
          </w:tcPr>
          <w:p w14:paraId="64BD4E15" w14:textId="77777777" w:rsidR="00D2504B" w:rsidRPr="007D1918" w:rsidRDefault="00D2504B" w:rsidP="00153384">
            <w:pPr>
              <w:keepNext/>
              <w:spacing w:after="40" w:line="240" w:lineRule="auto"/>
              <w:jc w:val="both"/>
              <w:rPr>
                <w:rFonts w:ascii="Arial Narrow" w:hAnsi="Arial Narrow"/>
                <w:b/>
                <w:sz w:val="20"/>
                <w:szCs w:val="20"/>
              </w:rPr>
            </w:pPr>
            <w:r w:rsidRPr="007D1918">
              <w:rPr>
                <w:rFonts w:ascii="Arial Narrow" w:hAnsi="Arial Narrow"/>
                <w:b/>
                <w:sz w:val="20"/>
                <w:szCs w:val="20"/>
              </w:rPr>
              <w:t>Resources</w:t>
            </w:r>
          </w:p>
        </w:tc>
        <w:tc>
          <w:tcPr>
            <w:tcW w:w="2126" w:type="dxa"/>
            <w:tcBorders>
              <w:bottom w:val="single" w:sz="4" w:space="0" w:color="auto"/>
            </w:tcBorders>
          </w:tcPr>
          <w:p w14:paraId="4D69565E"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IVIg</w:t>
            </w:r>
          </w:p>
        </w:tc>
        <w:tc>
          <w:tcPr>
            <w:tcW w:w="2127" w:type="dxa"/>
            <w:tcBorders>
              <w:bottom w:val="single" w:sz="4" w:space="0" w:color="auto"/>
            </w:tcBorders>
          </w:tcPr>
          <w:p w14:paraId="5D232CB6" w14:textId="77777777" w:rsidR="00D2504B" w:rsidRPr="007D1918" w:rsidRDefault="00D2504B" w:rsidP="00153384">
            <w:pPr>
              <w:keepNext/>
              <w:spacing w:after="40" w:line="240" w:lineRule="auto"/>
              <w:jc w:val="center"/>
              <w:rPr>
                <w:rFonts w:ascii="Arial Narrow" w:hAnsi="Arial Narrow"/>
                <w:b/>
                <w:sz w:val="20"/>
                <w:szCs w:val="20"/>
              </w:rPr>
            </w:pPr>
            <w:r w:rsidRPr="007D1918">
              <w:rPr>
                <w:rFonts w:ascii="Arial Narrow" w:hAnsi="Arial Narrow"/>
                <w:b/>
                <w:sz w:val="20"/>
                <w:szCs w:val="20"/>
              </w:rPr>
              <w:t>PE</w:t>
            </w:r>
          </w:p>
        </w:tc>
      </w:tr>
      <w:tr w:rsidR="00D2504B" w:rsidRPr="007D1918" w14:paraId="1CDEE2D2" w14:textId="77777777" w:rsidTr="00153384">
        <w:tc>
          <w:tcPr>
            <w:tcW w:w="4565" w:type="dxa"/>
          </w:tcPr>
          <w:p w14:paraId="5D7D6960"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IVIg product</w:t>
            </w:r>
          </w:p>
        </w:tc>
        <w:tc>
          <w:tcPr>
            <w:tcW w:w="2126" w:type="dxa"/>
            <w:tcBorders>
              <w:top w:val="single" w:sz="4" w:space="0" w:color="auto"/>
              <w:bottom w:val="single" w:sz="4" w:space="0" w:color="auto"/>
            </w:tcBorders>
          </w:tcPr>
          <w:p w14:paraId="2F407619"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156g</w:t>
            </w:r>
          </w:p>
        </w:tc>
        <w:tc>
          <w:tcPr>
            <w:tcW w:w="2127" w:type="dxa"/>
            <w:tcBorders>
              <w:top w:val="single" w:sz="4" w:space="0" w:color="auto"/>
              <w:bottom w:val="single" w:sz="4" w:space="0" w:color="auto"/>
            </w:tcBorders>
          </w:tcPr>
          <w:p w14:paraId="56FF57F9" w14:textId="77777777" w:rsidR="00D2504B" w:rsidRPr="007D1918" w:rsidRDefault="00D2504B" w:rsidP="00153384">
            <w:pPr>
              <w:spacing w:after="40" w:line="240" w:lineRule="auto"/>
              <w:jc w:val="right"/>
              <w:rPr>
                <w:rFonts w:ascii="Arial Narrow" w:hAnsi="Arial Narrow"/>
                <w:sz w:val="20"/>
                <w:szCs w:val="20"/>
              </w:rPr>
            </w:pPr>
          </w:p>
        </w:tc>
      </w:tr>
      <w:tr w:rsidR="00D2504B" w:rsidRPr="007D1918" w14:paraId="76A06D20" w14:textId="77777777" w:rsidTr="00153384">
        <w:tc>
          <w:tcPr>
            <w:tcW w:w="4565" w:type="dxa"/>
          </w:tcPr>
          <w:p w14:paraId="2DB05354"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PE replacement fluid (Albumin 4%)</w:t>
            </w:r>
          </w:p>
        </w:tc>
        <w:tc>
          <w:tcPr>
            <w:tcW w:w="2126" w:type="dxa"/>
            <w:tcBorders>
              <w:top w:val="single" w:sz="4" w:space="0" w:color="auto"/>
              <w:bottom w:val="single" w:sz="4" w:space="0" w:color="auto"/>
            </w:tcBorders>
          </w:tcPr>
          <w:p w14:paraId="60798A77" w14:textId="77777777" w:rsidR="00D2504B" w:rsidRPr="007D1918" w:rsidRDefault="00D2504B" w:rsidP="00153384">
            <w:pPr>
              <w:spacing w:after="40" w:line="240" w:lineRule="auto"/>
              <w:jc w:val="right"/>
              <w:rPr>
                <w:rFonts w:ascii="Arial Narrow" w:hAnsi="Arial Narrow"/>
                <w:sz w:val="20"/>
                <w:szCs w:val="20"/>
              </w:rPr>
            </w:pPr>
          </w:p>
        </w:tc>
        <w:tc>
          <w:tcPr>
            <w:tcW w:w="2127" w:type="dxa"/>
            <w:tcBorders>
              <w:top w:val="single" w:sz="4" w:space="0" w:color="auto"/>
              <w:bottom w:val="single" w:sz="4" w:space="0" w:color="auto"/>
            </w:tcBorders>
          </w:tcPr>
          <w:p w14:paraId="31C1E5FA"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5L</w:t>
            </w:r>
          </w:p>
        </w:tc>
      </w:tr>
      <w:tr w:rsidR="00D2504B" w:rsidRPr="007D1918" w14:paraId="5702A5B7" w14:textId="77777777" w:rsidTr="00153384">
        <w:tc>
          <w:tcPr>
            <w:tcW w:w="4565" w:type="dxa"/>
          </w:tcPr>
          <w:p w14:paraId="03876581"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Outpatient Tx administrations (pre-admission)</w:t>
            </w:r>
          </w:p>
        </w:tc>
        <w:tc>
          <w:tcPr>
            <w:tcW w:w="2126" w:type="dxa"/>
            <w:tcBorders>
              <w:top w:val="single" w:sz="4" w:space="0" w:color="auto"/>
              <w:bottom w:val="single" w:sz="4" w:space="0" w:color="auto"/>
            </w:tcBorders>
          </w:tcPr>
          <w:p w14:paraId="7C4DC985"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2</w:t>
            </w:r>
          </w:p>
        </w:tc>
        <w:tc>
          <w:tcPr>
            <w:tcW w:w="2127" w:type="dxa"/>
            <w:tcBorders>
              <w:top w:val="single" w:sz="4" w:space="0" w:color="auto"/>
              <w:bottom w:val="single" w:sz="4" w:space="0" w:color="auto"/>
            </w:tcBorders>
          </w:tcPr>
          <w:p w14:paraId="4F38F458"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5</w:t>
            </w:r>
          </w:p>
        </w:tc>
      </w:tr>
      <w:tr w:rsidR="00D2504B" w:rsidRPr="007D1918" w14:paraId="7AF7A1D7" w14:textId="77777777" w:rsidTr="00153384">
        <w:tc>
          <w:tcPr>
            <w:tcW w:w="4565" w:type="dxa"/>
          </w:tcPr>
          <w:p w14:paraId="1B9C3DD7"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Thymectomy Operating Theatre costs</w:t>
            </w:r>
          </w:p>
        </w:tc>
        <w:tc>
          <w:tcPr>
            <w:tcW w:w="2126" w:type="dxa"/>
            <w:tcBorders>
              <w:top w:val="single" w:sz="4" w:space="0" w:color="auto"/>
              <w:bottom w:val="single" w:sz="4" w:space="0" w:color="auto"/>
            </w:tcBorders>
          </w:tcPr>
          <w:p w14:paraId="53FD2B35"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w:t>
            </w:r>
          </w:p>
        </w:tc>
        <w:tc>
          <w:tcPr>
            <w:tcW w:w="2127" w:type="dxa"/>
            <w:tcBorders>
              <w:top w:val="single" w:sz="4" w:space="0" w:color="auto"/>
              <w:bottom w:val="single" w:sz="4" w:space="0" w:color="auto"/>
            </w:tcBorders>
          </w:tcPr>
          <w:p w14:paraId="326F82BF"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1.17</w:t>
            </w:r>
          </w:p>
        </w:tc>
      </w:tr>
      <w:tr w:rsidR="00D2504B" w:rsidRPr="007D1918" w14:paraId="7CB39D38" w14:textId="77777777" w:rsidTr="00153384">
        <w:tc>
          <w:tcPr>
            <w:tcW w:w="4565" w:type="dxa"/>
          </w:tcPr>
          <w:p w14:paraId="0908A7C0" w14:textId="77777777" w:rsidR="00D2504B" w:rsidRPr="007D1918" w:rsidRDefault="00D2504B" w:rsidP="00153384">
            <w:pPr>
              <w:spacing w:after="40" w:line="240" w:lineRule="auto"/>
              <w:ind w:left="205"/>
              <w:jc w:val="both"/>
              <w:rPr>
                <w:rFonts w:ascii="Arial Narrow" w:hAnsi="Arial Narrow"/>
                <w:sz w:val="20"/>
                <w:szCs w:val="20"/>
              </w:rPr>
            </w:pPr>
            <w:r w:rsidRPr="007D1918">
              <w:rPr>
                <w:rFonts w:ascii="Arial Narrow" w:hAnsi="Arial Narrow"/>
                <w:sz w:val="20"/>
                <w:szCs w:val="20"/>
              </w:rPr>
              <w:t>Other hospitalisation (for surgery) costs</w:t>
            </w:r>
          </w:p>
        </w:tc>
        <w:tc>
          <w:tcPr>
            <w:tcW w:w="2126" w:type="dxa"/>
            <w:tcBorders>
              <w:top w:val="single" w:sz="4" w:space="0" w:color="auto"/>
              <w:bottom w:val="single" w:sz="4" w:space="0" w:color="auto"/>
            </w:tcBorders>
          </w:tcPr>
          <w:p w14:paraId="2C1820EE"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w:t>
            </w:r>
          </w:p>
        </w:tc>
        <w:tc>
          <w:tcPr>
            <w:tcW w:w="2127" w:type="dxa"/>
            <w:tcBorders>
              <w:top w:val="single" w:sz="4" w:space="0" w:color="auto"/>
              <w:bottom w:val="single" w:sz="4" w:space="0" w:color="auto"/>
            </w:tcBorders>
          </w:tcPr>
          <w:p w14:paraId="34B41C6F" w14:textId="77777777" w:rsidR="00D2504B" w:rsidRPr="007D1918" w:rsidRDefault="00D2504B" w:rsidP="00153384">
            <w:pPr>
              <w:spacing w:after="40" w:line="240" w:lineRule="auto"/>
              <w:jc w:val="right"/>
              <w:rPr>
                <w:rFonts w:ascii="Arial Narrow" w:hAnsi="Arial Narrow"/>
                <w:sz w:val="20"/>
                <w:szCs w:val="20"/>
              </w:rPr>
            </w:pPr>
            <w:r w:rsidRPr="007D1918">
              <w:rPr>
                <w:rFonts w:ascii="Arial Narrow" w:hAnsi="Arial Narrow"/>
                <w:sz w:val="20"/>
                <w:szCs w:val="20"/>
              </w:rPr>
              <w:t>1</w:t>
            </w:r>
          </w:p>
        </w:tc>
      </w:tr>
    </w:tbl>
    <w:p w14:paraId="11A377D0" w14:textId="77777777" w:rsidR="00D2504B" w:rsidRPr="007D1918" w:rsidRDefault="00D2504B" w:rsidP="00D2504B">
      <w:pPr>
        <w:jc w:val="both"/>
      </w:pPr>
    </w:p>
    <w:p w14:paraId="473833D0" w14:textId="77777777" w:rsidR="00D2504B" w:rsidRPr="007D1918" w:rsidRDefault="00D2504B" w:rsidP="00D2504B">
      <w:pPr>
        <w:jc w:val="both"/>
        <w:sectPr w:rsidR="00D2504B" w:rsidRPr="007D1918" w:rsidSect="00945DB8">
          <w:headerReference w:type="even" r:id="rId78"/>
          <w:headerReference w:type="default" r:id="rId79"/>
          <w:footerReference w:type="even" r:id="rId80"/>
          <w:headerReference w:type="first" r:id="rId81"/>
          <w:pgSz w:w="11906" w:h="16838"/>
          <w:pgMar w:top="1440" w:right="1440" w:bottom="1440" w:left="1440" w:header="720" w:footer="720" w:gutter="0"/>
          <w:paperSrc w:first="7" w:other="7"/>
          <w:cols w:space="720"/>
          <w:docGrid w:linePitch="360"/>
        </w:sectPr>
      </w:pPr>
    </w:p>
    <w:p w14:paraId="522896D1" w14:textId="77777777" w:rsidR="00D2504B" w:rsidRPr="007D1918" w:rsidRDefault="00D2504B" w:rsidP="00D2504B">
      <w:pPr>
        <w:jc w:val="both"/>
      </w:pPr>
    </w:p>
    <w:p w14:paraId="7A2EAB1C" w14:textId="77777777" w:rsidR="00D2504B" w:rsidRPr="007D1918" w:rsidRDefault="00D2504B" w:rsidP="00D2504B">
      <w:pPr>
        <w:pStyle w:val="Caption"/>
        <w:keepNext/>
        <w:jc w:val="both"/>
      </w:pPr>
      <w:bookmarkStart w:id="641" w:name="_Toc15562013"/>
      <w:bookmarkStart w:id="642" w:name="_Toc23769601"/>
      <w:r w:rsidRPr="007D1918">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114</w:t>
      </w:r>
      <w:r w:rsidRPr="007D1918">
        <w:rPr>
          <w:noProof/>
        </w:rPr>
        <w:fldChar w:fldCharType="end"/>
      </w:r>
      <w:r w:rsidRPr="007D1918">
        <w:t xml:space="preserve"> </w:t>
      </w:r>
      <w:r w:rsidRPr="007D1918">
        <w:tab/>
        <w:t>Indication 3 Stepped analysis resource use (base case)</w:t>
      </w:r>
      <w:bookmarkEnd w:id="641"/>
      <w:bookmarkEnd w:id="642"/>
    </w:p>
    <w:tbl>
      <w:tblPr>
        <w:tblStyle w:val="TableGrid2"/>
        <w:tblW w:w="13840"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1021"/>
        <w:gridCol w:w="1134"/>
        <w:gridCol w:w="1461"/>
        <w:gridCol w:w="1278"/>
        <w:gridCol w:w="1278"/>
        <w:gridCol w:w="1278"/>
        <w:gridCol w:w="1278"/>
        <w:gridCol w:w="1278"/>
        <w:gridCol w:w="1278"/>
        <w:gridCol w:w="1278"/>
        <w:gridCol w:w="1278"/>
      </w:tblGrid>
      <w:tr w:rsidR="00D2504B" w:rsidRPr="007D1918" w14:paraId="0158B26F"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1021" w:type="dxa"/>
            <w:tcBorders>
              <w:bottom w:val="single" w:sz="4" w:space="0" w:color="auto"/>
            </w:tcBorders>
          </w:tcPr>
          <w:p w14:paraId="6B67538B" w14:textId="77777777" w:rsidR="00D2504B" w:rsidRPr="007D1918" w:rsidRDefault="00D2504B" w:rsidP="00153384">
            <w:pPr>
              <w:keepNext/>
              <w:spacing w:after="40" w:line="240" w:lineRule="auto"/>
              <w:jc w:val="both"/>
              <w:rPr>
                <w:rFonts w:ascii="Arial Narrow" w:hAnsi="Arial Narrow"/>
                <w:b/>
                <w:sz w:val="16"/>
                <w:szCs w:val="16"/>
              </w:rPr>
            </w:pPr>
            <w:r w:rsidRPr="007D1918">
              <w:rPr>
                <w:rFonts w:ascii="Arial Narrow" w:hAnsi="Arial Narrow"/>
                <w:b/>
                <w:sz w:val="16"/>
                <w:szCs w:val="16"/>
              </w:rPr>
              <w:t>Year</w:t>
            </w:r>
          </w:p>
        </w:tc>
        <w:tc>
          <w:tcPr>
            <w:tcW w:w="1134" w:type="dxa"/>
            <w:tcBorders>
              <w:bottom w:val="single" w:sz="4" w:space="0" w:color="auto"/>
            </w:tcBorders>
          </w:tcPr>
          <w:p w14:paraId="75FCFDCB"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Resource Type</w:t>
            </w:r>
          </w:p>
        </w:tc>
        <w:tc>
          <w:tcPr>
            <w:tcW w:w="1461" w:type="dxa"/>
            <w:tcBorders>
              <w:bottom w:val="single" w:sz="4" w:space="0" w:color="auto"/>
            </w:tcBorders>
          </w:tcPr>
          <w:p w14:paraId="05A15028"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IVIg</w:t>
            </w:r>
          </w:p>
        </w:tc>
        <w:tc>
          <w:tcPr>
            <w:tcW w:w="1278" w:type="dxa"/>
            <w:tcBorders>
              <w:bottom w:val="single" w:sz="4" w:space="0" w:color="auto"/>
            </w:tcBorders>
          </w:tcPr>
          <w:p w14:paraId="188CC84E" w14:textId="77777777" w:rsidR="00D2504B" w:rsidRPr="007D1918" w:rsidRDefault="00D2504B" w:rsidP="00153384">
            <w:pPr>
              <w:keepNext/>
              <w:spacing w:after="40" w:line="240" w:lineRule="auto"/>
              <w:jc w:val="center"/>
              <w:rPr>
                <w:rFonts w:ascii="Arial Narrow" w:hAnsi="Arial Narrow"/>
                <w:b/>
                <w:sz w:val="16"/>
                <w:szCs w:val="16"/>
              </w:rPr>
            </w:pPr>
          </w:p>
        </w:tc>
        <w:tc>
          <w:tcPr>
            <w:tcW w:w="1278" w:type="dxa"/>
            <w:tcBorders>
              <w:bottom w:val="single" w:sz="4" w:space="0" w:color="auto"/>
            </w:tcBorders>
          </w:tcPr>
          <w:p w14:paraId="6BED0D88" w14:textId="77777777" w:rsidR="00D2504B" w:rsidRPr="007D1918" w:rsidRDefault="00D2504B" w:rsidP="00153384">
            <w:pPr>
              <w:keepNext/>
              <w:spacing w:after="40" w:line="240" w:lineRule="auto"/>
              <w:jc w:val="center"/>
              <w:rPr>
                <w:rFonts w:ascii="Arial Narrow" w:hAnsi="Arial Narrow"/>
                <w:b/>
                <w:sz w:val="16"/>
                <w:szCs w:val="16"/>
              </w:rPr>
            </w:pPr>
          </w:p>
        </w:tc>
        <w:tc>
          <w:tcPr>
            <w:tcW w:w="1278" w:type="dxa"/>
            <w:tcBorders>
              <w:bottom w:val="single" w:sz="4" w:space="0" w:color="auto"/>
            </w:tcBorders>
          </w:tcPr>
          <w:p w14:paraId="002D1944"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PE</w:t>
            </w:r>
          </w:p>
        </w:tc>
        <w:tc>
          <w:tcPr>
            <w:tcW w:w="1278" w:type="dxa"/>
            <w:tcBorders>
              <w:bottom w:val="single" w:sz="4" w:space="0" w:color="auto"/>
            </w:tcBorders>
          </w:tcPr>
          <w:p w14:paraId="5D2EE6BF" w14:textId="77777777" w:rsidR="00D2504B" w:rsidRPr="007D1918" w:rsidRDefault="00D2504B" w:rsidP="00153384">
            <w:pPr>
              <w:keepNext/>
              <w:spacing w:after="40" w:line="240" w:lineRule="auto"/>
              <w:jc w:val="center"/>
              <w:rPr>
                <w:rFonts w:ascii="Arial Narrow" w:hAnsi="Arial Narrow"/>
                <w:b/>
                <w:sz w:val="16"/>
                <w:szCs w:val="16"/>
              </w:rPr>
            </w:pPr>
          </w:p>
        </w:tc>
        <w:tc>
          <w:tcPr>
            <w:tcW w:w="1278" w:type="dxa"/>
            <w:tcBorders>
              <w:bottom w:val="single" w:sz="4" w:space="0" w:color="auto"/>
            </w:tcBorders>
          </w:tcPr>
          <w:p w14:paraId="6B570B32"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Surgery</w:t>
            </w:r>
          </w:p>
        </w:tc>
        <w:tc>
          <w:tcPr>
            <w:tcW w:w="1278" w:type="dxa"/>
            <w:tcBorders>
              <w:bottom w:val="single" w:sz="4" w:space="0" w:color="auto"/>
            </w:tcBorders>
          </w:tcPr>
          <w:p w14:paraId="05557547"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Cyclophosphamide</w:t>
            </w:r>
          </w:p>
        </w:tc>
        <w:tc>
          <w:tcPr>
            <w:tcW w:w="1278" w:type="dxa"/>
            <w:tcBorders>
              <w:bottom w:val="single" w:sz="4" w:space="0" w:color="auto"/>
            </w:tcBorders>
          </w:tcPr>
          <w:p w14:paraId="3A80DEDD"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Rituximab</w:t>
            </w:r>
          </w:p>
        </w:tc>
        <w:tc>
          <w:tcPr>
            <w:tcW w:w="1278" w:type="dxa"/>
            <w:tcBorders>
              <w:bottom w:val="single" w:sz="4" w:space="0" w:color="auto"/>
            </w:tcBorders>
          </w:tcPr>
          <w:p w14:paraId="7CF2955B"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All other pharmaceuticals</w:t>
            </w:r>
          </w:p>
        </w:tc>
      </w:tr>
      <w:tr w:rsidR="00D2504B" w:rsidRPr="007D1918" w14:paraId="222A14C7"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1021" w:type="dxa"/>
            <w:tcBorders>
              <w:bottom w:val="single" w:sz="4" w:space="0" w:color="auto"/>
            </w:tcBorders>
          </w:tcPr>
          <w:p w14:paraId="42C1EEDE" w14:textId="77777777" w:rsidR="00D2504B" w:rsidRPr="007D1918" w:rsidRDefault="00D2504B" w:rsidP="00153384">
            <w:pPr>
              <w:keepNext/>
              <w:spacing w:after="40" w:line="240" w:lineRule="auto"/>
              <w:jc w:val="both"/>
              <w:rPr>
                <w:rFonts w:ascii="Arial Narrow" w:hAnsi="Arial Narrow"/>
                <w:b/>
                <w:sz w:val="16"/>
                <w:szCs w:val="16"/>
              </w:rPr>
            </w:pPr>
          </w:p>
        </w:tc>
        <w:tc>
          <w:tcPr>
            <w:tcW w:w="1134" w:type="dxa"/>
            <w:tcBorders>
              <w:bottom w:val="single" w:sz="4" w:space="0" w:color="auto"/>
            </w:tcBorders>
          </w:tcPr>
          <w:p w14:paraId="24F58A60" w14:textId="77777777" w:rsidR="00D2504B" w:rsidRPr="007D1918" w:rsidRDefault="00D2504B" w:rsidP="00153384">
            <w:pPr>
              <w:keepNext/>
              <w:spacing w:after="40" w:line="240" w:lineRule="auto"/>
              <w:jc w:val="center"/>
              <w:rPr>
                <w:rFonts w:ascii="Arial Narrow" w:hAnsi="Arial Narrow"/>
                <w:b/>
                <w:sz w:val="16"/>
                <w:szCs w:val="16"/>
              </w:rPr>
            </w:pPr>
          </w:p>
        </w:tc>
        <w:tc>
          <w:tcPr>
            <w:tcW w:w="1461" w:type="dxa"/>
            <w:tcBorders>
              <w:bottom w:val="single" w:sz="4" w:space="0" w:color="auto"/>
            </w:tcBorders>
          </w:tcPr>
          <w:p w14:paraId="7ACA4E00"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NBA usage</w:t>
            </w:r>
          </w:p>
        </w:tc>
        <w:tc>
          <w:tcPr>
            <w:tcW w:w="1278" w:type="dxa"/>
            <w:tcBorders>
              <w:bottom w:val="single" w:sz="4" w:space="0" w:color="auto"/>
            </w:tcBorders>
          </w:tcPr>
          <w:p w14:paraId="3E1F60FE"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Low dose</w:t>
            </w:r>
          </w:p>
        </w:tc>
        <w:tc>
          <w:tcPr>
            <w:tcW w:w="1278" w:type="dxa"/>
            <w:tcBorders>
              <w:bottom w:val="single" w:sz="4" w:space="0" w:color="auto"/>
            </w:tcBorders>
          </w:tcPr>
          <w:p w14:paraId="54D8C803"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High dose</w:t>
            </w:r>
          </w:p>
        </w:tc>
        <w:tc>
          <w:tcPr>
            <w:tcW w:w="1278" w:type="dxa"/>
            <w:tcBorders>
              <w:bottom w:val="single" w:sz="4" w:space="0" w:color="auto"/>
            </w:tcBorders>
          </w:tcPr>
          <w:p w14:paraId="1B7E0FD5"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Low intensity maintenance</w:t>
            </w:r>
          </w:p>
        </w:tc>
        <w:tc>
          <w:tcPr>
            <w:tcW w:w="1278" w:type="dxa"/>
            <w:tcBorders>
              <w:bottom w:val="single" w:sz="4" w:space="0" w:color="auto"/>
            </w:tcBorders>
          </w:tcPr>
          <w:p w14:paraId="4E3211B4"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High intensity maintenance</w:t>
            </w:r>
          </w:p>
        </w:tc>
        <w:tc>
          <w:tcPr>
            <w:tcW w:w="1278" w:type="dxa"/>
            <w:tcBorders>
              <w:bottom w:val="single" w:sz="4" w:space="0" w:color="auto"/>
            </w:tcBorders>
          </w:tcPr>
          <w:p w14:paraId="71DE107D" w14:textId="77777777" w:rsidR="00D2504B" w:rsidRPr="007D1918" w:rsidRDefault="00D2504B" w:rsidP="00153384">
            <w:pPr>
              <w:keepNext/>
              <w:spacing w:after="40" w:line="240" w:lineRule="auto"/>
              <w:jc w:val="center"/>
              <w:rPr>
                <w:rFonts w:ascii="Arial Narrow" w:hAnsi="Arial Narrow"/>
                <w:b/>
                <w:sz w:val="16"/>
                <w:szCs w:val="16"/>
              </w:rPr>
            </w:pPr>
          </w:p>
        </w:tc>
        <w:tc>
          <w:tcPr>
            <w:tcW w:w="1278" w:type="dxa"/>
            <w:tcBorders>
              <w:bottom w:val="single" w:sz="4" w:space="0" w:color="auto"/>
            </w:tcBorders>
          </w:tcPr>
          <w:p w14:paraId="6F2B6D0A" w14:textId="77777777" w:rsidR="00D2504B" w:rsidRPr="007D1918" w:rsidRDefault="00D2504B" w:rsidP="00153384">
            <w:pPr>
              <w:keepNext/>
              <w:spacing w:after="40" w:line="240" w:lineRule="auto"/>
              <w:jc w:val="center"/>
              <w:rPr>
                <w:rFonts w:ascii="Arial Narrow" w:hAnsi="Arial Narrow"/>
                <w:b/>
                <w:sz w:val="16"/>
                <w:szCs w:val="16"/>
              </w:rPr>
            </w:pPr>
          </w:p>
        </w:tc>
        <w:tc>
          <w:tcPr>
            <w:tcW w:w="1278" w:type="dxa"/>
            <w:tcBorders>
              <w:bottom w:val="single" w:sz="4" w:space="0" w:color="auto"/>
            </w:tcBorders>
          </w:tcPr>
          <w:p w14:paraId="70030C8B" w14:textId="77777777" w:rsidR="00D2504B" w:rsidRPr="007D1918" w:rsidRDefault="00D2504B" w:rsidP="00153384">
            <w:pPr>
              <w:keepNext/>
              <w:spacing w:after="40" w:line="240" w:lineRule="auto"/>
              <w:jc w:val="center"/>
              <w:rPr>
                <w:rFonts w:ascii="Arial Narrow" w:hAnsi="Arial Narrow"/>
                <w:b/>
                <w:sz w:val="16"/>
                <w:szCs w:val="16"/>
              </w:rPr>
            </w:pPr>
          </w:p>
        </w:tc>
        <w:tc>
          <w:tcPr>
            <w:tcW w:w="1278" w:type="dxa"/>
            <w:tcBorders>
              <w:bottom w:val="single" w:sz="4" w:space="0" w:color="auto"/>
            </w:tcBorders>
          </w:tcPr>
          <w:p w14:paraId="400530B3" w14:textId="77777777" w:rsidR="00D2504B" w:rsidRPr="007D1918" w:rsidRDefault="00D2504B" w:rsidP="00153384">
            <w:pPr>
              <w:keepNext/>
              <w:spacing w:after="40" w:line="240" w:lineRule="auto"/>
              <w:jc w:val="center"/>
              <w:rPr>
                <w:rFonts w:ascii="Arial Narrow" w:hAnsi="Arial Narrow"/>
                <w:b/>
                <w:sz w:val="16"/>
                <w:szCs w:val="16"/>
              </w:rPr>
            </w:pPr>
          </w:p>
        </w:tc>
      </w:tr>
      <w:tr w:rsidR="00D2504B" w:rsidRPr="007D1918" w14:paraId="3D7B3BD5" w14:textId="77777777" w:rsidTr="00153384">
        <w:tc>
          <w:tcPr>
            <w:tcW w:w="1021" w:type="dxa"/>
          </w:tcPr>
          <w:p w14:paraId="436BD04A"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Yr 1</w:t>
            </w:r>
          </w:p>
          <w:p w14:paraId="1A2270FD" w14:textId="77777777" w:rsidR="00D2504B" w:rsidRPr="007D1918" w:rsidRDefault="00D2504B" w:rsidP="00153384">
            <w:pPr>
              <w:spacing w:after="40" w:line="240" w:lineRule="auto"/>
              <w:jc w:val="both"/>
              <w:rPr>
                <w:rFonts w:ascii="Arial Narrow" w:hAnsi="Arial Narrow"/>
                <w:sz w:val="16"/>
                <w:szCs w:val="16"/>
              </w:rPr>
            </w:pPr>
            <w:r w:rsidRPr="007D1918">
              <w:rPr>
                <w:rFonts w:ascii="Arial Narrow" w:hAnsi="Arial Narrow"/>
                <w:b/>
                <w:sz w:val="16"/>
                <w:szCs w:val="16"/>
              </w:rPr>
              <w:t>Induction</w:t>
            </w:r>
          </w:p>
        </w:tc>
        <w:tc>
          <w:tcPr>
            <w:tcW w:w="1134" w:type="dxa"/>
          </w:tcPr>
          <w:p w14:paraId="3655660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Administration</w:t>
            </w:r>
          </w:p>
        </w:tc>
        <w:tc>
          <w:tcPr>
            <w:tcW w:w="1461" w:type="dxa"/>
            <w:tcBorders>
              <w:top w:val="single" w:sz="4" w:space="0" w:color="auto"/>
              <w:bottom w:val="single" w:sz="4" w:space="0" w:color="auto"/>
            </w:tcBorders>
          </w:tcPr>
          <w:p w14:paraId="05385618"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5D4B7CA2"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2</w:t>
            </w:r>
          </w:p>
        </w:tc>
        <w:tc>
          <w:tcPr>
            <w:tcW w:w="1278" w:type="dxa"/>
            <w:tcBorders>
              <w:top w:val="single" w:sz="4" w:space="0" w:color="auto"/>
              <w:bottom w:val="single" w:sz="4" w:space="0" w:color="auto"/>
            </w:tcBorders>
          </w:tcPr>
          <w:p w14:paraId="33F9293F"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2</w:t>
            </w:r>
          </w:p>
        </w:tc>
        <w:tc>
          <w:tcPr>
            <w:tcW w:w="1278" w:type="dxa"/>
            <w:tcBorders>
              <w:top w:val="single" w:sz="4" w:space="0" w:color="auto"/>
              <w:bottom w:val="single" w:sz="4" w:space="0" w:color="auto"/>
            </w:tcBorders>
          </w:tcPr>
          <w:p w14:paraId="78B019EB"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5 exchanges</w:t>
            </w:r>
          </w:p>
        </w:tc>
        <w:tc>
          <w:tcPr>
            <w:tcW w:w="1278" w:type="dxa"/>
            <w:tcBorders>
              <w:top w:val="single" w:sz="4" w:space="0" w:color="auto"/>
              <w:bottom w:val="single" w:sz="4" w:space="0" w:color="auto"/>
            </w:tcBorders>
          </w:tcPr>
          <w:p w14:paraId="16DF49E1"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5 exchanges</w:t>
            </w:r>
          </w:p>
        </w:tc>
        <w:tc>
          <w:tcPr>
            <w:tcW w:w="1278" w:type="dxa"/>
            <w:tcBorders>
              <w:top w:val="single" w:sz="4" w:space="0" w:color="auto"/>
              <w:bottom w:val="single" w:sz="4" w:space="0" w:color="auto"/>
            </w:tcBorders>
          </w:tcPr>
          <w:p w14:paraId="0F21F9CF"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Pre-surgery IVIg or PE (av)</w:t>
            </w:r>
          </w:p>
        </w:tc>
        <w:tc>
          <w:tcPr>
            <w:tcW w:w="1278" w:type="dxa"/>
            <w:tcBorders>
              <w:top w:val="single" w:sz="4" w:space="0" w:color="auto"/>
              <w:bottom w:val="single" w:sz="4" w:space="0" w:color="auto"/>
            </w:tcBorders>
          </w:tcPr>
          <w:p w14:paraId="25792F1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6 chemo admin (4 weekly x 6 months)</w:t>
            </w:r>
          </w:p>
        </w:tc>
        <w:tc>
          <w:tcPr>
            <w:tcW w:w="1278" w:type="dxa"/>
            <w:tcBorders>
              <w:top w:val="single" w:sz="4" w:space="0" w:color="auto"/>
              <w:bottom w:val="single" w:sz="4" w:space="0" w:color="auto"/>
            </w:tcBorders>
          </w:tcPr>
          <w:p w14:paraId="3510B51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2 OPD administrations</w:t>
            </w:r>
          </w:p>
        </w:tc>
        <w:tc>
          <w:tcPr>
            <w:tcW w:w="1278" w:type="dxa"/>
            <w:tcBorders>
              <w:top w:val="single" w:sz="4" w:space="0" w:color="auto"/>
              <w:bottom w:val="single" w:sz="4" w:space="0" w:color="auto"/>
            </w:tcBorders>
          </w:tcPr>
          <w:p w14:paraId="5CFEFEA1" w14:textId="77777777" w:rsidR="00D2504B" w:rsidRPr="007D1918" w:rsidRDefault="00D2504B" w:rsidP="00153384">
            <w:pPr>
              <w:spacing w:after="40" w:line="240" w:lineRule="auto"/>
              <w:rPr>
                <w:rFonts w:ascii="Arial Narrow" w:hAnsi="Arial Narrow"/>
                <w:sz w:val="16"/>
                <w:szCs w:val="16"/>
              </w:rPr>
            </w:pPr>
          </w:p>
        </w:tc>
      </w:tr>
      <w:tr w:rsidR="00D2504B" w:rsidRPr="007D1918" w14:paraId="43DC2C23" w14:textId="77777777" w:rsidTr="00153384">
        <w:trPr>
          <w:tblHeader/>
        </w:trPr>
        <w:tc>
          <w:tcPr>
            <w:tcW w:w="1021" w:type="dxa"/>
            <w:tcBorders>
              <w:bottom w:val="single" w:sz="4" w:space="0" w:color="auto"/>
            </w:tcBorders>
          </w:tcPr>
          <w:p w14:paraId="3BB32FF3" w14:textId="77777777" w:rsidR="00D2504B" w:rsidRPr="007D1918" w:rsidRDefault="00D2504B" w:rsidP="00153384">
            <w:pPr>
              <w:keepNext/>
              <w:spacing w:after="40" w:line="240" w:lineRule="auto"/>
              <w:rPr>
                <w:rFonts w:ascii="Arial Narrow" w:hAnsi="Arial Narrow"/>
                <w:b/>
                <w:sz w:val="16"/>
                <w:szCs w:val="16"/>
              </w:rPr>
            </w:pPr>
          </w:p>
        </w:tc>
        <w:tc>
          <w:tcPr>
            <w:tcW w:w="1134" w:type="dxa"/>
            <w:tcBorders>
              <w:bottom w:val="single" w:sz="4" w:space="0" w:color="auto"/>
            </w:tcBorders>
          </w:tcPr>
          <w:p w14:paraId="64434163" w14:textId="77777777" w:rsidR="00D2504B" w:rsidRPr="007D1918" w:rsidRDefault="00D2504B" w:rsidP="00153384">
            <w:pPr>
              <w:keepNext/>
              <w:spacing w:after="40" w:line="240" w:lineRule="auto"/>
              <w:rPr>
                <w:rFonts w:ascii="Arial Narrow" w:hAnsi="Arial Narrow"/>
                <w:sz w:val="16"/>
                <w:szCs w:val="16"/>
              </w:rPr>
            </w:pPr>
            <w:r w:rsidRPr="007D1918">
              <w:rPr>
                <w:rFonts w:ascii="Arial Narrow" w:hAnsi="Arial Narrow"/>
                <w:sz w:val="16"/>
                <w:szCs w:val="16"/>
              </w:rPr>
              <w:t>Procurement</w:t>
            </w:r>
          </w:p>
        </w:tc>
        <w:tc>
          <w:tcPr>
            <w:tcW w:w="1461" w:type="dxa"/>
            <w:tcBorders>
              <w:bottom w:val="single" w:sz="4" w:space="0" w:color="auto"/>
            </w:tcBorders>
          </w:tcPr>
          <w:p w14:paraId="03305114"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bottom w:val="single" w:sz="4" w:space="0" w:color="auto"/>
            </w:tcBorders>
          </w:tcPr>
          <w:p w14:paraId="6FA32522"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2 x 81g = 162g IVIg</w:t>
            </w:r>
          </w:p>
        </w:tc>
        <w:tc>
          <w:tcPr>
            <w:tcW w:w="1278" w:type="dxa"/>
            <w:tcBorders>
              <w:bottom w:val="single" w:sz="4" w:space="0" w:color="auto"/>
            </w:tcBorders>
          </w:tcPr>
          <w:p w14:paraId="60D48462"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2 x 81g = 162g IVIg</w:t>
            </w:r>
          </w:p>
        </w:tc>
        <w:tc>
          <w:tcPr>
            <w:tcW w:w="1278" w:type="dxa"/>
            <w:tcBorders>
              <w:bottom w:val="single" w:sz="4" w:space="0" w:color="auto"/>
            </w:tcBorders>
          </w:tcPr>
          <w:p w14:paraId="53E79E42"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3L x 5 exchanges = 15L Albumin 4%</w:t>
            </w:r>
          </w:p>
        </w:tc>
        <w:tc>
          <w:tcPr>
            <w:tcW w:w="1278" w:type="dxa"/>
            <w:tcBorders>
              <w:bottom w:val="single" w:sz="4" w:space="0" w:color="auto"/>
            </w:tcBorders>
          </w:tcPr>
          <w:p w14:paraId="77AF3113"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3L x 5 exchanges = 15L Albumin 4%</w:t>
            </w:r>
          </w:p>
        </w:tc>
        <w:tc>
          <w:tcPr>
            <w:tcW w:w="1278" w:type="dxa"/>
            <w:tcBorders>
              <w:bottom w:val="single" w:sz="4" w:space="0" w:color="auto"/>
            </w:tcBorders>
          </w:tcPr>
          <w:p w14:paraId="16FAA3B6" w14:textId="77777777" w:rsidR="00D2504B" w:rsidRPr="007D1918" w:rsidRDefault="00D2504B" w:rsidP="00153384">
            <w:pPr>
              <w:keepNext/>
              <w:spacing w:after="40" w:line="240" w:lineRule="auto"/>
              <w:jc w:val="center"/>
              <w:rPr>
                <w:rFonts w:ascii="Arial Narrow" w:hAnsi="Arial Narrow"/>
                <w:sz w:val="16"/>
                <w:szCs w:val="16"/>
              </w:rPr>
            </w:pPr>
          </w:p>
        </w:tc>
        <w:tc>
          <w:tcPr>
            <w:tcW w:w="1278" w:type="dxa"/>
            <w:tcBorders>
              <w:bottom w:val="single" w:sz="4" w:space="0" w:color="auto"/>
            </w:tcBorders>
          </w:tcPr>
          <w:p w14:paraId="28672FB2"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6 x 2g vials</w:t>
            </w:r>
          </w:p>
        </w:tc>
        <w:tc>
          <w:tcPr>
            <w:tcW w:w="1278" w:type="dxa"/>
            <w:tcBorders>
              <w:bottom w:val="single" w:sz="4" w:space="0" w:color="auto"/>
            </w:tcBorders>
          </w:tcPr>
          <w:p w14:paraId="199D8A72"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1g x2</w:t>
            </w:r>
          </w:p>
        </w:tc>
        <w:tc>
          <w:tcPr>
            <w:tcW w:w="1278" w:type="dxa"/>
            <w:tcBorders>
              <w:top w:val="single" w:sz="4" w:space="0" w:color="auto"/>
              <w:bottom w:val="single" w:sz="4" w:space="0" w:color="auto"/>
            </w:tcBorders>
          </w:tcPr>
          <w:p w14:paraId="4BD4F587"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dose*</w:t>
            </w:r>
          </w:p>
        </w:tc>
      </w:tr>
      <w:tr w:rsidR="00D2504B" w:rsidRPr="007D1918" w14:paraId="5827DBAD" w14:textId="77777777" w:rsidTr="00153384">
        <w:tc>
          <w:tcPr>
            <w:tcW w:w="1021" w:type="dxa"/>
          </w:tcPr>
          <w:p w14:paraId="70960A5C" w14:textId="77777777" w:rsidR="00D2504B" w:rsidRPr="007D1918" w:rsidRDefault="00D2504B" w:rsidP="00153384">
            <w:pPr>
              <w:spacing w:after="40" w:line="240" w:lineRule="auto"/>
              <w:jc w:val="both"/>
              <w:rPr>
                <w:rFonts w:ascii="Arial Narrow" w:hAnsi="Arial Narrow"/>
                <w:sz w:val="16"/>
                <w:szCs w:val="16"/>
              </w:rPr>
            </w:pPr>
          </w:p>
        </w:tc>
        <w:tc>
          <w:tcPr>
            <w:tcW w:w="1134" w:type="dxa"/>
          </w:tcPr>
          <w:p w14:paraId="47186ED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Procedures</w:t>
            </w:r>
          </w:p>
        </w:tc>
        <w:tc>
          <w:tcPr>
            <w:tcW w:w="1461" w:type="dxa"/>
            <w:tcBorders>
              <w:top w:val="single" w:sz="4" w:space="0" w:color="auto"/>
              <w:bottom w:val="single" w:sz="4" w:space="0" w:color="auto"/>
            </w:tcBorders>
          </w:tcPr>
          <w:p w14:paraId="0F614564"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21AFB68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6CFAA23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662E5998" w14:textId="77777777" w:rsidR="00D2504B" w:rsidRPr="007D1918" w:rsidRDefault="00D2504B" w:rsidP="00153384">
            <w:pPr>
              <w:spacing w:after="0" w:line="240" w:lineRule="auto"/>
              <w:rPr>
                <w:rFonts w:ascii="Arial Narrow" w:hAnsi="Arial Narrow"/>
                <w:sz w:val="16"/>
                <w:szCs w:val="16"/>
              </w:rPr>
            </w:pPr>
            <w:r w:rsidRPr="007D1918">
              <w:rPr>
                <w:rFonts w:ascii="Arial Narrow" w:hAnsi="Arial Narrow"/>
                <w:sz w:val="16"/>
                <w:szCs w:val="16"/>
              </w:rPr>
              <w:t>5% Fistula placement, 95% Port placement</w:t>
            </w:r>
          </w:p>
        </w:tc>
        <w:tc>
          <w:tcPr>
            <w:tcW w:w="1278" w:type="dxa"/>
            <w:tcBorders>
              <w:top w:val="single" w:sz="4" w:space="0" w:color="auto"/>
              <w:bottom w:val="single" w:sz="4" w:space="0" w:color="auto"/>
            </w:tcBorders>
          </w:tcPr>
          <w:p w14:paraId="1B3003D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5% Fistula placement, 95% Port placement</w:t>
            </w:r>
          </w:p>
        </w:tc>
        <w:tc>
          <w:tcPr>
            <w:tcW w:w="1278" w:type="dxa"/>
            <w:tcBorders>
              <w:top w:val="single" w:sz="4" w:space="0" w:color="auto"/>
              <w:bottom w:val="single" w:sz="4" w:space="0" w:color="auto"/>
            </w:tcBorders>
          </w:tcPr>
          <w:p w14:paraId="1C105754"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 Episode</w:t>
            </w:r>
          </w:p>
        </w:tc>
        <w:tc>
          <w:tcPr>
            <w:tcW w:w="1278" w:type="dxa"/>
            <w:tcBorders>
              <w:top w:val="single" w:sz="4" w:space="0" w:color="auto"/>
              <w:bottom w:val="single" w:sz="4" w:space="0" w:color="auto"/>
            </w:tcBorders>
          </w:tcPr>
          <w:p w14:paraId="39F2ED89"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378F6734"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137705D8" w14:textId="77777777" w:rsidR="00D2504B" w:rsidRPr="007D1918" w:rsidRDefault="00D2504B" w:rsidP="00153384">
            <w:pPr>
              <w:spacing w:after="40" w:line="240" w:lineRule="auto"/>
              <w:rPr>
                <w:rFonts w:ascii="Arial Narrow" w:hAnsi="Arial Narrow"/>
                <w:sz w:val="16"/>
                <w:szCs w:val="16"/>
              </w:rPr>
            </w:pPr>
          </w:p>
        </w:tc>
      </w:tr>
      <w:tr w:rsidR="00D2504B" w:rsidRPr="007D1918" w14:paraId="7FAC80F6" w14:textId="77777777" w:rsidTr="00153384">
        <w:tc>
          <w:tcPr>
            <w:tcW w:w="1021" w:type="dxa"/>
          </w:tcPr>
          <w:p w14:paraId="0C235C22" w14:textId="77777777" w:rsidR="00D2504B" w:rsidRPr="007D1918" w:rsidRDefault="00D2504B" w:rsidP="00153384">
            <w:pPr>
              <w:spacing w:after="40" w:line="240" w:lineRule="auto"/>
              <w:jc w:val="both"/>
              <w:rPr>
                <w:rFonts w:ascii="Arial Narrow" w:hAnsi="Arial Narrow"/>
                <w:sz w:val="16"/>
                <w:szCs w:val="16"/>
              </w:rPr>
            </w:pPr>
          </w:p>
        </w:tc>
        <w:tc>
          <w:tcPr>
            <w:tcW w:w="1134" w:type="dxa"/>
          </w:tcPr>
          <w:p w14:paraId="4392477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Monitoring</w:t>
            </w:r>
          </w:p>
        </w:tc>
        <w:tc>
          <w:tcPr>
            <w:tcW w:w="1461" w:type="dxa"/>
            <w:tcBorders>
              <w:top w:val="single" w:sz="4" w:space="0" w:color="auto"/>
              <w:bottom w:val="single" w:sz="4" w:space="0" w:color="auto"/>
            </w:tcBorders>
          </w:tcPr>
          <w:p w14:paraId="5DCD56A8"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2982597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08AF6D1F"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4CFA02E5"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2E4DF3B8"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7F8B9C3A"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29F55AB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CBE, LFT x 7</w:t>
            </w:r>
          </w:p>
        </w:tc>
        <w:tc>
          <w:tcPr>
            <w:tcW w:w="1278" w:type="dxa"/>
            <w:tcBorders>
              <w:top w:val="single" w:sz="4" w:space="0" w:color="auto"/>
              <w:bottom w:val="single" w:sz="4" w:space="0" w:color="auto"/>
            </w:tcBorders>
          </w:tcPr>
          <w:p w14:paraId="44A65C93"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3D3A466C"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monitoring pattern*</w:t>
            </w:r>
          </w:p>
        </w:tc>
      </w:tr>
      <w:tr w:rsidR="00D2504B" w:rsidRPr="007D1918" w14:paraId="1580B53B" w14:textId="77777777" w:rsidTr="00153384">
        <w:tc>
          <w:tcPr>
            <w:tcW w:w="1021" w:type="dxa"/>
          </w:tcPr>
          <w:p w14:paraId="17DC5482"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Yr 1</w:t>
            </w:r>
          </w:p>
          <w:p w14:paraId="7AA2AB82"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Remainder</w:t>
            </w:r>
          </w:p>
        </w:tc>
        <w:tc>
          <w:tcPr>
            <w:tcW w:w="1134" w:type="dxa"/>
          </w:tcPr>
          <w:p w14:paraId="4D9A817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Administration</w:t>
            </w:r>
          </w:p>
        </w:tc>
        <w:tc>
          <w:tcPr>
            <w:tcW w:w="1461" w:type="dxa"/>
            <w:tcBorders>
              <w:top w:val="single" w:sz="4" w:space="0" w:color="auto"/>
              <w:bottom w:val="single" w:sz="4" w:space="0" w:color="auto"/>
            </w:tcBorders>
          </w:tcPr>
          <w:p w14:paraId="3B660AD9"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54BB0564"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8</w:t>
            </w:r>
          </w:p>
        </w:tc>
        <w:tc>
          <w:tcPr>
            <w:tcW w:w="1278" w:type="dxa"/>
            <w:tcBorders>
              <w:top w:val="single" w:sz="4" w:space="0" w:color="auto"/>
              <w:bottom w:val="single" w:sz="4" w:space="0" w:color="auto"/>
            </w:tcBorders>
          </w:tcPr>
          <w:p w14:paraId="25CAB00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12</w:t>
            </w:r>
          </w:p>
        </w:tc>
        <w:tc>
          <w:tcPr>
            <w:tcW w:w="1278" w:type="dxa"/>
            <w:tcBorders>
              <w:top w:val="single" w:sz="4" w:space="0" w:color="auto"/>
              <w:bottom w:val="single" w:sz="4" w:space="0" w:color="auto"/>
            </w:tcBorders>
          </w:tcPr>
          <w:p w14:paraId="6BCF1F08"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6 exchanges (≈ 1 every 6 weeks)</w:t>
            </w:r>
          </w:p>
        </w:tc>
        <w:tc>
          <w:tcPr>
            <w:tcW w:w="1278" w:type="dxa"/>
            <w:tcBorders>
              <w:top w:val="single" w:sz="4" w:space="0" w:color="auto"/>
              <w:bottom w:val="single" w:sz="4" w:space="0" w:color="auto"/>
            </w:tcBorders>
          </w:tcPr>
          <w:p w14:paraId="03E65BB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 xml:space="preserve">17 exchanges (≈ 1 every 3 weeks) </w:t>
            </w:r>
          </w:p>
        </w:tc>
        <w:tc>
          <w:tcPr>
            <w:tcW w:w="1278" w:type="dxa"/>
            <w:tcBorders>
              <w:top w:val="single" w:sz="4" w:space="0" w:color="auto"/>
              <w:bottom w:val="single" w:sz="4" w:space="0" w:color="auto"/>
            </w:tcBorders>
          </w:tcPr>
          <w:p w14:paraId="375A0F71"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shd w:val="clear" w:color="auto" w:fill="D9D9D9" w:themeFill="background1" w:themeFillShade="D9"/>
          </w:tcPr>
          <w:p w14:paraId="150F3B38"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 xml:space="preserve">6mths oral immunosuppressant (eg azathioprine) </w:t>
            </w:r>
          </w:p>
        </w:tc>
        <w:tc>
          <w:tcPr>
            <w:tcW w:w="1278" w:type="dxa"/>
            <w:tcBorders>
              <w:top w:val="single" w:sz="4" w:space="0" w:color="auto"/>
              <w:bottom w:val="single" w:sz="4" w:space="0" w:color="auto"/>
            </w:tcBorders>
          </w:tcPr>
          <w:p w14:paraId="045F8CAB"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60A42DDF" w14:textId="77777777" w:rsidR="00D2504B" w:rsidRPr="007D1918" w:rsidRDefault="00D2504B" w:rsidP="00153384">
            <w:pPr>
              <w:spacing w:after="40" w:line="240" w:lineRule="auto"/>
              <w:rPr>
                <w:rFonts w:ascii="Arial Narrow" w:hAnsi="Arial Narrow"/>
                <w:sz w:val="16"/>
                <w:szCs w:val="16"/>
              </w:rPr>
            </w:pPr>
          </w:p>
        </w:tc>
      </w:tr>
      <w:tr w:rsidR="00D2504B" w:rsidRPr="007D1918" w14:paraId="41611887" w14:textId="77777777" w:rsidTr="00153384">
        <w:tc>
          <w:tcPr>
            <w:tcW w:w="1021" w:type="dxa"/>
          </w:tcPr>
          <w:p w14:paraId="05B55D85" w14:textId="77777777" w:rsidR="00D2504B" w:rsidRPr="007D1918" w:rsidRDefault="00D2504B" w:rsidP="00153384">
            <w:pPr>
              <w:spacing w:after="40" w:line="240" w:lineRule="auto"/>
              <w:jc w:val="both"/>
              <w:rPr>
                <w:rFonts w:ascii="Arial Narrow" w:hAnsi="Arial Narrow"/>
                <w:sz w:val="16"/>
                <w:szCs w:val="16"/>
              </w:rPr>
            </w:pPr>
          </w:p>
        </w:tc>
        <w:tc>
          <w:tcPr>
            <w:tcW w:w="1134" w:type="dxa"/>
            <w:tcBorders>
              <w:bottom w:val="single" w:sz="4" w:space="0" w:color="auto"/>
            </w:tcBorders>
          </w:tcPr>
          <w:p w14:paraId="19D17CE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Procurement</w:t>
            </w:r>
          </w:p>
        </w:tc>
        <w:tc>
          <w:tcPr>
            <w:tcW w:w="1461" w:type="dxa"/>
            <w:tcBorders>
              <w:top w:val="single" w:sz="4" w:space="0" w:color="auto"/>
              <w:bottom w:val="single" w:sz="4" w:space="0" w:color="auto"/>
            </w:tcBorders>
          </w:tcPr>
          <w:p w14:paraId="14B26020"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1A1E5ECE"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8 x 32.4g = 259.2g</w:t>
            </w:r>
          </w:p>
        </w:tc>
        <w:tc>
          <w:tcPr>
            <w:tcW w:w="1278" w:type="dxa"/>
            <w:tcBorders>
              <w:top w:val="single" w:sz="4" w:space="0" w:color="auto"/>
              <w:bottom w:val="single" w:sz="4" w:space="0" w:color="auto"/>
            </w:tcBorders>
          </w:tcPr>
          <w:p w14:paraId="1A27BAA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12 x 81g = 972g</w:t>
            </w:r>
          </w:p>
        </w:tc>
        <w:tc>
          <w:tcPr>
            <w:tcW w:w="1278" w:type="dxa"/>
            <w:tcBorders>
              <w:top w:val="single" w:sz="4" w:space="0" w:color="auto"/>
              <w:bottom w:val="single" w:sz="4" w:space="0" w:color="auto"/>
            </w:tcBorders>
          </w:tcPr>
          <w:p w14:paraId="012FC2BB"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6x 3L Albumin 4%</w:t>
            </w:r>
          </w:p>
        </w:tc>
        <w:tc>
          <w:tcPr>
            <w:tcW w:w="1278" w:type="dxa"/>
            <w:tcBorders>
              <w:top w:val="single" w:sz="4" w:space="0" w:color="auto"/>
              <w:bottom w:val="single" w:sz="4" w:space="0" w:color="auto"/>
            </w:tcBorders>
          </w:tcPr>
          <w:p w14:paraId="204E264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17x 3L Albumin 4%</w:t>
            </w:r>
          </w:p>
        </w:tc>
        <w:tc>
          <w:tcPr>
            <w:tcW w:w="1278" w:type="dxa"/>
            <w:tcBorders>
              <w:top w:val="single" w:sz="4" w:space="0" w:color="auto"/>
              <w:bottom w:val="single" w:sz="4" w:space="0" w:color="auto"/>
            </w:tcBorders>
          </w:tcPr>
          <w:p w14:paraId="71200B72"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shd w:val="clear" w:color="auto" w:fill="D9D9D9" w:themeFill="background1" w:themeFillShade="D9"/>
          </w:tcPr>
          <w:p w14:paraId="756417F3"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1BF7AD5B"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07C23B14" w14:textId="77777777" w:rsidR="00D2504B" w:rsidRPr="007D1918" w:rsidRDefault="00D2504B" w:rsidP="00153384">
            <w:pPr>
              <w:spacing w:after="40" w:line="240" w:lineRule="auto"/>
              <w:rPr>
                <w:rFonts w:ascii="Arial Narrow" w:hAnsi="Arial Narrow"/>
                <w:sz w:val="16"/>
                <w:szCs w:val="16"/>
              </w:rPr>
            </w:pPr>
          </w:p>
        </w:tc>
      </w:tr>
      <w:tr w:rsidR="00D2504B" w:rsidRPr="007D1918" w14:paraId="56E3DFE9" w14:textId="77777777" w:rsidTr="00153384">
        <w:tc>
          <w:tcPr>
            <w:tcW w:w="1021" w:type="dxa"/>
          </w:tcPr>
          <w:p w14:paraId="44F6B79A" w14:textId="77777777" w:rsidR="00D2504B" w:rsidRPr="007D1918" w:rsidRDefault="00D2504B" w:rsidP="00153384">
            <w:pPr>
              <w:spacing w:after="40" w:line="240" w:lineRule="auto"/>
              <w:jc w:val="both"/>
              <w:rPr>
                <w:rFonts w:ascii="Arial Narrow" w:hAnsi="Arial Narrow"/>
                <w:sz w:val="16"/>
                <w:szCs w:val="16"/>
              </w:rPr>
            </w:pPr>
          </w:p>
        </w:tc>
        <w:tc>
          <w:tcPr>
            <w:tcW w:w="1134" w:type="dxa"/>
          </w:tcPr>
          <w:p w14:paraId="47EE708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Monitoring</w:t>
            </w:r>
          </w:p>
        </w:tc>
        <w:tc>
          <w:tcPr>
            <w:tcW w:w="1461" w:type="dxa"/>
            <w:tcBorders>
              <w:top w:val="single" w:sz="4" w:space="0" w:color="auto"/>
              <w:bottom w:val="single" w:sz="4" w:space="0" w:color="auto"/>
            </w:tcBorders>
          </w:tcPr>
          <w:p w14:paraId="215ECB5F"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4CACD26E"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1D11946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467760C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6CC97E7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0904E3CA"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shd w:val="clear" w:color="auto" w:fill="D9D9D9" w:themeFill="background1" w:themeFillShade="D9"/>
          </w:tcPr>
          <w:p w14:paraId="1BA35FFA"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65A5B802"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21911BCA" w14:textId="77777777" w:rsidR="00D2504B" w:rsidRPr="007D1918" w:rsidRDefault="00D2504B" w:rsidP="00153384">
            <w:pPr>
              <w:spacing w:after="40" w:line="240" w:lineRule="auto"/>
              <w:rPr>
                <w:rFonts w:ascii="Arial Narrow" w:hAnsi="Arial Narrow"/>
                <w:sz w:val="16"/>
                <w:szCs w:val="16"/>
              </w:rPr>
            </w:pPr>
          </w:p>
        </w:tc>
      </w:tr>
      <w:tr w:rsidR="00D2504B" w:rsidRPr="007D1918" w14:paraId="6195C0AA" w14:textId="77777777" w:rsidTr="00153384">
        <w:tc>
          <w:tcPr>
            <w:tcW w:w="1021" w:type="dxa"/>
          </w:tcPr>
          <w:p w14:paraId="7F11CB14" w14:textId="77777777" w:rsidR="00D2504B" w:rsidRPr="007D1918" w:rsidRDefault="00D2504B" w:rsidP="00153384">
            <w:pPr>
              <w:spacing w:after="40" w:line="240" w:lineRule="auto"/>
              <w:jc w:val="both"/>
              <w:rPr>
                <w:rFonts w:ascii="Arial Narrow" w:hAnsi="Arial Narrow"/>
                <w:sz w:val="16"/>
                <w:szCs w:val="16"/>
              </w:rPr>
            </w:pPr>
            <w:r w:rsidRPr="007D1918">
              <w:rPr>
                <w:rFonts w:ascii="Arial Narrow" w:hAnsi="Arial Narrow"/>
                <w:b/>
                <w:sz w:val="16"/>
                <w:szCs w:val="16"/>
              </w:rPr>
              <w:t>Ongoing years of maintenance</w:t>
            </w:r>
          </w:p>
        </w:tc>
        <w:tc>
          <w:tcPr>
            <w:tcW w:w="1134" w:type="dxa"/>
          </w:tcPr>
          <w:p w14:paraId="68A8AB82"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Administration</w:t>
            </w:r>
          </w:p>
        </w:tc>
        <w:tc>
          <w:tcPr>
            <w:tcW w:w="1461" w:type="dxa"/>
            <w:tcBorders>
              <w:top w:val="single" w:sz="4" w:space="0" w:color="auto"/>
              <w:bottom w:val="single" w:sz="4" w:space="0" w:color="auto"/>
            </w:tcBorders>
          </w:tcPr>
          <w:p w14:paraId="29C8942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 xml:space="preserve">11 (≈ every 4-6 weeks) </w:t>
            </w:r>
          </w:p>
        </w:tc>
        <w:tc>
          <w:tcPr>
            <w:tcW w:w="1278" w:type="dxa"/>
            <w:tcBorders>
              <w:top w:val="single" w:sz="4" w:space="0" w:color="auto"/>
              <w:bottom w:val="single" w:sz="4" w:space="0" w:color="auto"/>
            </w:tcBorders>
          </w:tcPr>
          <w:p w14:paraId="0EE7CA8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9 (≈ every 6 weeks)</w:t>
            </w:r>
          </w:p>
        </w:tc>
        <w:tc>
          <w:tcPr>
            <w:tcW w:w="1278" w:type="dxa"/>
            <w:tcBorders>
              <w:top w:val="single" w:sz="4" w:space="0" w:color="auto"/>
              <w:bottom w:val="single" w:sz="4" w:space="0" w:color="auto"/>
            </w:tcBorders>
          </w:tcPr>
          <w:p w14:paraId="6D50446C"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13 (≈ every 4 weeks)</w:t>
            </w:r>
          </w:p>
        </w:tc>
        <w:tc>
          <w:tcPr>
            <w:tcW w:w="1278" w:type="dxa"/>
            <w:tcBorders>
              <w:top w:val="single" w:sz="4" w:space="0" w:color="auto"/>
              <w:bottom w:val="single" w:sz="4" w:space="0" w:color="auto"/>
            </w:tcBorders>
          </w:tcPr>
          <w:p w14:paraId="3B5DDEB8"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8 (≈ 1 every 6 weeks)</w:t>
            </w:r>
          </w:p>
        </w:tc>
        <w:tc>
          <w:tcPr>
            <w:tcW w:w="1278" w:type="dxa"/>
            <w:tcBorders>
              <w:top w:val="single" w:sz="4" w:space="0" w:color="auto"/>
              <w:bottom w:val="single" w:sz="4" w:space="0" w:color="auto"/>
            </w:tcBorders>
          </w:tcPr>
          <w:p w14:paraId="1B35F982"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18 (≈ 1 every 3 weeks)</w:t>
            </w:r>
          </w:p>
        </w:tc>
        <w:tc>
          <w:tcPr>
            <w:tcW w:w="1278" w:type="dxa"/>
            <w:tcBorders>
              <w:top w:val="single" w:sz="4" w:space="0" w:color="auto"/>
              <w:bottom w:val="single" w:sz="4" w:space="0" w:color="auto"/>
            </w:tcBorders>
          </w:tcPr>
          <w:p w14:paraId="00B1C0B4"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shd w:val="clear" w:color="auto" w:fill="D9D9D9" w:themeFill="background1" w:themeFillShade="D9"/>
          </w:tcPr>
          <w:p w14:paraId="3E3A7004"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62E80CE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 OPD administrations</w:t>
            </w:r>
          </w:p>
        </w:tc>
        <w:tc>
          <w:tcPr>
            <w:tcW w:w="1278" w:type="dxa"/>
            <w:tcBorders>
              <w:top w:val="single" w:sz="4" w:space="0" w:color="auto"/>
              <w:bottom w:val="single" w:sz="4" w:space="0" w:color="auto"/>
            </w:tcBorders>
          </w:tcPr>
          <w:p w14:paraId="7B43580C" w14:textId="77777777" w:rsidR="00D2504B" w:rsidRPr="007D1918" w:rsidRDefault="00D2504B" w:rsidP="00153384">
            <w:pPr>
              <w:spacing w:after="40" w:line="240" w:lineRule="auto"/>
              <w:rPr>
                <w:rFonts w:ascii="Arial Narrow" w:hAnsi="Arial Narrow"/>
                <w:sz w:val="16"/>
                <w:szCs w:val="16"/>
              </w:rPr>
            </w:pPr>
          </w:p>
        </w:tc>
      </w:tr>
      <w:tr w:rsidR="00D2504B" w:rsidRPr="007D1918" w14:paraId="24551B0C" w14:textId="77777777" w:rsidTr="00153384">
        <w:tc>
          <w:tcPr>
            <w:tcW w:w="1021" w:type="dxa"/>
          </w:tcPr>
          <w:p w14:paraId="490D20C9" w14:textId="77777777" w:rsidR="00D2504B" w:rsidRPr="007D1918" w:rsidRDefault="00D2504B" w:rsidP="00153384">
            <w:pPr>
              <w:spacing w:after="40" w:line="240" w:lineRule="auto"/>
              <w:jc w:val="both"/>
              <w:rPr>
                <w:rFonts w:ascii="Arial Narrow" w:hAnsi="Arial Narrow"/>
                <w:b/>
                <w:sz w:val="16"/>
                <w:szCs w:val="16"/>
              </w:rPr>
            </w:pPr>
          </w:p>
        </w:tc>
        <w:tc>
          <w:tcPr>
            <w:tcW w:w="1134" w:type="dxa"/>
            <w:tcBorders>
              <w:bottom w:val="single" w:sz="4" w:space="0" w:color="auto"/>
            </w:tcBorders>
          </w:tcPr>
          <w:p w14:paraId="17AF8F7F"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Procurement</w:t>
            </w:r>
          </w:p>
        </w:tc>
        <w:tc>
          <w:tcPr>
            <w:tcW w:w="1461" w:type="dxa"/>
            <w:tcBorders>
              <w:top w:val="single" w:sz="4" w:space="0" w:color="auto"/>
              <w:bottom w:val="single" w:sz="4" w:space="0" w:color="auto"/>
            </w:tcBorders>
          </w:tcPr>
          <w:p w14:paraId="4520B1C2"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492g IVIg</w:t>
            </w:r>
          </w:p>
        </w:tc>
        <w:tc>
          <w:tcPr>
            <w:tcW w:w="1278" w:type="dxa"/>
            <w:tcBorders>
              <w:top w:val="single" w:sz="4" w:space="0" w:color="auto"/>
              <w:bottom w:val="single" w:sz="4" w:space="0" w:color="auto"/>
            </w:tcBorders>
          </w:tcPr>
          <w:p w14:paraId="12504947"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9x 32.4g = 291.6g</w:t>
            </w:r>
          </w:p>
        </w:tc>
        <w:tc>
          <w:tcPr>
            <w:tcW w:w="1278" w:type="dxa"/>
            <w:tcBorders>
              <w:top w:val="single" w:sz="4" w:space="0" w:color="auto"/>
              <w:bottom w:val="single" w:sz="4" w:space="0" w:color="auto"/>
            </w:tcBorders>
          </w:tcPr>
          <w:p w14:paraId="2D17EE8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13x 81g =1,053g</w:t>
            </w:r>
          </w:p>
        </w:tc>
        <w:tc>
          <w:tcPr>
            <w:tcW w:w="1278" w:type="dxa"/>
            <w:tcBorders>
              <w:top w:val="single" w:sz="4" w:space="0" w:color="auto"/>
              <w:bottom w:val="single" w:sz="4" w:space="0" w:color="auto"/>
            </w:tcBorders>
          </w:tcPr>
          <w:p w14:paraId="0A27753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24 L Albumin 4%</w:t>
            </w:r>
          </w:p>
        </w:tc>
        <w:tc>
          <w:tcPr>
            <w:tcW w:w="1278" w:type="dxa"/>
            <w:tcBorders>
              <w:top w:val="single" w:sz="4" w:space="0" w:color="auto"/>
              <w:bottom w:val="single" w:sz="4" w:space="0" w:color="auto"/>
            </w:tcBorders>
          </w:tcPr>
          <w:p w14:paraId="26C75D6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105L Albumin 4%</w:t>
            </w:r>
          </w:p>
        </w:tc>
        <w:tc>
          <w:tcPr>
            <w:tcW w:w="1278" w:type="dxa"/>
            <w:tcBorders>
              <w:top w:val="single" w:sz="4" w:space="0" w:color="auto"/>
              <w:bottom w:val="single" w:sz="4" w:space="0" w:color="auto"/>
            </w:tcBorders>
          </w:tcPr>
          <w:p w14:paraId="4955E26C"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shd w:val="clear" w:color="auto" w:fill="D9D9D9" w:themeFill="background1" w:themeFillShade="D9"/>
          </w:tcPr>
          <w:p w14:paraId="7EDC2C1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oral immunosuppressant (eg azathioprine)</w:t>
            </w:r>
          </w:p>
        </w:tc>
        <w:tc>
          <w:tcPr>
            <w:tcW w:w="1278" w:type="dxa"/>
            <w:tcBorders>
              <w:bottom w:val="single" w:sz="4" w:space="0" w:color="auto"/>
            </w:tcBorders>
          </w:tcPr>
          <w:p w14:paraId="5F93520E"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 xml:space="preserve">1g </w:t>
            </w:r>
          </w:p>
        </w:tc>
        <w:tc>
          <w:tcPr>
            <w:tcW w:w="1278" w:type="dxa"/>
            <w:tcBorders>
              <w:top w:val="single" w:sz="4" w:space="0" w:color="auto"/>
              <w:bottom w:val="single" w:sz="4" w:space="0" w:color="auto"/>
            </w:tcBorders>
          </w:tcPr>
          <w:p w14:paraId="31BFC0D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dose*</w:t>
            </w:r>
          </w:p>
        </w:tc>
      </w:tr>
      <w:tr w:rsidR="00D2504B" w:rsidRPr="007D1918" w14:paraId="6FD0A9A3" w14:textId="77777777" w:rsidTr="00153384">
        <w:tc>
          <w:tcPr>
            <w:tcW w:w="1021" w:type="dxa"/>
          </w:tcPr>
          <w:p w14:paraId="6FFB5E45" w14:textId="77777777" w:rsidR="00D2504B" w:rsidRPr="007D1918" w:rsidRDefault="00D2504B" w:rsidP="00153384">
            <w:pPr>
              <w:spacing w:after="40" w:line="240" w:lineRule="auto"/>
              <w:jc w:val="both"/>
              <w:rPr>
                <w:rFonts w:ascii="Arial Narrow" w:hAnsi="Arial Narrow"/>
                <w:sz w:val="16"/>
                <w:szCs w:val="16"/>
              </w:rPr>
            </w:pPr>
          </w:p>
        </w:tc>
        <w:tc>
          <w:tcPr>
            <w:tcW w:w="1134" w:type="dxa"/>
          </w:tcPr>
          <w:p w14:paraId="195C5EC7"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Procedures or Monitoring</w:t>
            </w:r>
          </w:p>
        </w:tc>
        <w:tc>
          <w:tcPr>
            <w:tcW w:w="1461" w:type="dxa"/>
            <w:tcBorders>
              <w:top w:val="single" w:sz="4" w:space="0" w:color="auto"/>
              <w:bottom w:val="single" w:sz="4" w:space="0" w:color="auto"/>
            </w:tcBorders>
          </w:tcPr>
          <w:p w14:paraId="07ACA661"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05777F8E"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5465136C"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278" w:type="dxa"/>
            <w:tcBorders>
              <w:top w:val="single" w:sz="4" w:space="0" w:color="auto"/>
              <w:bottom w:val="single" w:sz="4" w:space="0" w:color="auto"/>
            </w:tcBorders>
          </w:tcPr>
          <w:p w14:paraId="44A6EFD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32% of patients replace vascular access device</w:t>
            </w:r>
          </w:p>
        </w:tc>
        <w:tc>
          <w:tcPr>
            <w:tcW w:w="1278" w:type="dxa"/>
            <w:tcBorders>
              <w:top w:val="single" w:sz="4" w:space="0" w:color="auto"/>
              <w:bottom w:val="single" w:sz="4" w:space="0" w:color="auto"/>
            </w:tcBorders>
          </w:tcPr>
          <w:p w14:paraId="534C3AF6"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32% of patients replace vascular access device</w:t>
            </w:r>
          </w:p>
        </w:tc>
        <w:tc>
          <w:tcPr>
            <w:tcW w:w="1278" w:type="dxa"/>
            <w:tcBorders>
              <w:top w:val="single" w:sz="4" w:space="0" w:color="auto"/>
              <w:bottom w:val="single" w:sz="4" w:space="0" w:color="auto"/>
            </w:tcBorders>
          </w:tcPr>
          <w:p w14:paraId="2E7ED51F"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shd w:val="clear" w:color="auto" w:fill="D9D9D9" w:themeFill="background1" w:themeFillShade="D9"/>
          </w:tcPr>
          <w:p w14:paraId="52C2D35D"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17336D1B" w14:textId="77777777" w:rsidR="00D2504B" w:rsidRPr="007D1918" w:rsidRDefault="00D2504B" w:rsidP="00153384">
            <w:pPr>
              <w:spacing w:after="40" w:line="240" w:lineRule="auto"/>
              <w:rPr>
                <w:rFonts w:ascii="Arial Narrow" w:hAnsi="Arial Narrow"/>
                <w:sz w:val="16"/>
                <w:szCs w:val="16"/>
              </w:rPr>
            </w:pPr>
          </w:p>
        </w:tc>
        <w:tc>
          <w:tcPr>
            <w:tcW w:w="1278" w:type="dxa"/>
            <w:tcBorders>
              <w:top w:val="single" w:sz="4" w:space="0" w:color="auto"/>
              <w:bottom w:val="single" w:sz="4" w:space="0" w:color="auto"/>
            </w:tcBorders>
          </w:tcPr>
          <w:p w14:paraId="2AED61E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monitoring pattern*</w:t>
            </w:r>
          </w:p>
        </w:tc>
      </w:tr>
      <w:tr w:rsidR="00D2504B" w:rsidRPr="007D1918" w14:paraId="0C89B06F" w14:textId="77777777" w:rsidTr="00153384">
        <w:tc>
          <w:tcPr>
            <w:tcW w:w="1021" w:type="dxa"/>
          </w:tcPr>
          <w:p w14:paraId="3308B532"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Pattern</w:t>
            </w:r>
          </w:p>
        </w:tc>
        <w:tc>
          <w:tcPr>
            <w:tcW w:w="1134" w:type="dxa"/>
          </w:tcPr>
          <w:p w14:paraId="701C170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461" w:type="dxa"/>
            <w:tcBorders>
              <w:top w:val="single" w:sz="4" w:space="0" w:color="auto"/>
              <w:bottom w:val="single" w:sz="4" w:space="0" w:color="auto"/>
            </w:tcBorders>
          </w:tcPr>
          <w:p w14:paraId="00AD5067"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Distribution of NBA patients assumed to represent long-term average</w:t>
            </w:r>
          </w:p>
        </w:tc>
        <w:tc>
          <w:tcPr>
            <w:tcW w:w="1278" w:type="dxa"/>
            <w:tcBorders>
              <w:top w:val="single" w:sz="4" w:space="0" w:color="auto"/>
              <w:bottom w:val="single" w:sz="4" w:space="0" w:color="auto"/>
            </w:tcBorders>
          </w:tcPr>
          <w:p w14:paraId="13F22A81"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278" w:type="dxa"/>
            <w:tcBorders>
              <w:top w:val="single" w:sz="4" w:space="0" w:color="auto"/>
              <w:bottom w:val="single" w:sz="4" w:space="0" w:color="auto"/>
            </w:tcBorders>
          </w:tcPr>
          <w:p w14:paraId="4C555B5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278" w:type="dxa"/>
            <w:tcBorders>
              <w:top w:val="single" w:sz="4" w:space="0" w:color="auto"/>
              <w:bottom w:val="single" w:sz="4" w:space="0" w:color="auto"/>
            </w:tcBorders>
          </w:tcPr>
          <w:p w14:paraId="019E4B6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278" w:type="dxa"/>
            <w:tcBorders>
              <w:top w:val="single" w:sz="4" w:space="0" w:color="auto"/>
              <w:bottom w:val="single" w:sz="4" w:space="0" w:color="auto"/>
            </w:tcBorders>
          </w:tcPr>
          <w:p w14:paraId="30C0478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278" w:type="dxa"/>
            <w:tcBorders>
              <w:top w:val="single" w:sz="4" w:space="0" w:color="auto"/>
              <w:bottom w:val="single" w:sz="4" w:space="0" w:color="auto"/>
            </w:tcBorders>
          </w:tcPr>
          <w:p w14:paraId="5B85B37B"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All costs are incurred year 1</w:t>
            </w:r>
          </w:p>
        </w:tc>
        <w:tc>
          <w:tcPr>
            <w:tcW w:w="1278" w:type="dxa"/>
            <w:tcBorders>
              <w:top w:val="single" w:sz="4" w:space="0" w:color="auto"/>
              <w:bottom w:val="single" w:sz="4" w:space="0" w:color="auto"/>
            </w:tcBorders>
          </w:tcPr>
          <w:p w14:paraId="3343510F"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278" w:type="dxa"/>
            <w:tcBorders>
              <w:top w:val="single" w:sz="4" w:space="0" w:color="auto"/>
              <w:bottom w:val="single" w:sz="4" w:space="0" w:color="auto"/>
            </w:tcBorders>
          </w:tcPr>
          <w:p w14:paraId="388986AA"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Maintenance dosing every 2 years</w:t>
            </w:r>
          </w:p>
        </w:tc>
        <w:tc>
          <w:tcPr>
            <w:tcW w:w="1278" w:type="dxa"/>
            <w:tcBorders>
              <w:top w:val="single" w:sz="4" w:space="0" w:color="auto"/>
              <w:bottom w:val="single" w:sz="4" w:space="0" w:color="auto"/>
            </w:tcBorders>
          </w:tcPr>
          <w:p w14:paraId="0EFFF5E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Identical resource use each year</w:t>
            </w:r>
          </w:p>
        </w:tc>
      </w:tr>
    </w:tbl>
    <w:p w14:paraId="19423C10" w14:textId="77777777" w:rsidR="00D2504B" w:rsidRPr="007D1918" w:rsidRDefault="00D2504B" w:rsidP="00D2504B">
      <w:pPr>
        <w:jc w:val="both"/>
      </w:pPr>
    </w:p>
    <w:p w14:paraId="1D06EBF6" w14:textId="77777777" w:rsidR="00D2504B" w:rsidRPr="007D1918" w:rsidRDefault="00D2504B" w:rsidP="00D2504B">
      <w:pPr>
        <w:pStyle w:val="Caption"/>
        <w:keepNext/>
        <w:jc w:val="both"/>
      </w:pPr>
      <w:bookmarkStart w:id="643" w:name="_Toc15562014"/>
      <w:bookmarkStart w:id="644" w:name="_Toc23769602"/>
      <w:r w:rsidRPr="007D1918">
        <w:lastRenderedPageBreak/>
        <w:t xml:space="preserve">Table </w:t>
      </w:r>
      <w:r w:rsidRPr="007D1918">
        <w:rPr>
          <w:noProof/>
        </w:rPr>
        <w:fldChar w:fldCharType="begin"/>
      </w:r>
      <w:r w:rsidRPr="007D1918">
        <w:rPr>
          <w:noProof/>
        </w:rPr>
        <w:instrText xml:space="preserve"> SEQ Table \* ARABIC </w:instrText>
      </w:r>
      <w:r w:rsidRPr="007D1918">
        <w:rPr>
          <w:noProof/>
        </w:rPr>
        <w:fldChar w:fldCharType="separate"/>
      </w:r>
      <w:r w:rsidR="00942701" w:rsidRPr="007D1918">
        <w:rPr>
          <w:noProof/>
        </w:rPr>
        <w:t>115</w:t>
      </w:r>
      <w:r w:rsidRPr="007D1918">
        <w:rPr>
          <w:noProof/>
        </w:rPr>
        <w:fldChar w:fldCharType="end"/>
      </w:r>
      <w:r w:rsidRPr="007D1918">
        <w:t xml:space="preserve"> </w:t>
      </w:r>
      <w:r w:rsidRPr="007D1918">
        <w:tab/>
        <w:t>Indication 3 Stepped analysis resource costs (base case)</w:t>
      </w:r>
      <w:bookmarkEnd w:id="643"/>
      <w:bookmarkEnd w:id="644"/>
    </w:p>
    <w:tbl>
      <w:tblPr>
        <w:tblStyle w:val="TableGrid2"/>
        <w:tblW w:w="13840" w:type="dxa"/>
        <w:tblInd w:w="108" w:type="dxa"/>
        <w:tblLayout w:type="fixed"/>
        <w:tblLook w:val="04A0" w:firstRow="1" w:lastRow="0" w:firstColumn="1" w:lastColumn="0" w:noHBand="0" w:noVBand="1"/>
        <w:tblCaption w:val="Table XX"/>
        <w:tblDescription w:val="This table provides a description of the results of the economic evaluation. This includes detail on the cost, incremental cost, effectiveness, incremental effectiveness and incremental cost effectiveness ratio for both the intervention and comparator in the economic model."/>
      </w:tblPr>
      <w:tblGrid>
        <w:gridCol w:w="1021"/>
        <w:gridCol w:w="1134"/>
        <w:gridCol w:w="1087"/>
        <w:gridCol w:w="1087"/>
        <w:gridCol w:w="1087"/>
        <w:gridCol w:w="1346"/>
        <w:gridCol w:w="1347"/>
        <w:gridCol w:w="1432"/>
        <w:gridCol w:w="1433"/>
        <w:gridCol w:w="1433"/>
        <w:gridCol w:w="1433"/>
      </w:tblGrid>
      <w:tr w:rsidR="00D2504B" w:rsidRPr="007D1918" w14:paraId="35BB3011"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1021" w:type="dxa"/>
            <w:vMerge w:val="restart"/>
          </w:tcPr>
          <w:p w14:paraId="2D96EE0C" w14:textId="77777777" w:rsidR="00D2504B" w:rsidRPr="007D1918" w:rsidRDefault="00D2504B" w:rsidP="00153384">
            <w:pPr>
              <w:keepNext/>
              <w:spacing w:after="40" w:line="240" w:lineRule="auto"/>
              <w:jc w:val="both"/>
              <w:rPr>
                <w:rFonts w:ascii="Arial Narrow" w:hAnsi="Arial Narrow"/>
                <w:b/>
                <w:sz w:val="16"/>
                <w:szCs w:val="16"/>
              </w:rPr>
            </w:pPr>
            <w:r w:rsidRPr="007D1918">
              <w:rPr>
                <w:rFonts w:ascii="Arial Narrow" w:hAnsi="Arial Narrow"/>
                <w:b/>
                <w:sz w:val="16"/>
                <w:szCs w:val="16"/>
              </w:rPr>
              <w:t>Year</w:t>
            </w:r>
          </w:p>
        </w:tc>
        <w:tc>
          <w:tcPr>
            <w:tcW w:w="1134" w:type="dxa"/>
            <w:vMerge w:val="restart"/>
          </w:tcPr>
          <w:p w14:paraId="1237063F"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Resource Type</w:t>
            </w:r>
          </w:p>
        </w:tc>
        <w:tc>
          <w:tcPr>
            <w:tcW w:w="3261" w:type="dxa"/>
            <w:gridSpan w:val="3"/>
            <w:tcBorders>
              <w:bottom w:val="single" w:sz="4" w:space="0" w:color="auto"/>
            </w:tcBorders>
          </w:tcPr>
          <w:p w14:paraId="63F76817"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IVIg</w:t>
            </w:r>
          </w:p>
        </w:tc>
        <w:tc>
          <w:tcPr>
            <w:tcW w:w="2693" w:type="dxa"/>
            <w:gridSpan w:val="2"/>
            <w:tcBorders>
              <w:bottom w:val="single" w:sz="4" w:space="0" w:color="auto"/>
            </w:tcBorders>
          </w:tcPr>
          <w:p w14:paraId="256125F4"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PE</w:t>
            </w:r>
          </w:p>
        </w:tc>
        <w:tc>
          <w:tcPr>
            <w:tcW w:w="1432" w:type="dxa"/>
            <w:vMerge w:val="restart"/>
          </w:tcPr>
          <w:p w14:paraId="1AF9D530"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Surgery</w:t>
            </w:r>
          </w:p>
        </w:tc>
        <w:tc>
          <w:tcPr>
            <w:tcW w:w="1433" w:type="dxa"/>
            <w:vMerge w:val="restart"/>
          </w:tcPr>
          <w:p w14:paraId="7D745A37"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Cyclophosphamide</w:t>
            </w:r>
          </w:p>
        </w:tc>
        <w:tc>
          <w:tcPr>
            <w:tcW w:w="1433" w:type="dxa"/>
            <w:vMerge w:val="restart"/>
          </w:tcPr>
          <w:p w14:paraId="73B5F0A1"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Rituximab</w:t>
            </w:r>
          </w:p>
        </w:tc>
        <w:tc>
          <w:tcPr>
            <w:tcW w:w="1433" w:type="dxa"/>
            <w:vMerge w:val="restart"/>
          </w:tcPr>
          <w:p w14:paraId="25DD4C0C"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All other pharmaceuticals</w:t>
            </w:r>
          </w:p>
        </w:tc>
      </w:tr>
      <w:tr w:rsidR="00D2504B" w:rsidRPr="007D1918" w14:paraId="1A626B54" w14:textId="77777777" w:rsidTr="00153384">
        <w:trPr>
          <w:cnfStyle w:val="100000000000" w:firstRow="1" w:lastRow="0" w:firstColumn="0" w:lastColumn="0" w:oddVBand="0" w:evenVBand="0" w:oddHBand="0" w:evenHBand="0" w:firstRowFirstColumn="0" w:firstRowLastColumn="0" w:lastRowFirstColumn="0" w:lastRowLastColumn="0"/>
          <w:tblHeader/>
        </w:trPr>
        <w:tc>
          <w:tcPr>
            <w:tcW w:w="1021" w:type="dxa"/>
            <w:vMerge/>
            <w:tcBorders>
              <w:bottom w:val="single" w:sz="4" w:space="0" w:color="auto"/>
            </w:tcBorders>
          </w:tcPr>
          <w:p w14:paraId="692FCF7E" w14:textId="77777777" w:rsidR="00D2504B" w:rsidRPr="007D1918" w:rsidRDefault="00D2504B" w:rsidP="00153384">
            <w:pPr>
              <w:keepNext/>
              <w:spacing w:after="40" w:line="240" w:lineRule="auto"/>
              <w:jc w:val="both"/>
              <w:rPr>
                <w:rFonts w:ascii="Arial Narrow" w:hAnsi="Arial Narrow"/>
                <w:b/>
                <w:sz w:val="16"/>
                <w:szCs w:val="16"/>
              </w:rPr>
            </w:pPr>
          </w:p>
        </w:tc>
        <w:tc>
          <w:tcPr>
            <w:tcW w:w="1134" w:type="dxa"/>
            <w:vMerge/>
            <w:tcBorders>
              <w:bottom w:val="single" w:sz="4" w:space="0" w:color="auto"/>
            </w:tcBorders>
          </w:tcPr>
          <w:p w14:paraId="6A381460" w14:textId="77777777" w:rsidR="00D2504B" w:rsidRPr="007D1918" w:rsidRDefault="00D2504B" w:rsidP="00153384">
            <w:pPr>
              <w:keepNext/>
              <w:spacing w:after="40" w:line="240" w:lineRule="auto"/>
              <w:jc w:val="center"/>
              <w:rPr>
                <w:rFonts w:ascii="Arial Narrow" w:hAnsi="Arial Narrow"/>
                <w:b/>
                <w:sz w:val="16"/>
                <w:szCs w:val="16"/>
              </w:rPr>
            </w:pPr>
          </w:p>
        </w:tc>
        <w:tc>
          <w:tcPr>
            <w:tcW w:w="1087" w:type="dxa"/>
            <w:tcBorders>
              <w:bottom w:val="single" w:sz="4" w:space="0" w:color="auto"/>
            </w:tcBorders>
          </w:tcPr>
          <w:p w14:paraId="04728D88"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NBA usage</w:t>
            </w:r>
          </w:p>
        </w:tc>
        <w:tc>
          <w:tcPr>
            <w:tcW w:w="1087" w:type="dxa"/>
            <w:tcBorders>
              <w:bottom w:val="single" w:sz="4" w:space="0" w:color="auto"/>
            </w:tcBorders>
          </w:tcPr>
          <w:p w14:paraId="39AC480A"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Low dose</w:t>
            </w:r>
          </w:p>
        </w:tc>
        <w:tc>
          <w:tcPr>
            <w:tcW w:w="1087" w:type="dxa"/>
            <w:tcBorders>
              <w:bottom w:val="single" w:sz="4" w:space="0" w:color="auto"/>
            </w:tcBorders>
          </w:tcPr>
          <w:p w14:paraId="215472DD"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High dose</w:t>
            </w:r>
          </w:p>
        </w:tc>
        <w:tc>
          <w:tcPr>
            <w:tcW w:w="1346" w:type="dxa"/>
            <w:tcBorders>
              <w:bottom w:val="single" w:sz="4" w:space="0" w:color="auto"/>
            </w:tcBorders>
          </w:tcPr>
          <w:p w14:paraId="3FC749D9"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Low intensity maintenance</w:t>
            </w:r>
          </w:p>
        </w:tc>
        <w:tc>
          <w:tcPr>
            <w:tcW w:w="1347" w:type="dxa"/>
            <w:tcBorders>
              <w:bottom w:val="single" w:sz="4" w:space="0" w:color="auto"/>
            </w:tcBorders>
          </w:tcPr>
          <w:p w14:paraId="5B68E132" w14:textId="77777777" w:rsidR="00D2504B" w:rsidRPr="007D1918" w:rsidRDefault="00D2504B" w:rsidP="00153384">
            <w:pPr>
              <w:keepNext/>
              <w:spacing w:after="40" w:line="240" w:lineRule="auto"/>
              <w:jc w:val="center"/>
              <w:rPr>
                <w:rFonts w:ascii="Arial Narrow" w:hAnsi="Arial Narrow"/>
                <w:b/>
                <w:sz w:val="16"/>
                <w:szCs w:val="16"/>
              </w:rPr>
            </w:pPr>
            <w:r w:rsidRPr="007D1918">
              <w:rPr>
                <w:rFonts w:ascii="Arial Narrow" w:hAnsi="Arial Narrow"/>
                <w:b/>
                <w:sz w:val="16"/>
                <w:szCs w:val="16"/>
              </w:rPr>
              <w:t>High intensity maintenance</w:t>
            </w:r>
          </w:p>
        </w:tc>
        <w:tc>
          <w:tcPr>
            <w:tcW w:w="1432" w:type="dxa"/>
            <w:vMerge/>
            <w:tcBorders>
              <w:bottom w:val="single" w:sz="4" w:space="0" w:color="auto"/>
            </w:tcBorders>
          </w:tcPr>
          <w:p w14:paraId="6194336C" w14:textId="77777777" w:rsidR="00D2504B" w:rsidRPr="007D1918" w:rsidRDefault="00D2504B" w:rsidP="00153384">
            <w:pPr>
              <w:keepNext/>
              <w:spacing w:after="40" w:line="240" w:lineRule="auto"/>
              <w:jc w:val="center"/>
              <w:rPr>
                <w:rFonts w:ascii="Arial Narrow" w:hAnsi="Arial Narrow"/>
                <w:b/>
                <w:sz w:val="16"/>
                <w:szCs w:val="16"/>
              </w:rPr>
            </w:pPr>
          </w:p>
        </w:tc>
        <w:tc>
          <w:tcPr>
            <w:tcW w:w="1433" w:type="dxa"/>
            <w:vMerge/>
            <w:tcBorders>
              <w:bottom w:val="single" w:sz="4" w:space="0" w:color="auto"/>
            </w:tcBorders>
          </w:tcPr>
          <w:p w14:paraId="0D85A488" w14:textId="77777777" w:rsidR="00D2504B" w:rsidRPr="007D1918" w:rsidRDefault="00D2504B" w:rsidP="00153384">
            <w:pPr>
              <w:keepNext/>
              <w:spacing w:after="40" w:line="240" w:lineRule="auto"/>
              <w:jc w:val="center"/>
              <w:rPr>
                <w:rFonts w:ascii="Arial Narrow" w:hAnsi="Arial Narrow"/>
                <w:b/>
                <w:sz w:val="16"/>
                <w:szCs w:val="16"/>
              </w:rPr>
            </w:pPr>
          </w:p>
        </w:tc>
        <w:tc>
          <w:tcPr>
            <w:tcW w:w="1433" w:type="dxa"/>
            <w:vMerge/>
            <w:tcBorders>
              <w:bottom w:val="single" w:sz="4" w:space="0" w:color="auto"/>
            </w:tcBorders>
          </w:tcPr>
          <w:p w14:paraId="5B05B744" w14:textId="77777777" w:rsidR="00D2504B" w:rsidRPr="007D1918" w:rsidRDefault="00D2504B" w:rsidP="00153384">
            <w:pPr>
              <w:keepNext/>
              <w:spacing w:after="40" w:line="240" w:lineRule="auto"/>
              <w:jc w:val="center"/>
              <w:rPr>
                <w:rFonts w:ascii="Arial Narrow" w:hAnsi="Arial Narrow"/>
                <w:b/>
                <w:sz w:val="16"/>
                <w:szCs w:val="16"/>
              </w:rPr>
            </w:pPr>
          </w:p>
        </w:tc>
        <w:tc>
          <w:tcPr>
            <w:tcW w:w="1433" w:type="dxa"/>
            <w:vMerge/>
            <w:tcBorders>
              <w:bottom w:val="single" w:sz="4" w:space="0" w:color="auto"/>
            </w:tcBorders>
          </w:tcPr>
          <w:p w14:paraId="05549EF2" w14:textId="77777777" w:rsidR="00D2504B" w:rsidRPr="007D1918" w:rsidRDefault="00D2504B" w:rsidP="00153384">
            <w:pPr>
              <w:keepNext/>
              <w:spacing w:after="40" w:line="240" w:lineRule="auto"/>
              <w:jc w:val="center"/>
              <w:rPr>
                <w:rFonts w:ascii="Arial Narrow" w:hAnsi="Arial Narrow"/>
                <w:b/>
                <w:sz w:val="16"/>
                <w:szCs w:val="16"/>
              </w:rPr>
            </w:pPr>
          </w:p>
        </w:tc>
      </w:tr>
      <w:tr w:rsidR="00D2504B" w:rsidRPr="007D1918" w14:paraId="07B83F7E" w14:textId="77777777" w:rsidTr="00153384">
        <w:tc>
          <w:tcPr>
            <w:tcW w:w="1021" w:type="dxa"/>
          </w:tcPr>
          <w:p w14:paraId="4CBC3EF2"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Yr 1</w:t>
            </w:r>
          </w:p>
          <w:p w14:paraId="6CC7A40D" w14:textId="77777777" w:rsidR="00D2504B" w:rsidRPr="007D1918" w:rsidRDefault="00D2504B" w:rsidP="00153384">
            <w:pPr>
              <w:spacing w:after="40" w:line="240" w:lineRule="auto"/>
              <w:jc w:val="both"/>
              <w:rPr>
                <w:rFonts w:ascii="Arial Narrow" w:hAnsi="Arial Narrow"/>
                <w:sz w:val="16"/>
                <w:szCs w:val="16"/>
              </w:rPr>
            </w:pPr>
            <w:r w:rsidRPr="007D1918">
              <w:rPr>
                <w:rFonts w:ascii="Arial Narrow" w:hAnsi="Arial Narrow"/>
                <w:b/>
                <w:sz w:val="16"/>
                <w:szCs w:val="16"/>
              </w:rPr>
              <w:t>Induction</w:t>
            </w:r>
          </w:p>
        </w:tc>
        <w:tc>
          <w:tcPr>
            <w:tcW w:w="1134" w:type="dxa"/>
          </w:tcPr>
          <w:p w14:paraId="41ED7445"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Administration</w:t>
            </w:r>
          </w:p>
        </w:tc>
        <w:tc>
          <w:tcPr>
            <w:tcW w:w="1087" w:type="dxa"/>
            <w:tcBorders>
              <w:top w:val="single" w:sz="4" w:space="0" w:color="auto"/>
              <w:bottom w:val="single" w:sz="4" w:space="0" w:color="auto"/>
            </w:tcBorders>
            <w:shd w:val="clear" w:color="auto" w:fill="D9D9D9" w:themeFill="background1" w:themeFillShade="D9"/>
          </w:tcPr>
          <w:p w14:paraId="4D92441F"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7F4C36EB"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$922</w:t>
            </w:r>
          </w:p>
        </w:tc>
        <w:tc>
          <w:tcPr>
            <w:tcW w:w="1087" w:type="dxa"/>
            <w:tcBorders>
              <w:top w:val="single" w:sz="4" w:space="0" w:color="auto"/>
              <w:bottom w:val="single" w:sz="4" w:space="0" w:color="auto"/>
            </w:tcBorders>
          </w:tcPr>
          <w:p w14:paraId="29E3D78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$922</w:t>
            </w:r>
          </w:p>
        </w:tc>
        <w:tc>
          <w:tcPr>
            <w:tcW w:w="1346" w:type="dxa"/>
            <w:tcBorders>
              <w:top w:val="single" w:sz="4" w:space="0" w:color="auto"/>
              <w:bottom w:val="single" w:sz="4" w:space="0" w:color="auto"/>
            </w:tcBorders>
          </w:tcPr>
          <w:p w14:paraId="24CFF6CA"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$6,210</w:t>
            </w:r>
          </w:p>
        </w:tc>
        <w:tc>
          <w:tcPr>
            <w:tcW w:w="1347" w:type="dxa"/>
            <w:tcBorders>
              <w:top w:val="single" w:sz="4" w:space="0" w:color="auto"/>
              <w:bottom w:val="single" w:sz="4" w:space="0" w:color="auto"/>
            </w:tcBorders>
          </w:tcPr>
          <w:p w14:paraId="593B6552"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$6,210</w:t>
            </w:r>
          </w:p>
        </w:tc>
        <w:tc>
          <w:tcPr>
            <w:tcW w:w="1432" w:type="dxa"/>
            <w:tcBorders>
              <w:top w:val="single" w:sz="4" w:space="0" w:color="auto"/>
              <w:bottom w:val="single" w:sz="4" w:space="0" w:color="auto"/>
            </w:tcBorders>
          </w:tcPr>
          <w:p w14:paraId="56AACEA2"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$8,500</w:t>
            </w:r>
          </w:p>
        </w:tc>
        <w:tc>
          <w:tcPr>
            <w:tcW w:w="1433" w:type="dxa"/>
            <w:tcBorders>
              <w:top w:val="single" w:sz="4" w:space="0" w:color="auto"/>
              <w:bottom w:val="single" w:sz="4" w:space="0" w:color="auto"/>
            </w:tcBorders>
          </w:tcPr>
          <w:p w14:paraId="71C60081"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$5,118</w:t>
            </w:r>
          </w:p>
        </w:tc>
        <w:tc>
          <w:tcPr>
            <w:tcW w:w="1433" w:type="dxa"/>
            <w:tcBorders>
              <w:top w:val="single" w:sz="4" w:space="0" w:color="auto"/>
              <w:bottom w:val="single" w:sz="4" w:space="0" w:color="auto"/>
            </w:tcBorders>
          </w:tcPr>
          <w:p w14:paraId="540E4508"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$922</w:t>
            </w:r>
          </w:p>
        </w:tc>
        <w:tc>
          <w:tcPr>
            <w:tcW w:w="1433" w:type="dxa"/>
            <w:tcBorders>
              <w:top w:val="single" w:sz="4" w:space="0" w:color="auto"/>
              <w:bottom w:val="single" w:sz="4" w:space="0" w:color="auto"/>
            </w:tcBorders>
          </w:tcPr>
          <w:p w14:paraId="427B1A99" w14:textId="77777777" w:rsidR="00D2504B" w:rsidRPr="007D1918" w:rsidRDefault="00D2504B" w:rsidP="00153384">
            <w:pPr>
              <w:spacing w:after="40" w:line="240" w:lineRule="auto"/>
              <w:rPr>
                <w:rFonts w:ascii="Arial Narrow" w:hAnsi="Arial Narrow"/>
                <w:sz w:val="16"/>
                <w:szCs w:val="16"/>
              </w:rPr>
            </w:pPr>
          </w:p>
        </w:tc>
      </w:tr>
      <w:tr w:rsidR="00D2504B" w:rsidRPr="007D1918" w14:paraId="52AF1D31" w14:textId="77777777" w:rsidTr="00153384">
        <w:trPr>
          <w:tblHeader/>
        </w:trPr>
        <w:tc>
          <w:tcPr>
            <w:tcW w:w="1021" w:type="dxa"/>
            <w:tcBorders>
              <w:bottom w:val="single" w:sz="4" w:space="0" w:color="auto"/>
            </w:tcBorders>
          </w:tcPr>
          <w:p w14:paraId="42688B6E" w14:textId="77777777" w:rsidR="00D2504B" w:rsidRPr="007D1918" w:rsidRDefault="00D2504B" w:rsidP="00153384">
            <w:pPr>
              <w:keepNext/>
              <w:spacing w:after="40" w:line="240" w:lineRule="auto"/>
              <w:rPr>
                <w:rFonts w:ascii="Arial Narrow" w:hAnsi="Arial Narrow"/>
                <w:b/>
                <w:sz w:val="16"/>
                <w:szCs w:val="16"/>
              </w:rPr>
            </w:pPr>
          </w:p>
        </w:tc>
        <w:tc>
          <w:tcPr>
            <w:tcW w:w="1134" w:type="dxa"/>
            <w:tcBorders>
              <w:bottom w:val="single" w:sz="4" w:space="0" w:color="auto"/>
            </w:tcBorders>
          </w:tcPr>
          <w:p w14:paraId="3FB9DFD1" w14:textId="77777777" w:rsidR="00D2504B" w:rsidRPr="007D1918" w:rsidRDefault="00D2504B" w:rsidP="00153384">
            <w:pPr>
              <w:keepNext/>
              <w:spacing w:after="40" w:line="240" w:lineRule="auto"/>
              <w:rPr>
                <w:rFonts w:ascii="Arial Narrow" w:hAnsi="Arial Narrow"/>
                <w:sz w:val="16"/>
                <w:szCs w:val="16"/>
              </w:rPr>
            </w:pPr>
            <w:r w:rsidRPr="007D1918">
              <w:rPr>
                <w:rFonts w:ascii="Arial Narrow" w:hAnsi="Arial Narrow"/>
                <w:sz w:val="16"/>
                <w:szCs w:val="16"/>
              </w:rPr>
              <w:t>Procurement</w:t>
            </w:r>
          </w:p>
        </w:tc>
        <w:tc>
          <w:tcPr>
            <w:tcW w:w="1087" w:type="dxa"/>
            <w:tcBorders>
              <w:bottom w:val="single" w:sz="4" w:space="0" w:color="auto"/>
            </w:tcBorders>
            <w:shd w:val="clear" w:color="auto" w:fill="D9D9D9" w:themeFill="background1" w:themeFillShade="D9"/>
          </w:tcPr>
          <w:p w14:paraId="58CC1B22"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bottom w:val="single" w:sz="4" w:space="0" w:color="auto"/>
            </w:tcBorders>
          </w:tcPr>
          <w:p w14:paraId="2939C8C3"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$9,786</w:t>
            </w:r>
          </w:p>
        </w:tc>
        <w:tc>
          <w:tcPr>
            <w:tcW w:w="1087" w:type="dxa"/>
            <w:tcBorders>
              <w:bottom w:val="single" w:sz="4" w:space="0" w:color="auto"/>
            </w:tcBorders>
          </w:tcPr>
          <w:p w14:paraId="28D7996A"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$9,786</w:t>
            </w:r>
          </w:p>
        </w:tc>
        <w:tc>
          <w:tcPr>
            <w:tcW w:w="1346" w:type="dxa"/>
            <w:tcBorders>
              <w:bottom w:val="single" w:sz="4" w:space="0" w:color="auto"/>
            </w:tcBorders>
          </w:tcPr>
          <w:p w14:paraId="7225304D"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$2,055</w:t>
            </w:r>
          </w:p>
        </w:tc>
        <w:tc>
          <w:tcPr>
            <w:tcW w:w="1347" w:type="dxa"/>
            <w:tcBorders>
              <w:bottom w:val="single" w:sz="4" w:space="0" w:color="auto"/>
            </w:tcBorders>
          </w:tcPr>
          <w:p w14:paraId="17BAEE0A"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$2,055</w:t>
            </w:r>
          </w:p>
        </w:tc>
        <w:tc>
          <w:tcPr>
            <w:tcW w:w="1432" w:type="dxa"/>
            <w:tcBorders>
              <w:bottom w:val="single" w:sz="4" w:space="0" w:color="auto"/>
            </w:tcBorders>
          </w:tcPr>
          <w:p w14:paraId="794AB70B" w14:textId="77777777" w:rsidR="00D2504B" w:rsidRPr="007D1918" w:rsidRDefault="00D2504B" w:rsidP="00153384">
            <w:pPr>
              <w:keepNext/>
              <w:spacing w:after="40" w:line="240" w:lineRule="auto"/>
              <w:jc w:val="center"/>
              <w:rPr>
                <w:rFonts w:ascii="Arial Narrow" w:hAnsi="Arial Narrow"/>
                <w:sz w:val="16"/>
                <w:szCs w:val="16"/>
              </w:rPr>
            </w:pPr>
          </w:p>
        </w:tc>
        <w:tc>
          <w:tcPr>
            <w:tcW w:w="1433" w:type="dxa"/>
            <w:tcBorders>
              <w:bottom w:val="single" w:sz="4" w:space="0" w:color="auto"/>
            </w:tcBorders>
          </w:tcPr>
          <w:p w14:paraId="425D10CA"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$940.56</w:t>
            </w:r>
          </w:p>
        </w:tc>
        <w:tc>
          <w:tcPr>
            <w:tcW w:w="1433" w:type="dxa"/>
            <w:tcBorders>
              <w:bottom w:val="single" w:sz="4" w:space="0" w:color="auto"/>
            </w:tcBorders>
          </w:tcPr>
          <w:p w14:paraId="0759EF86" w14:textId="77777777" w:rsidR="00D2504B" w:rsidRPr="007D1918" w:rsidRDefault="00D2504B" w:rsidP="00153384">
            <w:pPr>
              <w:keepNext/>
              <w:spacing w:after="40" w:line="240" w:lineRule="auto"/>
              <w:jc w:val="center"/>
              <w:rPr>
                <w:rFonts w:ascii="Arial Narrow" w:hAnsi="Arial Narrow"/>
                <w:sz w:val="16"/>
                <w:szCs w:val="16"/>
              </w:rPr>
            </w:pPr>
            <w:r w:rsidRPr="007D1918">
              <w:rPr>
                <w:rFonts w:ascii="Arial Narrow" w:hAnsi="Arial Narrow"/>
                <w:sz w:val="16"/>
                <w:szCs w:val="16"/>
              </w:rPr>
              <w:t>$6,178</w:t>
            </w:r>
          </w:p>
        </w:tc>
        <w:tc>
          <w:tcPr>
            <w:tcW w:w="1433" w:type="dxa"/>
            <w:tcBorders>
              <w:top w:val="single" w:sz="4" w:space="0" w:color="auto"/>
              <w:bottom w:val="single" w:sz="4" w:space="0" w:color="auto"/>
            </w:tcBorders>
          </w:tcPr>
          <w:p w14:paraId="2046AEDD"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dose*</w:t>
            </w:r>
          </w:p>
        </w:tc>
      </w:tr>
      <w:tr w:rsidR="00D2504B" w:rsidRPr="007D1918" w14:paraId="32D11739" w14:textId="77777777" w:rsidTr="00153384">
        <w:tc>
          <w:tcPr>
            <w:tcW w:w="1021" w:type="dxa"/>
          </w:tcPr>
          <w:p w14:paraId="22FFB087" w14:textId="77777777" w:rsidR="00D2504B" w:rsidRPr="007D1918" w:rsidRDefault="00D2504B" w:rsidP="00153384">
            <w:pPr>
              <w:spacing w:after="40" w:line="240" w:lineRule="auto"/>
              <w:jc w:val="both"/>
              <w:rPr>
                <w:rFonts w:ascii="Arial Narrow" w:hAnsi="Arial Narrow"/>
                <w:sz w:val="16"/>
                <w:szCs w:val="16"/>
              </w:rPr>
            </w:pPr>
          </w:p>
        </w:tc>
        <w:tc>
          <w:tcPr>
            <w:tcW w:w="1134" w:type="dxa"/>
          </w:tcPr>
          <w:p w14:paraId="4623E8B5"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Procedures</w:t>
            </w:r>
          </w:p>
        </w:tc>
        <w:tc>
          <w:tcPr>
            <w:tcW w:w="1087" w:type="dxa"/>
            <w:tcBorders>
              <w:top w:val="single" w:sz="4" w:space="0" w:color="auto"/>
              <w:bottom w:val="single" w:sz="4" w:space="0" w:color="auto"/>
            </w:tcBorders>
            <w:shd w:val="clear" w:color="auto" w:fill="D9D9D9" w:themeFill="background1" w:themeFillShade="D9"/>
          </w:tcPr>
          <w:p w14:paraId="6AA3546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16E9B56F"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1EE217C7"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346" w:type="dxa"/>
            <w:tcBorders>
              <w:top w:val="single" w:sz="4" w:space="0" w:color="auto"/>
              <w:bottom w:val="single" w:sz="4" w:space="0" w:color="auto"/>
            </w:tcBorders>
          </w:tcPr>
          <w:p w14:paraId="62B6E676" w14:textId="77777777" w:rsidR="00D2504B" w:rsidRPr="007D1918" w:rsidRDefault="00D2504B" w:rsidP="00153384">
            <w:pPr>
              <w:spacing w:after="0" w:line="240" w:lineRule="auto"/>
              <w:jc w:val="center"/>
              <w:rPr>
                <w:rFonts w:ascii="Arial Narrow" w:hAnsi="Arial Narrow"/>
                <w:sz w:val="16"/>
                <w:szCs w:val="16"/>
              </w:rPr>
            </w:pPr>
            <w:r w:rsidRPr="007D1918">
              <w:rPr>
                <w:rFonts w:ascii="Arial Narrow" w:hAnsi="Arial Narrow"/>
                <w:sz w:val="16"/>
                <w:szCs w:val="16"/>
              </w:rPr>
              <w:t>$1,791</w:t>
            </w:r>
          </w:p>
        </w:tc>
        <w:tc>
          <w:tcPr>
            <w:tcW w:w="1347" w:type="dxa"/>
            <w:tcBorders>
              <w:top w:val="single" w:sz="4" w:space="0" w:color="auto"/>
              <w:bottom w:val="single" w:sz="4" w:space="0" w:color="auto"/>
            </w:tcBorders>
          </w:tcPr>
          <w:p w14:paraId="1DB42D69"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$1,791</w:t>
            </w:r>
          </w:p>
        </w:tc>
        <w:tc>
          <w:tcPr>
            <w:tcW w:w="1432" w:type="dxa"/>
            <w:tcBorders>
              <w:top w:val="single" w:sz="4" w:space="0" w:color="auto"/>
              <w:bottom w:val="single" w:sz="4" w:space="0" w:color="auto"/>
            </w:tcBorders>
          </w:tcPr>
          <w:p w14:paraId="243EE83E"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$38,835</w:t>
            </w:r>
          </w:p>
        </w:tc>
        <w:tc>
          <w:tcPr>
            <w:tcW w:w="1433" w:type="dxa"/>
            <w:tcBorders>
              <w:top w:val="single" w:sz="4" w:space="0" w:color="auto"/>
              <w:bottom w:val="single" w:sz="4" w:space="0" w:color="auto"/>
            </w:tcBorders>
          </w:tcPr>
          <w:p w14:paraId="1C6056DC"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top w:val="single" w:sz="4" w:space="0" w:color="auto"/>
              <w:bottom w:val="single" w:sz="4" w:space="0" w:color="auto"/>
            </w:tcBorders>
          </w:tcPr>
          <w:p w14:paraId="36F10293"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top w:val="single" w:sz="4" w:space="0" w:color="auto"/>
              <w:bottom w:val="single" w:sz="4" w:space="0" w:color="auto"/>
            </w:tcBorders>
          </w:tcPr>
          <w:p w14:paraId="56FC9446" w14:textId="77777777" w:rsidR="00D2504B" w:rsidRPr="007D1918" w:rsidRDefault="00D2504B" w:rsidP="00153384">
            <w:pPr>
              <w:spacing w:after="40" w:line="240" w:lineRule="auto"/>
              <w:rPr>
                <w:rFonts w:ascii="Arial Narrow" w:hAnsi="Arial Narrow"/>
                <w:sz w:val="16"/>
                <w:szCs w:val="16"/>
              </w:rPr>
            </w:pPr>
          </w:p>
        </w:tc>
      </w:tr>
      <w:tr w:rsidR="00D2504B" w:rsidRPr="007D1918" w14:paraId="2A6BE83F" w14:textId="77777777" w:rsidTr="00153384">
        <w:tc>
          <w:tcPr>
            <w:tcW w:w="1021" w:type="dxa"/>
          </w:tcPr>
          <w:p w14:paraId="1A74BEB9" w14:textId="77777777" w:rsidR="00D2504B" w:rsidRPr="007D1918" w:rsidRDefault="00D2504B" w:rsidP="00153384">
            <w:pPr>
              <w:spacing w:after="40" w:line="240" w:lineRule="auto"/>
              <w:jc w:val="both"/>
              <w:rPr>
                <w:rFonts w:ascii="Arial Narrow" w:hAnsi="Arial Narrow"/>
                <w:sz w:val="16"/>
                <w:szCs w:val="16"/>
              </w:rPr>
            </w:pPr>
          </w:p>
        </w:tc>
        <w:tc>
          <w:tcPr>
            <w:tcW w:w="1134" w:type="dxa"/>
          </w:tcPr>
          <w:p w14:paraId="0BC590F5"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Monitoring</w:t>
            </w:r>
          </w:p>
        </w:tc>
        <w:tc>
          <w:tcPr>
            <w:tcW w:w="1087" w:type="dxa"/>
            <w:tcBorders>
              <w:top w:val="single" w:sz="4" w:space="0" w:color="auto"/>
              <w:bottom w:val="single" w:sz="4" w:space="0" w:color="auto"/>
            </w:tcBorders>
            <w:shd w:val="clear" w:color="auto" w:fill="D9D9D9" w:themeFill="background1" w:themeFillShade="D9"/>
          </w:tcPr>
          <w:p w14:paraId="3556C100"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5C36E71A"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414CC2F0"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346" w:type="dxa"/>
            <w:tcBorders>
              <w:top w:val="single" w:sz="4" w:space="0" w:color="auto"/>
              <w:bottom w:val="single" w:sz="4" w:space="0" w:color="auto"/>
            </w:tcBorders>
          </w:tcPr>
          <w:p w14:paraId="38DF39A5" w14:textId="77777777" w:rsidR="00D2504B" w:rsidRPr="007D1918" w:rsidRDefault="00D2504B" w:rsidP="00153384">
            <w:pPr>
              <w:spacing w:after="40" w:line="240" w:lineRule="auto"/>
              <w:jc w:val="center"/>
              <w:rPr>
                <w:rFonts w:ascii="Arial Narrow" w:hAnsi="Arial Narrow"/>
                <w:sz w:val="16"/>
                <w:szCs w:val="16"/>
              </w:rPr>
            </w:pPr>
          </w:p>
        </w:tc>
        <w:tc>
          <w:tcPr>
            <w:tcW w:w="1347" w:type="dxa"/>
            <w:tcBorders>
              <w:top w:val="single" w:sz="4" w:space="0" w:color="auto"/>
              <w:bottom w:val="single" w:sz="4" w:space="0" w:color="auto"/>
            </w:tcBorders>
          </w:tcPr>
          <w:p w14:paraId="66B33B37" w14:textId="77777777" w:rsidR="00D2504B" w:rsidRPr="007D1918" w:rsidRDefault="00D2504B" w:rsidP="00153384">
            <w:pPr>
              <w:spacing w:after="40" w:line="240" w:lineRule="auto"/>
              <w:jc w:val="center"/>
              <w:rPr>
                <w:rFonts w:ascii="Arial Narrow" w:hAnsi="Arial Narrow"/>
                <w:sz w:val="16"/>
                <w:szCs w:val="16"/>
              </w:rPr>
            </w:pPr>
          </w:p>
        </w:tc>
        <w:tc>
          <w:tcPr>
            <w:tcW w:w="1432" w:type="dxa"/>
            <w:tcBorders>
              <w:top w:val="single" w:sz="4" w:space="0" w:color="auto"/>
              <w:bottom w:val="single" w:sz="4" w:space="0" w:color="auto"/>
            </w:tcBorders>
          </w:tcPr>
          <w:p w14:paraId="04F3A9BD"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top w:val="single" w:sz="4" w:space="0" w:color="auto"/>
              <w:bottom w:val="single" w:sz="4" w:space="0" w:color="auto"/>
            </w:tcBorders>
          </w:tcPr>
          <w:p w14:paraId="12C37BB3"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$242.55</w:t>
            </w:r>
          </w:p>
        </w:tc>
        <w:tc>
          <w:tcPr>
            <w:tcW w:w="1433" w:type="dxa"/>
            <w:tcBorders>
              <w:top w:val="single" w:sz="4" w:space="0" w:color="auto"/>
              <w:bottom w:val="single" w:sz="4" w:space="0" w:color="auto"/>
            </w:tcBorders>
          </w:tcPr>
          <w:p w14:paraId="706D32CE"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top w:val="single" w:sz="4" w:space="0" w:color="auto"/>
              <w:bottom w:val="single" w:sz="4" w:space="0" w:color="auto"/>
            </w:tcBorders>
          </w:tcPr>
          <w:p w14:paraId="2842EC31"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monitoring pattern*</w:t>
            </w:r>
          </w:p>
        </w:tc>
      </w:tr>
      <w:tr w:rsidR="00D2504B" w:rsidRPr="007D1918" w14:paraId="20492FF0" w14:textId="77777777" w:rsidTr="00153384">
        <w:tc>
          <w:tcPr>
            <w:tcW w:w="1021" w:type="dxa"/>
          </w:tcPr>
          <w:p w14:paraId="08B98791"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Yr 1</w:t>
            </w:r>
          </w:p>
          <w:p w14:paraId="50926E83"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Remainder</w:t>
            </w:r>
          </w:p>
        </w:tc>
        <w:tc>
          <w:tcPr>
            <w:tcW w:w="1134" w:type="dxa"/>
          </w:tcPr>
          <w:p w14:paraId="1CA67135"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Administration</w:t>
            </w:r>
          </w:p>
        </w:tc>
        <w:tc>
          <w:tcPr>
            <w:tcW w:w="1087" w:type="dxa"/>
            <w:tcBorders>
              <w:top w:val="single" w:sz="4" w:space="0" w:color="auto"/>
              <w:bottom w:val="single" w:sz="4" w:space="0" w:color="auto"/>
            </w:tcBorders>
            <w:shd w:val="clear" w:color="auto" w:fill="D9D9D9" w:themeFill="background1" w:themeFillShade="D9"/>
          </w:tcPr>
          <w:p w14:paraId="3851BB0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32809492"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$3,688</w:t>
            </w:r>
          </w:p>
        </w:tc>
        <w:tc>
          <w:tcPr>
            <w:tcW w:w="1087" w:type="dxa"/>
            <w:tcBorders>
              <w:top w:val="single" w:sz="4" w:space="0" w:color="auto"/>
              <w:bottom w:val="single" w:sz="4" w:space="0" w:color="auto"/>
            </w:tcBorders>
          </w:tcPr>
          <w:p w14:paraId="09D07225"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$5,532</w:t>
            </w:r>
          </w:p>
        </w:tc>
        <w:tc>
          <w:tcPr>
            <w:tcW w:w="1346" w:type="dxa"/>
            <w:tcBorders>
              <w:top w:val="single" w:sz="4" w:space="0" w:color="auto"/>
              <w:bottom w:val="single" w:sz="4" w:space="0" w:color="auto"/>
            </w:tcBorders>
          </w:tcPr>
          <w:p w14:paraId="1CB7A56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$7,452</w:t>
            </w:r>
          </w:p>
        </w:tc>
        <w:tc>
          <w:tcPr>
            <w:tcW w:w="1347" w:type="dxa"/>
            <w:tcBorders>
              <w:top w:val="single" w:sz="4" w:space="0" w:color="auto"/>
              <w:bottom w:val="single" w:sz="4" w:space="0" w:color="auto"/>
            </w:tcBorders>
          </w:tcPr>
          <w:p w14:paraId="4C50F71F"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$21,114</w:t>
            </w:r>
          </w:p>
        </w:tc>
        <w:tc>
          <w:tcPr>
            <w:tcW w:w="1432" w:type="dxa"/>
            <w:tcBorders>
              <w:top w:val="single" w:sz="4" w:space="0" w:color="auto"/>
              <w:bottom w:val="single" w:sz="4" w:space="0" w:color="auto"/>
            </w:tcBorders>
            <w:shd w:val="clear" w:color="auto" w:fill="D9D9D9" w:themeFill="background1" w:themeFillShade="D9"/>
          </w:tcPr>
          <w:p w14:paraId="59253B86" w14:textId="77777777" w:rsidR="00D2504B" w:rsidRPr="007D1918" w:rsidRDefault="00D2504B" w:rsidP="00153384">
            <w:pPr>
              <w:spacing w:after="40" w:line="240" w:lineRule="auto"/>
              <w:jc w:val="center"/>
              <w:rPr>
                <w:rFonts w:ascii="Arial Narrow" w:hAnsi="Arial Narrow"/>
                <w:sz w:val="16"/>
                <w:szCs w:val="16"/>
              </w:rPr>
            </w:pPr>
          </w:p>
        </w:tc>
        <w:tc>
          <w:tcPr>
            <w:tcW w:w="1433" w:type="dxa"/>
            <w:vMerge w:val="restart"/>
            <w:tcBorders>
              <w:top w:val="single" w:sz="4" w:space="0" w:color="auto"/>
            </w:tcBorders>
            <w:shd w:val="clear" w:color="auto" w:fill="D9D9D9" w:themeFill="background1" w:themeFillShade="D9"/>
          </w:tcPr>
          <w:p w14:paraId="046966AA"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$982</w:t>
            </w:r>
          </w:p>
        </w:tc>
        <w:tc>
          <w:tcPr>
            <w:tcW w:w="1433" w:type="dxa"/>
            <w:tcBorders>
              <w:top w:val="single" w:sz="4" w:space="0" w:color="auto"/>
              <w:bottom w:val="single" w:sz="4" w:space="0" w:color="auto"/>
            </w:tcBorders>
          </w:tcPr>
          <w:p w14:paraId="5A94393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433" w:type="dxa"/>
            <w:tcBorders>
              <w:top w:val="single" w:sz="4" w:space="0" w:color="auto"/>
              <w:bottom w:val="single" w:sz="4" w:space="0" w:color="auto"/>
            </w:tcBorders>
          </w:tcPr>
          <w:p w14:paraId="0363A1F7" w14:textId="77777777" w:rsidR="00D2504B" w:rsidRPr="007D1918" w:rsidRDefault="00D2504B" w:rsidP="00153384">
            <w:pPr>
              <w:spacing w:after="40" w:line="240" w:lineRule="auto"/>
              <w:rPr>
                <w:rFonts w:ascii="Arial Narrow" w:hAnsi="Arial Narrow"/>
                <w:sz w:val="16"/>
                <w:szCs w:val="16"/>
              </w:rPr>
            </w:pPr>
          </w:p>
        </w:tc>
      </w:tr>
      <w:tr w:rsidR="00D2504B" w:rsidRPr="007D1918" w14:paraId="52069933" w14:textId="77777777" w:rsidTr="00153384">
        <w:tc>
          <w:tcPr>
            <w:tcW w:w="1021" w:type="dxa"/>
          </w:tcPr>
          <w:p w14:paraId="32C0CE4C" w14:textId="77777777" w:rsidR="00D2504B" w:rsidRPr="007D1918" w:rsidRDefault="00D2504B" w:rsidP="00153384">
            <w:pPr>
              <w:spacing w:after="40" w:line="240" w:lineRule="auto"/>
              <w:jc w:val="both"/>
              <w:rPr>
                <w:rFonts w:ascii="Arial Narrow" w:hAnsi="Arial Narrow"/>
                <w:sz w:val="16"/>
                <w:szCs w:val="16"/>
              </w:rPr>
            </w:pPr>
          </w:p>
        </w:tc>
        <w:tc>
          <w:tcPr>
            <w:tcW w:w="1134" w:type="dxa"/>
            <w:tcBorders>
              <w:bottom w:val="single" w:sz="4" w:space="0" w:color="auto"/>
            </w:tcBorders>
          </w:tcPr>
          <w:p w14:paraId="29B717B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Procurement</w:t>
            </w:r>
          </w:p>
        </w:tc>
        <w:tc>
          <w:tcPr>
            <w:tcW w:w="1087" w:type="dxa"/>
            <w:tcBorders>
              <w:top w:val="single" w:sz="4" w:space="0" w:color="auto"/>
              <w:bottom w:val="single" w:sz="4" w:space="0" w:color="auto"/>
            </w:tcBorders>
            <w:shd w:val="clear" w:color="auto" w:fill="D9D9D9" w:themeFill="background1" w:themeFillShade="D9"/>
          </w:tcPr>
          <w:p w14:paraId="7015CD13"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0F694CF0"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$15,658</w:t>
            </w:r>
          </w:p>
        </w:tc>
        <w:tc>
          <w:tcPr>
            <w:tcW w:w="1087" w:type="dxa"/>
            <w:tcBorders>
              <w:top w:val="single" w:sz="4" w:space="0" w:color="auto"/>
              <w:bottom w:val="single" w:sz="4" w:space="0" w:color="auto"/>
            </w:tcBorders>
          </w:tcPr>
          <w:p w14:paraId="55B9508E"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$58,718</w:t>
            </w:r>
          </w:p>
        </w:tc>
        <w:tc>
          <w:tcPr>
            <w:tcW w:w="1346" w:type="dxa"/>
            <w:tcBorders>
              <w:top w:val="single" w:sz="4" w:space="0" w:color="auto"/>
              <w:bottom w:val="single" w:sz="4" w:space="0" w:color="auto"/>
            </w:tcBorders>
          </w:tcPr>
          <w:p w14:paraId="4154285C"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$2,466</w:t>
            </w:r>
          </w:p>
        </w:tc>
        <w:tc>
          <w:tcPr>
            <w:tcW w:w="1347" w:type="dxa"/>
            <w:tcBorders>
              <w:top w:val="single" w:sz="4" w:space="0" w:color="auto"/>
              <w:bottom w:val="single" w:sz="4" w:space="0" w:color="auto"/>
            </w:tcBorders>
          </w:tcPr>
          <w:p w14:paraId="549D23EB"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$6,987</w:t>
            </w:r>
          </w:p>
        </w:tc>
        <w:tc>
          <w:tcPr>
            <w:tcW w:w="1432" w:type="dxa"/>
            <w:tcBorders>
              <w:top w:val="single" w:sz="4" w:space="0" w:color="auto"/>
              <w:bottom w:val="single" w:sz="4" w:space="0" w:color="auto"/>
            </w:tcBorders>
            <w:shd w:val="clear" w:color="auto" w:fill="D9D9D9" w:themeFill="background1" w:themeFillShade="D9"/>
          </w:tcPr>
          <w:p w14:paraId="2B77C7B0" w14:textId="77777777" w:rsidR="00D2504B" w:rsidRPr="007D1918" w:rsidRDefault="00D2504B" w:rsidP="00153384">
            <w:pPr>
              <w:spacing w:after="40" w:line="240" w:lineRule="auto"/>
              <w:jc w:val="center"/>
              <w:rPr>
                <w:rFonts w:ascii="Arial Narrow" w:hAnsi="Arial Narrow"/>
                <w:sz w:val="16"/>
                <w:szCs w:val="16"/>
              </w:rPr>
            </w:pPr>
          </w:p>
        </w:tc>
        <w:tc>
          <w:tcPr>
            <w:tcW w:w="1433" w:type="dxa"/>
            <w:vMerge/>
            <w:shd w:val="clear" w:color="auto" w:fill="D9D9D9" w:themeFill="background1" w:themeFillShade="D9"/>
          </w:tcPr>
          <w:p w14:paraId="2D347232"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top w:val="single" w:sz="4" w:space="0" w:color="auto"/>
              <w:bottom w:val="single" w:sz="4" w:space="0" w:color="auto"/>
            </w:tcBorders>
          </w:tcPr>
          <w:p w14:paraId="500DB809"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433" w:type="dxa"/>
            <w:tcBorders>
              <w:top w:val="single" w:sz="4" w:space="0" w:color="auto"/>
              <w:bottom w:val="single" w:sz="4" w:space="0" w:color="auto"/>
            </w:tcBorders>
          </w:tcPr>
          <w:p w14:paraId="395A233C" w14:textId="77777777" w:rsidR="00D2504B" w:rsidRPr="007D1918" w:rsidRDefault="00D2504B" w:rsidP="00153384">
            <w:pPr>
              <w:spacing w:after="40" w:line="240" w:lineRule="auto"/>
              <w:rPr>
                <w:rFonts w:ascii="Arial Narrow" w:hAnsi="Arial Narrow"/>
                <w:sz w:val="16"/>
                <w:szCs w:val="16"/>
              </w:rPr>
            </w:pPr>
          </w:p>
        </w:tc>
      </w:tr>
      <w:tr w:rsidR="00D2504B" w:rsidRPr="007D1918" w14:paraId="44F06C76" w14:textId="77777777" w:rsidTr="00153384">
        <w:tc>
          <w:tcPr>
            <w:tcW w:w="1021" w:type="dxa"/>
          </w:tcPr>
          <w:p w14:paraId="623022A6" w14:textId="77777777" w:rsidR="00D2504B" w:rsidRPr="007D1918" w:rsidRDefault="00D2504B" w:rsidP="00153384">
            <w:pPr>
              <w:spacing w:after="40" w:line="240" w:lineRule="auto"/>
              <w:jc w:val="both"/>
              <w:rPr>
                <w:rFonts w:ascii="Arial Narrow" w:hAnsi="Arial Narrow"/>
                <w:sz w:val="16"/>
                <w:szCs w:val="16"/>
              </w:rPr>
            </w:pPr>
            <w:r w:rsidRPr="007D1918">
              <w:rPr>
                <w:rFonts w:ascii="Arial Narrow" w:hAnsi="Arial Narrow"/>
                <w:b/>
                <w:sz w:val="16"/>
                <w:szCs w:val="16"/>
              </w:rPr>
              <w:t>Maintenance Years</w:t>
            </w:r>
          </w:p>
        </w:tc>
        <w:tc>
          <w:tcPr>
            <w:tcW w:w="1134" w:type="dxa"/>
          </w:tcPr>
          <w:p w14:paraId="6BAE346F"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Administration</w:t>
            </w:r>
          </w:p>
        </w:tc>
        <w:tc>
          <w:tcPr>
            <w:tcW w:w="1087" w:type="dxa"/>
            <w:tcBorders>
              <w:top w:val="single" w:sz="4" w:space="0" w:color="auto"/>
              <w:bottom w:val="single" w:sz="4" w:space="0" w:color="auto"/>
            </w:tcBorders>
          </w:tcPr>
          <w:p w14:paraId="151E8960"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$5,071</w:t>
            </w:r>
          </w:p>
        </w:tc>
        <w:tc>
          <w:tcPr>
            <w:tcW w:w="1087" w:type="dxa"/>
            <w:tcBorders>
              <w:top w:val="single" w:sz="4" w:space="0" w:color="auto"/>
              <w:bottom w:val="single" w:sz="4" w:space="0" w:color="auto"/>
            </w:tcBorders>
          </w:tcPr>
          <w:p w14:paraId="4F88F5E0"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$4,149.00</w:t>
            </w:r>
          </w:p>
        </w:tc>
        <w:tc>
          <w:tcPr>
            <w:tcW w:w="1087" w:type="dxa"/>
            <w:tcBorders>
              <w:top w:val="single" w:sz="4" w:space="0" w:color="auto"/>
              <w:bottom w:val="single" w:sz="4" w:space="0" w:color="auto"/>
            </w:tcBorders>
          </w:tcPr>
          <w:p w14:paraId="544D6F9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$5,993</w:t>
            </w:r>
          </w:p>
        </w:tc>
        <w:tc>
          <w:tcPr>
            <w:tcW w:w="1346" w:type="dxa"/>
            <w:tcBorders>
              <w:top w:val="single" w:sz="4" w:space="0" w:color="auto"/>
              <w:bottom w:val="single" w:sz="4" w:space="0" w:color="auto"/>
            </w:tcBorders>
          </w:tcPr>
          <w:p w14:paraId="39BEA5D5"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$9,936</w:t>
            </w:r>
          </w:p>
        </w:tc>
        <w:tc>
          <w:tcPr>
            <w:tcW w:w="1347" w:type="dxa"/>
            <w:tcBorders>
              <w:top w:val="single" w:sz="4" w:space="0" w:color="auto"/>
              <w:bottom w:val="single" w:sz="4" w:space="0" w:color="auto"/>
            </w:tcBorders>
          </w:tcPr>
          <w:p w14:paraId="61ECBC23"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$22,356</w:t>
            </w:r>
          </w:p>
        </w:tc>
        <w:tc>
          <w:tcPr>
            <w:tcW w:w="1432" w:type="dxa"/>
            <w:tcBorders>
              <w:top w:val="single" w:sz="4" w:space="0" w:color="auto"/>
              <w:bottom w:val="single" w:sz="4" w:space="0" w:color="auto"/>
            </w:tcBorders>
            <w:shd w:val="clear" w:color="auto" w:fill="D9D9D9" w:themeFill="background1" w:themeFillShade="D9"/>
          </w:tcPr>
          <w:p w14:paraId="51FA69CC" w14:textId="77777777" w:rsidR="00D2504B" w:rsidRPr="007D1918" w:rsidRDefault="00D2504B" w:rsidP="00153384">
            <w:pPr>
              <w:spacing w:after="40" w:line="240" w:lineRule="auto"/>
              <w:jc w:val="center"/>
              <w:rPr>
                <w:rFonts w:ascii="Arial Narrow" w:hAnsi="Arial Narrow"/>
                <w:sz w:val="16"/>
                <w:szCs w:val="16"/>
              </w:rPr>
            </w:pPr>
          </w:p>
        </w:tc>
        <w:tc>
          <w:tcPr>
            <w:tcW w:w="1433" w:type="dxa"/>
            <w:vMerge w:val="restart"/>
            <w:tcBorders>
              <w:top w:val="single" w:sz="4" w:space="0" w:color="auto"/>
            </w:tcBorders>
            <w:shd w:val="clear" w:color="auto" w:fill="D9D9D9" w:themeFill="background1" w:themeFillShade="D9"/>
          </w:tcPr>
          <w:p w14:paraId="0EB9A435"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$1,964</w:t>
            </w:r>
          </w:p>
        </w:tc>
        <w:tc>
          <w:tcPr>
            <w:tcW w:w="1433" w:type="dxa"/>
            <w:tcBorders>
              <w:top w:val="single" w:sz="4" w:space="0" w:color="auto"/>
              <w:bottom w:val="single" w:sz="4" w:space="0" w:color="auto"/>
            </w:tcBorders>
          </w:tcPr>
          <w:p w14:paraId="02DD4AB7"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$461</w:t>
            </w:r>
          </w:p>
        </w:tc>
        <w:tc>
          <w:tcPr>
            <w:tcW w:w="1433" w:type="dxa"/>
            <w:tcBorders>
              <w:top w:val="single" w:sz="4" w:space="0" w:color="auto"/>
              <w:bottom w:val="single" w:sz="4" w:space="0" w:color="auto"/>
            </w:tcBorders>
          </w:tcPr>
          <w:p w14:paraId="7E881090" w14:textId="77777777" w:rsidR="00D2504B" w:rsidRPr="007D1918" w:rsidRDefault="00D2504B" w:rsidP="00153384">
            <w:pPr>
              <w:spacing w:after="40" w:line="240" w:lineRule="auto"/>
              <w:rPr>
                <w:rFonts w:ascii="Arial Narrow" w:hAnsi="Arial Narrow"/>
                <w:sz w:val="16"/>
                <w:szCs w:val="16"/>
              </w:rPr>
            </w:pPr>
          </w:p>
        </w:tc>
      </w:tr>
      <w:tr w:rsidR="00D2504B" w:rsidRPr="007D1918" w14:paraId="34FD4B51" w14:textId="77777777" w:rsidTr="00153384">
        <w:tc>
          <w:tcPr>
            <w:tcW w:w="1021" w:type="dxa"/>
          </w:tcPr>
          <w:p w14:paraId="567DB6EB" w14:textId="77777777" w:rsidR="00D2504B" w:rsidRPr="007D1918" w:rsidRDefault="00D2504B" w:rsidP="00153384">
            <w:pPr>
              <w:spacing w:after="40" w:line="240" w:lineRule="auto"/>
              <w:jc w:val="both"/>
              <w:rPr>
                <w:rFonts w:ascii="Arial Narrow" w:hAnsi="Arial Narrow"/>
                <w:b/>
                <w:sz w:val="16"/>
                <w:szCs w:val="16"/>
              </w:rPr>
            </w:pPr>
          </w:p>
        </w:tc>
        <w:tc>
          <w:tcPr>
            <w:tcW w:w="1134" w:type="dxa"/>
            <w:tcBorders>
              <w:bottom w:val="single" w:sz="4" w:space="0" w:color="auto"/>
            </w:tcBorders>
          </w:tcPr>
          <w:p w14:paraId="2FDF3D3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Procurement</w:t>
            </w:r>
          </w:p>
        </w:tc>
        <w:tc>
          <w:tcPr>
            <w:tcW w:w="1087" w:type="dxa"/>
            <w:tcBorders>
              <w:top w:val="single" w:sz="4" w:space="0" w:color="auto"/>
              <w:bottom w:val="single" w:sz="4" w:space="0" w:color="auto"/>
            </w:tcBorders>
          </w:tcPr>
          <w:p w14:paraId="223C841B"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$29,722</w:t>
            </w:r>
          </w:p>
        </w:tc>
        <w:tc>
          <w:tcPr>
            <w:tcW w:w="1087" w:type="dxa"/>
            <w:tcBorders>
              <w:top w:val="single" w:sz="4" w:space="0" w:color="auto"/>
              <w:bottom w:val="single" w:sz="4" w:space="0" w:color="auto"/>
            </w:tcBorders>
          </w:tcPr>
          <w:p w14:paraId="06A4D5D5"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$17,615</w:t>
            </w:r>
          </w:p>
        </w:tc>
        <w:tc>
          <w:tcPr>
            <w:tcW w:w="1087" w:type="dxa"/>
            <w:tcBorders>
              <w:top w:val="single" w:sz="4" w:space="0" w:color="auto"/>
              <w:bottom w:val="single" w:sz="4" w:space="0" w:color="auto"/>
            </w:tcBorders>
          </w:tcPr>
          <w:p w14:paraId="7CABED92"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$63,611</w:t>
            </w:r>
          </w:p>
        </w:tc>
        <w:tc>
          <w:tcPr>
            <w:tcW w:w="1346" w:type="dxa"/>
            <w:tcBorders>
              <w:top w:val="single" w:sz="4" w:space="0" w:color="auto"/>
              <w:left w:val="nil"/>
              <w:bottom w:val="single" w:sz="4" w:space="0" w:color="auto"/>
              <w:right w:val="nil"/>
            </w:tcBorders>
            <w:shd w:val="clear" w:color="auto" w:fill="auto"/>
            <w:vAlign w:val="bottom"/>
          </w:tcPr>
          <w:p w14:paraId="6AC5E5C9"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$3,288</w:t>
            </w:r>
          </w:p>
        </w:tc>
        <w:tc>
          <w:tcPr>
            <w:tcW w:w="1347" w:type="dxa"/>
            <w:tcBorders>
              <w:top w:val="single" w:sz="4" w:space="0" w:color="auto"/>
              <w:bottom w:val="single" w:sz="4" w:space="0" w:color="auto"/>
            </w:tcBorders>
            <w:vAlign w:val="bottom"/>
          </w:tcPr>
          <w:p w14:paraId="450D31A7"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$7,398</w:t>
            </w:r>
          </w:p>
        </w:tc>
        <w:tc>
          <w:tcPr>
            <w:tcW w:w="1432" w:type="dxa"/>
            <w:tcBorders>
              <w:top w:val="single" w:sz="4" w:space="0" w:color="auto"/>
              <w:bottom w:val="single" w:sz="4" w:space="0" w:color="auto"/>
            </w:tcBorders>
            <w:shd w:val="clear" w:color="auto" w:fill="D9D9D9" w:themeFill="background1" w:themeFillShade="D9"/>
          </w:tcPr>
          <w:p w14:paraId="2636A138" w14:textId="77777777" w:rsidR="00D2504B" w:rsidRPr="007D1918" w:rsidRDefault="00D2504B" w:rsidP="00153384">
            <w:pPr>
              <w:spacing w:after="40" w:line="240" w:lineRule="auto"/>
              <w:jc w:val="center"/>
              <w:rPr>
                <w:rFonts w:ascii="Arial Narrow" w:hAnsi="Arial Narrow"/>
                <w:sz w:val="16"/>
                <w:szCs w:val="16"/>
              </w:rPr>
            </w:pPr>
          </w:p>
        </w:tc>
        <w:tc>
          <w:tcPr>
            <w:tcW w:w="1433" w:type="dxa"/>
            <w:vMerge/>
            <w:shd w:val="clear" w:color="auto" w:fill="D9D9D9" w:themeFill="background1" w:themeFillShade="D9"/>
          </w:tcPr>
          <w:p w14:paraId="18D3BB1C"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bottom w:val="single" w:sz="4" w:space="0" w:color="auto"/>
            </w:tcBorders>
          </w:tcPr>
          <w:p w14:paraId="0DBDEBE1"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$3,089</w:t>
            </w:r>
          </w:p>
        </w:tc>
        <w:tc>
          <w:tcPr>
            <w:tcW w:w="1433" w:type="dxa"/>
            <w:tcBorders>
              <w:top w:val="single" w:sz="4" w:space="0" w:color="auto"/>
              <w:bottom w:val="single" w:sz="4" w:space="0" w:color="auto"/>
            </w:tcBorders>
          </w:tcPr>
          <w:p w14:paraId="4A0ECDE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dose*</w:t>
            </w:r>
          </w:p>
        </w:tc>
      </w:tr>
      <w:tr w:rsidR="00D2504B" w:rsidRPr="007D1918" w14:paraId="076E1800" w14:textId="77777777" w:rsidTr="00153384">
        <w:tc>
          <w:tcPr>
            <w:tcW w:w="1021" w:type="dxa"/>
          </w:tcPr>
          <w:p w14:paraId="743F31B2" w14:textId="77777777" w:rsidR="00D2504B" w:rsidRPr="007D1918" w:rsidRDefault="00D2504B" w:rsidP="00153384">
            <w:pPr>
              <w:spacing w:after="40" w:line="240" w:lineRule="auto"/>
              <w:jc w:val="both"/>
              <w:rPr>
                <w:rFonts w:ascii="Arial Narrow" w:hAnsi="Arial Narrow"/>
                <w:sz w:val="16"/>
                <w:szCs w:val="16"/>
              </w:rPr>
            </w:pPr>
          </w:p>
        </w:tc>
        <w:tc>
          <w:tcPr>
            <w:tcW w:w="1134" w:type="dxa"/>
          </w:tcPr>
          <w:p w14:paraId="3762809C"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Monitoring or  procedures</w:t>
            </w:r>
          </w:p>
        </w:tc>
        <w:tc>
          <w:tcPr>
            <w:tcW w:w="1087" w:type="dxa"/>
            <w:tcBorders>
              <w:top w:val="single" w:sz="4" w:space="0" w:color="auto"/>
              <w:bottom w:val="single" w:sz="4" w:space="0" w:color="auto"/>
            </w:tcBorders>
          </w:tcPr>
          <w:p w14:paraId="58ECBFC1"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0D853C3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4B63A913"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w:t>
            </w:r>
          </w:p>
        </w:tc>
        <w:tc>
          <w:tcPr>
            <w:tcW w:w="1346" w:type="dxa"/>
            <w:tcBorders>
              <w:top w:val="single" w:sz="4" w:space="0" w:color="auto"/>
              <w:bottom w:val="single" w:sz="4" w:space="0" w:color="auto"/>
            </w:tcBorders>
          </w:tcPr>
          <w:p w14:paraId="495A265A"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$471</w:t>
            </w:r>
          </w:p>
        </w:tc>
        <w:tc>
          <w:tcPr>
            <w:tcW w:w="1347" w:type="dxa"/>
            <w:tcBorders>
              <w:top w:val="single" w:sz="4" w:space="0" w:color="auto"/>
              <w:bottom w:val="single" w:sz="4" w:space="0" w:color="auto"/>
            </w:tcBorders>
          </w:tcPr>
          <w:p w14:paraId="227E2C7B"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$471</w:t>
            </w:r>
          </w:p>
        </w:tc>
        <w:tc>
          <w:tcPr>
            <w:tcW w:w="1432" w:type="dxa"/>
            <w:tcBorders>
              <w:top w:val="single" w:sz="4" w:space="0" w:color="auto"/>
              <w:bottom w:val="single" w:sz="4" w:space="0" w:color="auto"/>
            </w:tcBorders>
            <w:shd w:val="clear" w:color="auto" w:fill="D9D9D9" w:themeFill="background1" w:themeFillShade="D9"/>
          </w:tcPr>
          <w:p w14:paraId="5D7D1FBB" w14:textId="77777777" w:rsidR="00D2504B" w:rsidRPr="007D1918" w:rsidRDefault="00D2504B" w:rsidP="00153384">
            <w:pPr>
              <w:spacing w:after="40" w:line="240" w:lineRule="auto"/>
              <w:jc w:val="center"/>
              <w:rPr>
                <w:rFonts w:ascii="Arial Narrow" w:hAnsi="Arial Narrow"/>
                <w:sz w:val="16"/>
                <w:szCs w:val="16"/>
              </w:rPr>
            </w:pPr>
          </w:p>
        </w:tc>
        <w:tc>
          <w:tcPr>
            <w:tcW w:w="1433" w:type="dxa"/>
            <w:vMerge/>
            <w:tcBorders>
              <w:bottom w:val="single" w:sz="4" w:space="0" w:color="auto"/>
            </w:tcBorders>
            <w:shd w:val="clear" w:color="auto" w:fill="D9D9D9" w:themeFill="background1" w:themeFillShade="D9"/>
          </w:tcPr>
          <w:p w14:paraId="243739DA"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top w:val="single" w:sz="4" w:space="0" w:color="auto"/>
              <w:bottom w:val="single" w:sz="4" w:space="0" w:color="auto"/>
            </w:tcBorders>
          </w:tcPr>
          <w:p w14:paraId="75B32FC4" w14:textId="77777777" w:rsidR="00D2504B" w:rsidRPr="007D1918" w:rsidRDefault="00D2504B" w:rsidP="00153384">
            <w:pPr>
              <w:spacing w:after="40" w:line="240" w:lineRule="auto"/>
              <w:jc w:val="center"/>
              <w:rPr>
                <w:rFonts w:ascii="Arial Narrow" w:hAnsi="Arial Narrow"/>
                <w:sz w:val="16"/>
                <w:szCs w:val="16"/>
              </w:rPr>
            </w:pPr>
          </w:p>
        </w:tc>
        <w:tc>
          <w:tcPr>
            <w:tcW w:w="1433" w:type="dxa"/>
            <w:tcBorders>
              <w:top w:val="single" w:sz="4" w:space="0" w:color="auto"/>
              <w:bottom w:val="single" w:sz="4" w:space="0" w:color="auto"/>
            </w:tcBorders>
          </w:tcPr>
          <w:p w14:paraId="763C6EA8"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Annual monitoring pattern*</w:t>
            </w:r>
          </w:p>
        </w:tc>
      </w:tr>
      <w:tr w:rsidR="00D2504B" w:rsidRPr="007D1918" w14:paraId="3580F5D2" w14:textId="77777777" w:rsidTr="00153384">
        <w:tc>
          <w:tcPr>
            <w:tcW w:w="1021" w:type="dxa"/>
          </w:tcPr>
          <w:p w14:paraId="259B59F2"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Total Year 1</w:t>
            </w:r>
          </w:p>
        </w:tc>
        <w:tc>
          <w:tcPr>
            <w:tcW w:w="1134" w:type="dxa"/>
          </w:tcPr>
          <w:p w14:paraId="53D65741" w14:textId="77777777" w:rsidR="00D2504B" w:rsidRPr="007D1918" w:rsidRDefault="00D2504B" w:rsidP="00153384">
            <w:pPr>
              <w:spacing w:after="40" w:line="240" w:lineRule="auto"/>
              <w:jc w:val="center"/>
              <w:rPr>
                <w:rFonts w:ascii="Arial Narrow" w:hAnsi="Arial Narrow"/>
                <w:sz w:val="16"/>
                <w:szCs w:val="16"/>
              </w:rPr>
            </w:pPr>
          </w:p>
        </w:tc>
        <w:tc>
          <w:tcPr>
            <w:tcW w:w="1087" w:type="dxa"/>
            <w:tcBorders>
              <w:top w:val="single" w:sz="4" w:space="0" w:color="auto"/>
              <w:bottom w:val="single" w:sz="4" w:space="0" w:color="auto"/>
            </w:tcBorders>
          </w:tcPr>
          <w:p w14:paraId="60DE373F"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$0.00</w:t>
            </w:r>
          </w:p>
        </w:tc>
        <w:tc>
          <w:tcPr>
            <w:tcW w:w="1087" w:type="dxa"/>
            <w:tcBorders>
              <w:top w:val="single" w:sz="4" w:space="0" w:color="auto"/>
              <w:bottom w:val="single" w:sz="4" w:space="0" w:color="auto"/>
            </w:tcBorders>
          </w:tcPr>
          <w:p w14:paraId="47FA5589"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$30,054.69</w:t>
            </w:r>
          </w:p>
        </w:tc>
        <w:tc>
          <w:tcPr>
            <w:tcW w:w="1087" w:type="dxa"/>
            <w:tcBorders>
              <w:top w:val="single" w:sz="4" w:space="0" w:color="auto"/>
              <w:bottom w:val="single" w:sz="4" w:space="0" w:color="auto"/>
            </w:tcBorders>
          </w:tcPr>
          <w:p w14:paraId="69B046F4"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$74,958.52</w:t>
            </w:r>
          </w:p>
        </w:tc>
        <w:tc>
          <w:tcPr>
            <w:tcW w:w="1346" w:type="dxa"/>
            <w:tcBorders>
              <w:top w:val="single" w:sz="4" w:space="0" w:color="auto"/>
              <w:left w:val="nil"/>
              <w:bottom w:val="single" w:sz="4" w:space="0" w:color="auto"/>
              <w:right w:val="nil"/>
            </w:tcBorders>
            <w:shd w:val="clear" w:color="auto" w:fill="auto"/>
            <w:vAlign w:val="bottom"/>
          </w:tcPr>
          <w:p w14:paraId="2A9EE4D8"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 xml:space="preserve">$19,974 </w:t>
            </w:r>
          </w:p>
        </w:tc>
        <w:tc>
          <w:tcPr>
            <w:tcW w:w="1347" w:type="dxa"/>
            <w:tcBorders>
              <w:top w:val="single" w:sz="4" w:space="0" w:color="auto"/>
              <w:bottom w:val="single" w:sz="4" w:space="0" w:color="auto"/>
            </w:tcBorders>
          </w:tcPr>
          <w:p w14:paraId="2CBE0305"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$38,157</w:t>
            </w:r>
          </w:p>
        </w:tc>
        <w:tc>
          <w:tcPr>
            <w:tcW w:w="1432" w:type="dxa"/>
            <w:tcBorders>
              <w:top w:val="single" w:sz="4" w:space="0" w:color="auto"/>
              <w:bottom w:val="single" w:sz="4" w:space="0" w:color="auto"/>
            </w:tcBorders>
          </w:tcPr>
          <w:p w14:paraId="10869469"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$47,335.00</w:t>
            </w:r>
          </w:p>
        </w:tc>
        <w:tc>
          <w:tcPr>
            <w:tcW w:w="1433" w:type="dxa"/>
            <w:tcBorders>
              <w:top w:val="single" w:sz="4" w:space="0" w:color="auto"/>
              <w:bottom w:val="single" w:sz="4" w:space="0" w:color="auto"/>
            </w:tcBorders>
          </w:tcPr>
          <w:p w14:paraId="15F83F76"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$6,301.11</w:t>
            </w:r>
          </w:p>
        </w:tc>
        <w:tc>
          <w:tcPr>
            <w:tcW w:w="1433" w:type="dxa"/>
            <w:tcBorders>
              <w:top w:val="single" w:sz="4" w:space="0" w:color="auto"/>
              <w:bottom w:val="single" w:sz="4" w:space="0" w:color="auto"/>
            </w:tcBorders>
          </w:tcPr>
          <w:p w14:paraId="6FA757FF"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$7,100.00</w:t>
            </w:r>
          </w:p>
        </w:tc>
        <w:tc>
          <w:tcPr>
            <w:tcW w:w="1433" w:type="dxa"/>
            <w:tcBorders>
              <w:top w:val="single" w:sz="4" w:space="0" w:color="auto"/>
              <w:bottom w:val="single" w:sz="4" w:space="0" w:color="auto"/>
            </w:tcBorders>
          </w:tcPr>
          <w:p w14:paraId="01E7D271" w14:textId="77777777" w:rsidR="00D2504B" w:rsidRPr="007D1918" w:rsidRDefault="00D2504B" w:rsidP="00153384">
            <w:pPr>
              <w:spacing w:after="40" w:line="240" w:lineRule="auto"/>
              <w:jc w:val="center"/>
              <w:rPr>
                <w:rFonts w:ascii="Arial Narrow" w:hAnsi="Arial Narrow"/>
                <w:sz w:val="16"/>
                <w:szCs w:val="16"/>
              </w:rPr>
            </w:pPr>
          </w:p>
        </w:tc>
      </w:tr>
      <w:tr w:rsidR="00D2504B" w:rsidRPr="007D1918" w14:paraId="00EEEFDC" w14:textId="77777777" w:rsidTr="00153384">
        <w:tc>
          <w:tcPr>
            <w:tcW w:w="1021" w:type="dxa"/>
          </w:tcPr>
          <w:p w14:paraId="2F6338AF"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Total Other</w:t>
            </w:r>
          </w:p>
        </w:tc>
        <w:tc>
          <w:tcPr>
            <w:tcW w:w="1134" w:type="dxa"/>
          </w:tcPr>
          <w:p w14:paraId="0C824F52" w14:textId="77777777" w:rsidR="00D2504B" w:rsidRPr="007D1918" w:rsidRDefault="00D2504B" w:rsidP="00153384">
            <w:pPr>
              <w:spacing w:after="40" w:line="240" w:lineRule="auto"/>
              <w:jc w:val="center"/>
              <w:rPr>
                <w:rFonts w:ascii="Arial Narrow" w:hAnsi="Arial Narrow"/>
                <w:sz w:val="16"/>
                <w:szCs w:val="16"/>
              </w:rPr>
            </w:pPr>
          </w:p>
        </w:tc>
        <w:tc>
          <w:tcPr>
            <w:tcW w:w="1087" w:type="dxa"/>
            <w:tcBorders>
              <w:top w:val="single" w:sz="4" w:space="0" w:color="auto"/>
              <w:bottom w:val="single" w:sz="4" w:space="0" w:color="auto"/>
            </w:tcBorders>
          </w:tcPr>
          <w:p w14:paraId="7E29A3AC"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$34,792.72</w:t>
            </w:r>
          </w:p>
        </w:tc>
        <w:tc>
          <w:tcPr>
            <w:tcW w:w="1087" w:type="dxa"/>
            <w:tcBorders>
              <w:top w:val="single" w:sz="4" w:space="0" w:color="auto"/>
              <w:bottom w:val="single" w:sz="4" w:space="0" w:color="auto"/>
            </w:tcBorders>
          </w:tcPr>
          <w:p w14:paraId="1E79081B"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$21,764.56</w:t>
            </w:r>
          </w:p>
        </w:tc>
        <w:tc>
          <w:tcPr>
            <w:tcW w:w="1087" w:type="dxa"/>
            <w:tcBorders>
              <w:top w:val="single" w:sz="4" w:space="0" w:color="auto"/>
              <w:bottom w:val="single" w:sz="4" w:space="0" w:color="auto"/>
            </w:tcBorders>
          </w:tcPr>
          <w:p w14:paraId="2438A8C9"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$69,604.73</w:t>
            </w:r>
          </w:p>
        </w:tc>
        <w:tc>
          <w:tcPr>
            <w:tcW w:w="1346" w:type="dxa"/>
            <w:tcBorders>
              <w:top w:val="single" w:sz="4" w:space="0" w:color="auto"/>
              <w:left w:val="nil"/>
              <w:bottom w:val="single" w:sz="4" w:space="0" w:color="auto"/>
              <w:right w:val="nil"/>
            </w:tcBorders>
            <w:shd w:val="clear" w:color="auto" w:fill="auto"/>
            <w:vAlign w:val="bottom"/>
          </w:tcPr>
          <w:p w14:paraId="2CAFEA9B"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$13,695</w:t>
            </w:r>
          </w:p>
        </w:tc>
        <w:tc>
          <w:tcPr>
            <w:tcW w:w="1347" w:type="dxa"/>
            <w:tcBorders>
              <w:top w:val="single" w:sz="4" w:space="0" w:color="auto"/>
              <w:bottom w:val="single" w:sz="4" w:space="0" w:color="auto"/>
            </w:tcBorders>
          </w:tcPr>
          <w:p w14:paraId="73C81000"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$30,225</w:t>
            </w:r>
          </w:p>
        </w:tc>
        <w:tc>
          <w:tcPr>
            <w:tcW w:w="1432" w:type="dxa"/>
            <w:tcBorders>
              <w:top w:val="single" w:sz="4" w:space="0" w:color="auto"/>
              <w:bottom w:val="single" w:sz="4" w:space="0" w:color="auto"/>
            </w:tcBorders>
          </w:tcPr>
          <w:p w14:paraId="5D1ACC14"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$0</w:t>
            </w:r>
          </w:p>
        </w:tc>
        <w:tc>
          <w:tcPr>
            <w:tcW w:w="1433" w:type="dxa"/>
            <w:tcBorders>
              <w:top w:val="single" w:sz="4" w:space="0" w:color="auto"/>
              <w:bottom w:val="single" w:sz="4" w:space="0" w:color="auto"/>
            </w:tcBorders>
          </w:tcPr>
          <w:p w14:paraId="681413AC"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$0</w:t>
            </w:r>
          </w:p>
        </w:tc>
        <w:tc>
          <w:tcPr>
            <w:tcW w:w="1433" w:type="dxa"/>
            <w:tcBorders>
              <w:top w:val="single" w:sz="4" w:space="0" w:color="auto"/>
              <w:bottom w:val="single" w:sz="4" w:space="0" w:color="auto"/>
            </w:tcBorders>
          </w:tcPr>
          <w:p w14:paraId="6543A9B7" w14:textId="77777777" w:rsidR="00D2504B" w:rsidRPr="007D1918" w:rsidRDefault="00D2504B" w:rsidP="00153384">
            <w:pPr>
              <w:spacing w:after="40" w:line="240" w:lineRule="auto"/>
              <w:jc w:val="center"/>
              <w:rPr>
                <w:rFonts w:ascii="Arial Narrow" w:hAnsi="Arial Narrow"/>
                <w:sz w:val="16"/>
                <w:szCs w:val="16"/>
              </w:rPr>
            </w:pPr>
            <w:r w:rsidRPr="007D1918">
              <w:rPr>
                <w:rFonts w:ascii="Arial Narrow" w:hAnsi="Arial Narrow"/>
                <w:sz w:val="16"/>
                <w:szCs w:val="16"/>
              </w:rPr>
              <w:t>$3,550</w:t>
            </w:r>
          </w:p>
        </w:tc>
        <w:tc>
          <w:tcPr>
            <w:tcW w:w="1433" w:type="dxa"/>
            <w:tcBorders>
              <w:top w:val="single" w:sz="4" w:space="0" w:color="auto"/>
              <w:bottom w:val="single" w:sz="4" w:space="0" w:color="auto"/>
            </w:tcBorders>
          </w:tcPr>
          <w:p w14:paraId="6FD2B176" w14:textId="77777777" w:rsidR="00D2504B" w:rsidRPr="007D1918" w:rsidRDefault="00D2504B" w:rsidP="00153384">
            <w:pPr>
              <w:spacing w:after="40" w:line="240" w:lineRule="auto"/>
              <w:jc w:val="center"/>
              <w:rPr>
                <w:rFonts w:ascii="Arial Narrow" w:hAnsi="Arial Narrow"/>
                <w:sz w:val="16"/>
                <w:szCs w:val="16"/>
              </w:rPr>
            </w:pPr>
          </w:p>
        </w:tc>
      </w:tr>
      <w:tr w:rsidR="00D2504B" w:rsidRPr="007D1918" w14:paraId="381BFAED" w14:textId="77777777" w:rsidTr="00153384">
        <w:tc>
          <w:tcPr>
            <w:tcW w:w="1021" w:type="dxa"/>
          </w:tcPr>
          <w:p w14:paraId="6974854A" w14:textId="77777777" w:rsidR="00D2504B" w:rsidRPr="007D1918" w:rsidRDefault="00D2504B" w:rsidP="00153384">
            <w:pPr>
              <w:spacing w:after="40" w:line="240" w:lineRule="auto"/>
              <w:jc w:val="both"/>
              <w:rPr>
                <w:rFonts w:ascii="Arial Narrow" w:hAnsi="Arial Narrow"/>
                <w:b/>
                <w:sz w:val="16"/>
                <w:szCs w:val="16"/>
              </w:rPr>
            </w:pPr>
            <w:r w:rsidRPr="007D1918">
              <w:rPr>
                <w:rFonts w:ascii="Arial Narrow" w:hAnsi="Arial Narrow"/>
                <w:b/>
                <w:sz w:val="16"/>
                <w:szCs w:val="16"/>
              </w:rPr>
              <w:t>Pattern</w:t>
            </w:r>
          </w:p>
        </w:tc>
        <w:tc>
          <w:tcPr>
            <w:tcW w:w="1134" w:type="dxa"/>
          </w:tcPr>
          <w:p w14:paraId="362A54D5"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w:t>
            </w:r>
          </w:p>
        </w:tc>
        <w:tc>
          <w:tcPr>
            <w:tcW w:w="1087" w:type="dxa"/>
            <w:tcBorders>
              <w:top w:val="single" w:sz="4" w:space="0" w:color="auto"/>
              <w:bottom w:val="single" w:sz="4" w:space="0" w:color="auto"/>
            </w:tcBorders>
          </w:tcPr>
          <w:p w14:paraId="1105325E"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NBA usage represents ongoing average</w:t>
            </w:r>
          </w:p>
        </w:tc>
        <w:tc>
          <w:tcPr>
            <w:tcW w:w="1087" w:type="dxa"/>
            <w:tcBorders>
              <w:top w:val="single" w:sz="4" w:space="0" w:color="auto"/>
              <w:bottom w:val="single" w:sz="4" w:space="0" w:color="auto"/>
            </w:tcBorders>
          </w:tcPr>
          <w:p w14:paraId="0F6A0277"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087" w:type="dxa"/>
            <w:tcBorders>
              <w:top w:val="single" w:sz="4" w:space="0" w:color="auto"/>
              <w:bottom w:val="single" w:sz="4" w:space="0" w:color="auto"/>
            </w:tcBorders>
          </w:tcPr>
          <w:p w14:paraId="70ED393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346" w:type="dxa"/>
            <w:tcBorders>
              <w:top w:val="single" w:sz="4" w:space="0" w:color="auto"/>
              <w:bottom w:val="single" w:sz="4" w:space="0" w:color="auto"/>
            </w:tcBorders>
          </w:tcPr>
          <w:p w14:paraId="57B7DBD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347" w:type="dxa"/>
            <w:tcBorders>
              <w:top w:val="single" w:sz="4" w:space="0" w:color="auto"/>
              <w:bottom w:val="single" w:sz="4" w:space="0" w:color="auto"/>
            </w:tcBorders>
          </w:tcPr>
          <w:p w14:paraId="437A05F3"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432" w:type="dxa"/>
            <w:tcBorders>
              <w:top w:val="single" w:sz="4" w:space="0" w:color="auto"/>
              <w:bottom w:val="single" w:sz="4" w:space="0" w:color="auto"/>
            </w:tcBorders>
          </w:tcPr>
          <w:p w14:paraId="3B430741"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All costs are incurred year 1.</w:t>
            </w:r>
          </w:p>
        </w:tc>
        <w:tc>
          <w:tcPr>
            <w:tcW w:w="1433" w:type="dxa"/>
            <w:tcBorders>
              <w:top w:val="single" w:sz="4" w:space="0" w:color="auto"/>
              <w:bottom w:val="single" w:sz="4" w:space="0" w:color="auto"/>
            </w:tcBorders>
          </w:tcPr>
          <w:p w14:paraId="157A2980"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Years 2+ all costed as maintenance</w:t>
            </w:r>
          </w:p>
        </w:tc>
        <w:tc>
          <w:tcPr>
            <w:tcW w:w="1433" w:type="dxa"/>
            <w:tcBorders>
              <w:top w:val="single" w:sz="4" w:space="0" w:color="auto"/>
              <w:bottom w:val="single" w:sz="4" w:space="0" w:color="auto"/>
            </w:tcBorders>
          </w:tcPr>
          <w:p w14:paraId="0A96C1A9"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Maintenance dosing every 2 years</w:t>
            </w:r>
          </w:p>
        </w:tc>
        <w:tc>
          <w:tcPr>
            <w:tcW w:w="1433" w:type="dxa"/>
            <w:tcBorders>
              <w:top w:val="single" w:sz="4" w:space="0" w:color="auto"/>
              <w:bottom w:val="single" w:sz="4" w:space="0" w:color="auto"/>
            </w:tcBorders>
          </w:tcPr>
          <w:p w14:paraId="54901FAC" w14:textId="77777777" w:rsidR="00D2504B" w:rsidRPr="007D1918" w:rsidRDefault="00D2504B" w:rsidP="00153384">
            <w:pPr>
              <w:spacing w:after="40" w:line="240" w:lineRule="auto"/>
              <w:rPr>
                <w:rFonts w:ascii="Arial Narrow" w:hAnsi="Arial Narrow"/>
                <w:sz w:val="16"/>
                <w:szCs w:val="16"/>
              </w:rPr>
            </w:pPr>
            <w:r w:rsidRPr="007D1918">
              <w:rPr>
                <w:rFonts w:ascii="Arial Narrow" w:hAnsi="Arial Narrow"/>
                <w:sz w:val="16"/>
                <w:szCs w:val="16"/>
              </w:rPr>
              <w:t>Identical resource use each year</w:t>
            </w:r>
          </w:p>
        </w:tc>
      </w:tr>
    </w:tbl>
    <w:p w14:paraId="69BD2EDE" w14:textId="77777777" w:rsidR="00D67C68" w:rsidRPr="007D1918" w:rsidRDefault="00D67C68" w:rsidP="00D67C68">
      <w:pPr>
        <w:jc w:val="both"/>
      </w:pPr>
    </w:p>
    <w:p w14:paraId="19BBF7B5" w14:textId="77777777" w:rsidR="00D67C68" w:rsidRPr="007D1918" w:rsidRDefault="00D67C68" w:rsidP="00D67C68">
      <w:pPr>
        <w:jc w:val="both"/>
      </w:pPr>
    </w:p>
    <w:p w14:paraId="5B1A944C" w14:textId="77777777" w:rsidR="00D67C68" w:rsidRPr="007D1918" w:rsidRDefault="00D67C68" w:rsidP="00D67C68">
      <w:pPr>
        <w:ind w:firstLine="567"/>
        <w:jc w:val="both"/>
        <w:rPr>
          <w:rFonts w:eastAsiaTheme="minorHAnsi"/>
          <w:lang w:eastAsia="en-US"/>
        </w:rPr>
        <w:sectPr w:rsidR="00D67C68" w:rsidRPr="007D1918" w:rsidSect="00692ED4">
          <w:headerReference w:type="even" r:id="rId82"/>
          <w:headerReference w:type="default" r:id="rId83"/>
          <w:footerReference w:type="even" r:id="rId84"/>
          <w:headerReference w:type="first" r:id="rId85"/>
          <w:pgSz w:w="16838" w:h="11906" w:orient="landscape"/>
          <w:pgMar w:top="1440" w:right="1440" w:bottom="1440" w:left="1440" w:header="720" w:footer="720" w:gutter="0"/>
          <w:paperSrc w:first="262" w:other="262"/>
          <w:cols w:space="720"/>
          <w:docGrid w:linePitch="360"/>
        </w:sectPr>
      </w:pPr>
    </w:p>
    <w:p w14:paraId="207982C7" w14:textId="77777777" w:rsidR="006C0851" w:rsidRPr="007D1918" w:rsidRDefault="008F59A8" w:rsidP="00DF343F">
      <w:pPr>
        <w:pStyle w:val="Heading1"/>
        <w:jc w:val="both"/>
      </w:pPr>
      <w:bookmarkStart w:id="645" w:name="_Toc379118117"/>
      <w:bookmarkStart w:id="646" w:name="_Toc381796514"/>
      <w:bookmarkStart w:id="647" w:name="_Toc23767030"/>
      <w:r w:rsidRPr="007D1918">
        <w:lastRenderedPageBreak/>
        <w:t>References</w:t>
      </w:r>
      <w:bookmarkEnd w:id="645"/>
      <w:bookmarkEnd w:id="646"/>
      <w:bookmarkEnd w:id="647"/>
      <w:r w:rsidRPr="007D1918">
        <w:t xml:space="preserve"> </w:t>
      </w:r>
    </w:p>
    <w:p w14:paraId="5C6B30BD" w14:textId="77777777" w:rsidR="007D4948" w:rsidRPr="007D1918" w:rsidRDefault="0075212A" w:rsidP="003653DA">
      <w:pPr>
        <w:pStyle w:val="EndNoteBibliography"/>
        <w:spacing w:after="0"/>
        <w:rPr>
          <w:rFonts w:asciiTheme="minorHAnsi" w:hAnsiTheme="minorHAnsi" w:cstheme="minorHAnsi"/>
        </w:rPr>
      </w:pPr>
      <w:r w:rsidRPr="007D1918">
        <w:rPr>
          <w:rFonts w:asciiTheme="minorHAnsi" w:hAnsiTheme="minorHAnsi" w:cstheme="minorHAnsi"/>
        </w:rPr>
        <w:fldChar w:fldCharType="begin"/>
      </w:r>
      <w:r w:rsidRPr="007D1918">
        <w:rPr>
          <w:rFonts w:asciiTheme="minorHAnsi" w:hAnsiTheme="minorHAnsi" w:cstheme="minorHAnsi"/>
        </w:rPr>
        <w:instrText xml:space="preserve"> ADDIN EN.REFLIST </w:instrText>
      </w:r>
      <w:r w:rsidRPr="007D1918">
        <w:rPr>
          <w:rFonts w:asciiTheme="minorHAnsi" w:hAnsiTheme="minorHAnsi" w:cstheme="minorHAnsi"/>
        </w:rPr>
        <w:fldChar w:fldCharType="separate"/>
      </w:r>
      <w:bookmarkStart w:id="648" w:name="_ENREF_1"/>
      <w:r w:rsidR="007D4948" w:rsidRPr="007D1918">
        <w:rPr>
          <w:rFonts w:asciiTheme="minorHAnsi" w:hAnsiTheme="minorHAnsi" w:cstheme="minorHAnsi"/>
        </w:rPr>
        <w:t xml:space="preserve">Achiron, A, Barak, Y, Miron, S &amp; Sarova‐Pinhas, I 2000, 'Immunoglobulin treatment in refractory myasthenia gravis', </w:t>
      </w:r>
      <w:r w:rsidR="007D4948" w:rsidRPr="007D1918">
        <w:rPr>
          <w:rFonts w:asciiTheme="minorHAnsi" w:hAnsiTheme="minorHAnsi" w:cstheme="minorHAnsi"/>
          <w:i/>
        </w:rPr>
        <w:t>Muscle &amp; Nerve: Official Journal of the American Association of Electrodiagnostic Medicine</w:t>
      </w:r>
      <w:r w:rsidR="007D4948" w:rsidRPr="007D1918">
        <w:rPr>
          <w:rFonts w:asciiTheme="minorHAnsi" w:hAnsiTheme="minorHAnsi" w:cstheme="minorHAnsi"/>
        </w:rPr>
        <w:t>, vol. 23, no. 4, pp. 551-555.</w:t>
      </w:r>
    </w:p>
    <w:bookmarkEnd w:id="648"/>
    <w:p w14:paraId="19DF1909" w14:textId="77777777" w:rsidR="007D4948" w:rsidRPr="007D1918" w:rsidRDefault="007D4948" w:rsidP="003653DA">
      <w:pPr>
        <w:pStyle w:val="EndNoteBibliography"/>
        <w:spacing w:after="0"/>
        <w:rPr>
          <w:rFonts w:asciiTheme="minorHAnsi" w:hAnsiTheme="minorHAnsi" w:cstheme="minorHAnsi"/>
        </w:rPr>
      </w:pPr>
    </w:p>
    <w:p w14:paraId="695115CF" w14:textId="77777777" w:rsidR="007D4948" w:rsidRPr="007D1918" w:rsidRDefault="007D4948" w:rsidP="003653DA">
      <w:pPr>
        <w:pStyle w:val="EndNoteBibliography"/>
        <w:spacing w:after="0"/>
        <w:rPr>
          <w:rFonts w:asciiTheme="minorHAnsi" w:hAnsiTheme="minorHAnsi" w:cstheme="minorHAnsi"/>
        </w:rPr>
      </w:pPr>
      <w:bookmarkStart w:id="649" w:name="_ENREF_2"/>
      <w:r w:rsidRPr="007D1918">
        <w:rPr>
          <w:rFonts w:asciiTheme="minorHAnsi" w:hAnsiTheme="minorHAnsi" w:cstheme="minorHAnsi"/>
        </w:rPr>
        <w:t xml:space="preserve">Alabdali, M, Barnett, C, Katzberg, H, Breiner, A &amp; Bril, V 2014, 'Intravenous immunoglobulin as treatment for myasthenia gravis: Current evidence and outcomes', </w:t>
      </w:r>
      <w:r w:rsidRPr="007D1918">
        <w:rPr>
          <w:rFonts w:asciiTheme="minorHAnsi" w:hAnsiTheme="minorHAnsi" w:cstheme="minorHAnsi"/>
          <w:i/>
        </w:rPr>
        <w:t>Expert Review of Clinical Immunology</w:t>
      </w:r>
      <w:r w:rsidRPr="007D1918">
        <w:rPr>
          <w:rFonts w:asciiTheme="minorHAnsi" w:hAnsiTheme="minorHAnsi" w:cstheme="minorHAnsi"/>
        </w:rPr>
        <w:t>, vol. 10, no. 12, pp. 1659-1665.</w:t>
      </w:r>
    </w:p>
    <w:bookmarkEnd w:id="649"/>
    <w:p w14:paraId="361A679B" w14:textId="77777777" w:rsidR="007D4948" w:rsidRPr="007D1918" w:rsidRDefault="007D4948" w:rsidP="003653DA">
      <w:pPr>
        <w:pStyle w:val="EndNoteBibliography"/>
        <w:spacing w:after="0"/>
        <w:rPr>
          <w:rFonts w:asciiTheme="minorHAnsi" w:hAnsiTheme="minorHAnsi" w:cstheme="minorHAnsi"/>
        </w:rPr>
      </w:pPr>
    </w:p>
    <w:p w14:paraId="0EBDF58A" w14:textId="2831B7E2" w:rsidR="007D4948" w:rsidRPr="007D1918" w:rsidRDefault="007D4948" w:rsidP="003653DA">
      <w:pPr>
        <w:pStyle w:val="EndNoteBibliography"/>
        <w:spacing w:after="0"/>
        <w:rPr>
          <w:rFonts w:asciiTheme="minorHAnsi" w:hAnsiTheme="minorHAnsi" w:cstheme="minorHAnsi"/>
        </w:rPr>
      </w:pPr>
      <w:bookmarkStart w:id="650" w:name="_ENREF_3"/>
      <w:r w:rsidRPr="007D1918">
        <w:rPr>
          <w:rFonts w:asciiTheme="minorHAnsi" w:hAnsiTheme="minorHAnsi" w:cstheme="minorHAnsi"/>
        </w:rPr>
        <w:t xml:space="preserve">Alderson, D, Homer, N &amp; Dierick, K 2018, 'A literature review reporting the side effects and any related consequences caused by current chronic myasthenia gravis treatments', </w:t>
      </w:r>
      <w:r w:rsidRPr="007D1918">
        <w:rPr>
          <w:rFonts w:asciiTheme="minorHAnsi" w:hAnsiTheme="minorHAnsi" w:cstheme="minorHAnsi"/>
          <w:i/>
        </w:rPr>
        <w:t>Value in Health</w:t>
      </w:r>
      <w:r w:rsidRPr="007D1918">
        <w:rPr>
          <w:rFonts w:asciiTheme="minorHAnsi" w:hAnsiTheme="minorHAnsi" w:cstheme="minorHAnsi"/>
        </w:rPr>
        <w:t>, vol. 21, p. S329.</w:t>
      </w:r>
    </w:p>
    <w:bookmarkEnd w:id="650"/>
    <w:p w14:paraId="08BBF4CF" w14:textId="77777777" w:rsidR="007D4948" w:rsidRPr="007D1918" w:rsidRDefault="007D4948" w:rsidP="003653DA">
      <w:pPr>
        <w:pStyle w:val="EndNoteBibliography"/>
        <w:spacing w:after="0"/>
        <w:rPr>
          <w:rFonts w:asciiTheme="minorHAnsi" w:hAnsiTheme="minorHAnsi" w:cstheme="minorHAnsi"/>
        </w:rPr>
      </w:pPr>
    </w:p>
    <w:p w14:paraId="387BB137" w14:textId="77777777" w:rsidR="007D4948" w:rsidRPr="007D1918" w:rsidRDefault="007D4948" w:rsidP="003653DA">
      <w:pPr>
        <w:pStyle w:val="EndNoteBibliography"/>
        <w:spacing w:after="0"/>
        <w:rPr>
          <w:rFonts w:asciiTheme="minorHAnsi" w:hAnsiTheme="minorHAnsi" w:cstheme="minorHAnsi"/>
        </w:rPr>
      </w:pPr>
      <w:bookmarkStart w:id="651" w:name="_ENREF_4"/>
      <w:r w:rsidRPr="007D1918">
        <w:rPr>
          <w:rFonts w:asciiTheme="minorHAnsi" w:hAnsiTheme="minorHAnsi" w:cstheme="minorHAnsi"/>
        </w:rPr>
        <w:t xml:space="preserve">Alipour-Faz, A, Shojaei, M, Peyvandi, H, Ramzi, D, Oroei, M, Ghadiri, F &amp; Peyvandi, M 2017, 'A comparison between IVIG and plasma exchange as preparations before thymectomy in myasthenia gravis patients', </w:t>
      </w:r>
      <w:r w:rsidRPr="007D1918">
        <w:rPr>
          <w:rFonts w:asciiTheme="minorHAnsi" w:hAnsiTheme="minorHAnsi" w:cstheme="minorHAnsi"/>
          <w:i/>
        </w:rPr>
        <w:t>Acta neurologica belgica</w:t>
      </w:r>
      <w:r w:rsidRPr="007D1918">
        <w:rPr>
          <w:rFonts w:asciiTheme="minorHAnsi" w:hAnsiTheme="minorHAnsi" w:cstheme="minorHAnsi"/>
        </w:rPr>
        <w:t>, vol. 117, no. 1, pp. 245‐249.</w:t>
      </w:r>
    </w:p>
    <w:bookmarkEnd w:id="651"/>
    <w:p w14:paraId="4C610597" w14:textId="77777777" w:rsidR="007D4948" w:rsidRPr="007D1918" w:rsidRDefault="007D4948" w:rsidP="003653DA">
      <w:pPr>
        <w:pStyle w:val="EndNoteBibliography"/>
        <w:spacing w:after="0"/>
        <w:rPr>
          <w:rFonts w:asciiTheme="minorHAnsi" w:hAnsiTheme="minorHAnsi" w:cstheme="minorHAnsi"/>
        </w:rPr>
      </w:pPr>
    </w:p>
    <w:p w14:paraId="2215E344" w14:textId="1990804D" w:rsidR="007D4948" w:rsidRPr="007D1918" w:rsidRDefault="007D4948" w:rsidP="003653DA">
      <w:pPr>
        <w:pStyle w:val="EndNoteBibliography"/>
        <w:spacing w:after="0"/>
        <w:rPr>
          <w:rFonts w:asciiTheme="minorHAnsi" w:hAnsiTheme="minorHAnsi" w:cstheme="minorHAnsi"/>
        </w:rPr>
      </w:pPr>
      <w:bookmarkStart w:id="652" w:name="_ENREF_5"/>
      <w:r w:rsidRPr="007D1918">
        <w:rPr>
          <w:rFonts w:asciiTheme="minorHAnsi" w:hAnsiTheme="minorHAnsi" w:cstheme="minorHAnsi"/>
        </w:rPr>
        <w:t xml:space="preserve">ASCIA 2019, </w:t>
      </w:r>
      <w:r w:rsidRPr="007D1918">
        <w:rPr>
          <w:rFonts w:asciiTheme="minorHAnsi" w:hAnsiTheme="minorHAnsi" w:cstheme="minorHAnsi"/>
          <w:i/>
        </w:rPr>
        <w:t>Immunoglobulin Replacement Therapy in Primary Immunodefiniciencies</w:t>
      </w:r>
      <w:r w:rsidRPr="007D1918">
        <w:rPr>
          <w:rFonts w:asciiTheme="minorHAnsi" w:hAnsiTheme="minorHAnsi" w:cstheme="minorHAnsi"/>
        </w:rPr>
        <w:t>, viewed 27 May 2019, &lt;</w:t>
      </w:r>
      <w:hyperlink r:id="rId86" w:tooltip="Website link" w:history="1">
        <w:r w:rsidRPr="007D1918">
          <w:rPr>
            <w:rStyle w:val="Hyperlink"/>
            <w:rFonts w:asciiTheme="minorHAnsi" w:hAnsiTheme="minorHAnsi" w:cstheme="minorHAnsi"/>
          </w:rPr>
          <w:t>https://www.allergy.org.au/patients/immunodeficiencies/immunoglobulin-replacement-therapy</w:t>
        </w:r>
      </w:hyperlink>
      <w:r w:rsidRPr="007D1918">
        <w:rPr>
          <w:rFonts w:asciiTheme="minorHAnsi" w:hAnsiTheme="minorHAnsi" w:cstheme="minorHAnsi"/>
        </w:rPr>
        <w:t>&gt;.</w:t>
      </w:r>
    </w:p>
    <w:bookmarkEnd w:id="652"/>
    <w:p w14:paraId="22F40F03" w14:textId="77777777" w:rsidR="007D4948" w:rsidRPr="007D1918" w:rsidRDefault="007D4948" w:rsidP="003653DA">
      <w:pPr>
        <w:pStyle w:val="EndNoteBibliography"/>
        <w:spacing w:after="0"/>
        <w:rPr>
          <w:rFonts w:asciiTheme="minorHAnsi" w:hAnsiTheme="minorHAnsi" w:cstheme="minorHAnsi"/>
        </w:rPr>
      </w:pPr>
    </w:p>
    <w:p w14:paraId="463BCC17" w14:textId="77777777" w:rsidR="007D4948" w:rsidRPr="007D1918" w:rsidRDefault="007D4948" w:rsidP="003653DA">
      <w:pPr>
        <w:pStyle w:val="EndNoteBibliography"/>
        <w:spacing w:after="0"/>
        <w:rPr>
          <w:rFonts w:asciiTheme="minorHAnsi" w:hAnsiTheme="minorHAnsi" w:cstheme="minorHAnsi"/>
        </w:rPr>
      </w:pPr>
      <w:bookmarkStart w:id="653" w:name="_ENREF_6"/>
      <w:r w:rsidRPr="007D1918">
        <w:rPr>
          <w:rFonts w:asciiTheme="minorHAnsi" w:hAnsiTheme="minorHAnsi" w:cstheme="minorHAnsi"/>
        </w:rPr>
        <w:t xml:space="preserve">Barnett, C, Bril, V &amp; Bayoumi, AM 2019, 'EQ-5D-5L and SF-6D health utility index scores in patients with myasthenia gravis', </w:t>
      </w:r>
      <w:r w:rsidRPr="007D1918">
        <w:rPr>
          <w:rFonts w:asciiTheme="minorHAnsi" w:hAnsiTheme="minorHAnsi" w:cstheme="minorHAnsi"/>
          <w:i/>
        </w:rPr>
        <w:t>Eur J Neurol</w:t>
      </w:r>
      <w:r w:rsidRPr="007D1918">
        <w:rPr>
          <w:rFonts w:asciiTheme="minorHAnsi" w:hAnsiTheme="minorHAnsi" w:cstheme="minorHAnsi"/>
        </w:rPr>
        <w:t>, vol. 26, no. 3, Mar, pp. 452-459.</w:t>
      </w:r>
    </w:p>
    <w:bookmarkEnd w:id="653"/>
    <w:p w14:paraId="58392A75" w14:textId="77777777" w:rsidR="007D4948" w:rsidRPr="007D1918" w:rsidRDefault="007D4948" w:rsidP="003653DA">
      <w:pPr>
        <w:pStyle w:val="EndNoteBibliography"/>
        <w:spacing w:after="0"/>
        <w:rPr>
          <w:rFonts w:asciiTheme="minorHAnsi" w:hAnsiTheme="minorHAnsi" w:cstheme="minorHAnsi"/>
        </w:rPr>
      </w:pPr>
    </w:p>
    <w:p w14:paraId="4FCA2C2A" w14:textId="77777777" w:rsidR="007D4948" w:rsidRPr="007D1918" w:rsidRDefault="007D4948" w:rsidP="003653DA">
      <w:pPr>
        <w:pStyle w:val="EndNoteBibliography"/>
        <w:spacing w:after="0"/>
        <w:rPr>
          <w:rFonts w:asciiTheme="minorHAnsi" w:hAnsiTheme="minorHAnsi" w:cstheme="minorHAnsi"/>
        </w:rPr>
      </w:pPr>
      <w:bookmarkStart w:id="654" w:name="_ENREF_7"/>
      <w:r w:rsidRPr="007D1918">
        <w:rPr>
          <w:rFonts w:asciiTheme="minorHAnsi" w:hAnsiTheme="minorHAnsi" w:cstheme="minorHAnsi"/>
        </w:rPr>
        <w:t xml:space="preserve">Barnett, C, Wilson, G, Barth, D, Katzberg, HD &amp; Bril, V 2013, 'Changes in quality of life scores with intravenous immunoglobulin or plasmapheresis in patients with myasthenia gravis', </w:t>
      </w:r>
      <w:r w:rsidRPr="007D1918">
        <w:rPr>
          <w:rFonts w:asciiTheme="minorHAnsi" w:hAnsiTheme="minorHAnsi" w:cstheme="minorHAnsi"/>
          <w:i/>
        </w:rPr>
        <w:t>Journal of neurology, neurosurgery, and psychiatry</w:t>
      </w:r>
      <w:r w:rsidRPr="007D1918">
        <w:rPr>
          <w:rFonts w:asciiTheme="minorHAnsi" w:hAnsiTheme="minorHAnsi" w:cstheme="minorHAnsi"/>
        </w:rPr>
        <w:t>, vol. 84, no. 1, pp. 94‐97.</w:t>
      </w:r>
    </w:p>
    <w:bookmarkEnd w:id="654"/>
    <w:p w14:paraId="04BE6DA1" w14:textId="77777777" w:rsidR="007D4948" w:rsidRPr="007D1918" w:rsidRDefault="007D4948" w:rsidP="003653DA">
      <w:pPr>
        <w:pStyle w:val="EndNoteBibliography"/>
        <w:spacing w:after="0"/>
        <w:rPr>
          <w:rFonts w:asciiTheme="minorHAnsi" w:hAnsiTheme="minorHAnsi" w:cstheme="minorHAnsi"/>
        </w:rPr>
      </w:pPr>
    </w:p>
    <w:p w14:paraId="1131B94B" w14:textId="77777777" w:rsidR="007D4948" w:rsidRPr="007D1918" w:rsidRDefault="007D4948" w:rsidP="003653DA">
      <w:pPr>
        <w:pStyle w:val="EndNoteBibliography"/>
        <w:spacing w:after="0"/>
        <w:rPr>
          <w:rFonts w:asciiTheme="minorHAnsi" w:hAnsiTheme="minorHAnsi" w:cstheme="minorHAnsi"/>
        </w:rPr>
      </w:pPr>
      <w:bookmarkStart w:id="655" w:name="_ENREF_8"/>
      <w:r w:rsidRPr="007D1918">
        <w:rPr>
          <w:rFonts w:asciiTheme="minorHAnsi" w:hAnsiTheme="minorHAnsi" w:cstheme="minorHAnsi"/>
        </w:rPr>
        <w:t xml:space="preserve">Barth, D, Nabavi Nouri, M, Ng, E, Nwe, P &amp; Bril, V 2011, 'Comparison of IVIg and PLEX in patients with myasthenia gravis', </w:t>
      </w:r>
      <w:r w:rsidRPr="007D1918">
        <w:rPr>
          <w:rFonts w:asciiTheme="minorHAnsi" w:hAnsiTheme="minorHAnsi" w:cstheme="minorHAnsi"/>
          <w:i/>
        </w:rPr>
        <w:t>Neurology</w:t>
      </w:r>
      <w:r w:rsidRPr="007D1918">
        <w:rPr>
          <w:rFonts w:asciiTheme="minorHAnsi" w:hAnsiTheme="minorHAnsi" w:cstheme="minorHAnsi"/>
        </w:rPr>
        <w:t>, vol. 76, no. 23, pp. 2017‐2023.</w:t>
      </w:r>
    </w:p>
    <w:bookmarkEnd w:id="655"/>
    <w:p w14:paraId="4036380E" w14:textId="77777777" w:rsidR="007D4948" w:rsidRPr="007D1918" w:rsidRDefault="007D4948" w:rsidP="003653DA">
      <w:pPr>
        <w:pStyle w:val="EndNoteBibliography"/>
        <w:spacing w:after="0"/>
        <w:rPr>
          <w:rFonts w:asciiTheme="minorHAnsi" w:hAnsiTheme="minorHAnsi" w:cstheme="minorHAnsi"/>
        </w:rPr>
      </w:pPr>
    </w:p>
    <w:p w14:paraId="05479306" w14:textId="77777777" w:rsidR="007D4948" w:rsidRPr="007D1918" w:rsidRDefault="007D4948" w:rsidP="003653DA">
      <w:pPr>
        <w:pStyle w:val="EndNoteBibliography"/>
        <w:spacing w:after="0"/>
        <w:rPr>
          <w:rFonts w:asciiTheme="minorHAnsi" w:hAnsiTheme="minorHAnsi" w:cstheme="minorHAnsi"/>
        </w:rPr>
      </w:pPr>
      <w:bookmarkStart w:id="656" w:name="_ENREF_9"/>
      <w:r w:rsidRPr="007D1918">
        <w:rPr>
          <w:rFonts w:asciiTheme="minorHAnsi" w:hAnsiTheme="minorHAnsi" w:cstheme="minorHAnsi"/>
        </w:rPr>
        <w:t xml:space="preserve">Beecher, G, Anderson, D &amp; Siddiqi, ZA 2017, 'Subcutaneous immunoglobulin in myasthenia gravis exacerbation: A prospective, open-label trial', </w:t>
      </w:r>
      <w:r w:rsidRPr="007D1918">
        <w:rPr>
          <w:rFonts w:asciiTheme="minorHAnsi" w:hAnsiTheme="minorHAnsi" w:cstheme="minorHAnsi"/>
          <w:i/>
        </w:rPr>
        <w:t>Neurology</w:t>
      </w:r>
      <w:r w:rsidRPr="007D1918">
        <w:rPr>
          <w:rFonts w:asciiTheme="minorHAnsi" w:hAnsiTheme="minorHAnsi" w:cstheme="minorHAnsi"/>
        </w:rPr>
        <w:t>, vol. 89, no. 11, pp. 1135-1141.</w:t>
      </w:r>
    </w:p>
    <w:bookmarkEnd w:id="656"/>
    <w:p w14:paraId="1DC25BFD" w14:textId="77777777" w:rsidR="007D4948" w:rsidRPr="007D1918" w:rsidRDefault="007D4948" w:rsidP="003653DA">
      <w:pPr>
        <w:pStyle w:val="EndNoteBibliography"/>
        <w:spacing w:after="0"/>
        <w:rPr>
          <w:rFonts w:asciiTheme="minorHAnsi" w:hAnsiTheme="minorHAnsi" w:cstheme="minorHAnsi"/>
        </w:rPr>
      </w:pPr>
    </w:p>
    <w:p w14:paraId="60AA1A9A" w14:textId="26BE2A3E" w:rsidR="007D4948" w:rsidRPr="007D1918" w:rsidRDefault="007D4948" w:rsidP="003653DA">
      <w:pPr>
        <w:pStyle w:val="EndNoteBibliography"/>
        <w:spacing w:after="0"/>
        <w:rPr>
          <w:rFonts w:asciiTheme="minorHAnsi" w:hAnsiTheme="minorHAnsi" w:cstheme="minorHAnsi"/>
        </w:rPr>
      </w:pPr>
      <w:bookmarkStart w:id="657" w:name="_ENREF_10"/>
      <w:r w:rsidRPr="007D1918">
        <w:rPr>
          <w:rFonts w:asciiTheme="minorHAnsi" w:hAnsiTheme="minorHAnsi" w:cstheme="minorHAnsi"/>
        </w:rPr>
        <w:t xml:space="preserve">Bird SJ, LJ 2019, </w:t>
      </w:r>
      <w:r w:rsidRPr="007D1918">
        <w:rPr>
          <w:rFonts w:asciiTheme="minorHAnsi" w:hAnsiTheme="minorHAnsi" w:cstheme="minorHAnsi"/>
          <w:i/>
        </w:rPr>
        <w:t>Myasthenic crisis</w:t>
      </w:r>
      <w:r w:rsidRPr="007D1918">
        <w:rPr>
          <w:rFonts w:asciiTheme="minorHAnsi" w:hAnsiTheme="minorHAnsi" w:cstheme="minorHAnsi"/>
        </w:rPr>
        <w:t>, &lt;</w:t>
      </w:r>
      <w:hyperlink r:id="rId87" w:anchor="H3" w:history="1">
        <w:r w:rsidRPr="007D1918">
          <w:rPr>
            <w:rStyle w:val="Hyperlink"/>
            <w:rFonts w:asciiTheme="minorHAnsi" w:hAnsiTheme="minorHAnsi" w:cstheme="minorHAnsi"/>
          </w:rPr>
          <w:t>https://www.uptodate.com/contents/myasthenic-crisis?sectionName=EVALUATION%20AND%20MANAGEMENT&amp;search=myasthenia%20gravis&amp;topicRef=94256&amp;anchor=H3&amp;source=see_link#H3</w:t>
        </w:r>
      </w:hyperlink>
      <w:r w:rsidRPr="007D1918">
        <w:rPr>
          <w:rFonts w:asciiTheme="minorHAnsi" w:hAnsiTheme="minorHAnsi" w:cstheme="minorHAnsi"/>
        </w:rPr>
        <w:t>&gt;.</w:t>
      </w:r>
    </w:p>
    <w:bookmarkEnd w:id="657"/>
    <w:p w14:paraId="2F375BE6" w14:textId="77777777" w:rsidR="007D4948" w:rsidRPr="007D1918" w:rsidRDefault="007D4948" w:rsidP="003653DA">
      <w:pPr>
        <w:pStyle w:val="EndNoteBibliography"/>
        <w:spacing w:after="0"/>
        <w:rPr>
          <w:rFonts w:asciiTheme="minorHAnsi" w:hAnsiTheme="minorHAnsi" w:cstheme="minorHAnsi"/>
        </w:rPr>
      </w:pPr>
    </w:p>
    <w:p w14:paraId="67AF009F" w14:textId="77777777" w:rsidR="007D4948" w:rsidRPr="007D1918" w:rsidRDefault="007D4948" w:rsidP="003653DA">
      <w:pPr>
        <w:pStyle w:val="EndNoteBibliography"/>
        <w:spacing w:after="0"/>
        <w:rPr>
          <w:rFonts w:asciiTheme="minorHAnsi" w:hAnsiTheme="minorHAnsi" w:cstheme="minorHAnsi"/>
        </w:rPr>
      </w:pPr>
      <w:bookmarkStart w:id="658" w:name="_ENREF_11"/>
      <w:r w:rsidRPr="007D1918">
        <w:rPr>
          <w:rFonts w:asciiTheme="minorHAnsi" w:hAnsiTheme="minorHAnsi" w:cstheme="minorHAnsi"/>
        </w:rPr>
        <w:t xml:space="preserve">Blum, S, Gillis, D, Brown, H, Boyle, R, Henderson, R, Heyworth-Smith, D, Hogan, P, Kubler, P, Lander, C, Limberg, N, Pillans, P, Prain, K, Staples, C, Walsh, M, McCombe, P &amp; Wong, R 2011, 'Use and monitoring of low dose rituximab in myasthenia gravis', </w:t>
      </w:r>
      <w:r w:rsidRPr="007D1918">
        <w:rPr>
          <w:rFonts w:asciiTheme="minorHAnsi" w:hAnsiTheme="minorHAnsi" w:cstheme="minorHAnsi"/>
          <w:i/>
        </w:rPr>
        <w:t>Journal of Neurology, Neurosurgery and Psychiatry</w:t>
      </w:r>
      <w:r w:rsidRPr="007D1918">
        <w:rPr>
          <w:rFonts w:asciiTheme="minorHAnsi" w:hAnsiTheme="minorHAnsi" w:cstheme="minorHAnsi"/>
        </w:rPr>
        <w:t>, vol. 82, no. 6, pp. 659-663.</w:t>
      </w:r>
    </w:p>
    <w:bookmarkEnd w:id="658"/>
    <w:p w14:paraId="05A851D1" w14:textId="77777777" w:rsidR="007D4948" w:rsidRPr="007D1918" w:rsidRDefault="007D4948" w:rsidP="003653DA">
      <w:pPr>
        <w:pStyle w:val="EndNoteBibliography"/>
        <w:spacing w:after="0"/>
        <w:rPr>
          <w:rFonts w:asciiTheme="minorHAnsi" w:hAnsiTheme="minorHAnsi" w:cstheme="minorHAnsi"/>
        </w:rPr>
      </w:pPr>
    </w:p>
    <w:p w14:paraId="0C9548F5" w14:textId="77777777" w:rsidR="007D4948" w:rsidRPr="007D1918" w:rsidRDefault="007D4948" w:rsidP="003653DA">
      <w:pPr>
        <w:pStyle w:val="EndNoteBibliography"/>
        <w:spacing w:after="0"/>
        <w:rPr>
          <w:rFonts w:asciiTheme="minorHAnsi" w:hAnsiTheme="minorHAnsi" w:cstheme="minorHAnsi"/>
        </w:rPr>
      </w:pPr>
      <w:bookmarkStart w:id="659" w:name="_ENREF_12"/>
      <w:r w:rsidRPr="007D1918">
        <w:rPr>
          <w:rFonts w:asciiTheme="minorHAnsi" w:hAnsiTheme="minorHAnsi" w:cstheme="minorHAnsi"/>
        </w:rPr>
        <w:t xml:space="preserve">Bourque, PR, Pringle, CE, Cameron, W, Cowan, J &amp; Chardon, JW 2016, 'Subcutaneous immunoglobulin therapy in the chronic management of myasthenia gravis: A retrospective cohort study', </w:t>
      </w:r>
      <w:r w:rsidRPr="007D1918">
        <w:rPr>
          <w:rFonts w:asciiTheme="minorHAnsi" w:hAnsiTheme="minorHAnsi" w:cstheme="minorHAnsi"/>
          <w:i/>
        </w:rPr>
        <w:t>PLoS ONE</w:t>
      </w:r>
      <w:r w:rsidRPr="007D1918">
        <w:rPr>
          <w:rFonts w:asciiTheme="minorHAnsi" w:hAnsiTheme="minorHAnsi" w:cstheme="minorHAnsi"/>
        </w:rPr>
        <w:t>, vol. 11, no. 8.</w:t>
      </w:r>
    </w:p>
    <w:bookmarkEnd w:id="659"/>
    <w:p w14:paraId="23D86B94" w14:textId="77777777" w:rsidR="007D4948" w:rsidRPr="007D1918" w:rsidRDefault="007D4948" w:rsidP="003653DA">
      <w:pPr>
        <w:pStyle w:val="EndNoteBibliography"/>
        <w:spacing w:after="0"/>
        <w:rPr>
          <w:rFonts w:asciiTheme="minorHAnsi" w:hAnsiTheme="minorHAnsi" w:cstheme="minorHAnsi"/>
        </w:rPr>
      </w:pPr>
    </w:p>
    <w:p w14:paraId="2AFF9BF0" w14:textId="77777777" w:rsidR="007D4948" w:rsidRPr="007D1918" w:rsidRDefault="007D4948" w:rsidP="003653DA">
      <w:pPr>
        <w:pStyle w:val="EndNoteBibliography"/>
        <w:spacing w:after="0"/>
        <w:rPr>
          <w:rFonts w:asciiTheme="minorHAnsi" w:hAnsiTheme="minorHAnsi" w:cstheme="minorHAnsi"/>
        </w:rPr>
      </w:pPr>
      <w:bookmarkStart w:id="660" w:name="_ENREF_13"/>
      <w:r w:rsidRPr="007D1918">
        <w:rPr>
          <w:rFonts w:asciiTheme="minorHAnsi" w:hAnsiTheme="minorHAnsi" w:cstheme="minorHAnsi"/>
        </w:rPr>
        <w:lastRenderedPageBreak/>
        <w:t>Bril, V, Barnett-Tapia, C, Barth, D &amp; Katzberg, HD 2012, 'IVIG and PLEX in the treatment of myasthenia gravis', vol. 1275, pp. 1-6.</w:t>
      </w:r>
    </w:p>
    <w:bookmarkEnd w:id="660"/>
    <w:p w14:paraId="56D2EB04" w14:textId="77777777" w:rsidR="007D4948" w:rsidRPr="007D1918" w:rsidRDefault="007D4948" w:rsidP="003653DA">
      <w:pPr>
        <w:pStyle w:val="EndNoteBibliography"/>
        <w:spacing w:after="0"/>
        <w:rPr>
          <w:rFonts w:asciiTheme="minorHAnsi" w:hAnsiTheme="minorHAnsi" w:cstheme="minorHAnsi"/>
        </w:rPr>
      </w:pPr>
    </w:p>
    <w:p w14:paraId="29BB4FAA" w14:textId="77777777" w:rsidR="007D4948" w:rsidRPr="007D1918" w:rsidRDefault="007D4948" w:rsidP="003653DA">
      <w:pPr>
        <w:pStyle w:val="EndNoteBibliography"/>
        <w:spacing w:after="0"/>
        <w:rPr>
          <w:rFonts w:asciiTheme="minorHAnsi" w:hAnsiTheme="minorHAnsi" w:cstheme="minorHAnsi"/>
        </w:rPr>
      </w:pPr>
      <w:bookmarkStart w:id="661" w:name="_ENREF_14"/>
      <w:r w:rsidRPr="007D1918">
        <w:rPr>
          <w:rFonts w:asciiTheme="minorHAnsi" w:hAnsiTheme="minorHAnsi" w:cstheme="minorHAnsi"/>
        </w:rPr>
        <w:t xml:space="preserve">Burns, TM, Conaway, M &amp; Sanders, DB 2010, 'The MG Composite: A valid and reliable outcome measure for myasthenia gravis', </w:t>
      </w:r>
      <w:r w:rsidRPr="007D1918">
        <w:rPr>
          <w:rFonts w:asciiTheme="minorHAnsi" w:hAnsiTheme="minorHAnsi" w:cstheme="minorHAnsi"/>
          <w:i/>
        </w:rPr>
        <w:t>Neurology</w:t>
      </w:r>
      <w:r w:rsidRPr="007D1918">
        <w:rPr>
          <w:rFonts w:asciiTheme="minorHAnsi" w:hAnsiTheme="minorHAnsi" w:cstheme="minorHAnsi"/>
        </w:rPr>
        <w:t>, vol. 74, no. 18, p. 1434.</w:t>
      </w:r>
    </w:p>
    <w:bookmarkEnd w:id="661"/>
    <w:p w14:paraId="252DBF9F" w14:textId="77777777" w:rsidR="007D4948" w:rsidRPr="007D1918" w:rsidRDefault="007D4948" w:rsidP="003653DA">
      <w:pPr>
        <w:pStyle w:val="EndNoteBibliography"/>
        <w:spacing w:after="0"/>
        <w:rPr>
          <w:rFonts w:asciiTheme="minorHAnsi" w:hAnsiTheme="minorHAnsi" w:cstheme="minorHAnsi"/>
        </w:rPr>
      </w:pPr>
    </w:p>
    <w:p w14:paraId="0315CA37" w14:textId="77777777" w:rsidR="007D4948" w:rsidRPr="007D1918" w:rsidRDefault="007D4948" w:rsidP="003653DA">
      <w:pPr>
        <w:pStyle w:val="EndNoteBibliography"/>
        <w:spacing w:after="0"/>
        <w:rPr>
          <w:rFonts w:asciiTheme="minorHAnsi" w:hAnsiTheme="minorHAnsi" w:cstheme="minorHAnsi"/>
        </w:rPr>
      </w:pPr>
      <w:bookmarkStart w:id="662" w:name="_ENREF_15"/>
      <w:r w:rsidRPr="007D1918">
        <w:rPr>
          <w:rFonts w:asciiTheme="minorHAnsi" w:hAnsiTheme="minorHAnsi" w:cstheme="minorHAnsi"/>
        </w:rPr>
        <w:t xml:space="preserve">Burns, TM, Conaway, MR, Cutter, GR, Sanders, DB &amp; Group, TMS 2008, 'Less is more, or almost as much: A 15-item quality-of-life instrument for myasthenia gravis', </w:t>
      </w:r>
      <w:r w:rsidRPr="007D1918">
        <w:rPr>
          <w:rFonts w:asciiTheme="minorHAnsi" w:hAnsiTheme="minorHAnsi" w:cstheme="minorHAnsi"/>
          <w:i/>
        </w:rPr>
        <w:t>Muscle &amp; Nerve</w:t>
      </w:r>
      <w:r w:rsidRPr="007D1918">
        <w:rPr>
          <w:rFonts w:asciiTheme="minorHAnsi" w:hAnsiTheme="minorHAnsi" w:cstheme="minorHAnsi"/>
        </w:rPr>
        <w:t>, vol. 38, no. 2, pp. 957-963.</w:t>
      </w:r>
    </w:p>
    <w:bookmarkEnd w:id="662"/>
    <w:p w14:paraId="45366742" w14:textId="77777777" w:rsidR="007D4948" w:rsidRPr="007D1918" w:rsidRDefault="007D4948" w:rsidP="003653DA">
      <w:pPr>
        <w:pStyle w:val="EndNoteBibliography"/>
        <w:spacing w:after="0"/>
        <w:rPr>
          <w:rFonts w:asciiTheme="minorHAnsi" w:hAnsiTheme="minorHAnsi" w:cstheme="minorHAnsi"/>
        </w:rPr>
      </w:pPr>
    </w:p>
    <w:p w14:paraId="3920F64F" w14:textId="77777777" w:rsidR="007D4948" w:rsidRPr="007D1918" w:rsidRDefault="007D4948" w:rsidP="003653DA">
      <w:pPr>
        <w:pStyle w:val="EndNoteBibliography"/>
        <w:spacing w:after="0"/>
        <w:rPr>
          <w:rFonts w:asciiTheme="minorHAnsi" w:hAnsiTheme="minorHAnsi" w:cstheme="minorHAnsi"/>
        </w:rPr>
      </w:pPr>
      <w:bookmarkStart w:id="663" w:name="_ENREF_16"/>
      <w:r w:rsidRPr="007D1918">
        <w:rPr>
          <w:rFonts w:asciiTheme="minorHAnsi" w:hAnsiTheme="minorHAnsi" w:cstheme="minorHAnsi"/>
        </w:rPr>
        <w:t xml:space="preserve">Buzzard, KA, Meyer, NJ, Hardy, TA, Riminton, DS &amp; Reddel, SW 2015, 'Induction intravenous cyclophosphamide followed by maintenance oral immunosuppression in refractory myasthenia gravis', </w:t>
      </w:r>
      <w:r w:rsidRPr="007D1918">
        <w:rPr>
          <w:rFonts w:asciiTheme="minorHAnsi" w:hAnsiTheme="minorHAnsi" w:cstheme="minorHAnsi"/>
          <w:i/>
        </w:rPr>
        <w:t>Muscle Nerve</w:t>
      </w:r>
      <w:r w:rsidRPr="007D1918">
        <w:rPr>
          <w:rFonts w:asciiTheme="minorHAnsi" w:hAnsiTheme="minorHAnsi" w:cstheme="minorHAnsi"/>
        </w:rPr>
        <w:t>, vol. 52, no. 2, Aug, pp. 204-210.</w:t>
      </w:r>
    </w:p>
    <w:bookmarkEnd w:id="663"/>
    <w:p w14:paraId="57093DB1" w14:textId="77777777" w:rsidR="007D4948" w:rsidRPr="007D1918" w:rsidRDefault="007D4948" w:rsidP="003653DA">
      <w:pPr>
        <w:pStyle w:val="EndNoteBibliography"/>
        <w:spacing w:after="0"/>
        <w:rPr>
          <w:rFonts w:asciiTheme="minorHAnsi" w:hAnsiTheme="minorHAnsi" w:cstheme="minorHAnsi"/>
        </w:rPr>
      </w:pPr>
    </w:p>
    <w:p w14:paraId="2C9C61DB" w14:textId="77777777" w:rsidR="007D4948" w:rsidRPr="007D1918" w:rsidRDefault="007D4948" w:rsidP="003653DA">
      <w:pPr>
        <w:pStyle w:val="EndNoteBibliography"/>
        <w:spacing w:after="0"/>
        <w:rPr>
          <w:rFonts w:asciiTheme="minorHAnsi" w:hAnsiTheme="minorHAnsi" w:cstheme="minorHAnsi"/>
        </w:rPr>
      </w:pPr>
      <w:bookmarkStart w:id="664" w:name="_ENREF_17"/>
      <w:r w:rsidRPr="007D1918">
        <w:rPr>
          <w:rFonts w:asciiTheme="minorHAnsi" w:hAnsiTheme="minorHAnsi" w:cstheme="minorHAnsi"/>
        </w:rPr>
        <w:t xml:space="preserve">Chan, F, Swayne, A, Gillis, D, Walsh, M, Henderson, RD, McCombe, PA, Wong, RC &amp; Blum, S 2018, 'Long-term follow-up of patients with myasthenia gravis treated with low-dose rituximab', </w:t>
      </w:r>
      <w:r w:rsidRPr="007D1918">
        <w:rPr>
          <w:rFonts w:asciiTheme="minorHAnsi" w:hAnsiTheme="minorHAnsi" w:cstheme="minorHAnsi"/>
          <w:i/>
        </w:rPr>
        <w:t>J Neurol Neurosurg Psychiatry</w:t>
      </w:r>
      <w:r w:rsidRPr="007D1918">
        <w:rPr>
          <w:rFonts w:asciiTheme="minorHAnsi" w:hAnsiTheme="minorHAnsi" w:cstheme="minorHAnsi"/>
        </w:rPr>
        <w:t>, Nov 19.</w:t>
      </w:r>
    </w:p>
    <w:bookmarkEnd w:id="664"/>
    <w:p w14:paraId="18108A0B" w14:textId="77777777" w:rsidR="007D4948" w:rsidRPr="007D1918" w:rsidRDefault="007D4948" w:rsidP="003653DA">
      <w:pPr>
        <w:pStyle w:val="EndNoteBibliography"/>
        <w:spacing w:after="0"/>
        <w:rPr>
          <w:rFonts w:asciiTheme="minorHAnsi" w:hAnsiTheme="minorHAnsi" w:cstheme="minorHAnsi"/>
        </w:rPr>
      </w:pPr>
    </w:p>
    <w:p w14:paraId="135553CD" w14:textId="77777777" w:rsidR="007D4948" w:rsidRPr="007D1918" w:rsidRDefault="007D4948" w:rsidP="003653DA">
      <w:pPr>
        <w:pStyle w:val="EndNoteBibliography"/>
        <w:spacing w:after="0"/>
        <w:rPr>
          <w:rFonts w:asciiTheme="minorHAnsi" w:hAnsiTheme="minorHAnsi" w:cstheme="minorHAnsi"/>
        </w:rPr>
      </w:pPr>
      <w:bookmarkStart w:id="665" w:name="_ENREF_18"/>
      <w:r w:rsidRPr="007D1918">
        <w:rPr>
          <w:rFonts w:asciiTheme="minorHAnsi" w:hAnsiTheme="minorHAnsi" w:cstheme="minorHAnsi"/>
        </w:rPr>
        <w:t xml:space="preserve">Chicaiza-Becerra, LA, Garcia-Molina, M, Gamboa, O &amp; Castaneda-Orjuela, C 2012, 'The cost-effectiveness of open or thoracoscopic thymectomy compared to medical treatment in managing Myasthenia gravis without thymomas', </w:t>
      </w:r>
      <w:r w:rsidRPr="007D1918">
        <w:rPr>
          <w:rFonts w:asciiTheme="minorHAnsi" w:hAnsiTheme="minorHAnsi" w:cstheme="minorHAnsi"/>
          <w:i/>
        </w:rPr>
        <w:t>Rev Salud Publica (Bogota)</w:t>
      </w:r>
      <w:r w:rsidRPr="007D1918">
        <w:rPr>
          <w:rFonts w:asciiTheme="minorHAnsi" w:hAnsiTheme="minorHAnsi" w:cstheme="minorHAnsi"/>
        </w:rPr>
        <w:t>, vol. 14, no. 2, Mar-Apr, pp. 260-270.</w:t>
      </w:r>
    </w:p>
    <w:bookmarkEnd w:id="665"/>
    <w:p w14:paraId="04A86B41" w14:textId="77777777" w:rsidR="007D4948" w:rsidRPr="007D1918" w:rsidRDefault="007D4948" w:rsidP="003653DA">
      <w:pPr>
        <w:pStyle w:val="EndNoteBibliography"/>
        <w:spacing w:after="0"/>
        <w:rPr>
          <w:rFonts w:asciiTheme="minorHAnsi" w:hAnsiTheme="minorHAnsi" w:cstheme="minorHAnsi"/>
        </w:rPr>
      </w:pPr>
    </w:p>
    <w:p w14:paraId="70458DF4" w14:textId="77777777" w:rsidR="007D4948" w:rsidRPr="007D1918" w:rsidRDefault="007D4948" w:rsidP="003653DA">
      <w:pPr>
        <w:pStyle w:val="EndNoteBibliography"/>
        <w:spacing w:after="0"/>
        <w:rPr>
          <w:rFonts w:asciiTheme="minorHAnsi" w:hAnsiTheme="minorHAnsi" w:cstheme="minorHAnsi"/>
        </w:rPr>
      </w:pPr>
      <w:bookmarkStart w:id="666" w:name="_ENREF_19"/>
      <w:r w:rsidRPr="007D1918">
        <w:rPr>
          <w:rFonts w:asciiTheme="minorHAnsi" w:hAnsiTheme="minorHAnsi" w:cstheme="minorHAnsi"/>
        </w:rPr>
        <w:t xml:space="preserve">Clark, E, Kappel, J, MacRae, J, Dipchand, C, Hiremath, S, Kiaii, M, Lok, C, Moist, L, Oliver, M, Miller, LM &amp; Canadian Society of Nephrology Vascular Access Work, G 2016, 'Practical Aspects of Nontunneled and Tunneled Hemodialysis Catheters', </w:t>
      </w:r>
      <w:r w:rsidRPr="007D1918">
        <w:rPr>
          <w:rFonts w:asciiTheme="minorHAnsi" w:hAnsiTheme="minorHAnsi" w:cstheme="minorHAnsi"/>
          <w:i/>
        </w:rPr>
        <w:t>Canadian journal of kidney health and disease</w:t>
      </w:r>
      <w:r w:rsidRPr="007D1918">
        <w:rPr>
          <w:rFonts w:asciiTheme="minorHAnsi" w:hAnsiTheme="minorHAnsi" w:cstheme="minorHAnsi"/>
        </w:rPr>
        <w:t>, vol. 3, pp. 2054358116669128-2054358116669128.</w:t>
      </w:r>
    </w:p>
    <w:bookmarkEnd w:id="666"/>
    <w:p w14:paraId="084F0BB9" w14:textId="77777777" w:rsidR="007D4948" w:rsidRPr="007D1918" w:rsidRDefault="007D4948" w:rsidP="003653DA">
      <w:pPr>
        <w:pStyle w:val="EndNoteBibliography"/>
        <w:spacing w:after="0"/>
        <w:rPr>
          <w:rFonts w:asciiTheme="minorHAnsi" w:hAnsiTheme="minorHAnsi" w:cstheme="minorHAnsi"/>
        </w:rPr>
      </w:pPr>
    </w:p>
    <w:p w14:paraId="67FBEE09" w14:textId="77777777" w:rsidR="007D4948" w:rsidRPr="007D1918" w:rsidRDefault="007D4948" w:rsidP="003653DA">
      <w:pPr>
        <w:pStyle w:val="EndNoteBibliography"/>
        <w:spacing w:after="0"/>
        <w:rPr>
          <w:rFonts w:asciiTheme="minorHAnsi" w:hAnsiTheme="minorHAnsi" w:cstheme="minorHAnsi"/>
        </w:rPr>
      </w:pPr>
      <w:bookmarkStart w:id="667" w:name="_ENREF_20"/>
      <w:r w:rsidRPr="007D1918">
        <w:rPr>
          <w:rFonts w:asciiTheme="minorHAnsi" w:hAnsiTheme="minorHAnsi" w:cstheme="minorHAnsi"/>
        </w:rPr>
        <w:t xml:space="preserve">Daliakopoulos, SI, Bairaktaris, A, Papadimitriou, D &amp; Pappas, P 2008, 'Gigantic retroperitoneal hematoma as a complication of anticoagulation therapy with heparin in therapeutic doses: a case report', </w:t>
      </w:r>
      <w:r w:rsidRPr="007D1918">
        <w:rPr>
          <w:rFonts w:asciiTheme="minorHAnsi" w:hAnsiTheme="minorHAnsi" w:cstheme="minorHAnsi"/>
          <w:i/>
        </w:rPr>
        <w:t>Journal of Medical Case Reports</w:t>
      </w:r>
      <w:r w:rsidRPr="007D1918">
        <w:rPr>
          <w:rFonts w:asciiTheme="minorHAnsi" w:hAnsiTheme="minorHAnsi" w:cstheme="minorHAnsi"/>
        </w:rPr>
        <w:t>, vol. 2, no. 1, 2008/05/17, p. 162.</w:t>
      </w:r>
    </w:p>
    <w:bookmarkEnd w:id="667"/>
    <w:p w14:paraId="4614E65F" w14:textId="77777777" w:rsidR="007D4948" w:rsidRPr="007D1918" w:rsidRDefault="007D4948" w:rsidP="003653DA">
      <w:pPr>
        <w:pStyle w:val="EndNoteBibliography"/>
        <w:spacing w:after="0"/>
        <w:rPr>
          <w:rFonts w:asciiTheme="minorHAnsi" w:hAnsiTheme="minorHAnsi" w:cstheme="minorHAnsi"/>
        </w:rPr>
      </w:pPr>
    </w:p>
    <w:p w14:paraId="0C5E69D7" w14:textId="77777777" w:rsidR="007D4948" w:rsidRPr="007D1918" w:rsidRDefault="007D4948" w:rsidP="003653DA">
      <w:pPr>
        <w:pStyle w:val="EndNoteBibliography"/>
        <w:spacing w:after="0"/>
        <w:rPr>
          <w:rFonts w:asciiTheme="minorHAnsi" w:hAnsiTheme="minorHAnsi" w:cstheme="minorHAnsi"/>
        </w:rPr>
      </w:pPr>
      <w:bookmarkStart w:id="668" w:name="_ENREF_21"/>
      <w:r w:rsidRPr="007D1918">
        <w:rPr>
          <w:rFonts w:asciiTheme="minorHAnsi" w:hAnsiTheme="minorHAnsi" w:cstheme="minorHAnsi"/>
        </w:rPr>
        <w:t xml:space="preserve">Daliakopoulos, SI, Schaedel, M, Klimatsidas, MN, Spiliopoulos, S, Koerfer, R &amp; Tenderich, G 2010, 'Intra-abdominal hypertension due to heparin - induced retroperitoneal hematoma in patients with ventricle assist devices: report of four cases and review of the literature', </w:t>
      </w:r>
      <w:r w:rsidRPr="007D1918">
        <w:rPr>
          <w:rFonts w:asciiTheme="minorHAnsi" w:hAnsiTheme="minorHAnsi" w:cstheme="minorHAnsi"/>
          <w:i/>
        </w:rPr>
        <w:t>J Cardiothorac Surg</w:t>
      </w:r>
      <w:r w:rsidRPr="007D1918">
        <w:rPr>
          <w:rFonts w:asciiTheme="minorHAnsi" w:hAnsiTheme="minorHAnsi" w:cstheme="minorHAnsi"/>
        </w:rPr>
        <w:t>, vol. 5, Nov 10, p. 108.</w:t>
      </w:r>
    </w:p>
    <w:bookmarkEnd w:id="668"/>
    <w:p w14:paraId="6799E32D" w14:textId="77777777" w:rsidR="007D4948" w:rsidRPr="007D1918" w:rsidRDefault="007D4948" w:rsidP="003653DA">
      <w:pPr>
        <w:pStyle w:val="EndNoteBibliography"/>
        <w:spacing w:after="0"/>
        <w:rPr>
          <w:rFonts w:asciiTheme="minorHAnsi" w:hAnsiTheme="minorHAnsi" w:cstheme="minorHAnsi"/>
        </w:rPr>
      </w:pPr>
    </w:p>
    <w:p w14:paraId="2E2913B6" w14:textId="77777777" w:rsidR="007D4948" w:rsidRPr="007D1918" w:rsidRDefault="007D4948" w:rsidP="003653DA">
      <w:pPr>
        <w:pStyle w:val="EndNoteBibliography"/>
        <w:spacing w:after="0"/>
        <w:rPr>
          <w:rFonts w:asciiTheme="minorHAnsi" w:hAnsiTheme="minorHAnsi" w:cstheme="minorHAnsi"/>
        </w:rPr>
      </w:pPr>
      <w:bookmarkStart w:id="669" w:name="_ENREF_22"/>
      <w:r w:rsidRPr="007D1918">
        <w:rPr>
          <w:rFonts w:asciiTheme="minorHAnsi" w:hAnsiTheme="minorHAnsi" w:cstheme="minorHAnsi"/>
        </w:rPr>
        <w:t xml:space="preserve">Drugs &amp; Therapy Perspectives 2001, 'Treatment alternatives in the successful management of myasthenia gravis', </w:t>
      </w:r>
      <w:r w:rsidRPr="007D1918">
        <w:rPr>
          <w:rFonts w:asciiTheme="minorHAnsi" w:hAnsiTheme="minorHAnsi" w:cstheme="minorHAnsi"/>
          <w:i/>
        </w:rPr>
        <w:t>Drugs &amp; Therapy Perspectives</w:t>
      </w:r>
      <w:r w:rsidRPr="007D1918">
        <w:rPr>
          <w:rFonts w:asciiTheme="minorHAnsi" w:hAnsiTheme="minorHAnsi" w:cstheme="minorHAnsi"/>
        </w:rPr>
        <w:t>, vol. 17, no. 21, pp. 12-15.</w:t>
      </w:r>
    </w:p>
    <w:bookmarkEnd w:id="669"/>
    <w:p w14:paraId="28475D7A" w14:textId="77777777" w:rsidR="007D4948" w:rsidRPr="007D1918" w:rsidRDefault="007D4948" w:rsidP="003653DA">
      <w:pPr>
        <w:pStyle w:val="EndNoteBibliography"/>
        <w:spacing w:after="0"/>
        <w:rPr>
          <w:rFonts w:asciiTheme="minorHAnsi" w:hAnsiTheme="minorHAnsi" w:cstheme="minorHAnsi"/>
        </w:rPr>
      </w:pPr>
    </w:p>
    <w:p w14:paraId="4A1D00CD" w14:textId="77777777" w:rsidR="007D4948" w:rsidRPr="007D1918" w:rsidRDefault="007D4948" w:rsidP="003653DA">
      <w:pPr>
        <w:pStyle w:val="EndNoteBibliography"/>
        <w:spacing w:after="0"/>
        <w:rPr>
          <w:rFonts w:asciiTheme="minorHAnsi" w:hAnsiTheme="minorHAnsi" w:cstheme="minorHAnsi"/>
        </w:rPr>
      </w:pPr>
      <w:bookmarkStart w:id="670" w:name="_ENREF_23"/>
      <w:r w:rsidRPr="007D1918">
        <w:rPr>
          <w:rFonts w:asciiTheme="minorHAnsi" w:hAnsiTheme="minorHAnsi" w:cstheme="minorHAnsi"/>
        </w:rPr>
        <w:t xml:space="preserve">Eienbröker, C, Seitz, F, Spengler, A, Kurz, H, Seipelt, M, Sommer, N, Oertel, WH, Timmesfeld, N &amp; Tackenberg, B 2014, 'Intravenous immunoglobulin maintenance treatment in myasthenia gravis: a randomized, controlled trial sample size simulation', </w:t>
      </w:r>
      <w:r w:rsidRPr="007D1918">
        <w:rPr>
          <w:rFonts w:asciiTheme="minorHAnsi" w:hAnsiTheme="minorHAnsi" w:cstheme="minorHAnsi"/>
          <w:i/>
        </w:rPr>
        <w:t>Muscle &amp; Nerve</w:t>
      </w:r>
      <w:r w:rsidRPr="007D1918">
        <w:rPr>
          <w:rFonts w:asciiTheme="minorHAnsi" w:hAnsiTheme="minorHAnsi" w:cstheme="minorHAnsi"/>
        </w:rPr>
        <w:t>, vol. 50, no. 6, pp. 999‐1004.</w:t>
      </w:r>
    </w:p>
    <w:bookmarkEnd w:id="670"/>
    <w:p w14:paraId="0A2A4693" w14:textId="77777777" w:rsidR="007D4948" w:rsidRPr="007D1918" w:rsidRDefault="007D4948" w:rsidP="003653DA">
      <w:pPr>
        <w:pStyle w:val="EndNoteBibliography"/>
        <w:spacing w:after="0"/>
        <w:rPr>
          <w:rFonts w:asciiTheme="minorHAnsi" w:hAnsiTheme="minorHAnsi" w:cstheme="minorHAnsi"/>
        </w:rPr>
      </w:pPr>
    </w:p>
    <w:p w14:paraId="509C3214" w14:textId="77777777" w:rsidR="007D4948" w:rsidRPr="007D1918" w:rsidRDefault="007D4948" w:rsidP="003653DA">
      <w:pPr>
        <w:pStyle w:val="EndNoteBibliography"/>
        <w:spacing w:after="0"/>
        <w:rPr>
          <w:rFonts w:asciiTheme="minorHAnsi" w:hAnsiTheme="minorHAnsi" w:cstheme="minorHAnsi"/>
        </w:rPr>
      </w:pPr>
      <w:bookmarkStart w:id="671" w:name="_ENREF_24"/>
      <w:r w:rsidRPr="007D1918">
        <w:rPr>
          <w:rFonts w:asciiTheme="minorHAnsi" w:hAnsiTheme="minorHAnsi" w:cstheme="minorHAnsi"/>
        </w:rPr>
        <w:t xml:space="preserve">Fowler, RA, Hill-Popper, M, Stasinos, J, Petrou, C, Sanders, GD &amp; Garber, AM 2003, 'Cost-effectiveness of recombinant human activated protein C and the influence of severity of illness in the treatment of patients with severe sepsis', </w:t>
      </w:r>
      <w:r w:rsidRPr="007D1918">
        <w:rPr>
          <w:rFonts w:asciiTheme="minorHAnsi" w:hAnsiTheme="minorHAnsi" w:cstheme="minorHAnsi"/>
          <w:i/>
        </w:rPr>
        <w:t>J Crit Care</w:t>
      </w:r>
      <w:r w:rsidRPr="007D1918">
        <w:rPr>
          <w:rFonts w:asciiTheme="minorHAnsi" w:hAnsiTheme="minorHAnsi" w:cstheme="minorHAnsi"/>
        </w:rPr>
        <w:t>, vol. 18, no. 3, Sep, pp. 181-191; discussion 191-184.</w:t>
      </w:r>
    </w:p>
    <w:bookmarkEnd w:id="671"/>
    <w:p w14:paraId="335C7711" w14:textId="77777777" w:rsidR="007D4948" w:rsidRPr="007D1918" w:rsidRDefault="007D4948" w:rsidP="003653DA">
      <w:pPr>
        <w:pStyle w:val="EndNoteBibliography"/>
        <w:spacing w:after="0"/>
        <w:rPr>
          <w:rFonts w:asciiTheme="minorHAnsi" w:hAnsiTheme="minorHAnsi" w:cstheme="minorHAnsi"/>
        </w:rPr>
      </w:pPr>
    </w:p>
    <w:p w14:paraId="1A071F13" w14:textId="77777777" w:rsidR="007D4948" w:rsidRPr="007D1918" w:rsidRDefault="007D4948" w:rsidP="003653DA">
      <w:pPr>
        <w:pStyle w:val="EndNoteBibliography"/>
        <w:spacing w:after="0"/>
        <w:rPr>
          <w:rFonts w:asciiTheme="minorHAnsi" w:hAnsiTheme="minorHAnsi" w:cstheme="minorHAnsi"/>
        </w:rPr>
      </w:pPr>
      <w:bookmarkStart w:id="672" w:name="_ENREF_25"/>
      <w:r w:rsidRPr="007D1918">
        <w:rPr>
          <w:rFonts w:asciiTheme="minorHAnsi" w:hAnsiTheme="minorHAnsi" w:cstheme="minorHAnsi"/>
        </w:rPr>
        <w:lastRenderedPageBreak/>
        <w:t xml:space="preserve">Furlan, JC, Barth, D, Barnett, C &amp; Bril, V 2016a, 'Cost-minimization analysis comparing intravenous immunoglobulin with plasma exchange in the management of patients with myasthenia gravis', </w:t>
      </w:r>
      <w:r w:rsidRPr="007D1918">
        <w:rPr>
          <w:rFonts w:asciiTheme="minorHAnsi" w:hAnsiTheme="minorHAnsi" w:cstheme="minorHAnsi"/>
          <w:i/>
        </w:rPr>
        <w:t>Muscle and Nerve</w:t>
      </w:r>
      <w:r w:rsidRPr="007D1918">
        <w:rPr>
          <w:rFonts w:asciiTheme="minorHAnsi" w:hAnsiTheme="minorHAnsi" w:cstheme="minorHAnsi"/>
        </w:rPr>
        <w:t>, vol. 53, no. 6, pp. 872-876.</w:t>
      </w:r>
    </w:p>
    <w:bookmarkEnd w:id="672"/>
    <w:p w14:paraId="13B56EE0" w14:textId="77777777" w:rsidR="007D4948" w:rsidRPr="007D1918" w:rsidRDefault="007D4948" w:rsidP="003653DA">
      <w:pPr>
        <w:pStyle w:val="EndNoteBibliography"/>
        <w:spacing w:after="0"/>
        <w:rPr>
          <w:rFonts w:asciiTheme="minorHAnsi" w:hAnsiTheme="minorHAnsi" w:cstheme="minorHAnsi"/>
        </w:rPr>
      </w:pPr>
    </w:p>
    <w:p w14:paraId="6A468C72" w14:textId="77777777" w:rsidR="007D4948" w:rsidRPr="007D1918" w:rsidRDefault="007D4948" w:rsidP="003653DA">
      <w:pPr>
        <w:pStyle w:val="EndNoteBibliography"/>
        <w:spacing w:after="0"/>
        <w:rPr>
          <w:rFonts w:asciiTheme="minorHAnsi" w:hAnsiTheme="minorHAnsi" w:cstheme="minorHAnsi"/>
        </w:rPr>
      </w:pPr>
      <w:bookmarkStart w:id="673" w:name="_ENREF_26"/>
      <w:r w:rsidRPr="007D1918">
        <w:rPr>
          <w:rFonts w:asciiTheme="minorHAnsi" w:hAnsiTheme="minorHAnsi" w:cstheme="minorHAnsi"/>
        </w:rPr>
        <w:t xml:space="preserve">Furlan, JC, Barth, D, Barnett, C &amp; Bril, V 2016b, 'Cost-minimization analysis comparing intravenous immunoglobulin with plasma exchange in the management of patients with myasthenia gravis', </w:t>
      </w:r>
      <w:r w:rsidRPr="007D1918">
        <w:rPr>
          <w:rFonts w:asciiTheme="minorHAnsi" w:hAnsiTheme="minorHAnsi" w:cstheme="minorHAnsi"/>
          <w:i/>
        </w:rPr>
        <w:t>Muscle Nerve</w:t>
      </w:r>
      <w:r w:rsidRPr="007D1918">
        <w:rPr>
          <w:rFonts w:asciiTheme="minorHAnsi" w:hAnsiTheme="minorHAnsi" w:cstheme="minorHAnsi"/>
        </w:rPr>
        <w:t>, vol. 53, no. 6, Jun, pp. 872-876.</w:t>
      </w:r>
    </w:p>
    <w:bookmarkEnd w:id="673"/>
    <w:p w14:paraId="65663DC9" w14:textId="77777777" w:rsidR="007D4948" w:rsidRPr="007D1918" w:rsidRDefault="007D4948" w:rsidP="003653DA">
      <w:pPr>
        <w:pStyle w:val="EndNoteBibliography"/>
        <w:spacing w:after="0"/>
        <w:rPr>
          <w:rFonts w:asciiTheme="minorHAnsi" w:hAnsiTheme="minorHAnsi" w:cstheme="minorHAnsi"/>
        </w:rPr>
      </w:pPr>
    </w:p>
    <w:p w14:paraId="0F63DE40" w14:textId="77777777" w:rsidR="007D4948" w:rsidRPr="007D1918" w:rsidRDefault="007D4948" w:rsidP="003653DA">
      <w:pPr>
        <w:pStyle w:val="EndNoteBibliography"/>
        <w:spacing w:after="0"/>
        <w:rPr>
          <w:rFonts w:asciiTheme="minorHAnsi" w:hAnsiTheme="minorHAnsi" w:cstheme="minorHAnsi"/>
        </w:rPr>
      </w:pPr>
      <w:bookmarkStart w:id="674" w:name="_ENREF_27"/>
      <w:r w:rsidRPr="007D1918">
        <w:rPr>
          <w:rFonts w:asciiTheme="minorHAnsi" w:hAnsiTheme="minorHAnsi" w:cstheme="minorHAnsi"/>
        </w:rPr>
        <w:t>Gajdos, P &amp; Chevret, S 2008, 'Treatment of myasthenia gravis acute exacerbations with intravenous immunoglobulin', Conference Paper, in mgofMICD (Gajdos P., Raymond Poincaré Teaching Hospital, Versailles Saint-Quentin University, Garches, France (ed.)vol. 1132, Ann NY Acad Sci, pp. 271-275, DOI: 10.1196/annals.1405.001.</w:t>
      </w:r>
    </w:p>
    <w:bookmarkEnd w:id="674"/>
    <w:p w14:paraId="32BDEA8E" w14:textId="77777777" w:rsidR="007D4948" w:rsidRPr="007D1918" w:rsidRDefault="007D4948" w:rsidP="003653DA">
      <w:pPr>
        <w:pStyle w:val="EndNoteBibliography"/>
        <w:spacing w:after="0"/>
        <w:rPr>
          <w:rFonts w:asciiTheme="minorHAnsi" w:hAnsiTheme="minorHAnsi" w:cstheme="minorHAnsi"/>
        </w:rPr>
      </w:pPr>
    </w:p>
    <w:p w14:paraId="771819FB" w14:textId="77777777" w:rsidR="007D4948" w:rsidRPr="007D1918" w:rsidRDefault="007D4948" w:rsidP="003653DA">
      <w:pPr>
        <w:pStyle w:val="EndNoteBibliography"/>
        <w:spacing w:after="0"/>
        <w:rPr>
          <w:rFonts w:asciiTheme="minorHAnsi" w:hAnsiTheme="minorHAnsi" w:cstheme="minorHAnsi"/>
        </w:rPr>
      </w:pPr>
      <w:bookmarkStart w:id="675" w:name="_ENREF_28"/>
      <w:r w:rsidRPr="007D1918">
        <w:rPr>
          <w:rFonts w:asciiTheme="minorHAnsi" w:hAnsiTheme="minorHAnsi" w:cstheme="minorHAnsi"/>
        </w:rPr>
        <w:t xml:space="preserve">Gajdos, P, Chevret, S, Clair, B, Tranchant, C &amp; Chastang, C 1997, 'Clinical trial of plasma exchange and high-dose intravenous immunoglobulin in myasthenia gravis', </w:t>
      </w:r>
      <w:r w:rsidRPr="007D1918">
        <w:rPr>
          <w:rFonts w:asciiTheme="minorHAnsi" w:hAnsiTheme="minorHAnsi" w:cstheme="minorHAnsi"/>
          <w:i/>
        </w:rPr>
        <w:t>Annals of Neurology</w:t>
      </w:r>
      <w:r w:rsidRPr="007D1918">
        <w:rPr>
          <w:rFonts w:asciiTheme="minorHAnsi" w:hAnsiTheme="minorHAnsi" w:cstheme="minorHAnsi"/>
        </w:rPr>
        <w:t>, vol. 41, no. 6, pp. 789-796.</w:t>
      </w:r>
    </w:p>
    <w:bookmarkEnd w:id="675"/>
    <w:p w14:paraId="6F369F70" w14:textId="77777777" w:rsidR="007D4948" w:rsidRPr="007D1918" w:rsidRDefault="007D4948" w:rsidP="003653DA">
      <w:pPr>
        <w:pStyle w:val="EndNoteBibliography"/>
        <w:spacing w:after="0"/>
        <w:rPr>
          <w:rFonts w:asciiTheme="minorHAnsi" w:hAnsiTheme="minorHAnsi" w:cstheme="minorHAnsi"/>
        </w:rPr>
      </w:pPr>
    </w:p>
    <w:p w14:paraId="22C92BB0" w14:textId="77777777" w:rsidR="007D4948" w:rsidRPr="007D1918" w:rsidRDefault="007D4948" w:rsidP="003653DA">
      <w:pPr>
        <w:pStyle w:val="EndNoteBibliography"/>
        <w:spacing w:after="0"/>
        <w:rPr>
          <w:rFonts w:asciiTheme="minorHAnsi" w:hAnsiTheme="minorHAnsi" w:cstheme="minorHAnsi"/>
        </w:rPr>
      </w:pPr>
      <w:bookmarkStart w:id="676" w:name="_ENREF_29"/>
      <w:r w:rsidRPr="007D1918">
        <w:rPr>
          <w:rFonts w:asciiTheme="minorHAnsi" w:hAnsiTheme="minorHAnsi" w:cstheme="minorHAnsi"/>
        </w:rPr>
        <w:t xml:space="preserve">Gajdos, P, Chevret, S, Clair, B, Tranchant, C &amp; Chastang, C 1998, 'Plasma exchange and intravenous immunoglobulin in autoimmune myasthenia gravis', </w:t>
      </w:r>
      <w:r w:rsidRPr="007D1918">
        <w:rPr>
          <w:rFonts w:asciiTheme="minorHAnsi" w:hAnsiTheme="minorHAnsi" w:cstheme="minorHAnsi"/>
          <w:i/>
        </w:rPr>
        <w:t>Annals of the new york academy of sciences</w:t>
      </w:r>
      <w:r w:rsidRPr="007D1918">
        <w:rPr>
          <w:rFonts w:asciiTheme="minorHAnsi" w:hAnsiTheme="minorHAnsi" w:cstheme="minorHAnsi"/>
        </w:rPr>
        <w:t>, vol. 841, pp. 720‐726.</w:t>
      </w:r>
    </w:p>
    <w:bookmarkEnd w:id="676"/>
    <w:p w14:paraId="2F92F584" w14:textId="77777777" w:rsidR="007D4948" w:rsidRPr="007D1918" w:rsidRDefault="007D4948" w:rsidP="003653DA">
      <w:pPr>
        <w:pStyle w:val="EndNoteBibliography"/>
        <w:spacing w:after="0"/>
        <w:rPr>
          <w:rFonts w:asciiTheme="minorHAnsi" w:hAnsiTheme="minorHAnsi" w:cstheme="minorHAnsi"/>
        </w:rPr>
      </w:pPr>
    </w:p>
    <w:p w14:paraId="7C33FAF5" w14:textId="77777777" w:rsidR="007D4948" w:rsidRPr="007D1918" w:rsidRDefault="007D4948" w:rsidP="003653DA">
      <w:pPr>
        <w:pStyle w:val="EndNoteBibliography"/>
        <w:spacing w:after="0"/>
        <w:rPr>
          <w:rFonts w:asciiTheme="minorHAnsi" w:hAnsiTheme="minorHAnsi" w:cstheme="minorHAnsi"/>
        </w:rPr>
      </w:pPr>
      <w:bookmarkStart w:id="677" w:name="_ENREF_30"/>
      <w:r w:rsidRPr="007D1918">
        <w:rPr>
          <w:rFonts w:asciiTheme="minorHAnsi" w:hAnsiTheme="minorHAnsi" w:cstheme="minorHAnsi"/>
        </w:rPr>
        <w:t xml:space="preserve">Gajdos, P, Chevret, S &amp; Toyka, K 2003, 'Intravenous immunoglobulin for myasthenia gravis', </w:t>
      </w:r>
      <w:r w:rsidRPr="007D1918">
        <w:rPr>
          <w:rFonts w:asciiTheme="minorHAnsi" w:hAnsiTheme="minorHAnsi" w:cstheme="minorHAnsi"/>
          <w:i/>
        </w:rPr>
        <w:t>Cochrane database of systematic reviews (Online)</w:t>
      </w:r>
      <w:r w:rsidRPr="007D1918">
        <w:rPr>
          <w:rFonts w:asciiTheme="minorHAnsi" w:hAnsiTheme="minorHAnsi" w:cstheme="minorHAnsi"/>
        </w:rPr>
        <w:t>, no. 2, p. CD002277.</w:t>
      </w:r>
    </w:p>
    <w:bookmarkEnd w:id="677"/>
    <w:p w14:paraId="45B59EC3" w14:textId="77777777" w:rsidR="007D4948" w:rsidRPr="007D1918" w:rsidRDefault="007D4948" w:rsidP="003653DA">
      <w:pPr>
        <w:pStyle w:val="EndNoteBibliography"/>
        <w:spacing w:after="0"/>
        <w:rPr>
          <w:rFonts w:asciiTheme="minorHAnsi" w:hAnsiTheme="minorHAnsi" w:cstheme="minorHAnsi"/>
        </w:rPr>
      </w:pPr>
    </w:p>
    <w:p w14:paraId="44764F1E" w14:textId="77777777" w:rsidR="007D4948" w:rsidRPr="007D1918" w:rsidRDefault="007D4948" w:rsidP="003653DA">
      <w:pPr>
        <w:pStyle w:val="EndNoteBibliography"/>
        <w:spacing w:after="0"/>
        <w:rPr>
          <w:rFonts w:asciiTheme="minorHAnsi" w:hAnsiTheme="minorHAnsi" w:cstheme="minorHAnsi"/>
        </w:rPr>
      </w:pPr>
      <w:bookmarkStart w:id="678" w:name="_ENREF_31"/>
      <w:r w:rsidRPr="007D1918">
        <w:rPr>
          <w:rFonts w:asciiTheme="minorHAnsi" w:hAnsiTheme="minorHAnsi" w:cstheme="minorHAnsi"/>
        </w:rPr>
        <w:t xml:space="preserve">Gajdos, P, Chevret, S &amp; Toyka, K 2006, 'Intravenous immunoglobulin for myasthenia gravis', </w:t>
      </w:r>
      <w:r w:rsidRPr="007D1918">
        <w:rPr>
          <w:rFonts w:asciiTheme="minorHAnsi" w:hAnsiTheme="minorHAnsi" w:cstheme="minorHAnsi"/>
          <w:i/>
        </w:rPr>
        <w:t>Cochrane database of systematic reviews (Online)</w:t>
      </w:r>
      <w:r w:rsidRPr="007D1918">
        <w:rPr>
          <w:rFonts w:asciiTheme="minorHAnsi" w:hAnsiTheme="minorHAnsi" w:cstheme="minorHAnsi"/>
        </w:rPr>
        <w:t>, no. 2, p. CD002277.</w:t>
      </w:r>
    </w:p>
    <w:bookmarkEnd w:id="678"/>
    <w:p w14:paraId="0E415D63" w14:textId="77777777" w:rsidR="007D4948" w:rsidRPr="007D1918" w:rsidRDefault="007D4948" w:rsidP="003653DA">
      <w:pPr>
        <w:pStyle w:val="EndNoteBibliography"/>
        <w:spacing w:after="0"/>
        <w:rPr>
          <w:rFonts w:asciiTheme="minorHAnsi" w:hAnsiTheme="minorHAnsi" w:cstheme="minorHAnsi"/>
        </w:rPr>
      </w:pPr>
    </w:p>
    <w:p w14:paraId="60B4879E" w14:textId="77777777" w:rsidR="007D4948" w:rsidRPr="007D1918" w:rsidRDefault="007D4948" w:rsidP="003653DA">
      <w:pPr>
        <w:pStyle w:val="EndNoteBibliography"/>
        <w:spacing w:after="0"/>
        <w:rPr>
          <w:rFonts w:asciiTheme="minorHAnsi" w:hAnsiTheme="minorHAnsi" w:cstheme="minorHAnsi"/>
        </w:rPr>
      </w:pPr>
      <w:bookmarkStart w:id="679" w:name="_ENREF_32"/>
      <w:r w:rsidRPr="007D1918">
        <w:rPr>
          <w:rFonts w:asciiTheme="minorHAnsi" w:hAnsiTheme="minorHAnsi" w:cstheme="minorHAnsi"/>
        </w:rPr>
        <w:t xml:space="preserve">Gajdos, P, Chevret, S &amp; Toyka, K 2008, 'Intravenous immunoglobulin for myasthenia gravis', </w:t>
      </w:r>
      <w:r w:rsidRPr="007D1918">
        <w:rPr>
          <w:rFonts w:asciiTheme="minorHAnsi" w:hAnsiTheme="minorHAnsi" w:cstheme="minorHAnsi"/>
          <w:i/>
        </w:rPr>
        <w:t>Cochrane Database of Systematic Reviews</w:t>
      </w:r>
      <w:r w:rsidRPr="007D1918">
        <w:rPr>
          <w:rFonts w:asciiTheme="minorHAnsi" w:hAnsiTheme="minorHAnsi" w:cstheme="minorHAnsi"/>
        </w:rPr>
        <w:t>, no. 1.</w:t>
      </w:r>
    </w:p>
    <w:bookmarkEnd w:id="679"/>
    <w:p w14:paraId="542F646A" w14:textId="77777777" w:rsidR="007D4948" w:rsidRPr="007D1918" w:rsidRDefault="007D4948" w:rsidP="003653DA">
      <w:pPr>
        <w:pStyle w:val="EndNoteBibliography"/>
        <w:spacing w:after="0"/>
        <w:rPr>
          <w:rFonts w:asciiTheme="minorHAnsi" w:hAnsiTheme="minorHAnsi" w:cstheme="minorHAnsi"/>
        </w:rPr>
      </w:pPr>
    </w:p>
    <w:p w14:paraId="132797BB" w14:textId="77777777" w:rsidR="007D4948" w:rsidRPr="007D1918" w:rsidRDefault="007D4948" w:rsidP="003653DA">
      <w:pPr>
        <w:pStyle w:val="EndNoteBibliography"/>
        <w:spacing w:after="0"/>
        <w:rPr>
          <w:rFonts w:asciiTheme="minorHAnsi" w:hAnsiTheme="minorHAnsi" w:cstheme="minorHAnsi"/>
        </w:rPr>
      </w:pPr>
      <w:bookmarkStart w:id="680" w:name="_ENREF_33"/>
      <w:r w:rsidRPr="007D1918">
        <w:rPr>
          <w:rFonts w:asciiTheme="minorHAnsi" w:hAnsiTheme="minorHAnsi" w:cstheme="minorHAnsi"/>
        </w:rPr>
        <w:t xml:space="preserve">Gajdos, P, Chevret, S &amp; Toyka, KV 2012, 'Intravenous immunoglobulin for myasthenia gravis', </w:t>
      </w:r>
      <w:r w:rsidRPr="007D1918">
        <w:rPr>
          <w:rFonts w:asciiTheme="minorHAnsi" w:hAnsiTheme="minorHAnsi" w:cstheme="minorHAnsi"/>
          <w:i/>
        </w:rPr>
        <w:t>Cochrane Database of Systematic Reviews</w:t>
      </w:r>
      <w:r w:rsidRPr="007D1918">
        <w:rPr>
          <w:rFonts w:asciiTheme="minorHAnsi" w:hAnsiTheme="minorHAnsi" w:cstheme="minorHAnsi"/>
        </w:rPr>
        <w:t>, no. 12.</w:t>
      </w:r>
    </w:p>
    <w:bookmarkEnd w:id="680"/>
    <w:p w14:paraId="70A0E0D1" w14:textId="77777777" w:rsidR="007D4948" w:rsidRPr="007D1918" w:rsidRDefault="007D4948" w:rsidP="003653DA">
      <w:pPr>
        <w:pStyle w:val="EndNoteBibliography"/>
        <w:spacing w:after="0"/>
        <w:rPr>
          <w:rFonts w:asciiTheme="minorHAnsi" w:hAnsiTheme="minorHAnsi" w:cstheme="minorHAnsi"/>
        </w:rPr>
      </w:pPr>
    </w:p>
    <w:p w14:paraId="3505D445" w14:textId="77777777" w:rsidR="007D4948" w:rsidRPr="007D1918" w:rsidRDefault="007D4948" w:rsidP="003653DA">
      <w:pPr>
        <w:pStyle w:val="EndNoteBibliography"/>
        <w:spacing w:after="0"/>
        <w:rPr>
          <w:rFonts w:asciiTheme="minorHAnsi" w:hAnsiTheme="minorHAnsi" w:cstheme="minorHAnsi"/>
        </w:rPr>
      </w:pPr>
      <w:bookmarkStart w:id="681" w:name="_ENREF_34"/>
      <w:r w:rsidRPr="007D1918">
        <w:rPr>
          <w:rFonts w:asciiTheme="minorHAnsi" w:hAnsiTheme="minorHAnsi" w:cstheme="minorHAnsi"/>
        </w:rPr>
        <w:t xml:space="preserve">Gajdos, P, Elkharrat, D, Chevtet, S &amp; Chastang, C 1993, 'A randomised clinical trial comparing prednisone and azathioprine in myasthenia gravis. Results of the second interim analysis. Myasthenia Gravis Clinical Study Group,' </w:t>
      </w:r>
      <w:r w:rsidRPr="007D1918">
        <w:rPr>
          <w:rFonts w:asciiTheme="minorHAnsi" w:hAnsiTheme="minorHAnsi" w:cstheme="minorHAnsi"/>
          <w:i/>
        </w:rPr>
        <w:t>Journal of neurology, neurosurgery, and psychiatry</w:t>
      </w:r>
      <w:r w:rsidRPr="007D1918">
        <w:rPr>
          <w:rFonts w:asciiTheme="minorHAnsi" w:hAnsiTheme="minorHAnsi" w:cstheme="minorHAnsi"/>
        </w:rPr>
        <w:t>, vol. 56, no. 11, pp. 1157-1163.</w:t>
      </w:r>
    </w:p>
    <w:bookmarkEnd w:id="681"/>
    <w:p w14:paraId="7DFEC385" w14:textId="77777777" w:rsidR="007D4948" w:rsidRPr="007D1918" w:rsidRDefault="007D4948" w:rsidP="003653DA">
      <w:pPr>
        <w:pStyle w:val="EndNoteBibliography"/>
        <w:spacing w:after="0"/>
        <w:rPr>
          <w:rFonts w:asciiTheme="minorHAnsi" w:hAnsiTheme="minorHAnsi" w:cstheme="minorHAnsi"/>
        </w:rPr>
      </w:pPr>
    </w:p>
    <w:p w14:paraId="6F8A76AB" w14:textId="77777777" w:rsidR="007D4948" w:rsidRPr="007D1918" w:rsidRDefault="007D4948" w:rsidP="003653DA">
      <w:pPr>
        <w:pStyle w:val="EndNoteBibliography"/>
        <w:spacing w:after="0"/>
        <w:rPr>
          <w:rFonts w:asciiTheme="minorHAnsi" w:hAnsiTheme="minorHAnsi" w:cstheme="minorHAnsi"/>
        </w:rPr>
      </w:pPr>
      <w:bookmarkStart w:id="682" w:name="_ENREF_35"/>
      <w:r w:rsidRPr="007D1918">
        <w:rPr>
          <w:rFonts w:asciiTheme="minorHAnsi" w:hAnsiTheme="minorHAnsi" w:cstheme="minorHAnsi"/>
        </w:rPr>
        <w:t xml:space="preserve">Gajdos, P, Tranchant, C, Clair, B, Bolgert, F, Eymard, B, Stojkovic, T, Attarian, S &amp; Chevret, S 2005, 'Treatment of myasthenia gravis exacerbation with intravenous immunoglobulin: a randomized double-blind clinical trial', </w:t>
      </w:r>
      <w:r w:rsidRPr="007D1918">
        <w:rPr>
          <w:rFonts w:asciiTheme="minorHAnsi" w:hAnsiTheme="minorHAnsi" w:cstheme="minorHAnsi"/>
          <w:i/>
        </w:rPr>
        <w:t>Archives of neurology</w:t>
      </w:r>
      <w:r w:rsidRPr="007D1918">
        <w:rPr>
          <w:rFonts w:asciiTheme="minorHAnsi" w:hAnsiTheme="minorHAnsi" w:cstheme="minorHAnsi"/>
        </w:rPr>
        <w:t>, vol. 62, no. 11, pp. 1689‐1693.</w:t>
      </w:r>
    </w:p>
    <w:bookmarkEnd w:id="682"/>
    <w:p w14:paraId="068E77C1" w14:textId="77777777" w:rsidR="007D4948" w:rsidRPr="007D1918" w:rsidRDefault="007D4948" w:rsidP="003653DA">
      <w:pPr>
        <w:pStyle w:val="EndNoteBibliography"/>
        <w:spacing w:after="0"/>
        <w:rPr>
          <w:rFonts w:asciiTheme="minorHAnsi" w:hAnsiTheme="minorHAnsi" w:cstheme="minorHAnsi"/>
        </w:rPr>
      </w:pPr>
    </w:p>
    <w:p w14:paraId="65EADF22" w14:textId="77777777" w:rsidR="007D4948" w:rsidRPr="007D1918" w:rsidRDefault="007D4948" w:rsidP="003653DA">
      <w:pPr>
        <w:pStyle w:val="EndNoteBibliography"/>
        <w:spacing w:after="0"/>
        <w:rPr>
          <w:rFonts w:asciiTheme="minorHAnsi" w:hAnsiTheme="minorHAnsi" w:cstheme="minorHAnsi"/>
        </w:rPr>
      </w:pPr>
      <w:bookmarkStart w:id="683" w:name="_ENREF_36"/>
      <w:r w:rsidRPr="007D1918">
        <w:rPr>
          <w:rFonts w:asciiTheme="minorHAnsi" w:hAnsiTheme="minorHAnsi" w:cstheme="minorHAnsi"/>
        </w:rPr>
        <w:t xml:space="preserve">Galante, J, Augustovski, F, Colantonio, L, Bardach, A, Caporale, J, Marti, SG &amp; Kind, P 2011, 'Estimation and comparison of EQ-5D health states' utility weights for pneumococcal and human papillomavirus diseases in Argentina, Chile, and the United Kingdom', </w:t>
      </w:r>
      <w:r w:rsidRPr="007D1918">
        <w:rPr>
          <w:rFonts w:asciiTheme="minorHAnsi" w:hAnsiTheme="minorHAnsi" w:cstheme="minorHAnsi"/>
          <w:i/>
        </w:rPr>
        <w:t>Value Health</w:t>
      </w:r>
      <w:r w:rsidRPr="007D1918">
        <w:rPr>
          <w:rFonts w:asciiTheme="minorHAnsi" w:hAnsiTheme="minorHAnsi" w:cstheme="minorHAnsi"/>
        </w:rPr>
        <w:t>, vol. 14, no. 5 Suppl 1, Jul-Aug, pp. S60-64.</w:t>
      </w:r>
    </w:p>
    <w:bookmarkEnd w:id="683"/>
    <w:p w14:paraId="6929581B" w14:textId="77777777" w:rsidR="007D4948" w:rsidRPr="007D1918" w:rsidRDefault="007D4948" w:rsidP="003653DA">
      <w:pPr>
        <w:pStyle w:val="EndNoteBibliography"/>
        <w:spacing w:after="0"/>
        <w:rPr>
          <w:rFonts w:asciiTheme="minorHAnsi" w:hAnsiTheme="minorHAnsi" w:cstheme="minorHAnsi"/>
        </w:rPr>
      </w:pPr>
    </w:p>
    <w:p w14:paraId="7E78A93F" w14:textId="77777777" w:rsidR="007D4948" w:rsidRPr="007D1918" w:rsidRDefault="007D4948" w:rsidP="003653DA">
      <w:pPr>
        <w:pStyle w:val="EndNoteBibliography"/>
        <w:spacing w:after="0"/>
        <w:rPr>
          <w:rFonts w:asciiTheme="minorHAnsi" w:hAnsiTheme="minorHAnsi" w:cstheme="minorHAnsi"/>
        </w:rPr>
      </w:pPr>
      <w:bookmarkStart w:id="684" w:name="_ENREF_37"/>
      <w:r w:rsidRPr="007D1918">
        <w:rPr>
          <w:rFonts w:asciiTheme="minorHAnsi" w:hAnsiTheme="minorHAnsi" w:cstheme="minorHAnsi"/>
        </w:rPr>
        <w:t xml:space="preserve">Gerth, AMJ, Hatch, RA, Young, JD &amp; Watkinson, PJ 2019, 'Changes in health-related quality of life after discharge from an intensive care unit: a systematic review', </w:t>
      </w:r>
      <w:r w:rsidRPr="007D1918">
        <w:rPr>
          <w:rFonts w:asciiTheme="minorHAnsi" w:hAnsiTheme="minorHAnsi" w:cstheme="minorHAnsi"/>
          <w:i/>
        </w:rPr>
        <w:t>Anaesthesia</w:t>
      </w:r>
      <w:r w:rsidRPr="007D1918">
        <w:rPr>
          <w:rFonts w:asciiTheme="minorHAnsi" w:hAnsiTheme="minorHAnsi" w:cstheme="minorHAnsi"/>
        </w:rPr>
        <w:t>, vol. 74, no. 1, Jan, pp. 100-108.</w:t>
      </w:r>
    </w:p>
    <w:bookmarkEnd w:id="684"/>
    <w:p w14:paraId="3DF533E5" w14:textId="77777777" w:rsidR="007D4948" w:rsidRPr="007D1918" w:rsidRDefault="007D4948" w:rsidP="003653DA">
      <w:pPr>
        <w:pStyle w:val="EndNoteBibliography"/>
        <w:spacing w:after="0"/>
        <w:rPr>
          <w:rFonts w:asciiTheme="minorHAnsi" w:hAnsiTheme="minorHAnsi" w:cstheme="minorHAnsi"/>
        </w:rPr>
      </w:pPr>
    </w:p>
    <w:p w14:paraId="14232139" w14:textId="77777777" w:rsidR="007D4948" w:rsidRPr="007D1918" w:rsidRDefault="007D4948" w:rsidP="003653DA">
      <w:pPr>
        <w:pStyle w:val="EndNoteBibliography"/>
        <w:spacing w:after="0"/>
        <w:rPr>
          <w:rFonts w:asciiTheme="minorHAnsi" w:hAnsiTheme="minorHAnsi" w:cstheme="minorHAnsi"/>
        </w:rPr>
      </w:pPr>
      <w:bookmarkStart w:id="685" w:name="_ENREF_38"/>
      <w:r w:rsidRPr="007D1918">
        <w:rPr>
          <w:rFonts w:asciiTheme="minorHAnsi" w:hAnsiTheme="minorHAnsi" w:cstheme="minorHAnsi"/>
        </w:rPr>
        <w:t xml:space="preserve">Green, C, Dinnes, J, Takeda, AL &amp; Cuthbertson, BH 2006, 'Evaluation of the cost-effectiveness of drotrecogin alfa (activated) for the treatment of severe sepsis in the United Kingdom', </w:t>
      </w:r>
      <w:r w:rsidRPr="007D1918">
        <w:rPr>
          <w:rFonts w:asciiTheme="minorHAnsi" w:hAnsiTheme="minorHAnsi" w:cstheme="minorHAnsi"/>
          <w:i/>
        </w:rPr>
        <w:t>Int J Technol Assess Health Care</w:t>
      </w:r>
      <w:r w:rsidRPr="007D1918">
        <w:rPr>
          <w:rFonts w:asciiTheme="minorHAnsi" w:hAnsiTheme="minorHAnsi" w:cstheme="minorHAnsi"/>
        </w:rPr>
        <w:t>, vol. 22, no. 1, Winter, pp. 90-100.</w:t>
      </w:r>
    </w:p>
    <w:bookmarkEnd w:id="685"/>
    <w:p w14:paraId="7AABA0CE" w14:textId="77777777" w:rsidR="007D4948" w:rsidRPr="007D1918" w:rsidRDefault="007D4948" w:rsidP="003653DA">
      <w:pPr>
        <w:pStyle w:val="EndNoteBibliography"/>
        <w:spacing w:after="0"/>
        <w:rPr>
          <w:rFonts w:asciiTheme="minorHAnsi" w:hAnsiTheme="minorHAnsi" w:cstheme="minorHAnsi"/>
        </w:rPr>
      </w:pPr>
    </w:p>
    <w:p w14:paraId="056CB773" w14:textId="77777777" w:rsidR="007D4948" w:rsidRPr="007D1918" w:rsidRDefault="007D4948" w:rsidP="003653DA">
      <w:pPr>
        <w:pStyle w:val="EndNoteBibliography"/>
        <w:spacing w:after="0"/>
        <w:rPr>
          <w:rFonts w:asciiTheme="minorHAnsi" w:hAnsiTheme="minorHAnsi" w:cstheme="minorHAnsi"/>
        </w:rPr>
      </w:pPr>
      <w:bookmarkStart w:id="686" w:name="_ENREF_39"/>
      <w:r w:rsidRPr="007D1918">
        <w:rPr>
          <w:rFonts w:asciiTheme="minorHAnsi" w:hAnsiTheme="minorHAnsi" w:cstheme="minorHAnsi"/>
        </w:rPr>
        <w:t xml:space="preserve">Griffin, R, Chen, J, Hanna, K &amp; Mondou, E 2017a, 'A randomized placebo-controlled clinical trial evaluating efficacy and safety of IGIV-C in corticosteroid dependent patients with generalized myasthenia gravis', </w:t>
      </w:r>
      <w:r w:rsidRPr="007D1918">
        <w:rPr>
          <w:rFonts w:asciiTheme="minorHAnsi" w:hAnsiTheme="minorHAnsi" w:cstheme="minorHAnsi"/>
          <w:i/>
        </w:rPr>
        <w:t>Muscle and Nerve</w:t>
      </w:r>
      <w:r w:rsidRPr="007D1918">
        <w:rPr>
          <w:rFonts w:asciiTheme="minorHAnsi" w:hAnsiTheme="minorHAnsi" w:cstheme="minorHAnsi"/>
        </w:rPr>
        <w:t>, vol. 56, no. 3, p. 604.</w:t>
      </w:r>
    </w:p>
    <w:bookmarkEnd w:id="686"/>
    <w:p w14:paraId="761D8351" w14:textId="77777777" w:rsidR="007D4948" w:rsidRPr="007D1918" w:rsidRDefault="007D4948" w:rsidP="003653DA">
      <w:pPr>
        <w:pStyle w:val="EndNoteBibliography"/>
        <w:spacing w:after="0"/>
        <w:rPr>
          <w:rFonts w:asciiTheme="minorHAnsi" w:hAnsiTheme="minorHAnsi" w:cstheme="minorHAnsi"/>
        </w:rPr>
      </w:pPr>
    </w:p>
    <w:p w14:paraId="798EF07C" w14:textId="77777777" w:rsidR="007D4948" w:rsidRPr="007D1918" w:rsidRDefault="007D4948" w:rsidP="003653DA">
      <w:pPr>
        <w:pStyle w:val="EndNoteBibliography"/>
        <w:spacing w:after="0"/>
        <w:rPr>
          <w:rFonts w:asciiTheme="minorHAnsi" w:hAnsiTheme="minorHAnsi" w:cstheme="minorHAnsi"/>
        </w:rPr>
      </w:pPr>
      <w:bookmarkStart w:id="687" w:name="_ENREF_40"/>
      <w:r w:rsidRPr="007D1918">
        <w:rPr>
          <w:rFonts w:asciiTheme="minorHAnsi" w:hAnsiTheme="minorHAnsi" w:cstheme="minorHAnsi"/>
        </w:rPr>
        <w:t xml:space="preserve">Griffin, R, Chen, J, Hanna, K &amp; Mondou, E 2017b, 'A randomized placebo-controlled clinical trial evaluating efficacy and safety of IGIV-C in symptomatic subjects with generalized myasthenia gravis', </w:t>
      </w:r>
      <w:r w:rsidRPr="007D1918">
        <w:rPr>
          <w:rFonts w:asciiTheme="minorHAnsi" w:hAnsiTheme="minorHAnsi" w:cstheme="minorHAnsi"/>
          <w:i/>
        </w:rPr>
        <w:t>Neurology</w:t>
      </w:r>
      <w:r w:rsidRPr="007D1918">
        <w:rPr>
          <w:rFonts w:asciiTheme="minorHAnsi" w:hAnsiTheme="minorHAnsi" w:cstheme="minorHAnsi"/>
        </w:rPr>
        <w:t>, vol. 88, no. 16.</w:t>
      </w:r>
    </w:p>
    <w:bookmarkEnd w:id="687"/>
    <w:p w14:paraId="2B5A998E" w14:textId="77777777" w:rsidR="007D4948" w:rsidRPr="007D1918" w:rsidRDefault="007D4948" w:rsidP="003653DA">
      <w:pPr>
        <w:pStyle w:val="EndNoteBibliography"/>
        <w:spacing w:after="0"/>
        <w:rPr>
          <w:rFonts w:asciiTheme="minorHAnsi" w:hAnsiTheme="minorHAnsi" w:cstheme="minorHAnsi"/>
        </w:rPr>
      </w:pPr>
    </w:p>
    <w:p w14:paraId="04038C03" w14:textId="77777777" w:rsidR="007D4948" w:rsidRPr="007D1918" w:rsidRDefault="007D4948" w:rsidP="003653DA">
      <w:pPr>
        <w:pStyle w:val="EndNoteBibliography"/>
        <w:spacing w:after="0"/>
        <w:rPr>
          <w:rFonts w:asciiTheme="minorHAnsi" w:hAnsiTheme="minorHAnsi" w:cstheme="minorHAnsi"/>
        </w:rPr>
      </w:pPr>
      <w:bookmarkStart w:id="688" w:name="_ENREF_41"/>
      <w:r w:rsidRPr="007D1918">
        <w:rPr>
          <w:rFonts w:asciiTheme="minorHAnsi" w:hAnsiTheme="minorHAnsi" w:cstheme="minorHAnsi"/>
        </w:rPr>
        <w:t xml:space="preserve">Guest, JF, Watson, HG &amp; Limaye, S 2010, 'Modeling the cost-effectiveness of prothrombin complex concentrate compared with fresh frozen plasma in emergency warfarin reversal in the United kingdom', </w:t>
      </w:r>
      <w:r w:rsidRPr="007D1918">
        <w:rPr>
          <w:rFonts w:asciiTheme="minorHAnsi" w:hAnsiTheme="minorHAnsi" w:cstheme="minorHAnsi"/>
          <w:i/>
        </w:rPr>
        <w:t>Clin Ther</w:t>
      </w:r>
      <w:r w:rsidRPr="007D1918">
        <w:rPr>
          <w:rFonts w:asciiTheme="minorHAnsi" w:hAnsiTheme="minorHAnsi" w:cstheme="minorHAnsi"/>
        </w:rPr>
        <w:t>, vol. 32, no. 14, Dec, pp. 2478-2493.</w:t>
      </w:r>
    </w:p>
    <w:bookmarkEnd w:id="688"/>
    <w:p w14:paraId="19764016" w14:textId="77777777" w:rsidR="007D4948" w:rsidRPr="007D1918" w:rsidRDefault="007D4948" w:rsidP="003653DA">
      <w:pPr>
        <w:pStyle w:val="EndNoteBibliography"/>
        <w:spacing w:after="0"/>
        <w:rPr>
          <w:rFonts w:asciiTheme="minorHAnsi" w:hAnsiTheme="minorHAnsi" w:cstheme="minorHAnsi"/>
        </w:rPr>
      </w:pPr>
    </w:p>
    <w:p w14:paraId="064653A7" w14:textId="77777777" w:rsidR="007D4948" w:rsidRPr="007D1918" w:rsidRDefault="007D4948" w:rsidP="003653DA">
      <w:pPr>
        <w:pStyle w:val="EndNoteBibliography"/>
        <w:spacing w:after="0"/>
        <w:rPr>
          <w:rFonts w:asciiTheme="minorHAnsi" w:hAnsiTheme="minorHAnsi" w:cstheme="minorHAnsi"/>
        </w:rPr>
      </w:pPr>
      <w:bookmarkStart w:id="689" w:name="_ENREF_42"/>
      <w:r w:rsidRPr="007D1918">
        <w:rPr>
          <w:rFonts w:asciiTheme="minorHAnsi" w:hAnsiTheme="minorHAnsi" w:cstheme="minorHAnsi"/>
        </w:rPr>
        <w:t xml:space="preserve">Guptill, JT, Sanders, DB &amp; Evoli, A 2011, 'Anti-MuSK antibody Myasthenia gravis: Clinical findings and response to treatment in two large cohorts', </w:t>
      </w:r>
      <w:r w:rsidRPr="007D1918">
        <w:rPr>
          <w:rFonts w:asciiTheme="minorHAnsi" w:hAnsiTheme="minorHAnsi" w:cstheme="minorHAnsi"/>
          <w:i/>
        </w:rPr>
        <w:t>Muscle and Nerve</w:t>
      </w:r>
      <w:r w:rsidRPr="007D1918">
        <w:rPr>
          <w:rFonts w:asciiTheme="minorHAnsi" w:hAnsiTheme="minorHAnsi" w:cstheme="minorHAnsi"/>
        </w:rPr>
        <w:t>, vol. 44, no. 1, pp. 36-40.</w:t>
      </w:r>
    </w:p>
    <w:bookmarkEnd w:id="689"/>
    <w:p w14:paraId="5423B9AB" w14:textId="77777777" w:rsidR="007D4948" w:rsidRPr="007D1918" w:rsidRDefault="007D4948" w:rsidP="003653DA">
      <w:pPr>
        <w:pStyle w:val="EndNoteBibliography"/>
        <w:spacing w:after="0"/>
        <w:rPr>
          <w:rFonts w:asciiTheme="minorHAnsi" w:hAnsiTheme="minorHAnsi" w:cstheme="minorHAnsi"/>
        </w:rPr>
      </w:pPr>
    </w:p>
    <w:p w14:paraId="53E7BADE" w14:textId="77777777" w:rsidR="007D4948" w:rsidRPr="007D1918" w:rsidRDefault="007D4948" w:rsidP="003653DA">
      <w:pPr>
        <w:pStyle w:val="EndNoteBibliography"/>
        <w:spacing w:after="0"/>
        <w:rPr>
          <w:rFonts w:asciiTheme="minorHAnsi" w:hAnsiTheme="minorHAnsi" w:cstheme="minorHAnsi"/>
        </w:rPr>
      </w:pPr>
      <w:bookmarkStart w:id="690" w:name="_ENREF_43"/>
      <w:r w:rsidRPr="007D1918">
        <w:rPr>
          <w:rFonts w:asciiTheme="minorHAnsi" w:hAnsiTheme="minorHAnsi" w:cstheme="minorHAnsi"/>
        </w:rPr>
        <w:t xml:space="preserve">Guptill, JT, Sharma, BK, Marano, A, Soucy, A, Krueger, A &amp; Sanders, DB 2012, 'Estimated cost of treating myasthenia gravis in an insured U.S. population', </w:t>
      </w:r>
      <w:r w:rsidRPr="007D1918">
        <w:rPr>
          <w:rFonts w:asciiTheme="minorHAnsi" w:hAnsiTheme="minorHAnsi" w:cstheme="minorHAnsi"/>
          <w:i/>
        </w:rPr>
        <w:t>Muscle Nerve</w:t>
      </w:r>
      <w:r w:rsidRPr="007D1918">
        <w:rPr>
          <w:rFonts w:asciiTheme="minorHAnsi" w:hAnsiTheme="minorHAnsi" w:cstheme="minorHAnsi"/>
        </w:rPr>
        <w:t>, vol. 45, no. 3, Mar, pp. 363-366.</w:t>
      </w:r>
    </w:p>
    <w:bookmarkEnd w:id="690"/>
    <w:p w14:paraId="1293EF2D" w14:textId="77777777" w:rsidR="007D4948" w:rsidRPr="007D1918" w:rsidRDefault="007D4948" w:rsidP="003653DA">
      <w:pPr>
        <w:pStyle w:val="EndNoteBibliography"/>
        <w:spacing w:after="0"/>
        <w:rPr>
          <w:rFonts w:asciiTheme="minorHAnsi" w:hAnsiTheme="minorHAnsi" w:cstheme="minorHAnsi"/>
        </w:rPr>
      </w:pPr>
    </w:p>
    <w:p w14:paraId="71C76DE4" w14:textId="77777777" w:rsidR="007D4948" w:rsidRPr="007D1918" w:rsidRDefault="007D4948" w:rsidP="003653DA">
      <w:pPr>
        <w:pStyle w:val="EndNoteBibliography"/>
        <w:spacing w:after="0"/>
        <w:rPr>
          <w:rFonts w:asciiTheme="minorHAnsi" w:hAnsiTheme="minorHAnsi" w:cstheme="minorHAnsi"/>
        </w:rPr>
      </w:pPr>
      <w:bookmarkStart w:id="691" w:name="_ENREF_44"/>
      <w:r w:rsidRPr="007D1918">
        <w:rPr>
          <w:rFonts w:asciiTheme="minorHAnsi" w:hAnsiTheme="minorHAnsi" w:cstheme="minorHAnsi"/>
        </w:rPr>
        <w:t xml:space="preserve">Halton, KA, Cook, DA, Whitby, M, Paterson, DL &amp; Graves, N 2009, 'Cost effectiveness of antimicrobial catheters in the intensive care unit: addressing uncertainty in the decision', </w:t>
      </w:r>
      <w:r w:rsidRPr="007D1918">
        <w:rPr>
          <w:rFonts w:asciiTheme="minorHAnsi" w:hAnsiTheme="minorHAnsi" w:cstheme="minorHAnsi"/>
          <w:i/>
        </w:rPr>
        <w:t>Crit Care</w:t>
      </w:r>
      <w:r w:rsidRPr="007D1918">
        <w:rPr>
          <w:rFonts w:asciiTheme="minorHAnsi" w:hAnsiTheme="minorHAnsi" w:cstheme="minorHAnsi"/>
        </w:rPr>
        <w:t>, vol. 13, no. 2, p. R35.</w:t>
      </w:r>
    </w:p>
    <w:bookmarkEnd w:id="691"/>
    <w:p w14:paraId="5F443CCA" w14:textId="77777777" w:rsidR="007D4948" w:rsidRPr="007D1918" w:rsidRDefault="007D4948" w:rsidP="003653DA">
      <w:pPr>
        <w:pStyle w:val="EndNoteBibliography"/>
        <w:spacing w:after="0"/>
        <w:rPr>
          <w:rFonts w:asciiTheme="minorHAnsi" w:hAnsiTheme="minorHAnsi" w:cstheme="minorHAnsi"/>
        </w:rPr>
      </w:pPr>
    </w:p>
    <w:p w14:paraId="0003F5A1" w14:textId="77777777" w:rsidR="007D4948" w:rsidRPr="007D1918" w:rsidRDefault="007D4948" w:rsidP="003653DA">
      <w:pPr>
        <w:pStyle w:val="EndNoteBibliography"/>
        <w:spacing w:after="0"/>
        <w:rPr>
          <w:rFonts w:asciiTheme="minorHAnsi" w:hAnsiTheme="minorHAnsi" w:cstheme="minorHAnsi"/>
        </w:rPr>
      </w:pPr>
      <w:bookmarkStart w:id="692" w:name="_ENREF_45"/>
      <w:r w:rsidRPr="007D1918">
        <w:rPr>
          <w:rFonts w:asciiTheme="minorHAnsi" w:hAnsiTheme="minorHAnsi" w:cstheme="minorHAnsi"/>
        </w:rPr>
        <w:t xml:space="preserve">Heatwole, C, Johnson, N, Holloway, R &amp; Noyes, K 2011, 'Plasma exchange versus intravenous immunoglobulin for myasthenia gravis crisis: an acute hospital cost comparison study', </w:t>
      </w:r>
      <w:r w:rsidRPr="007D1918">
        <w:rPr>
          <w:rFonts w:asciiTheme="minorHAnsi" w:hAnsiTheme="minorHAnsi" w:cstheme="minorHAnsi"/>
          <w:i/>
        </w:rPr>
        <w:t>J Clin Neuromuscul Dis</w:t>
      </w:r>
      <w:r w:rsidRPr="007D1918">
        <w:rPr>
          <w:rFonts w:asciiTheme="minorHAnsi" w:hAnsiTheme="minorHAnsi" w:cstheme="minorHAnsi"/>
        </w:rPr>
        <w:t>, vol. 13, no. 2, Dec, pp. 85-94.</w:t>
      </w:r>
    </w:p>
    <w:bookmarkEnd w:id="692"/>
    <w:p w14:paraId="2759EAFE" w14:textId="77777777" w:rsidR="007D4948" w:rsidRPr="007D1918" w:rsidRDefault="007D4948" w:rsidP="003653DA">
      <w:pPr>
        <w:pStyle w:val="EndNoteBibliography"/>
        <w:spacing w:after="0"/>
        <w:rPr>
          <w:rFonts w:asciiTheme="minorHAnsi" w:hAnsiTheme="minorHAnsi" w:cstheme="minorHAnsi"/>
        </w:rPr>
      </w:pPr>
    </w:p>
    <w:p w14:paraId="22F07409" w14:textId="77777777" w:rsidR="007D4948" w:rsidRPr="007D1918" w:rsidRDefault="007D4948" w:rsidP="003653DA">
      <w:pPr>
        <w:pStyle w:val="EndNoteBibliography"/>
        <w:spacing w:after="0"/>
        <w:rPr>
          <w:rFonts w:asciiTheme="minorHAnsi" w:hAnsiTheme="minorHAnsi" w:cstheme="minorHAnsi"/>
        </w:rPr>
      </w:pPr>
      <w:bookmarkStart w:id="693" w:name="_ENREF_46"/>
      <w:r w:rsidRPr="007D1918">
        <w:rPr>
          <w:rFonts w:asciiTheme="minorHAnsi" w:hAnsiTheme="minorHAnsi" w:cstheme="minorHAnsi"/>
        </w:rPr>
        <w:t xml:space="preserve">Heckmann, JM, Rawoot, A, Bateman, K, Renison, R &amp; Badri, M 2011, 'A single-blinded trial of methotrexate versus azathioprine as steroid-sparing agents in generalized myasthenia gravis', </w:t>
      </w:r>
      <w:r w:rsidRPr="007D1918">
        <w:rPr>
          <w:rFonts w:asciiTheme="minorHAnsi" w:hAnsiTheme="minorHAnsi" w:cstheme="minorHAnsi"/>
          <w:i/>
        </w:rPr>
        <w:t>BMC Neurology</w:t>
      </w:r>
      <w:r w:rsidRPr="007D1918">
        <w:rPr>
          <w:rFonts w:asciiTheme="minorHAnsi" w:hAnsiTheme="minorHAnsi" w:cstheme="minorHAnsi"/>
        </w:rPr>
        <w:t>, vol. 11, no. 1, 2011/08/05, p. 97.</w:t>
      </w:r>
    </w:p>
    <w:bookmarkEnd w:id="693"/>
    <w:p w14:paraId="05EDDBE4" w14:textId="77777777" w:rsidR="007D4948" w:rsidRPr="007D1918" w:rsidRDefault="007D4948" w:rsidP="003653DA">
      <w:pPr>
        <w:pStyle w:val="EndNoteBibliography"/>
        <w:spacing w:after="0"/>
        <w:rPr>
          <w:rFonts w:asciiTheme="minorHAnsi" w:hAnsiTheme="minorHAnsi" w:cstheme="minorHAnsi"/>
        </w:rPr>
      </w:pPr>
    </w:p>
    <w:p w14:paraId="68C76E2C" w14:textId="77777777" w:rsidR="007D4948" w:rsidRPr="007D1918" w:rsidRDefault="007D4948" w:rsidP="003653DA">
      <w:pPr>
        <w:pStyle w:val="EndNoteBibliography"/>
        <w:spacing w:after="0"/>
        <w:rPr>
          <w:rFonts w:asciiTheme="minorHAnsi" w:hAnsiTheme="minorHAnsi" w:cstheme="minorHAnsi"/>
        </w:rPr>
      </w:pPr>
      <w:bookmarkStart w:id="694" w:name="_ENREF_47"/>
      <w:r w:rsidRPr="007D1918">
        <w:rPr>
          <w:rFonts w:asciiTheme="minorHAnsi" w:hAnsiTheme="minorHAnsi" w:cstheme="minorHAnsi"/>
        </w:rPr>
        <w:t xml:space="preserve">Hehir, MK, Burns, TM, Alpers, J, Conaway, MR, Sawa, M &amp; Sanders, DB 2010, 'Mycophenolate mofetil in AChR-antibody-positive myasthenia gravis: Outcomes in 102 patients', </w:t>
      </w:r>
      <w:r w:rsidRPr="007D1918">
        <w:rPr>
          <w:rFonts w:asciiTheme="minorHAnsi" w:hAnsiTheme="minorHAnsi" w:cstheme="minorHAnsi"/>
          <w:i/>
        </w:rPr>
        <w:t>Muscle &amp; Nerve</w:t>
      </w:r>
      <w:r w:rsidRPr="007D1918">
        <w:rPr>
          <w:rFonts w:asciiTheme="minorHAnsi" w:hAnsiTheme="minorHAnsi" w:cstheme="minorHAnsi"/>
        </w:rPr>
        <w:t>, vol. 41, no. 5, pp. 593-598.</w:t>
      </w:r>
    </w:p>
    <w:bookmarkEnd w:id="694"/>
    <w:p w14:paraId="67CDAFD0" w14:textId="77777777" w:rsidR="007D4948" w:rsidRPr="007D1918" w:rsidRDefault="007D4948" w:rsidP="003653DA">
      <w:pPr>
        <w:pStyle w:val="EndNoteBibliography"/>
        <w:spacing w:after="0"/>
        <w:rPr>
          <w:rFonts w:asciiTheme="minorHAnsi" w:hAnsiTheme="minorHAnsi" w:cstheme="minorHAnsi"/>
        </w:rPr>
      </w:pPr>
    </w:p>
    <w:p w14:paraId="0133D6CE" w14:textId="77777777" w:rsidR="007D4948" w:rsidRPr="007D1918" w:rsidRDefault="007D4948" w:rsidP="003653DA">
      <w:pPr>
        <w:pStyle w:val="EndNoteBibliography"/>
        <w:spacing w:after="0"/>
        <w:rPr>
          <w:rFonts w:asciiTheme="minorHAnsi" w:hAnsiTheme="minorHAnsi" w:cstheme="minorHAnsi"/>
        </w:rPr>
      </w:pPr>
      <w:bookmarkStart w:id="695" w:name="_ENREF_48"/>
      <w:r w:rsidRPr="007D1918">
        <w:rPr>
          <w:rFonts w:asciiTheme="minorHAnsi" w:hAnsiTheme="minorHAnsi" w:cstheme="minorHAnsi"/>
        </w:rPr>
        <w:t xml:space="preserve">Heisen, M, Treur, MJ, Heemstra, HE, Giesen, EBW &amp; Postma, MJ 2017, 'Cost-effectiveness analysis of rivaroxaban for treatment and secondary prevention of venous thromboembolism in the Netherlands', </w:t>
      </w:r>
      <w:r w:rsidRPr="007D1918">
        <w:rPr>
          <w:rFonts w:asciiTheme="minorHAnsi" w:hAnsiTheme="minorHAnsi" w:cstheme="minorHAnsi"/>
          <w:i/>
        </w:rPr>
        <w:t>J Med Econ</w:t>
      </w:r>
      <w:r w:rsidRPr="007D1918">
        <w:rPr>
          <w:rFonts w:asciiTheme="minorHAnsi" w:hAnsiTheme="minorHAnsi" w:cstheme="minorHAnsi"/>
        </w:rPr>
        <w:t>, vol. 20, no. 8, Aug, pp. 813-824.</w:t>
      </w:r>
    </w:p>
    <w:bookmarkEnd w:id="695"/>
    <w:p w14:paraId="51586999" w14:textId="77777777" w:rsidR="007D4948" w:rsidRPr="007D1918" w:rsidRDefault="007D4948" w:rsidP="003653DA">
      <w:pPr>
        <w:pStyle w:val="EndNoteBibliography"/>
        <w:spacing w:after="0"/>
        <w:rPr>
          <w:rFonts w:asciiTheme="minorHAnsi" w:hAnsiTheme="minorHAnsi" w:cstheme="minorHAnsi"/>
        </w:rPr>
      </w:pPr>
    </w:p>
    <w:p w14:paraId="2638AE4A" w14:textId="77777777" w:rsidR="007D4948" w:rsidRPr="007D1918" w:rsidRDefault="007D4948" w:rsidP="003653DA">
      <w:pPr>
        <w:pStyle w:val="EndNoteBibliography"/>
        <w:spacing w:after="0"/>
        <w:rPr>
          <w:rFonts w:asciiTheme="minorHAnsi" w:hAnsiTheme="minorHAnsi" w:cstheme="minorHAnsi"/>
        </w:rPr>
      </w:pPr>
      <w:bookmarkStart w:id="696" w:name="_ENREF_49"/>
      <w:r w:rsidRPr="007D1918">
        <w:rPr>
          <w:rFonts w:asciiTheme="minorHAnsi" w:hAnsiTheme="minorHAnsi" w:cstheme="minorHAnsi"/>
        </w:rPr>
        <w:t xml:space="preserve">Hellmann, MA, Mosberg-Galili, R, Lotan, I &amp; Steiner, I 2014, 'Maintenance IVIg therapy in myasthenia gravis does not affect disease activity', </w:t>
      </w:r>
      <w:r w:rsidRPr="007D1918">
        <w:rPr>
          <w:rFonts w:asciiTheme="minorHAnsi" w:hAnsiTheme="minorHAnsi" w:cstheme="minorHAnsi"/>
          <w:i/>
        </w:rPr>
        <w:t>Journal of the Neurological Sciences</w:t>
      </w:r>
      <w:r w:rsidRPr="007D1918">
        <w:rPr>
          <w:rFonts w:asciiTheme="minorHAnsi" w:hAnsiTheme="minorHAnsi" w:cstheme="minorHAnsi"/>
        </w:rPr>
        <w:t>, vol. 338, no. 1-2, pp. 39-42.</w:t>
      </w:r>
    </w:p>
    <w:bookmarkEnd w:id="696"/>
    <w:p w14:paraId="29218A8B" w14:textId="77777777" w:rsidR="007D4948" w:rsidRPr="007D1918" w:rsidRDefault="007D4948" w:rsidP="003653DA">
      <w:pPr>
        <w:pStyle w:val="EndNoteBibliography"/>
        <w:spacing w:after="0"/>
        <w:rPr>
          <w:rFonts w:asciiTheme="minorHAnsi" w:hAnsiTheme="minorHAnsi" w:cstheme="minorHAnsi"/>
        </w:rPr>
      </w:pPr>
    </w:p>
    <w:p w14:paraId="01584D0B" w14:textId="77777777" w:rsidR="007D4948" w:rsidRPr="007D1918" w:rsidRDefault="007D4948" w:rsidP="003653DA">
      <w:pPr>
        <w:pStyle w:val="EndNoteBibliography"/>
        <w:spacing w:after="0"/>
        <w:rPr>
          <w:rFonts w:asciiTheme="minorHAnsi" w:hAnsiTheme="minorHAnsi" w:cstheme="minorHAnsi"/>
        </w:rPr>
      </w:pPr>
      <w:bookmarkStart w:id="697" w:name="_ENREF_50"/>
      <w:r w:rsidRPr="007D1918">
        <w:rPr>
          <w:rFonts w:asciiTheme="minorHAnsi" w:hAnsiTheme="minorHAnsi" w:cstheme="minorHAnsi"/>
        </w:rPr>
        <w:t xml:space="preserve">Hogg, K, Kimpton, M, Carrier, M, Coyle, D, Forgie, M &amp; Wells, P 2013, 'Estimating quality of life in acute venous thrombosis', </w:t>
      </w:r>
      <w:r w:rsidRPr="007D1918">
        <w:rPr>
          <w:rFonts w:asciiTheme="minorHAnsi" w:hAnsiTheme="minorHAnsi" w:cstheme="minorHAnsi"/>
          <w:i/>
        </w:rPr>
        <w:t>JAMA Intern Med</w:t>
      </w:r>
      <w:r w:rsidRPr="007D1918">
        <w:rPr>
          <w:rFonts w:asciiTheme="minorHAnsi" w:hAnsiTheme="minorHAnsi" w:cstheme="minorHAnsi"/>
        </w:rPr>
        <w:t>, vol. 173, no. 12, Jun 24, pp. 1067-1072.</w:t>
      </w:r>
    </w:p>
    <w:bookmarkEnd w:id="697"/>
    <w:p w14:paraId="4217C4DF" w14:textId="77777777" w:rsidR="007D4948" w:rsidRPr="007D1918" w:rsidRDefault="007D4948" w:rsidP="003653DA">
      <w:pPr>
        <w:pStyle w:val="EndNoteBibliography"/>
        <w:spacing w:after="0"/>
        <w:rPr>
          <w:rFonts w:asciiTheme="minorHAnsi" w:hAnsiTheme="minorHAnsi" w:cstheme="minorHAnsi"/>
        </w:rPr>
      </w:pPr>
    </w:p>
    <w:p w14:paraId="073010CC" w14:textId="355F7E62" w:rsidR="007D4948" w:rsidRPr="007D1918" w:rsidRDefault="007D4948" w:rsidP="003653DA">
      <w:pPr>
        <w:pStyle w:val="EndNoteBibliography"/>
        <w:spacing w:after="0"/>
        <w:rPr>
          <w:rFonts w:asciiTheme="minorHAnsi" w:hAnsiTheme="minorHAnsi" w:cstheme="minorHAnsi"/>
        </w:rPr>
      </w:pPr>
      <w:bookmarkStart w:id="698" w:name="_ENREF_51"/>
      <w:r w:rsidRPr="007D1918">
        <w:rPr>
          <w:rFonts w:asciiTheme="minorHAnsi" w:hAnsiTheme="minorHAnsi" w:cstheme="minorHAnsi"/>
        </w:rPr>
        <w:lastRenderedPageBreak/>
        <w:t xml:space="preserve">IHE 2016, </w:t>
      </w:r>
      <w:r w:rsidRPr="007D1918">
        <w:rPr>
          <w:rFonts w:asciiTheme="minorHAnsi" w:hAnsiTheme="minorHAnsi" w:cstheme="minorHAnsi"/>
          <w:i/>
        </w:rPr>
        <w:t>Institute of Health Economics: Quality Appraisal of Case Series Studies Checklist</w:t>
      </w:r>
      <w:r w:rsidRPr="007D1918">
        <w:rPr>
          <w:rFonts w:asciiTheme="minorHAnsi" w:hAnsiTheme="minorHAnsi" w:cstheme="minorHAnsi"/>
        </w:rPr>
        <w:t>, Edmonton (AB), &lt;</w:t>
      </w:r>
      <w:hyperlink r:id="rId88" w:tooltip="Website link" w:history="1">
        <w:r w:rsidRPr="007D1918">
          <w:rPr>
            <w:rStyle w:val="Hyperlink"/>
            <w:rFonts w:asciiTheme="minorHAnsi" w:hAnsiTheme="minorHAnsi" w:cstheme="minorHAnsi"/>
          </w:rPr>
          <w:t>http://www.ihe.ca/research-programs/rmd/cssqac/cssqac-about</w:t>
        </w:r>
      </w:hyperlink>
      <w:r w:rsidRPr="007D1918">
        <w:rPr>
          <w:rFonts w:asciiTheme="minorHAnsi" w:hAnsiTheme="minorHAnsi" w:cstheme="minorHAnsi"/>
        </w:rPr>
        <w:t>&gt;.</w:t>
      </w:r>
    </w:p>
    <w:bookmarkEnd w:id="698"/>
    <w:p w14:paraId="78CDD455" w14:textId="77777777" w:rsidR="007D4948" w:rsidRPr="007D1918" w:rsidRDefault="007D4948" w:rsidP="003653DA">
      <w:pPr>
        <w:pStyle w:val="EndNoteBibliography"/>
        <w:spacing w:after="0"/>
        <w:rPr>
          <w:rFonts w:asciiTheme="minorHAnsi" w:hAnsiTheme="minorHAnsi" w:cstheme="minorHAnsi"/>
        </w:rPr>
      </w:pPr>
    </w:p>
    <w:p w14:paraId="114AAEE1" w14:textId="77777777" w:rsidR="007D4948" w:rsidRPr="007D1918" w:rsidRDefault="007D4948" w:rsidP="003653DA">
      <w:pPr>
        <w:pStyle w:val="EndNoteBibliography"/>
        <w:spacing w:after="0"/>
        <w:rPr>
          <w:rFonts w:asciiTheme="minorHAnsi" w:hAnsiTheme="minorHAnsi" w:cstheme="minorHAnsi"/>
        </w:rPr>
      </w:pPr>
      <w:bookmarkStart w:id="699" w:name="_ENREF_52"/>
      <w:r w:rsidRPr="007D1918">
        <w:rPr>
          <w:rFonts w:asciiTheme="minorHAnsi" w:hAnsiTheme="minorHAnsi" w:cstheme="minorHAnsi"/>
        </w:rPr>
        <w:t xml:space="preserve">Iorio, R, Damato, V, Alboini, PE &amp; Evoli, A 2015, 'Efficacy and safety of rituximab for myasthenia gravis: a systematic review and meta-analysis', </w:t>
      </w:r>
      <w:r w:rsidRPr="007D1918">
        <w:rPr>
          <w:rFonts w:asciiTheme="minorHAnsi" w:hAnsiTheme="minorHAnsi" w:cstheme="minorHAnsi"/>
          <w:i/>
        </w:rPr>
        <w:t>Journal of Neurology</w:t>
      </w:r>
      <w:r w:rsidRPr="007D1918">
        <w:rPr>
          <w:rFonts w:asciiTheme="minorHAnsi" w:hAnsiTheme="minorHAnsi" w:cstheme="minorHAnsi"/>
        </w:rPr>
        <w:t>, vol. 262, no. 5, pp. 1115-1119.</w:t>
      </w:r>
    </w:p>
    <w:bookmarkEnd w:id="699"/>
    <w:p w14:paraId="694271C0" w14:textId="77777777" w:rsidR="007D4948" w:rsidRPr="007D1918" w:rsidRDefault="007D4948" w:rsidP="003653DA">
      <w:pPr>
        <w:pStyle w:val="EndNoteBibliography"/>
        <w:spacing w:after="0"/>
        <w:rPr>
          <w:rFonts w:asciiTheme="minorHAnsi" w:hAnsiTheme="minorHAnsi" w:cstheme="minorHAnsi"/>
        </w:rPr>
      </w:pPr>
    </w:p>
    <w:p w14:paraId="05E3DE23" w14:textId="77777777" w:rsidR="007D4948" w:rsidRPr="007D1918" w:rsidRDefault="007D4948" w:rsidP="003653DA">
      <w:pPr>
        <w:pStyle w:val="EndNoteBibliography"/>
        <w:spacing w:after="0"/>
        <w:rPr>
          <w:rFonts w:asciiTheme="minorHAnsi" w:hAnsiTheme="minorHAnsi" w:cstheme="minorHAnsi"/>
        </w:rPr>
      </w:pPr>
      <w:bookmarkStart w:id="700" w:name="_ENREF_53"/>
      <w:r w:rsidRPr="007D1918">
        <w:rPr>
          <w:rFonts w:asciiTheme="minorHAnsi" w:hAnsiTheme="minorHAnsi" w:cstheme="minorHAnsi"/>
        </w:rPr>
        <w:t xml:space="preserve">Ipe, TS &amp; Marques, MB 2018, 'Vascular access for therapeutic plasma exchange', </w:t>
      </w:r>
      <w:r w:rsidRPr="007D1918">
        <w:rPr>
          <w:rFonts w:asciiTheme="minorHAnsi" w:hAnsiTheme="minorHAnsi" w:cstheme="minorHAnsi"/>
          <w:i/>
        </w:rPr>
        <w:t>Transfusion</w:t>
      </w:r>
      <w:r w:rsidRPr="007D1918">
        <w:rPr>
          <w:rFonts w:asciiTheme="minorHAnsi" w:hAnsiTheme="minorHAnsi" w:cstheme="minorHAnsi"/>
        </w:rPr>
        <w:t>, vol. 58 Suppl 1, Feb, pp. 580-589.</w:t>
      </w:r>
    </w:p>
    <w:bookmarkEnd w:id="700"/>
    <w:p w14:paraId="16FB457C" w14:textId="77777777" w:rsidR="007D4948" w:rsidRPr="007D1918" w:rsidRDefault="007D4948" w:rsidP="003653DA">
      <w:pPr>
        <w:pStyle w:val="EndNoteBibliography"/>
        <w:spacing w:after="0"/>
        <w:rPr>
          <w:rFonts w:asciiTheme="minorHAnsi" w:hAnsiTheme="minorHAnsi" w:cstheme="minorHAnsi"/>
        </w:rPr>
      </w:pPr>
    </w:p>
    <w:p w14:paraId="4A8F3143" w14:textId="77777777" w:rsidR="007D4948" w:rsidRPr="007D1918" w:rsidRDefault="007D4948" w:rsidP="003653DA">
      <w:pPr>
        <w:pStyle w:val="EndNoteBibliography"/>
        <w:spacing w:after="0"/>
        <w:rPr>
          <w:rFonts w:asciiTheme="minorHAnsi" w:hAnsiTheme="minorHAnsi" w:cstheme="minorHAnsi"/>
        </w:rPr>
      </w:pPr>
      <w:bookmarkStart w:id="701" w:name="_ENREF_54"/>
      <w:r w:rsidRPr="007D1918">
        <w:rPr>
          <w:rFonts w:asciiTheme="minorHAnsi" w:hAnsiTheme="minorHAnsi" w:cstheme="minorHAnsi"/>
        </w:rPr>
        <w:t xml:space="preserve">Jaff, MR, McMurtry, MS, Archer, SL, Cushman, M, Goldenberg, N, Goldhaber, SZ, Jenkins, JS, Kline, JA, Michaels, AD, Thistlethwaite, P, Vedantham, S, White, RJ &amp; Zierler, BK 2011, 'Management of massive and submassive pulmonary embolism, iliofemoral deep vein thrombosis, and chronic thromboembolic pulmonary hypertension: a scientific statement from the American Heart Association', </w:t>
      </w:r>
      <w:r w:rsidRPr="007D1918">
        <w:rPr>
          <w:rFonts w:asciiTheme="minorHAnsi" w:hAnsiTheme="minorHAnsi" w:cstheme="minorHAnsi"/>
          <w:i/>
        </w:rPr>
        <w:t>Circulation</w:t>
      </w:r>
      <w:r w:rsidRPr="007D1918">
        <w:rPr>
          <w:rFonts w:asciiTheme="minorHAnsi" w:hAnsiTheme="minorHAnsi" w:cstheme="minorHAnsi"/>
        </w:rPr>
        <w:t>, vol. 123, no. 16, Apr 26, pp. 1788-1830.</w:t>
      </w:r>
    </w:p>
    <w:bookmarkEnd w:id="701"/>
    <w:p w14:paraId="2A80703F" w14:textId="77777777" w:rsidR="007D4948" w:rsidRPr="007D1918" w:rsidRDefault="007D4948" w:rsidP="003653DA">
      <w:pPr>
        <w:pStyle w:val="EndNoteBibliography"/>
        <w:spacing w:after="0"/>
        <w:rPr>
          <w:rFonts w:asciiTheme="minorHAnsi" w:hAnsiTheme="minorHAnsi" w:cstheme="minorHAnsi"/>
        </w:rPr>
      </w:pPr>
    </w:p>
    <w:p w14:paraId="0EA8CDA6" w14:textId="77777777" w:rsidR="007D4948" w:rsidRPr="007D1918" w:rsidRDefault="007D4948" w:rsidP="003653DA">
      <w:pPr>
        <w:pStyle w:val="EndNoteBibliography"/>
        <w:spacing w:after="0"/>
        <w:rPr>
          <w:rFonts w:asciiTheme="minorHAnsi" w:hAnsiTheme="minorHAnsi" w:cstheme="minorHAnsi"/>
        </w:rPr>
      </w:pPr>
      <w:bookmarkStart w:id="702" w:name="_ENREF_55"/>
      <w:r w:rsidRPr="007D1918">
        <w:rPr>
          <w:rFonts w:asciiTheme="minorHAnsi" w:hAnsiTheme="minorHAnsi" w:cstheme="minorHAnsi"/>
        </w:rPr>
        <w:t xml:space="preserve">Jaretzki, A, Barohn, RJ, Ernstoff, RM, Kaminski, HJ, Keesey, JC, Penn, AS &amp; Sanders, DB 2000, 'Myasthenia gravis: Recommendations for clinical research standards: Task Force of the Medical Scientific Advisory Board of the Myasthenia Gravis Foundation of America', </w:t>
      </w:r>
      <w:r w:rsidRPr="007D1918">
        <w:rPr>
          <w:rFonts w:asciiTheme="minorHAnsi" w:hAnsiTheme="minorHAnsi" w:cstheme="minorHAnsi"/>
          <w:i/>
        </w:rPr>
        <w:t>Neurology</w:t>
      </w:r>
      <w:r w:rsidRPr="007D1918">
        <w:rPr>
          <w:rFonts w:asciiTheme="minorHAnsi" w:hAnsiTheme="minorHAnsi" w:cstheme="minorHAnsi"/>
        </w:rPr>
        <w:t>, vol. 55, no. 1, pp. 16-23.</w:t>
      </w:r>
    </w:p>
    <w:bookmarkEnd w:id="702"/>
    <w:p w14:paraId="217C5B35" w14:textId="77777777" w:rsidR="007D4948" w:rsidRPr="007D1918" w:rsidRDefault="007D4948" w:rsidP="003653DA">
      <w:pPr>
        <w:pStyle w:val="EndNoteBibliography"/>
        <w:spacing w:after="0"/>
        <w:rPr>
          <w:rFonts w:asciiTheme="minorHAnsi" w:hAnsiTheme="minorHAnsi" w:cstheme="minorHAnsi"/>
        </w:rPr>
      </w:pPr>
    </w:p>
    <w:p w14:paraId="0522ACF3" w14:textId="77777777" w:rsidR="007D4948" w:rsidRPr="007D1918" w:rsidRDefault="007D4948" w:rsidP="003653DA">
      <w:pPr>
        <w:pStyle w:val="EndNoteBibliography"/>
        <w:spacing w:after="0"/>
        <w:rPr>
          <w:rFonts w:asciiTheme="minorHAnsi" w:hAnsiTheme="minorHAnsi" w:cstheme="minorHAnsi"/>
        </w:rPr>
      </w:pPr>
      <w:bookmarkStart w:id="703" w:name="_ENREF_56"/>
      <w:r w:rsidRPr="007D1918">
        <w:rPr>
          <w:rFonts w:asciiTheme="minorHAnsi" w:hAnsiTheme="minorHAnsi" w:cstheme="minorHAnsi"/>
        </w:rPr>
        <w:t xml:space="preserve">Jensen, P &amp; Bril, V 2008, 'A comparison of the effectiveness of intravenous immunoglobulin and plasma exchange as preoperative therapy of myasthenia gravis', </w:t>
      </w:r>
      <w:r w:rsidRPr="007D1918">
        <w:rPr>
          <w:rFonts w:asciiTheme="minorHAnsi" w:hAnsiTheme="minorHAnsi" w:cstheme="minorHAnsi"/>
          <w:i/>
        </w:rPr>
        <w:t>Journal of Clinical Neuromuscular Disease</w:t>
      </w:r>
      <w:r w:rsidRPr="007D1918">
        <w:rPr>
          <w:rFonts w:asciiTheme="minorHAnsi" w:hAnsiTheme="minorHAnsi" w:cstheme="minorHAnsi"/>
        </w:rPr>
        <w:t>, vol. 9, no. 3, pp. 352-355.</w:t>
      </w:r>
    </w:p>
    <w:bookmarkEnd w:id="703"/>
    <w:p w14:paraId="3A03241E" w14:textId="77777777" w:rsidR="007D4948" w:rsidRPr="007D1918" w:rsidRDefault="007D4948" w:rsidP="003653DA">
      <w:pPr>
        <w:pStyle w:val="EndNoteBibliography"/>
        <w:spacing w:after="0"/>
        <w:rPr>
          <w:rFonts w:asciiTheme="minorHAnsi" w:hAnsiTheme="minorHAnsi" w:cstheme="minorHAnsi"/>
        </w:rPr>
      </w:pPr>
    </w:p>
    <w:p w14:paraId="6E3EC0D1" w14:textId="77777777" w:rsidR="007D4948" w:rsidRPr="007D1918" w:rsidRDefault="007D4948" w:rsidP="003653DA">
      <w:pPr>
        <w:pStyle w:val="EndNoteBibliography"/>
        <w:spacing w:after="0"/>
        <w:rPr>
          <w:rFonts w:asciiTheme="minorHAnsi" w:hAnsiTheme="minorHAnsi" w:cstheme="minorHAnsi"/>
        </w:rPr>
      </w:pPr>
      <w:bookmarkStart w:id="704" w:name="_ENREF_57"/>
      <w:r w:rsidRPr="007D1918">
        <w:rPr>
          <w:rFonts w:asciiTheme="minorHAnsi" w:hAnsiTheme="minorHAnsi" w:cstheme="minorHAnsi"/>
        </w:rPr>
        <w:t xml:space="preserve">Kaukonen, KM, Bailey, M, Suzuki, S, Pilcher, D &amp; Bellomo, R 2014, 'Mortality related to severe sepsis and septic shock among critically ill patients in Australia and New Zealand, 2000-2012', </w:t>
      </w:r>
      <w:r w:rsidRPr="007D1918">
        <w:rPr>
          <w:rFonts w:asciiTheme="minorHAnsi" w:hAnsiTheme="minorHAnsi" w:cstheme="minorHAnsi"/>
          <w:i/>
        </w:rPr>
        <w:t>JAMA</w:t>
      </w:r>
      <w:r w:rsidRPr="007D1918">
        <w:rPr>
          <w:rFonts w:asciiTheme="minorHAnsi" w:hAnsiTheme="minorHAnsi" w:cstheme="minorHAnsi"/>
        </w:rPr>
        <w:t>, vol. 311, no. 13, Apr 2, pp. 1308-1316.</w:t>
      </w:r>
    </w:p>
    <w:bookmarkEnd w:id="704"/>
    <w:p w14:paraId="2F204766" w14:textId="77777777" w:rsidR="007D4948" w:rsidRPr="007D1918" w:rsidRDefault="007D4948" w:rsidP="003653DA">
      <w:pPr>
        <w:pStyle w:val="EndNoteBibliography"/>
        <w:spacing w:after="0"/>
        <w:rPr>
          <w:rFonts w:asciiTheme="minorHAnsi" w:hAnsiTheme="minorHAnsi" w:cstheme="minorHAnsi"/>
        </w:rPr>
      </w:pPr>
    </w:p>
    <w:p w14:paraId="01114775" w14:textId="77777777" w:rsidR="007D4948" w:rsidRPr="007D1918" w:rsidRDefault="007D4948" w:rsidP="003653DA">
      <w:pPr>
        <w:pStyle w:val="EndNoteBibliography"/>
        <w:spacing w:after="0"/>
        <w:rPr>
          <w:rFonts w:asciiTheme="minorHAnsi" w:hAnsiTheme="minorHAnsi" w:cstheme="minorHAnsi"/>
        </w:rPr>
      </w:pPr>
      <w:bookmarkStart w:id="705" w:name="_ENREF_58"/>
      <w:r w:rsidRPr="007D1918">
        <w:rPr>
          <w:rFonts w:asciiTheme="minorHAnsi" w:hAnsiTheme="minorHAnsi" w:cstheme="minorHAnsi"/>
        </w:rPr>
        <w:t xml:space="preserve">Kip, MMA, van Oers, JA, Shajiei, A, Beishuizen, A, Berghuis, AMS, Girbes, AR, de Jong, E, de Lange, DW, Nijsten, MWN, MJ, IJ, Koffijberg, H &amp; Kusters, R 2018, 'Cost-effectiveness of procalcitonin testing to guide antibiotic treatment duration in critically ill patients: results from a randomised controlled multicentre trial in the Netherlands', </w:t>
      </w:r>
      <w:r w:rsidRPr="007D1918">
        <w:rPr>
          <w:rFonts w:asciiTheme="minorHAnsi" w:hAnsiTheme="minorHAnsi" w:cstheme="minorHAnsi"/>
          <w:i/>
        </w:rPr>
        <w:t>Crit Care</w:t>
      </w:r>
      <w:r w:rsidRPr="007D1918">
        <w:rPr>
          <w:rFonts w:asciiTheme="minorHAnsi" w:hAnsiTheme="minorHAnsi" w:cstheme="minorHAnsi"/>
        </w:rPr>
        <w:t>, vol. 22, no. 1, Nov 13, p. 293.</w:t>
      </w:r>
    </w:p>
    <w:bookmarkEnd w:id="705"/>
    <w:p w14:paraId="0061FA17" w14:textId="77777777" w:rsidR="007D4948" w:rsidRPr="007D1918" w:rsidRDefault="007D4948" w:rsidP="003653DA">
      <w:pPr>
        <w:pStyle w:val="EndNoteBibliography"/>
        <w:spacing w:after="0"/>
        <w:rPr>
          <w:rFonts w:asciiTheme="minorHAnsi" w:hAnsiTheme="minorHAnsi" w:cstheme="minorHAnsi"/>
        </w:rPr>
      </w:pPr>
    </w:p>
    <w:p w14:paraId="276269CA" w14:textId="77777777" w:rsidR="007D4948" w:rsidRPr="007D1918" w:rsidRDefault="007D4948" w:rsidP="003653DA">
      <w:pPr>
        <w:pStyle w:val="EndNoteBibliography"/>
        <w:spacing w:after="0"/>
        <w:rPr>
          <w:rFonts w:asciiTheme="minorHAnsi" w:hAnsiTheme="minorHAnsi" w:cstheme="minorHAnsi"/>
        </w:rPr>
      </w:pPr>
      <w:bookmarkStart w:id="706" w:name="_ENREF_59"/>
      <w:r w:rsidRPr="007D1918">
        <w:rPr>
          <w:rFonts w:asciiTheme="minorHAnsi" w:hAnsiTheme="minorHAnsi" w:cstheme="minorHAnsi"/>
        </w:rPr>
        <w:t xml:space="preserve">Landfeldt, E, Alfredsson, L, Straub, V, Lochmuller, H, Bushby, K &amp; Lindgren, P 2017, 'Economic Evaluation in Duchenne Muscular Dystrophy: Model Frameworks for Cost-Effectiveness Analysis', </w:t>
      </w:r>
      <w:r w:rsidRPr="007D1918">
        <w:rPr>
          <w:rFonts w:asciiTheme="minorHAnsi" w:hAnsiTheme="minorHAnsi" w:cstheme="minorHAnsi"/>
          <w:i/>
        </w:rPr>
        <w:t>Pharmacoeconomics</w:t>
      </w:r>
      <w:r w:rsidRPr="007D1918">
        <w:rPr>
          <w:rFonts w:asciiTheme="minorHAnsi" w:hAnsiTheme="minorHAnsi" w:cstheme="minorHAnsi"/>
        </w:rPr>
        <w:t>, vol. 35, no. 2, Feb, pp. 249-258.</w:t>
      </w:r>
    </w:p>
    <w:bookmarkEnd w:id="706"/>
    <w:p w14:paraId="4A0F1CCB" w14:textId="77777777" w:rsidR="007D4948" w:rsidRPr="007D1918" w:rsidRDefault="007D4948" w:rsidP="003653DA">
      <w:pPr>
        <w:pStyle w:val="EndNoteBibliography"/>
        <w:spacing w:after="0"/>
        <w:rPr>
          <w:rFonts w:asciiTheme="minorHAnsi" w:hAnsiTheme="minorHAnsi" w:cstheme="minorHAnsi"/>
        </w:rPr>
      </w:pPr>
    </w:p>
    <w:p w14:paraId="209F2CD0" w14:textId="77777777" w:rsidR="007D4948" w:rsidRPr="007D1918" w:rsidRDefault="007D4948" w:rsidP="003653DA">
      <w:pPr>
        <w:pStyle w:val="EndNoteBibliography"/>
        <w:spacing w:after="0"/>
        <w:rPr>
          <w:rFonts w:asciiTheme="minorHAnsi" w:hAnsiTheme="minorHAnsi" w:cstheme="minorHAnsi"/>
        </w:rPr>
      </w:pPr>
      <w:bookmarkStart w:id="707" w:name="_ENREF_60"/>
      <w:r w:rsidRPr="007D1918">
        <w:rPr>
          <w:rFonts w:asciiTheme="minorHAnsi" w:hAnsiTheme="minorHAnsi" w:cstheme="minorHAnsi"/>
        </w:rPr>
        <w:t xml:space="preserve">Leuzzi, G, Meacci, E, Cusumano, G, Cesario, A, Chiappetta, M, Dall'armi, V, Evoli, A, Costa, R, Lococo, F, Primieri, P, Margaritora, S &amp; Granone, P 2014, 'Thymectomy in myasthenia gravis: Proposal for a predictive score of postoperative myasthenic crisis', </w:t>
      </w:r>
      <w:r w:rsidRPr="007D1918">
        <w:rPr>
          <w:rFonts w:asciiTheme="minorHAnsi" w:hAnsiTheme="minorHAnsi" w:cstheme="minorHAnsi"/>
          <w:i/>
        </w:rPr>
        <w:t>European Journal of Cardio-thoracic Surgery</w:t>
      </w:r>
      <w:r w:rsidRPr="007D1918">
        <w:rPr>
          <w:rFonts w:asciiTheme="minorHAnsi" w:hAnsiTheme="minorHAnsi" w:cstheme="minorHAnsi"/>
        </w:rPr>
        <w:t>, vol. 45, no. 4, pp. e76-e88.</w:t>
      </w:r>
    </w:p>
    <w:bookmarkEnd w:id="707"/>
    <w:p w14:paraId="72B5F2FB" w14:textId="77777777" w:rsidR="007D4948" w:rsidRPr="007D1918" w:rsidRDefault="007D4948" w:rsidP="003653DA">
      <w:pPr>
        <w:pStyle w:val="EndNoteBibliography"/>
        <w:spacing w:after="0"/>
        <w:rPr>
          <w:rFonts w:asciiTheme="minorHAnsi" w:hAnsiTheme="minorHAnsi" w:cstheme="minorHAnsi"/>
        </w:rPr>
      </w:pPr>
    </w:p>
    <w:p w14:paraId="7684CEDE" w14:textId="77777777" w:rsidR="007D4948" w:rsidRPr="007D1918" w:rsidRDefault="007D4948" w:rsidP="003653DA">
      <w:pPr>
        <w:pStyle w:val="EndNoteBibliography"/>
        <w:spacing w:after="0"/>
        <w:rPr>
          <w:rFonts w:asciiTheme="minorHAnsi" w:hAnsiTheme="minorHAnsi" w:cstheme="minorHAnsi"/>
        </w:rPr>
      </w:pPr>
      <w:bookmarkStart w:id="708" w:name="_ENREF_61"/>
      <w:r w:rsidRPr="007D1918">
        <w:rPr>
          <w:rFonts w:asciiTheme="minorHAnsi" w:hAnsiTheme="minorHAnsi" w:cstheme="minorHAnsi"/>
        </w:rPr>
        <w:t xml:space="preserve">Liberati, A, Altman, DG, Tetzlaff, J, Mulrow, C, Gotzsche, PC, Ioannidis, JP, Clarke, M, Devereaux, PJ, Kleijnen, J &amp; Moher, D 2009, 'The PRISMA statement for reporting systematic reviews and meta-analyses of studies that evaluate health care interventions: explanation and elaboration', </w:t>
      </w:r>
      <w:r w:rsidRPr="007D1918">
        <w:rPr>
          <w:rFonts w:asciiTheme="minorHAnsi" w:hAnsiTheme="minorHAnsi" w:cstheme="minorHAnsi"/>
          <w:i/>
        </w:rPr>
        <w:t>PLoS Med</w:t>
      </w:r>
      <w:r w:rsidRPr="007D1918">
        <w:rPr>
          <w:rFonts w:asciiTheme="minorHAnsi" w:hAnsiTheme="minorHAnsi" w:cstheme="minorHAnsi"/>
        </w:rPr>
        <w:t>, vol. 6, no. 7, Jul 21, p. e1000100.</w:t>
      </w:r>
    </w:p>
    <w:bookmarkEnd w:id="708"/>
    <w:p w14:paraId="21879BF3" w14:textId="77777777" w:rsidR="007D4948" w:rsidRPr="007D1918" w:rsidRDefault="007D4948" w:rsidP="003653DA">
      <w:pPr>
        <w:pStyle w:val="EndNoteBibliography"/>
        <w:spacing w:after="0"/>
        <w:rPr>
          <w:rFonts w:asciiTheme="minorHAnsi" w:hAnsiTheme="minorHAnsi" w:cstheme="minorHAnsi"/>
        </w:rPr>
      </w:pPr>
    </w:p>
    <w:p w14:paraId="2BF07C78" w14:textId="77777777" w:rsidR="007D4948" w:rsidRPr="007D1918" w:rsidRDefault="007D4948" w:rsidP="003653DA">
      <w:pPr>
        <w:pStyle w:val="EndNoteBibliography"/>
        <w:spacing w:after="0"/>
        <w:rPr>
          <w:rFonts w:asciiTheme="minorHAnsi" w:hAnsiTheme="minorHAnsi" w:cstheme="minorHAnsi"/>
        </w:rPr>
      </w:pPr>
      <w:bookmarkStart w:id="709" w:name="_ENREF_62"/>
      <w:r w:rsidRPr="007D1918">
        <w:rPr>
          <w:rFonts w:asciiTheme="minorHAnsi" w:hAnsiTheme="minorHAnsi" w:cstheme="minorHAnsi"/>
        </w:rPr>
        <w:t xml:space="preserve">Liew, WKM, Powell, CA, Sloan, SR, Shamberger, RC, Weldon, CB, Darras, BT &amp; Kang, PB 2014, 'Comparison of plasmapheresis and intravenous immunoglobulin as maintenance therapies for juvenile myasthenia gravis', </w:t>
      </w:r>
      <w:r w:rsidRPr="007D1918">
        <w:rPr>
          <w:rFonts w:asciiTheme="minorHAnsi" w:hAnsiTheme="minorHAnsi" w:cstheme="minorHAnsi"/>
          <w:i/>
        </w:rPr>
        <w:t>JAMA Neurology</w:t>
      </w:r>
      <w:r w:rsidRPr="007D1918">
        <w:rPr>
          <w:rFonts w:asciiTheme="minorHAnsi" w:hAnsiTheme="minorHAnsi" w:cstheme="minorHAnsi"/>
        </w:rPr>
        <w:t>, vol. 71, no. 5, pp. 575-580.</w:t>
      </w:r>
    </w:p>
    <w:bookmarkEnd w:id="709"/>
    <w:p w14:paraId="1532D4B1" w14:textId="77777777" w:rsidR="007D4948" w:rsidRPr="007D1918" w:rsidRDefault="007D4948" w:rsidP="003653DA">
      <w:pPr>
        <w:pStyle w:val="EndNoteBibliography"/>
        <w:spacing w:after="0"/>
        <w:rPr>
          <w:rFonts w:asciiTheme="minorHAnsi" w:hAnsiTheme="minorHAnsi" w:cstheme="minorHAnsi"/>
        </w:rPr>
      </w:pPr>
    </w:p>
    <w:p w14:paraId="6B130A96" w14:textId="77777777" w:rsidR="007D4948" w:rsidRPr="007D1918" w:rsidRDefault="007D4948" w:rsidP="003653DA">
      <w:pPr>
        <w:pStyle w:val="EndNoteBibliography"/>
        <w:spacing w:after="0"/>
        <w:rPr>
          <w:rFonts w:asciiTheme="minorHAnsi" w:hAnsiTheme="minorHAnsi" w:cstheme="minorHAnsi"/>
        </w:rPr>
      </w:pPr>
      <w:bookmarkStart w:id="710" w:name="_ENREF_63"/>
      <w:r w:rsidRPr="007D1918">
        <w:rPr>
          <w:rFonts w:asciiTheme="minorHAnsi" w:hAnsiTheme="minorHAnsi" w:cstheme="minorHAnsi"/>
        </w:rPr>
        <w:t xml:space="preserve">Liu, JF, Wang, WX, Xue, J, Zhao, CB, You, HZ, Lu, JH &amp; Gu, Y 2010, 'Comparing the autoantibody levels and clinical efficacy of double filtration plasmapheresis, immunoadsorption, and intravenous immunoglobulin for the treatment of late-onset myasthenia gravis', </w:t>
      </w:r>
      <w:r w:rsidRPr="007D1918">
        <w:rPr>
          <w:rFonts w:asciiTheme="minorHAnsi" w:hAnsiTheme="minorHAnsi" w:cstheme="minorHAnsi"/>
          <w:i/>
        </w:rPr>
        <w:t>Therapeutic apheresis and dialysis</w:t>
      </w:r>
      <w:r w:rsidRPr="007D1918">
        <w:rPr>
          <w:rFonts w:asciiTheme="minorHAnsi" w:hAnsiTheme="minorHAnsi" w:cstheme="minorHAnsi"/>
        </w:rPr>
        <w:t>, vol. 14, no. 2, pp. 153‐160.</w:t>
      </w:r>
    </w:p>
    <w:bookmarkEnd w:id="710"/>
    <w:p w14:paraId="4FCC7DCF" w14:textId="77777777" w:rsidR="007D4948" w:rsidRPr="007D1918" w:rsidRDefault="007D4948" w:rsidP="003653DA">
      <w:pPr>
        <w:pStyle w:val="EndNoteBibliography"/>
        <w:spacing w:after="0"/>
        <w:rPr>
          <w:rFonts w:asciiTheme="minorHAnsi" w:hAnsiTheme="minorHAnsi" w:cstheme="minorHAnsi"/>
        </w:rPr>
      </w:pPr>
    </w:p>
    <w:p w14:paraId="6190468D" w14:textId="77777777" w:rsidR="007D4948" w:rsidRPr="007D1918" w:rsidRDefault="007D4948" w:rsidP="003653DA">
      <w:pPr>
        <w:pStyle w:val="EndNoteBibliography"/>
        <w:spacing w:after="0"/>
        <w:rPr>
          <w:rFonts w:asciiTheme="minorHAnsi" w:hAnsiTheme="minorHAnsi" w:cstheme="minorHAnsi"/>
        </w:rPr>
      </w:pPr>
      <w:bookmarkStart w:id="711" w:name="_ENREF_64"/>
      <w:r w:rsidRPr="007D1918">
        <w:rPr>
          <w:rFonts w:asciiTheme="minorHAnsi" w:hAnsiTheme="minorHAnsi" w:cstheme="minorHAnsi"/>
        </w:rPr>
        <w:t xml:space="preserve">Mandawat, A, Kaminski, HJ, Cutter, G, Katirji, B &amp; Alshekhlee, A 2010, 'Comparative analysis of therapeutic options used for myasthenia gravis', </w:t>
      </w:r>
      <w:r w:rsidRPr="007D1918">
        <w:rPr>
          <w:rFonts w:asciiTheme="minorHAnsi" w:hAnsiTheme="minorHAnsi" w:cstheme="minorHAnsi"/>
          <w:i/>
        </w:rPr>
        <w:t>Annals of Neurology</w:t>
      </w:r>
      <w:r w:rsidRPr="007D1918">
        <w:rPr>
          <w:rFonts w:asciiTheme="minorHAnsi" w:hAnsiTheme="minorHAnsi" w:cstheme="minorHAnsi"/>
        </w:rPr>
        <w:t>, vol. 68, no. 6, pp. 797-805.</w:t>
      </w:r>
    </w:p>
    <w:bookmarkEnd w:id="711"/>
    <w:p w14:paraId="5BFFC111" w14:textId="77777777" w:rsidR="007D4948" w:rsidRPr="007D1918" w:rsidRDefault="007D4948" w:rsidP="003653DA">
      <w:pPr>
        <w:pStyle w:val="EndNoteBibliography"/>
        <w:spacing w:after="0"/>
        <w:rPr>
          <w:rFonts w:asciiTheme="minorHAnsi" w:hAnsiTheme="minorHAnsi" w:cstheme="minorHAnsi"/>
        </w:rPr>
      </w:pPr>
    </w:p>
    <w:p w14:paraId="10CDB2EC" w14:textId="77777777" w:rsidR="007D4948" w:rsidRPr="007D1918" w:rsidRDefault="007D4948" w:rsidP="003653DA">
      <w:pPr>
        <w:pStyle w:val="EndNoteBibliography"/>
        <w:spacing w:after="0"/>
        <w:rPr>
          <w:rFonts w:asciiTheme="minorHAnsi" w:hAnsiTheme="minorHAnsi" w:cstheme="minorHAnsi"/>
        </w:rPr>
      </w:pPr>
      <w:bookmarkStart w:id="712" w:name="_ENREF_65"/>
      <w:r w:rsidRPr="007D1918">
        <w:rPr>
          <w:rFonts w:asciiTheme="minorHAnsi" w:hAnsiTheme="minorHAnsi" w:cstheme="minorHAnsi"/>
        </w:rPr>
        <w:t xml:space="preserve">Mokrzycki, MH &amp; Kaplan, AA 1994, 'Therapeutic plasma exchange: complications and management', </w:t>
      </w:r>
      <w:r w:rsidRPr="007D1918">
        <w:rPr>
          <w:rFonts w:asciiTheme="minorHAnsi" w:hAnsiTheme="minorHAnsi" w:cstheme="minorHAnsi"/>
          <w:i/>
        </w:rPr>
        <w:t>Am J Kidney Dis</w:t>
      </w:r>
      <w:r w:rsidRPr="007D1918">
        <w:rPr>
          <w:rFonts w:asciiTheme="minorHAnsi" w:hAnsiTheme="minorHAnsi" w:cstheme="minorHAnsi"/>
        </w:rPr>
        <w:t>, vol. 23, no. 6, Jun, pp. 817-827.</w:t>
      </w:r>
    </w:p>
    <w:bookmarkEnd w:id="712"/>
    <w:p w14:paraId="7ADEEE12" w14:textId="77777777" w:rsidR="007D4948" w:rsidRPr="007D1918" w:rsidRDefault="007D4948" w:rsidP="003653DA">
      <w:pPr>
        <w:pStyle w:val="EndNoteBibliography"/>
        <w:spacing w:after="0"/>
        <w:rPr>
          <w:rFonts w:asciiTheme="minorHAnsi" w:hAnsiTheme="minorHAnsi" w:cstheme="minorHAnsi"/>
        </w:rPr>
      </w:pPr>
    </w:p>
    <w:p w14:paraId="200755F0" w14:textId="77777777" w:rsidR="007D4948" w:rsidRPr="007D1918" w:rsidRDefault="007D4948" w:rsidP="003653DA">
      <w:pPr>
        <w:pStyle w:val="EndNoteBibliography"/>
        <w:spacing w:after="0"/>
        <w:rPr>
          <w:rFonts w:asciiTheme="minorHAnsi" w:hAnsiTheme="minorHAnsi" w:cstheme="minorHAnsi"/>
        </w:rPr>
      </w:pPr>
      <w:bookmarkStart w:id="713" w:name="_ENREF_66"/>
      <w:r w:rsidRPr="007D1918">
        <w:rPr>
          <w:rFonts w:asciiTheme="minorHAnsi" w:hAnsiTheme="minorHAnsi" w:cstheme="minorHAnsi"/>
        </w:rPr>
        <w:t xml:space="preserve">MSAC 2019, </w:t>
      </w:r>
      <w:r w:rsidRPr="007D1918">
        <w:rPr>
          <w:rFonts w:asciiTheme="minorHAnsi" w:hAnsiTheme="minorHAnsi" w:cstheme="minorHAnsi"/>
          <w:i/>
        </w:rPr>
        <w:t>PICO Confirmtaion 1566: Immunoglobulin for myasthenia gravis­_FINAL Ratified</w:t>
      </w:r>
      <w:r w:rsidRPr="007D1918">
        <w:rPr>
          <w:rFonts w:asciiTheme="minorHAnsi" w:hAnsiTheme="minorHAnsi" w:cstheme="minorHAnsi"/>
        </w:rPr>
        <w:t>,  PICO confirmation, Department of Health, Canberra.</w:t>
      </w:r>
    </w:p>
    <w:bookmarkEnd w:id="713"/>
    <w:p w14:paraId="30C37CB9" w14:textId="77777777" w:rsidR="007D4948" w:rsidRPr="007D1918" w:rsidRDefault="007D4948" w:rsidP="003653DA">
      <w:pPr>
        <w:pStyle w:val="EndNoteBibliography"/>
        <w:spacing w:after="0"/>
        <w:rPr>
          <w:rFonts w:asciiTheme="minorHAnsi" w:hAnsiTheme="minorHAnsi" w:cstheme="minorHAnsi"/>
        </w:rPr>
      </w:pPr>
    </w:p>
    <w:p w14:paraId="1C5BFB6B" w14:textId="77777777" w:rsidR="007D4948" w:rsidRPr="007D1918" w:rsidRDefault="007D4948" w:rsidP="003653DA">
      <w:pPr>
        <w:pStyle w:val="EndNoteBibliography"/>
        <w:spacing w:after="0"/>
        <w:rPr>
          <w:rFonts w:asciiTheme="minorHAnsi" w:hAnsiTheme="minorHAnsi" w:cstheme="minorHAnsi"/>
        </w:rPr>
      </w:pPr>
      <w:bookmarkStart w:id="714" w:name="_ENREF_67"/>
      <w:r w:rsidRPr="007D1918">
        <w:rPr>
          <w:rFonts w:asciiTheme="minorHAnsi" w:hAnsiTheme="minorHAnsi" w:cstheme="minorHAnsi"/>
        </w:rPr>
        <w:t xml:space="preserve">Mullins, LL, Carpentier, MY, Paul, RH, Sanders, DB &amp; Group, MS 2008, 'Disease-specific measure of quality of life for myasthenia gravis', </w:t>
      </w:r>
      <w:r w:rsidRPr="007D1918">
        <w:rPr>
          <w:rFonts w:asciiTheme="minorHAnsi" w:hAnsiTheme="minorHAnsi" w:cstheme="minorHAnsi"/>
          <w:i/>
        </w:rPr>
        <w:t>Muscle &amp; Nerve</w:t>
      </w:r>
      <w:r w:rsidRPr="007D1918">
        <w:rPr>
          <w:rFonts w:asciiTheme="minorHAnsi" w:hAnsiTheme="minorHAnsi" w:cstheme="minorHAnsi"/>
        </w:rPr>
        <w:t>, vol. 38, no. 2, pp. 947-956.</w:t>
      </w:r>
    </w:p>
    <w:bookmarkEnd w:id="714"/>
    <w:p w14:paraId="2969CD79" w14:textId="77777777" w:rsidR="007D4948" w:rsidRPr="007D1918" w:rsidRDefault="007D4948" w:rsidP="003653DA">
      <w:pPr>
        <w:pStyle w:val="EndNoteBibliography"/>
        <w:spacing w:after="0"/>
        <w:rPr>
          <w:rFonts w:asciiTheme="minorHAnsi" w:hAnsiTheme="minorHAnsi" w:cstheme="minorHAnsi"/>
        </w:rPr>
      </w:pPr>
    </w:p>
    <w:p w14:paraId="7E4330E8" w14:textId="77777777" w:rsidR="007D4948" w:rsidRPr="007D1918" w:rsidRDefault="007D4948" w:rsidP="003653DA">
      <w:pPr>
        <w:pStyle w:val="EndNoteBibliography"/>
        <w:spacing w:after="0"/>
        <w:rPr>
          <w:rFonts w:asciiTheme="minorHAnsi" w:hAnsiTheme="minorHAnsi" w:cstheme="minorHAnsi"/>
        </w:rPr>
      </w:pPr>
      <w:bookmarkStart w:id="715" w:name="_ENREF_68"/>
      <w:r w:rsidRPr="007D1918">
        <w:rPr>
          <w:rFonts w:asciiTheme="minorHAnsi" w:hAnsiTheme="minorHAnsi" w:cstheme="minorHAnsi"/>
        </w:rPr>
        <w:t xml:space="preserve">Murthy, JMK, Meena, AK, Chowdary, GVS &amp; Naryanan, JT 2005, 'Myasthenic crisis: Clinical features, complications and mortality', </w:t>
      </w:r>
      <w:r w:rsidRPr="007D1918">
        <w:rPr>
          <w:rFonts w:asciiTheme="minorHAnsi" w:hAnsiTheme="minorHAnsi" w:cstheme="minorHAnsi"/>
          <w:i/>
        </w:rPr>
        <w:t>Neurology India</w:t>
      </w:r>
      <w:r w:rsidRPr="007D1918">
        <w:rPr>
          <w:rFonts w:asciiTheme="minorHAnsi" w:hAnsiTheme="minorHAnsi" w:cstheme="minorHAnsi"/>
        </w:rPr>
        <w:t>, vol. 53, no. 1, pp. 37-40.</w:t>
      </w:r>
    </w:p>
    <w:bookmarkEnd w:id="715"/>
    <w:p w14:paraId="1CD9CC37" w14:textId="77777777" w:rsidR="007D4948" w:rsidRPr="007D1918" w:rsidRDefault="007D4948" w:rsidP="003653DA">
      <w:pPr>
        <w:pStyle w:val="EndNoteBibliography"/>
        <w:spacing w:after="0"/>
        <w:rPr>
          <w:rFonts w:asciiTheme="minorHAnsi" w:hAnsiTheme="minorHAnsi" w:cstheme="minorHAnsi"/>
        </w:rPr>
      </w:pPr>
    </w:p>
    <w:p w14:paraId="38C8DD60" w14:textId="77777777" w:rsidR="007D4948" w:rsidRPr="007D1918" w:rsidRDefault="007D4948" w:rsidP="003653DA">
      <w:pPr>
        <w:pStyle w:val="EndNoteBibliography"/>
        <w:spacing w:after="0"/>
        <w:rPr>
          <w:rFonts w:asciiTheme="minorHAnsi" w:hAnsiTheme="minorHAnsi" w:cstheme="minorHAnsi"/>
        </w:rPr>
      </w:pPr>
      <w:bookmarkStart w:id="716" w:name="_ENREF_69"/>
      <w:r w:rsidRPr="007D1918">
        <w:rPr>
          <w:rFonts w:asciiTheme="minorHAnsi" w:hAnsiTheme="minorHAnsi" w:cstheme="minorHAnsi"/>
        </w:rPr>
        <w:t xml:space="preserve">Muscular Dystrophy Foundation Australia 2012, </w:t>
      </w:r>
      <w:r w:rsidRPr="007D1918">
        <w:rPr>
          <w:rFonts w:asciiTheme="minorHAnsi" w:hAnsiTheme="minorHAnsi" w:cstheme="minorHAnsi"/>
          <w:i/>
        </w:rPr>
        <w:t>Facts About Myasthenia Gravis</w:t>
      </w:r>
      <w:r w:rsidRPr="007D1918">
        <w:rPr>
          <w:rFonts w:asciiTheme="minorHAnsi" w:hAnsiTheme="minorHAnsi" w:cstheme="minorHAnsi"/>
        </w:rPr>
        <w:t>, Sydney, NSW.</w:t>
      </w:r>
    </w:p>
    <w:bookmarkEnd w:id="716"/>
    <w:p w14:paraId="448E3B3C" w14:textId="77777777" w:rsidR="007D4948" w:rsidRPr="007D1918" w:rsidRDefault="007D4948" w:rsidP="003653DA">
      <w:pPr>
        <w:pStyle w:val="EndNoteBibliography"/>
        <w:spacing w:after="0"/>
        <w:rPr>
          <w:rFonts w:asciiTheme="minorHAnsi" w:hAnsiTheme="minorHAnsi" w:cstheme="minorHAnsi"/>
        </w:rPr>
      </w:pPr>
    </w:p>
    <w:p w14:paraId="1860A8EE" w14:textId="3AE54EA5" w:rsidR="007D4948" w:rsidRPr="007D1918" w:rsidRDefault="007D4948" w:rsidP="003653DA">
      <w:pPr>
        <w:pStyle w:val="EndNoteBibliography"/>
        <w:spacing w:after="0"/>
        <w:rPr>
          <w:rFonts w:asciiTheme="minorHAnsi" w:hAnsiTheme="minorHAnsi" w:cstheme="minorHAnsi"/>
        </w:rPr>
      </w:pPr>
      <w:bookmarkStart w:id="717" w:name="_ENREF_70"/>
      <w:r w:rsidRPr="007D1918">
        <w:rPr>
          <w:rFonts w:asciiTheme="minorHAnsi" w:hAnsiTheme="minorHAnsi" w:cstheme="minorHAnsi"/>
        </w:rPr>
        <w:t xml:space="preserve">National Blood Authority, </w:t>
      </w:r>
      <w:r w:rsidRPr="007D1918">
        <w:rPr>
          <w:rFonts w:asciiTheme="minorHAnsi" w:hAnsiTheme="minorHAnsi" w:cstheme="minorHAnsi"/>
          <w:i/>
        </w:rPr>
        <w:t>Myasthenia gravis (MG) - Conditions for which IVIg has an established role</w:t>
      </w:r>
      <w:r w:rsidRPr="007D1918">
        <w:rPr>
          <w:rFonts w:asciiTheme="minorHAnsi" w:hAnsiTheme="minorHAnsi" w:cstheme="minorHAnsi"/>
        </w:rPr>
        <w:t>, Australia, viewed 5 June 2019, &lt;</w:t>
      </w:r>
      <w:hyperlink r:id="rId89" w:tooltip="Website link" w:history="1">
        <w:r w:rsidRPr="007D1918">
          <w:rPr>
            <w:rStyle w:val="Hyperlink"/>
            <w:rFonts w:asciiTheme="minorHAnsi" w:hAnsiTheme="minorHAnsi" w:cstheme="minorHAnsi"/>
          </w:rPr>
          <w:t>https://www.blood.gov.au/system/files/Myasthenia-gravis-MG-CV3.pdf</w:t>
        </w:r>
      </w:hyperlink>
      <w:r w:rsidRPr="007D1918">
        <w:rPr>
          <w:rFonts w:asciiTheme="minorHAnsi" w:hAnsiTheme="minorHAnsi" w:cstheme="minorHAnsi"/>
        </w:rPr>
        <w:t>&gt;.</w:t>
      </w:r>
    </w:p>
    <w:bookmarkEnd w:id="717"/>
    <w:p w14:paraId="010C5EE8" w14:textId="77777777" w:rsidR="007D4948" w:rsidRPr="007D1918" w:rsidRDefault="007D4948" w:rsidP="003653DA">
      <w:pPr>
        <w:pStyle w:val="EndNoteBibliography"/>
        <w:spacing w:after="0"/>
        <w:rPr>
          <w:rFonts w:asciiTheme="minorHAnsi" w:hAnsiTheme="minorHAnsi" w:cstheme="minorHAnsi"/>
        </w:rPr>
      </w:pPr>
    </w:p>
    <w:p w14:paraId="38F753B6" w14:textId="66426601" w:rsidR="007D4948" w:rsidRPr="007D1918" w:rsidRDefault="007D4948" w:rsidP="003653DA">
      <w:pPr>
        <w:pStyle w:val="EndNoteBibliography"/>
        <w:spacing w:after="0"/>
        <w:rPr>
          <w:rFonts w:asciiTheme="minorHAnsi" w:hAnsiTheme="minorHAnsi" w:cstheme="minorHAnsi"/>
        </w:rPr>
      </w:pPr>
      <w:bookmarkStart w:id="718" w:name="_ENREF_71"/>
      <w:r w:rsidRPr="007D1918">
        <w:rPr>
          <w:rFonts w:asciiTheme="minorHAnsi" w:hAnsiTheme="minorHAnsi" w:cstheme="minorHAnsi"/>
        </w:rPr>
        <w:t xml:space="preserve">National Blood Authority 2018, </w:t>
      </w:r>
      <w:r w:rsidRPr="007D1918">
        <w:rPr>
          <w:rFonts w:asciiTheme="minorHAnsi" w:hAnsiTheme="minorHAnsi" w:cstheme="minorHAnsi"/>
          <w:i/>
        </w:rPr>
        <w:t>Criteria for the clinical use of immunoglobulin in Australia v3.0.1</w:t>
      </w:r>
      <w:r w:rsidRPr="007D1918">
        <w:rPr>
          <w:rFonts w:asciiTheme="minorHAnsi" w:hAnsiTheme="minorHAnsi" w:cstheme="minorHAnsi"/>
        </w:rPr>
        <w:t>, National Blood Authority, viewed 16 Jan 2018, &lt;</w:t>
      </w:r>
      <w:hyperlink r:id="rId90" w:tooltip="Website link" w:history="1">
        <w:r w:rsidRPr="007D1918">
          <w:rPr>
            <w:rStyle w:val="Hyperlink"/>
            <w:rFonts w:asciiTheme="minorHAnsi" w:hAnsiTheme="minorHAnsi" w:cstheme="minorHAnsi"/>
          </w:rPr>
          <w:t>https://www.criteria.blood.gov.au/MedicalCondition/View/2549</w:t>
        </w:r>
      </w:hyperlink>
      <w:r w:rsidRPr="007D1918">
        <w:rPr>
          <w:rFonts w:asciiTheme="minorHAnsi" w:hAnsiTheme="minorHAnsi" w:cstheme="minorHAnsi"/>
        </w:rPr>
        <w:t>&gt;.</w:t>
      </w:r>
    </w:p>
    <w:bookmarkEnd w:id="718"/>
    <w:p w14:paraId="2940FFEF" w14:textId="77777777" w:rsidR="007D4948" w:rsidRPr="007D1918" w:rsidRDefault="007D4948" w:rsidP="003653DA">
      <w:pPr>
        <w:pStyle w:val="EndNoteBibliography"/>
        <w:spacing w:after="0"/>
        <w:rPr>
          <w:rFonts w:asciiTheme="minorHAnsi" w:hAnsiTheme="minorHAnsi" w:cstheme="minorHAnsi"/>
        </w:rPr>
      </w:pPr>
    </w:p>
    <w:p w14:paraId="6B03E94D" w14:textId="125917BD" w:rsidR="007D4948" w:rsidRPr="007D1918" w:rsidRDefault="007D4948" w:rsidP="003653DA">
      <w:pPr>
        <w:pStyle w:val="EndNoteBibliography"/>
        <w:spacing w:after="0"/>
        <w:rPr>
          <w:rFonts w:asciiTheme="minorHAnsi" w:hAnsiTheme="minorHAnsi" w:cstheme="minorHAnsi"/>
        </w:rPr>
      </w:pPr>
      <w:bookmarkStart w:id="719" w:name="_ENREF_72"/>
      <w:r w:rsidRPr="007D1918">
        <w:rPr>
          <w:rFonts w:asciiTheme="minorHAnsi" w:hAnsiTheme="minorHAnsi" w:cstheme="minorHAnsi"/>
        </w:rPr>
        <w:t xml:space="preserve">National Blood Authority [NBA] 2019, </w:t>
      </w:r>
      <w:r w:rsidRPr="007D1918">
        <w:rPr>
          <w:rFonts w:asciiTheme="minorHAnsi" w:hAnsiTheme="minorHAnsi" w:cstheme="minorHAnsi"/>
          <w:i/>
        </w:rPr>
        <w:t>Data Analysis and Reporting</w:t>
      </w:r>
      <w:r w:rsidRPr="007D1918">
        <w:rPr>
          <w:rFonts w:asciiTheme="minorHAnsi" w:hAnsiTheme="minorHAnsi" w:cstheme="minorHAnsi"/>
        </w:rPr>
        <w:t>, National Blood Authority Canberra, &lt;</w:t>
      </w:r>
      <w:hyperlink r:id="rId91" w:tooltip="Website link" w:history="1">
        <w:r w:rsidRPr="007D1918">
          <w:rPr>
            <w:rStyle w:val="Hyperlink"/>
            <w:rFonts w:asciiTheme="minorHAnsi" w:hAnsiTheme="minorHAnsi" w:cstheme="minorHAnsi"/>
          </w:rPr>
          <w:t>https://www.blood.gov.au/data-analysis-reporting</w:t>
        </w:r>
      </w:hyperlink>
      <w:r w:rsidRPr="007D1918">
        <w:rPr>
          <w:rFonts w:asciiTheme="minorHAnsi" w:hAnsiTheme="minorHAnsi" w:cstheme="minorHAnsi"/>
        </w:rPr>
        <w:t>&gt;.</w:t>
      </w:r>
    </w:p>
    <w:bookmarkEnd w:id="719"/>
    <w:p w14:paraId="578DC34C" w14:textId="77777777" w:rsidR="007D4948" w:rsidRPr="007D1918" w:rsidRDefault="007D4948" w:rsidP="003653DA">
      <w:pPr>
        <w:pStyle w:val="EndNoteBibliography"/>
        <w:spacing w:after="0"/>
        <w:rPr>
          <w:rFonts w:asciiTheme="minorHAnsi" w:hAnsiTheme="minorHAnsi" w:cstheme="minorHAnsi"/>
        </w:rPr>
      </w:pPr>
    </w:p>
    <w:p w14:paraId="02C7B68D" w14:textId="77777777" w:rsidR="007D4948" w:rsidRPr="007D1918" w:rsidRDefault="007D4948" w:rsidP="003653DA">
      <w:pPr>
        <w:pStyle w:val="EndNoteBibliography"/>
        <w:spacing w:after="0"/>
        <w:rPr>
          <w:rFonts w:asciiTheme="minorHAnsi" w:hAnsiTheme="minorHAnsi" w:cstheme="minorHAnsi"/>
        </w:rPr>
      </w:pPr>
      <w:bookmarkStart w:id="720" w:name="_ENREF_73"/>
      <w:r w:rsidRPr="007D1918">
        <w:rPr>
          <w:rFonts w:asciiTheme="minorHAnsi" w:hAnsiTheme="minorHAnsi" w:cstheme="minorHAnsi"/>
        </w:rPr>
        <w:t xml:space="preserve">Nosadini, M, Mohammad, SS, Suppiej, A, Sartori, S, Dale, RC, Barclay, P, Koh, Y, Teo, J, Tantsis, EM, Ramanathan, S &amp; Webster, R 2016, 'Intravenous immunoglobulin in paediatric neurology: safety, adherence to guidelines, and long-term outcome', </w:t>
      </w:r>
      <w:r w:rsidRPr="007D1918">
        <w:rPr>
          <w:rFonts w:asciiTheme="minorHAnsi" w:hAnsiTheme="minorHAnsi" w:cstheme="minorHAnsi"/>
          <w:i/>
        </w:rPr>
        <w:t>Developmental Medicine and Child Neurology</w:t>
      </w:r>
      <w:r w:rsidRPr="007D1918">
        <w:rPr>
          <w:rFonts w:asciiTheme="minorHAnsi" w:hAnsiTheme="minorHAnsi" w:cstheme="minorHAnsi"/>
        </w:rPr>
        <w:t>, vol. 58, no. 11, pp. 1180-1192.</w:t>
      </w:r>
    </w:p>
    <w:bookmarkEnd w:id="720"/>
    <w:p w14:paraId="6718430F" w14:textId="77777777" w:rsidR="007D4948" w:rsidRPr="007D1918" w:rsidRDefault="007D4948" w:rsidP="003653DA">
      <w:pPr>
        <w:pStyle w:val="EndNoteBibliography"/>
        <w:spacing w:after="0"/>
        <w:rPr>
          <w:rFonts w:asciiTheme="minorHAnsi" w:hAnsiTheme="minorHAnsi" w:cstheme="minorHAnsi"/>
        </w:rPr>
      </w:pPr>
    </w:p>
    <w:p w14:paraId="1EEF2B7B" w14:textId="77777777" w:rsidR="007D4948" w:rsidRPr="007D1918" w:rsidRDefault="007D4948" w:rsidP="003653DA">
      <w:pPr>
        <w:pStyle w:val="EndNoteBibliography"/>
        <w:spacing w:after="0"/>
        <w:rPr>
          <w:rFonts w:asciiTheme="minorHAnsi" w:hAnsiTheme="minorHAnsi" w:cstheme="minorHAnsi"/>
        </w:rPr>
      </w:pPr>
      <w:bookmarkStart w:id="721" w:name="_ENREF_74"/>
      <w:r w:rsidRPr="007D1918">
        <w:rPr>
          <w:rFonts w:asciiTheme="minorHAnsi" w:hAnsiTheme="minorHAnsi" w:cstheme="minorHAnsi"/>
        </w:rPr>
        <w:t xml:space="preserve">Ortiz-Salas, P, Velez-Van-Meerbeke, A, Galvis-Gomez, CA &amp; Rodriguez, JH 2016, 'Human immunoglobulin versus plasmapheresis in guillain-barre syndrome and myasthenia gravis: A meta-analysis', </w:t>
      </w:r>
      <w:r w:rsidRPr="007D1918">
        <w:rPr>
          <w:rFonts w:asciiTheme="minorHAnsi" w:hAnsiTheme="minorHAnsi" w:cstheme="minorHAnsi"/>
          <w:i/>
        </w:rPr>
        <w:t>Journal of Clinical Neuromuscular Disease</w:t>
      </w:r>
      <w:r w:rsidRPr="007D1918">
        <w:rPr>
          <w:rFonts w:asciiTheme="minorHAnsi" w:hAnsiTheme="minorHAnsi" w:cstheme="minorHAnsi"/>
        </w:rPr>
        <w:t>, vol. 18, no. 1, pp. 1-11.</w:t>
      </w:r>
    </w:p>
    <w:bookmarkEnd w:id="721"/>
    <w:p w14:paraId="07AAFFEA" w14:textId="77777777" w:rsidR="007D4948" w:rsidRPr="007D1918" w:rsidRDefault="007D4948" w:rsidP="003653DA">
      <w:pPr>
        <w:pStyle w:val="EndNoteBibliography"/>
        <w:spacing w:after="0"/>
        <w:rPr>
          <w:rFonts w:asciiTheme="minorHAnsi" w:hAnsiTheme="minorHAnsi" w:cstheme="minorHAnsi"/>
        </w:rPr>
      </w:pPr>
    </w:p>
    <w:p w14:paraId="6D9C6041" w14:textId="77777777" w:rsidR="007D4948" w:rsidRPr="007D1918" w:rsidRDefault="007D4948" w:rsidP="003653DA">
      <w:pPr>
        <w:pStyle w:val="EndNoteBibliography"/>
        <w:spacing w:after="0"/>
        <w:rPr>
          <w:rFonts w:asciiTheme="minorHAnsi" w:hAnsiTheme="minorHAnsi" w:cstheme="minorHAnsi"/>
        </w:rPr>
      </w:pPr>
      <w:bookmarkStart w:id="722" w:name="_ENREF_75"/>
      <w:r w:rsidRPr="007D1918">
        <w:rPr>
          <w:rFonts w:asciiTheme="minorHAnsi" w:hAnsiTheme="minorHAnsi" w:cstheme="minorHAnsi"/>
        </w:rPr>
        <w:t xml:space="preserve">Osserman, KE &amp; Genkins, G 1971, 'Studies in myasthenia gravis: review of a twenty-year experience in over 1200 patients', </w:t>
      </w:r>
      <w:r w:rsidRPr="007D1918">
        <w:rPr>
          <w:rFonts w:asciiTheme="minorHAnsi" w:hAnsiTheme="minorHAnsi" w:cstheme="minorHAnsi"/>
          <w:i/>
        </w:rPr>
        <w:t>Mt Sinai J Med</w:t>
      </w:r>
      <w:r w:rsidRPr="007D1918">
        <w:rPr>
          <w:rFonts w:asciiTheme="minorHAnsi" w:hAnsiTheme="minorHAnsi" w:cstheme="minorHAnsi"/>
        </w:rPr>
        <w:t>, vol. 38, no. 6, Nov-Dec, pp. 497-537.</w:t>
      </w:r>
    </w:p>
    <w:bookmarkEnd w:id="722"/>
    <w:p w14:paraId="75214CE0" w14:textId="77777777" w:rsidR="007D4948" w:rsidRPr="007D1918" w:rsidRDefault="007D4948" w:rsidP="003653DA">
      <w:pPr>
        <w:pStyle w:val="EndNoteBibliography"/>
        <w:spacing w:after="0"/>
        <w:rPr>
          <w:rFonts w:asciiTheme="minorHAnsi" w:hAnsiTheme="minorHAnsi" w:cstheme="minorHAnsi"/>
        </w:rPr>
      </w:pPr>
    </w:p>
    <w:p w14:paraId="21B81C6A" w14:textId="77777777" w:rsidR="007D4948" w:rsidRPr="007D1918" w:rsidRDefault="007D4948" w:rsidP="003653DA">
      <w:pPr>
        <w:pStyle w:val="EndNoteBibliography"/>
        <w:spacing w:after="0"/>
        <w:rPr>
          <w:rFonts w:asciiTheme="minorHAnsi" w:hAnsiTheme="minorHAnsi" w:cstheme="minorHAnsi"/>
        </w:rPr>
      </w:pPr>
      <w:bookmarkStart w:id="723" w:name="_ENREF_76"/>
      <w:r w:rsidRPr="007D1918">
        <w:rPr>
          <w:rFonts w:asciiTheme="minorHAnsi" w:hAnsiTheme="minorHAnsi" w:cstheme="minorHAnsi"/>
        </w:rPr>
        <w:t xml:space="preserve">Panda, S, Goyal, V, Behari, M, Singh, S &amp; Srivastava, T 2004, 'Myasthenic crisis: A retrospective study', </w:t>
      </w:r>
      <w:r w:rsidRPr="007D1918">
        <w:rPr>
          <w:rFonts w:asciiTheme="minorHAnsi" w:hAnsiTheme="minorHAnsi" w:cstheme="minorHAnsi"/>
          <w:i/>
        </w:rPr>
        <w:t>Neurology India</w:t>
      </w:r>
      <w:r w:rsidRPr="007D1918">
        <w:rPr>
          <w:rFonts w:asciiTheme="minorHAnsi" w:hAnsiTheme="minorHAnsi" w:cstheme="minorHAnsi"/>
        </w:rPr>
        <w:t>, vol. 52, no. 4, pp. 453-456.</w:t>
      </w:r>
    </w:p>
    <w:bookmarkEnd w:id="723"/>
    <w:p w14:paraId="7D8ACB1A" w14:textId="77777777" w:rsidR="007D4948" w:rsidRPr="007D1918" w:rsidRDefault="007D4948" w:rsidP="003653DA">
      <w:pPr>
        <w:pStyle w:val="EndNoteBibliography"/>
        <w:spacing w:after="0"/>
        <w:rPr>
          <w:rFonts w:asciiTheme="minorHAnsi" w:hAnsiTheme="minorHAnsi" w:cstheme="minorHAnsi"/>
        </w:rPr>
      </w:pPr>
    </w:p>
    <w:p w14:paraId="5DF2FB4E" w14:textId="77777777" w:rsidR="007D4948" w:rsidRPr="007D1918" w:rsidRDefault="007D4948" w:rsidP="003653DA">
      <w:pPr>
        <w:pStyle w:val="EndNoteBibliography"/>
        <w:spacing w:after="0"/>
        <w:rPr>
          <w:rFonts w:asciiTheme="minorHAnsi" w:hAnsiTheme="minorHAnsi" w:cstheme="minorHAnsi"/>
        </w:rPr>
      </w:pPr>
      <w:bookmarkStart w:id="724" w:name="_ENREF_77"/>
      <w:r w:rsidRPr="007D1918">
        <w:rPr>
          <w:rFonts w:asciiTheme="minorHAnsi" w:hAnsiTheme="minorHAnsi" w:cstheme="minorHAnsi"/>
        </w:rPr>
        <w:lastRenderedPageBreak/>
        <w:t xml:space="preserve">Pasnoor, M, Wolfe, GI, Nations, S, Trivedi, J, Barohn, RJ, Herbelin, L, McVey, A, Dimachkie, M, Kissel, J, Walsh, R, Amato, A, Mozaffar, T, Hungs, M, Chui, L, Goldstein, J, Novella, S, Burns, T, Phillips, L, Claussen, G, Young, A, Bertorini, T &amp; Shin, OH 2010, 'Clinical findings in MuSK-antibody positive myasthenia gravis: a U.S. experience', </w:t>
      </w:r>
      <w:r w:rsidRPr="007D1918">
        <w:rPr>
          <w:rFonts w:asciiTheme="minorHAnsi" w:hAnsiTheme="minorHAnsi" w:cstheme="minorHAnsi"/>
          <w:i/>
        </w:rPr>
        <w:t>Muscle and Nerve</w:t>
      </w:r>
      <w:r w:rsidRPr="007D1918">
        <w:rPr>
          <w:rFonts w:asciiTheme="minorHAnsi" w:hAnsiTheme="minorHAnsi" w:cstheme="minorHAnsi"/>
        </w:rPr>
        <w:t>, vol. 41, no. 3, pp. 370-374.</w:t>
      </w:r>
    </w:p>
    <w:bookmarkEnd w:id="724"/>
    <w:p w14:paraId="04E5E119" w14:textId="77777777" w:rsidR="007D4948" w:rsidRPr="007D1918" w:rsidRDefault="007D4948" w:rsidP="003653DA">
      <w:pPr>
        <w:pStyle w:val="EndNoteBibliography"/>
        <w:spacing w:after="0"/>
        <w:rPr>
          <w:rFonts w:asciiTheme="minorHAnsi" w:hAnsiTheme="minorHAnsi" w:cstheme="minorHAnsi"/>
        </w:rPr>
      </w:pPr>
    </w:p>
    <w:p w14:paraId="4F9C92E1" w14:textId="77777777" w:rsidR="007D4948" w:rsidRPr="007D1918" w:rsidRDefault="007D4948" w:rsidP="003653DA">
      <w:pPr>
        <w:pStyle w:val="EndNoteBibliography"/>
        <w:spacing w:after="0"/>
        <w:rPr>
          <w:rFonts w:asciiTheme="minorHAnsi" w:hAnsiTheme="minorHAnsi" w:cstheme="minorHAnsi"/>
        </w:rPr>
      </w:pPr>
      <w:bookmarkStart w:id="725" w:name="_ENREF_78"/>
      <w:r w:rsidRPr="007D1918">
        <w:rPr>
          <w:rFonts w:asciiTheme="minorHAnsi" w:hAnsiTheme="minorHAnsi" w:cstheme="minorHAnsi"/>
        </w:rPr>
        <w:t xml:space="preserve">Paton, E &amp; Baldwin, IC 2014, 'Plasma exchange in the intensive care unit: a 10 year retrospective audit', </w:t>
      </w:r>
      <w:r w:rsidRPr="007D1918">
        <w:rPr>
          <w:rFonts w:asciiTheme="minorHAnsi" w:hAnsiTheme="minorHAnsi" w:cstheme="minorHAnsi"/>
          <w:i/>
        </w:rPr>
        <w:t>Aust Crit Care</w:t>
      </w:r>
      <w:r w:rsidRPr="007D1918">
        <w:rPr>
          <w:rFonts w:asciiTheme="minorHAnsi" w:hAnsiTheme="minorHAnsi" w:cstheme="minorHAnsi"/>
        </w:rPr>
        <w:t>, vol. 27, no. 3, Aug, pp. 139-144.</w:t>
      </w:r>
    </w:p>
    <w:bookmarkEnd w:id="725"/>
    <w:p w14:paraId="6D7757FD" w14:textId="77777777" w:rsidR="007D4948" w:rsidRPr="007D1918" w:rsidRDefault="007D4948" w:rsidP="003653DA">
      <w:pPr>
        <w:pStyle w:val="EndNoteBibliography"/>
        <w:spacing w:after="0"/>
        <w:rPr>
          <w:rFonts w:asciiTheme="minorHAnsi" w:hAnsiTheme="minorHAnsi" w:cstheme="minorHAnsi"/>
        </w:rPr>
      </w:pPr>
    </w:p>
    <w:p w14:paraId="7B728B26" w14:textId="77777777" w:rsidR="007D4948" w:rsidRPr="007D1918" w:rsidRDefault="007D4948" w:rsidP="003653DA">
      <w:pPr>
        <w:pStyle w:val="EndNoteBibliography"/>
        <w:spacing w:after="0"/>
        <w:rPr>
          <w:rFonts w:asciiTheme="minorHAnsi" w:hAnsiTheme="minorHAnsi" w:cstheme="minorHAnsi"/>
        </w:rPr>
      </w:pPr>
      <w:bookmarkStart w:id="726" w:name="_ENREF_79"/>
      <w:r w:rsidRPr="007D1918">
        <w:rPr>
          <w:rFonts w:asciiTheme="minorHAnsi" w:hAnsiTheme="minorHAnsi" w:cstheme="minorHAnsi"/>
        </w:rPr>
        <w:t xml:space="preserve">Pittayanon, R, Treeprasertsuk, S &amp; Phanthumchinda, K 2009, 'Plasmapheresis or intravenous immunoglobulin for myasthenia gravis crisis in King Chulalongkorn Memorial Hospital', </w:t>
      </w:r>
      <w:r w:rsidRPr="007D1918">
        <w:rPr>
          <w:rFonts w:asciiTheme="minorHAnsi" w:hAnsiTheme="minorHAnsi" w:cstheme="minorHAnsi"/>
          <w:i/>
        </w:rPr>
        <w:t>Journal of the Medical Association of Thailand</w:t>
      </w:r>
      <w:r w:rsidRPr="007D1918">
        <w:rPr>
          <w:rFonts w:asciiTheme="minorHAnsi" w:hAnsiTheme="minorHAnsi" w:cstheme="minorHAnsi"/>
        </w:rPr>
        <w:t>, vol. 92, no. 4, pp. 478-482.</w:t>
      </w:r>
    </w:p>
    <w:bookmarkEnd w:id="726"/>
    <w:p w14:paraId="678785DB" w14:textId="77777777" w:rsidR="007D4948" w:rsidRPr="007D1918" w:rsidRDefault="007D4948" w:rsidP="003653DA">
      <w:pPr>
        <w:pStyle w:val="EndNoteBibliography"/>
        <w:spacing w:after="0"/>
        <w:rPr>
          <w:rFonts w:asciiTheme="minorHAnsi" w:hAnsiTheme="minorHAnsi" w:cstheme="minorHAnsi"/>
        </w:rPr>
      </w:pPr>
    </w:p>
    <w:p w14:paraId="3BFC3A26" w14:textId="77777777" w:rsidR="007D4948" w:rsidRPr="007D1918" w:rsidRDefault="007D4948" w:rsidP="003653DA">
      <w:pPr>
        <w:pStyle w:val="EndNoteBibliography"/>
        <w:spacing w:after="0"/>
        <w:rPr>
          <w:rFonts w:asciiTheme="minorHAnsi" w:hAnsiTheme="minorHAnsi" w:cstheme="minorHAnsi"/>
        </w:rPr>
      </w:pPr>
      <w:bookmarkStart w:id="727" w:name="_ENREF_80"/>
      <w:r w:rsidRPr="007D1918">
        <w:rPr>
          <w:rFonts w:asciiTheme="minorHAnsi" w:hAnsiTheme="minorHAnsi" w:cstheme="minorHAnsi"/>
        </w:rPr>
        <w:t xml:space="preserve">Qureshi, AI, Choudhry, MA, Akbar, MS, Mohammad, Y, Chua, HC, Yahia, AM, Ulatowski, JA, Krendel, DA &amp; Leshner, RT 1999, 'Plasma exchange versus intravenous immunoglobulin treatment in myasthenic crisis', </w:t>
      </w:r>
      <w:r w:rsidRPr="007D1918">
        <w:rPr>
          <w:rFonts w:asciiTheme="minorHAnsi" w:hAnsiTheme="minorHAnsi" w:cstheme="minorHAnsi"/>
          <w:i/>
        </w:rPr>
        <w:t>Neurology</w:t>
      </w:r>
      <w:r w:rsidRPr="007D1918">
        <w:rPr>
          <w:rFonts w:asciiTheme="minorHAnsi" w:hAnsiTheme="minorHAnsi" w:cstheme="minorHAnsi"/>
        </w:rPr>
        <w:t>, vol. 52, no. 3, Feb, pp. 629-632.</w:t>
      </w:r>
    </w:p>
    <w:bookmarkEnd w:id="727"/>
    <w:p w14:paraId="481A6C35" w14:textId="77777777" w:rsidR="007D4948" w:rsidRPr="007D1918" w:rsidRDefault="007D4948" w:rsidP="003653DA">
      <w:pPr>
        <w:pStyle w:val="EndNoteBibliography"/>
        <w:spacing w:after="0"/>
        <w:rPr>
          <w:rFonts w:asciiTheme="minorHAnsi" w:hAnsiTheme="minorHAnsi" w:cstheme="minorHAnsi"/>
        </w:rPr>
      </w:pPr>
    </w:p>
    <w:p w14:paraId="4DB81464" w14:textId="77777777" w:rsidR="007D4948" w:rsidRPr="007D1918" w:rsidRDefault="007D4948" w:rsidP="003653DA">
      <w:pPr>
        <w:pStyle w:val="EndNoteBibliography"/>
        <w:spacing w:after="0"/>
        <w:rPr>
          <w:rFonts w:asciiTheme="minorHAnsi" w:hAnsiTheme="minorHAnsi" w:cstheme="minorHAnsi"/>
        </w:rPr>
      </w:pPr>
      <w:bookmarkStart w:id="728" w:name="_ENREF_81"/>
      <w:r w:rsidRPr="007D1918">
        <w:rPr>
          <w:rFonts w:asciiTheme="minorHAnsi" w:hAnsiTheme="minorHAnsi" w:cstheme="minorHAnsi"/>
        </w:rPr>
        <w:t xml:space="preserve">Reis, TA, Cataneo, DC &amp; Cataneo, AJM 2019, 'Clinical usefulness of prethymectomy plasmapheresis in patients with myasthenia gravis: a systematic review and meta-analysis', </w:t>
      </w:r>
      <w:r w:rsidRPr="007D1918">
        <w:rPr>
          <w:rFonts w:asciiTheme="minorHAnsi" w:hAnsiTheme="minorHAnsi" w:cstheme="minorHAnsi"/>
          <w:i/>
        </w:rPr>
        <w:t>Interact Cardiovasc Thorac Surg</w:t>
      </w:r>
      <w:r w:rsidRPr="007D1918">
        <w:rPr>
          <w:rFonts w:asciiTheme="minorHAnsi" w:hAnsiTheme="minorHAnsi" w:cstheme="minorHAnsi"/>
        </w:rPr>
        <w:t>, Jul 30.</w:t>
      </w:r>
    </w:p>
    <w:bookmarkEnd w:id="728"/>
    <w:p w14:paraId="6CAD4765" w14:textId="77777777" w:rsidR="007D4948" w:rsidRPr="007D1918" w:rsidRDefault="007D4948" w:rsidP="003653DA">
      <w:pPr>
        <w:pStyle w:val="EndNoteBibliography"/>
        <w:spacing w:after="0"/>
        <w:rPr>
          <w:rFonts w:asciiTheme="minorHAnsi" w:hAnsiTheme="minorHAnsi" w:cstheme="minorHAnsi"/>
        </w:rPr>
      </w:pPr>
    </w:p>
    <w:p w14:paraId="72411103" w14:textId="77777777" w:rsidR="007D4948" w:rsidRPr="007D1918" w:rsidRDefault="007D4948" w:rsidP="003653DA">
      <w:pPr>
        <w:pStyle w:val="EndNoteBibliography"/>
        <w:spacing w:after="0"/>
        <w:rPr>
          <w:rFonts w:asciiTheme="minorHAnsi" w:hAnsiTheme="minorHAnsi" w:cstheme="minorHAnsi"/>
        </w:rPr>
      </w:pPr>
      <w:bookmarkStart w:id="729" w:name="_ENREF_82"/>
      <w:r w:rsidRPr="007D1918">
        <w:rPr>
          <w:rFonts w:asciiTheme="minorHAnsi" w:hAnsiTheme="minorHAnsi" w:cstheme="minorHAnsi"/>
        </w:rPr>
        <w:t xml:space="preserve">Ridley, S 2006, 'NICE Technology Appraisal No 84', </w:t>
      </w:r>
      <w:r w:rsidRPr="007D1918">
        <w:rPr>
          <w:rFonts w:asciiTheme="minorHAnsi" w:hAnsiTheme="minorHAnsi" w:cstheme="minorHAnsi"/>
          <w:i/>
        </w:rPr>
        <w:t>Anasthesiol Intensivmed Notfallmed Schmerzther</w:t>
      </w:r>
      <w:r w:rsidRPr="007D1918">
        <w:rPr>
          <w:rFonts w:asciiTheme="minorHAnsi" w:hAnsiTheme="minorHAnsi" w:cstheme="minorHAnsi"/>
        </w:rPr>
        <w:t>, vol. 41, no. 1, Jan, pp. 44-46.</w:t>
      </w:r>
    </w:p>
    <w:bookmarkEnd w:id="729"/>
    <w:p w14:paraId="5A1DC119" w14:textId="77777777" w:rsidR="007D4948" w:rsidRPr="007D1918" w:rsidRDefault="007D4948" w:rsidP="003653DA">
      <w:pPr>
        <w:pStyle w:val="EndNoteBibliography"/>
        <w:spacing w:after="0"/>
        <w:rPr>
          <w:rFonts w:asciiTheme="minorHAnsi" w:hAnsiTheme="minorHAnsi" w:cstheme="minorHAnsi"/>
        </w:rPr>
      </w:pPr>
    </w:p>
    <w:p w14:paraId="36A1E179" w14:textId="77777777" w:rsidR="007D4948" w:rsidRPr="007D1918" w:rsidRDefault="007D4948" w:rsidP="003653DA">
      <w:pPr>
        <w:pStyle w:val="EndNoteBibliography"/>
        <w:spacing w:after="0"/>
        <w:rPr>
          <w:rFonts w:asciiTheme="minorHAnsi" w:hAnsiTheme="minorHAnsi" w:cstheme="minorHAnsi"/>
        </w:rPr>
      </w:pPr>
      <w:bookmarkStart w:id="730" w:name="_ENREF_83"/>
      <w:r w:rsidRPr="007D1918">
        <w:rPr>
          <w:rFonts w:asciiTheme="minorHAnsi" w:hAnsiTheme="minorHAnsi" w:cstheme="minorHAnsi"/>
        </w:rPr>
        <w:t xml:space="preserve">Rønager, J, Ravnborg, M, Hermansen, I &amp; Vorstrup, S 2001, 'Immunoglobulin treatment versus plasma exchange in patients with chronic moderate to severe myasthenia gravis', </w:t>
      </w:r>
      <w:r w:rsidRPr="007D1918">
        <w:rPr>
          <w:rFonts w:asciiTheme="minorHAnsi" w:hAnsiTheme="minorHAnsi" w:cstheme="minorHAnsi"/>
          <w:i/>
        </w:rPr>
        <w:t>Artificial organs</w:t>
      </w:r>
      <w:r w:rsidRPr="007D1918">
        <w:rPr>
          <w:rFonts w:asciiTheme="minorHAnsi" w:hAnsiTheme="minorHAnsi" w:cstheme="minorHAnsi"/>
        </w:rPr>
        <w:t>, vol. 25, no. 12, pp. 967‐973.</w:t>
      </w:r>
    </w:p>
    <w:bookmarkEnd w:id="730"/>
    <w:p w14:paraId="5469CCDA" w14:textId="77777777" w:rsidR="007D4948" w:rsidRPr="007D1918" w:rsidRDefault="007D4948" w:rsidP="003653DA">
      <w:pPr>
        <w:pStyle w:val="EndNoteBibliography"/>
        <w:spacing w:after="0"/>
        <w:rPr>
          <w:rFonts w:asciiTheme="minorHAnsi" w:hAnsiTheme="minorHAnsi" w:cstheme="minorHAnsi"/>
        </w:rPr>
      </w:pPr>
    </w:p>
    <w:p w14:paraId="53FF9C8F" w14:textId="77777777" w:rsidR="007D4948" w:rsidRPr="007D1918" w:rsidRDefault="007D4948" w:rsidP="003653DA">
      <w:pPr>
        <w:pStyle w:val="EndNoteBibliography"/>
        <w:spacing w:after="0"/>
        <w:rPr>
          <w:rFonts w:asciiTheme="minorHAnsi" w:hAnsiTheme="minorHAnsi" w:cstheme="minorHAnsi"/>
        </w:rPr>
      </w:pPr>
      <w:bookmarkStart w:id="731" w:name="_ENREF_84"/>
      <w:r w:rsidRPr="007D1918">
        <w:rPr>
          <w:rFonts w:asciiTheme="minorHAnsi" w:hAnsiTheme="minorHAnsi" w:cstheme="minorHAnsi"/>
        </w:rPr>
        <w:t xml:space="preserve">Saeteng, S, Tantraworasin, A, Siwachat, S, Lertprasertsuke, N, Euathrongchit, J &amp; Wannasopha, Y 2013, 'Preoperative plasmapheresis for elective thymectomy in myasthenia patient: is it necessary?', </w:t>
      </w:r>
      <w:r w:rsidRPr="007D1918">
        <w:rPr>
          <w:rFonts w:asciiTheme="minorHAnsi" w:hAnsiTheme="minorHAnsi" w:cstheme="minorHAnsi"/>
          <w:i/>
        </w:rPr>
        <w:t>ISRN Neurol</w:t>
      </w:r>
      <w:r w:rsidRPr="007D1918">
        <w:rPr>
          <w:rFonts w:asciiTheme="minorHAnsi" w:hAnsiTheme="minorHAnsi" w:cstheme="minorHAnsi"/>
        </w:rPr>
        <w:t>, vol. 2013, p. 238783.</w:t>
      </w:r>
    </w:p>
    <w:bookmarkEnd w:id="731"/>
    <w:p w14:paraId="1E1FBA5D" w14:textId="77777777" w:rsidR="007D4948" w:rsidRPr="007D1918" w:rsidRDefault="007D4948" w:rsidP="003653DA">
      <w:pPr>
        <w:pStyle w:val="EndNoteBibliography"/>
        <w:spacing w:after="0"/>
        <w:rPr>
          <w:rFonts w:asciiTheme="minorHAnsi" w:hAnsiTheme="minorHAnsi" w:cstheme="minorHAnsi"/>
        </w:rPr>
      </w:pPr>
    </w:p>
    <w:p w14:paraId="3B132131" w14:textId="77777777" w:rsidR="007D4948" w:rsidRPr="007D1918" w:rsidRDefault="007D4948" w:rsidP="003653DA">
      <w:pPr>
        <w:pStyle w:val="EndNoteBibliography"/>
        <w:spacing w:after="0"/>
        <w:rPr>
          <w:rFonts w:asciiTheme="minorHAnsi" w:hAnsiTheme="minorHAnsi" w:cstheme="minorHAnsi"/>
        </w:rPr>
      </w:pPr>
      <w:bookmarkStart w:id="732" w:name="_ENREF_85"/>
      <w:r w:rsidRPr="007D1918">
        <w:rPr>
          <w:rFonts w:asciiTheme="minorHAnsi" w:hAnsiTheme="minorHAnsi" w:cstheme="minorHAnsi"/>
        </w:rPr>
        <w:t xml:space="preserve">Sandercock, P, Berge, E, Dennis, M, Forbes, J, Hand, P, Kwan, J, Lewis, S, Lindley, R, Neilson, A, Thomas, B &amp; Wardlaw, J 2002, 'A systematic review of the effectiveness, cost-effectiveness and barriers to implementation of thrombolytic and neuroprotective therapy for acute ischaemic stroke in the NHS', </w:t>
      </w:r>
      <w:r w:rsidRPr="007D1918">
        <w:rPr>
          <w:rFonts w:asciiTheme="minorHAnsi" w:hAnsiTheme="minorHAnsi" w:cstheme="minorHAnsi"/>
          <w:i/>
        </w:rPr>
        <w:t>Health technology assessment (Winchester, England)</w:t>
      </w:r>
      <w:r w:rsidRPr="007D1918">
        <w:rPr>
          <w:rFonts w:asciiTheme="minorHAnsi" w:hAnsiTheme="minorHAnsi" w:cstheme="minorHAnsi"/>
        </w:rPr>
        <w:t>, vol. 6, no. 26, 2002, pp. 1-112.</w:t>
      </w:r>
    </w:p>
    <w:bookmarkEnd w:id="732"/>
    <w:p w14:paraId="0F2EF1C2" w14:textId="77777777" w:rsidR="007D4948" w:rsidRPr="007D1918" w:rsidRDefault="007D4948" w:rsidP="003653DA">
      <w:pPr>
        <w:pStyle w:val="EndNoteBibliography"/>
        <w:spacing w:after="0"/>
        <w:rPr>
          <w:rFonts w:asciiTheme="minorHAnsi" w:hAnsiTheme="minorHAnsi" w:cstheme="minorHAnsi"/>
        </w:rPr>
      </w:pPr>
    </w:p>
    <w:p w14:paraId="6BE8FC61" w14:textId="77777777" w:rsidR="007D4948" w:rsidRPr="007D1918" w:rsidRDefault="007D4948" w:rsidP="003653DA">
      <w:pPr>
        <w:pStyle w:val="EndNoteBibliography"/>
        <w:spacing w:after="0"/>
        <w:rPr>
          <w:rFonts w:asciiTheme="minorHAnsi" w:hAnsiTheme="minorHAnsi" w:cstheme="minorHAnsi"/>
        </w:rPr>
      </w:pPr>
      <w:bookmarkStart w:id="733" w:name="_ENREF_86"/>
      <w:r w:rsidRPr="007D1918">
        <w:rPr>
          <w:rFonts w:asciiTheme="minorHAnsi" w:hAnsiTheme="minorHAnsi" w:cstheme="minorHAnsi"/>
        </w:rPr>
        <w:t xml:space="preserve">Sanders, DB, Tucker-Lipscomb, B &amp; Massey, JM 2003, 'A simple manual muscle test for myasthenia gravis: validation and comparison with the QMG score', </w:t>
      </w:r>
      <w:r w:rsidRPr="007D1918">
        <w:rPr>
          <w:rFonts w:asciiTheme="minorHAnsi" w:hAnsiTheme="minorHAnsi" w:cstheme="minorHAnsi"/>
          <w:i/>
        </w:rPr>
        <w:t>Ann N Y Acad Sci</w:t>
      </w:r>
      <w:r w:rsidRPr="007D1918">
        <w:rPr>
          <w:rFonts w:asciiTheme="minorHAnsi" w:hAnsiTheme="minorHAnsi" w:cstheme="minorHAnsi"/>
        </w:rPr>
        <w:t>, vol. 998, Sep, pp. 440-444.</w:t>
      </w:r>
    </w:p>
    <w:bookmarkEnd w:id="733"/>
    <w:p w14:paraId="4AFB3B63" w14:textId="77777777" w:rsidR="007D4948" w:rsidRPr="007D1918" w:rsidRDefault="007D4948" w:rsidP="003653DA">
      <w:pPr>
        <w:pStyle w:val="EndNoteBibliography"/>
        <w:spacing w:after="0"/>
        <w:rPr>
          <w:rFonts w:asciiTheme="minorHAnsi" w:hAnsiTheme="minorHAnsi" w:cstheme="minorHAnsi"/>
        </w:rPr>
      </w:pPr>
    </w:p>
    <w:p w14:paraId="61468008" w14:textId="77777777" w:rsidR="007D4948" w:rsidRPr="007D1918" w:rsidRDefault="007D4948" w:rsidP="003653DA">
      <w:pPr>
        <w:pStyle w:val="EndNoteBibliography"/>
        <w:spacing w:after="0"/>
        <w:rPr>
          <w:rFonts w:asciiTheme="minorHAnsi" w:hAnsiTheme="minorHAnsi" w:cstheme="minorHAnsi"/>
        </w:rPr>
      </w:pPr>
      <w:bookmarkStart w:id="734" w:name="_ENREF_87"/>
      <w:r w:rsidRPr="007D1918">
        <w:rPr>
          <w:rFonts w:asciiTheme="minorHAnsi" w:hAnsiTheme="minorHAnsi" w:cstheme="minorHAnsi"/>
        </w:rPr>
        <w:t xml:space="preserve">Sanders DB, WG, Benetar M, Evoli A, Gilhus NE, Illa I, Kuntz N, Massey JM, Melms A, Murai H, Nicolle M, Palace J, Rishman DP, Verchuuren J, Narayanaswami P, 2016, 'International consensus guidance for management of myasthenia gravis: Executive Summary', </w:t>
      </w:r>
      <w:r w:rsidRPr="007D1918">
        <w:rPr>
          <w:rFonts w:asciiTheme="minorHAnsi" w:hAnsiTheme="minorHAnsi" w:cstheme="minorHAnsi"/>
          <w:i/>
        </w:rPr>
        <w:t>Neurology</w:t>
      </w:r>
      <w:r w:rsidRPr="007D1918">
        <w:rPr>
          <w:rFonts w:asciiTheme="minorHAnsi" w:hAnsiTheme="minorHAnsi" w:cstheme="minorHAnsi"/>
        </w:rPr>
        <w:t>, vol. Supplemental data, no. 87, pp. 419-425.</w:t>
      </w:r>
    </w:p>
    <w:bookmarkEnd w:id="734"/>
    <w:p w14:paraId="73BDB7D9" w14:textId="77777777" w:rsidR="007D4948" w:rsidRPr="007D1918" w:rsidRDefault="007D4948" w:rsidP="003653DA">
      <w:pPr>
        <w:pStyle w:val="EndNoteBibliography"/>
        <w:spacing w:after="0"/>
        <w:rPr>
          <w:rFonts w:asciiTheme="minorHAnsi" w:hAnsiTheme="minorHAnsi" w:cstheme="minorHAnsi"/>
        </w:rPr>
      </w:pPr>
    </w:p>
    <w:p w14:paraId="509EE804" w14:textId="77777777" w:rsidR="007D4948" w:rsidRPr="007D1918" w:rsidRDefault="007D4948" w:rsidP="003653DA">
      <w:pPr>
        <w:pStyle w:val="EndNoteBibliography"/>
        <w:spacing w:after="0"/>
        <w:rPr>
          <w:rFonts w:asciiTheme="minorHAnsi" w:hAnsiTheme="minorHAnsi" w:cstheme="minorHAnsi"/>
        </w:rPr>
      </w:pPr>
      <w:bookmarkStart w:id="735" w:name="_ENREF_88"/>
      <w:r w:rsidRPr="007D1918">
        <w:rPr>
          <w:rFonts w:asciiTheme="minorHAnsi" w:hAnsiTheme="minorHAnsi" w:cstheme="minorHAnsi"/>
        </w:rPr>
        <w:t xml:space="preserve">Selcen, D, Dabrowski, ER, Michon, AM &amp; Nigro, MA 2000, 'High-dose intravenous immunoglobulin therapy in juvenile myasthenia gravis', </w:t>
      </w:r>
      <w:r w:rsidRPr="007D1918">
        <w:rPr>
          <w:rFonts w:asciiTheme="minorHAnsi" w:hAnsiTheme="minorHAnsi" w:cstheme="minorHAnsi"/>
          <w:i/>
        </w:rPr>
        <w:t>Pediatric Neurology</w:t>
      </w:r>
      <w:r w:rsidRPr="007D1918">
        <w:rPr>
          <w:rFonts w:asciiTheme="minorHAnsi" w:hAnsiTheme="minorHAnsi" w:cstheme="minorHAnsi"/>
        </w:rPr>
        <w:t>, vol. 22, no. 1, pp. 40-43.</w:t>
      </w:r>
    </w:p>
    <w:bookmarkEnd w:id="735"/>
    <w:p w14:paraId="26A8606F" w14:textId="77777777" w:rsidR="007D4948" w:rsidRPr="007D1918" w:rsidRDefault="007D4948" w:rsidP="003653DA">
      <w:pPr>
        <w:pStyle w:val="EndNoteBibliography"/>
        <w:spacing w:after="0"/>
        <w:rPr>
          <w:rFonts w:asciiTheme="minorHAnsi" w:hAnsiTheme="minorHAnsi" w:cstheme="minorHAnsi"/>
        </w:rPr>
      </w:pPr>
    </w:p>
    <w:p w14:paraId="7FDC07D6" w14:textId="77777777" w:rsidR="007D4948" w:rsidRPr="007D1918" w:rsidRDefault="007D4948" w:rsidP="003653DA">
      <w:pPr>
        <w:pStyle w:val="EndNoteBibliography"/>
        <w:spacing w:after="0"/>
        <w:rPr>
          <w:rFonts w:asciiTheme="minorHAnsi" w:hAnsiTheme="minorHAnsi" w:cstheme="minorHAnsi"/>
        </w:rPr>
      </w:pPr>
      <w:bookmarkStart w:id="736" w:name="_ENREF_89"/>
      <w:r w:rsidRPr="007D1918">
        <w:rPr>
          <w:rFonts w:asciiTheme="minorHAnsi" w:hAnsiTheme="minorHAnsi" w:cstheme="minorHAnsi"/>
        </w:rPr>
        <w:t xml:space="preserve">Sharma, S, Lal, V, Prabhakar, S &amp; Agarwal, R 2013, 'Clinical profile and outcome of myasthenic crisis in a tertiary care hospital: A prospective study', </w:t>
      </w:r>
      <w:r w:rsidRPr="007D1918">
        <w:rPr>
          <w:rFonts w:asciiTheme="minorHAnsi" w:hAnsiTheme="minorHAnsi" w:cstheme="minorHAnsi"/>
          <w:i/>
        </w:rPr>
        <w:t>Ann Indian Acad Neurol</w:t>
      </w:r>
      <w:r w:rsidRPr="007D1918">
        <w:rPr>
          <w:rFonts w:asciiTheme="minorHAnsi" w:hAnsiTheme="minorHAnsi" w:cstheme="minorHAnsi"/>
        </w:rPr>
        <w:t>, vol. 16, no. 2, Apr, pp. 203-207.</w:t>
      </w:r>
    </w:p>
    <w:bookmarkEnd w:id="736"/>
    <w:p w14:paraId="3A251486" w14:textId="77777777" w:rsidR="007D4948" w:rsidRPr="007D1918" w:rsidRDefault="007D4948" w:rsidP="003653DA">
      <w:pPr>
        <w:pStyle w:val="EndNoteBibliography"/>
        <w:spacing w:after="0"/>
        <w:rPr>
          <w:rFonts w:asciiTheme="minorHAnsi" w:hAnsiTheme="minorHAnsi" w:cstheme="minorHAnsi"/>
        </w:rPr>
      </w:pPr>
    </w:p>
    <w:p w14:paraId="2CE3C68A" w14:textId="77777777" w:rsidR="007D4948" w:rsidRPr="007D1918" w:rsidRDefault="007D4948" w:rsidP="003653DA">
      <w:pPr>
        <w:pStyle w:val="EndNoteBibliography"/>
        <w:spacing w:after="0"/>
        <w:rPr>
          <w:rFonts w:asciiTheme="minorHAnsi" w:hAnsiTheme="minorHAnsi" w:cstheme="minorHAnsi"/>
        </w:rPr>
      </w:pPr>
      <w:bookmarkStart w:id="737" w:name="_ENREF_90"/>
      <w:r w:rsidRPr="007D1918">
        <w:rPr>
          <w:rFonts w:asciiTheme="minorHAnsi" w:hAnsiTheme="minorHAnsi" w:cstheme="minorHAnsi"/>
        </w:rPr>
        <w:lastRenderedPageBreak/>
        <w:t xml:space="preserve">Sharshar, T, Chevret, S, Mazighi, M, Chillet, P, Huberfeld, G, Berreotta, C, Houfani, M &amp; Gajdos, P 2000, 'Validity and reliability of two muscle strength scores commonly used as endpoints in assessing treatment of myasthenia gravis', </w:t>
      </w:r>
      <w:r w:rsidRPr="007D1918">
        <w:rPr>
          <w:rFonts w:asciiTheme="minorHAnsi" w:hAnsiTheme="minorHAnsi" w:cstheme="minorHAnsi"/>
          <w:i/>
        </w:rPr>
        <w:t>Journal of Neurology</w:t>
      </w:r>
      <w:r w:rsidRPr="007D1918">
        <w:rPr>
          <w:rFonts w:asciiTheme="minorHAnsi" w:hAnsiTheme="minorHAnsi" w:cstheme="minorHAnsi"/>
        </w:rPr>
        <w:t>, vol. 247, no. 4, 2000/04/01, pp. 286-290.</w:t>
      </w:r>
    </w:p>
    <w:bookmarkEnd w:id="737"/>
    <w:p w14:paraId="0EEDCB7B" w14:textId="77777777" w:rsidR="007D4948" w:rsidRPr="007D1918" w:rsidRDefault="007D4948" w:rsidP="003653DA">
      <w:pPr>
        <w:pStyle w:val="EndNoteBibliography"/>
        <w:spacing w:after="0"/>
        <w:rPr>
          <w:rFonts w:asciiTheme="minorHAnsi" w:hAnsiTheme="minorHAnsi" w:cstheme="minorHAnsi"/>
        </w:rPr>
      </w:pPr>
    </w:p>
    <w:p w14:paraId="6C4952DB" w14:textId="77777777" w:rsidR="007D4948" w:rsidRPr="007D1918" w:rsidRDefault="007D4948" w:rsidP="003653DA">
      <w:pPr>
        <w:pStyle w:val="EndNoteBibliography"/>
        <w:spacing w:after="0"/>
        <w:rPr>
          <w:rFonts w:asciiTheme="minorHAnsi" w:hAnsiTheme="minorHAnsi" w:cstheme="minorHAnsi"/>
        </w:rPr>
      </w:pPr>
      <w:bookmarkStart w:id="738" w:name="_ENREF_91"/>
      <w:r w:rsidRPr="007D1918">
        <w:rPr>
          <w:rFonts w:asciiTheme="minorHAnsi" w:hAnsiTheme="minorHAnsi" w:cstheme="minorHAnsi"/>
        </w:rPr>
        <w:t xml:space="preserve">Shea, BJ, Reeves, BC, Wells, G, Thuku, M, Hamel, C, Moran, J, Moher, D, Tugwell, P, Welch, V, Kristjansson, E &amp; Henry, DA 2017, 'AMSTAR 2: a critical appraisal tool for systematic reviews that include randomised or non-randomised studies of healthcare interventions, or both', </w:t>
      </w:r>
      <w:r w:rsidRPr="007D1918">
        <w:rPr>
          <w:rFonts w:asciiTheme="minorHAnsi" w:hAnsiTheme="minorHAnsi" w:cstheme="minorHAnsi"/>
          <w:i/>
        </w:rPr>
        <w:t>BMJ</w:t>
      </w:r>
      <w:r w:rsidRPr="007D1918">
        <w:rPr>
          <w:rFonts w:asciiTheme="minorHAnsi" w:hAnsiTheme="minorHAnsi" w:cstheme="minorHAnsi"/>
        </w:rPr>
        <w:t>, vol. 358, Sep 21, p. j4008.</w:t>
      </w:r>
    </w:p>
    <w:bookmarkEnd w:id="738"/>
    <w:p w14:paraId="186FAD86" w14:textId="77777777" w:rsidR="007D4948" w:rsidRPr="007D1918" w:rsidRDefault="007D4948" w:rsidP="003653DA">
      <w:pPr>
        <w:pStyle w:val="EndNoteBibliography"/>
        <w:spacing w:after="0"/>
        <w:rPr>
          <w:rFonts w:asciiTheme="minorHAnsi" w:hAnsiTheme="minorHAnsi" w:cstheme="minorHAnsi"/>
        </w:rPr>
      </w:pPr>
    </w:p>
    <w:p w14:paraId="1AC23357" w14:textId="77777777" w:rsidR="007D4948" w:rsidRPr="007D1918" w:rsidRDefault="007D4948" w:rsidP="003653DA">
      <w:pPr>
        <w:pStyle w:val="EndNoteBibliography"/>
        <w:spacing w:after="0"/>
        <w:rPr>
          <w:rFonts w:asciiTheme="minorHAnsi" w:hAnsiTheme="minorHAnsi" w:cstheme="minorHAnsi"/>
        </w:rPr>
      </w:pPr>
      <w:bookmarkStart w:id="739" w:name="_ENREF_92"/>
      <w:r w:rsidRPr="007D1918">
        <w:rPr>
          <w:rFonts w:asciiTheme="minorHAnsi" w:hAnsiTheme="minorHAnsi" w:cstheme="minorHAnsi"/>
        </w:rPr>
        <w:t xml:space="preserve">Shi, M, Cui, T, Ma, L, Zhou, L &amp; Fu, P 2017, 'Catheter Failure and Mortality in Hemodialysis Patients with Tunneled Cuffed Venous Catheters in a Single Center', </w:t>
      </w:r>
      <w:r w:rsidRPr="007D1918">
        <w:rPr>
          <w:rFonts w:asciiTheme="minorHAnsi" w:hAnsiTheme="minorHAnsi" w:cstheme="minorHAnsi"/>
          <w:i/>
        </w:rPr>
        <w:t>Blood Purif</w:t>
      </w:r>
      <w:r w:rsidRPr="007D1918">
        <w:rPr>
          <w:rFonts w:asciiTheme="minorHAnsi" w:hAnsiTheme="minorHAnsi" w:cstheme="minorHAnsi"/>
        </w:rPr>
        <w:t>, vol. 43, no. 4, pp. 321-326.</w:t>
      </w:r>
    </w:p>
    <w:bookmarkEnd w:id="739"/>
    <w:p w14:paraId="33A7362A" w14:textId="77777777" w:rsidR="007D4948" w:rsidRPr="007D1918" w:rsidRDefault="007D4948" w:rsidP="003653DA">
      <w:pPr>
        <w:pStyle w:val="EndNoteBibliography"/>
        <w:spacing w:after="0"/>
        <w:rPr>
          <w:rFonts w:asciiTheme="minorHAnsi" w:hAnsiTheme="minorHAnsi" w:cstheme="minorHAnsi"/>
        </w:rPr>
      </w:pPr>
    </w:p>
    <w:p w14:paraId="2101ABD9" w14:textId="77777777" w:rsidR="007D4948" w:rsidRPr="007D1918" w:rsidRDefault="007D4948" w:rsidP="003653DA">
      <w:pPr>
        <w:pStyle w:val="EndNoteBibliography"/>
        <w:spacing w:after="0"/>
        <w:rPr>
          <w:rFonts w:asciiTheme="minorHAnsi" w:hAnsiTheme="minorHAnsi" w:cstheme="minorHAnsi"/>
        </w:rPr>
      </w:pPr>
      <w:bookmarkStart w:id="740" w:name="_ENREF_93"/>
      <w:r w:rsidRPr="007D1918">
        <w:rPr>
          <w:rFonts w:asciiTheme="minorHAnsi" w:hAnsiTheme="minorHAnsi" w:cstheme="minorHAnsi"/>
        </w:rPr>
        <w:t xml:space="preserve">Shunkwiler, SM, Pham, HP, Wool, G, Ipe, TS, Fang, DC, Biller, E, Treml, A, Weiss, J, Baron, BW, Berg, M &amp; AABB, ObotTASot 2018, 'The management of anticoagulation in patients undergoing therapeutic plasma exchange: A concise review', </w:t>
      </w:r>
      <w:r w:rsidRPr="007D1918">
        <w:rPr>
          <w:rFonts w:asciiTheme="minorHAnsi" w:hAnsiTheme="minorHAnsi" w:cstheme="minorHAnsi"/>
          <w:i/>
        </w:rPr>
        <w:t>Journal of Clinical Apheresis</w:t>
      </w:r>
      <w:r w:rsidRPr="007D1918">
        <w:rPr>
          <w:rFonts w:asciiTheme="minorHAnsi" w:hAnsiTheme="minorHAnsi" w:cstheme="minorHAnsi"/>
        </w:rPr>
        <w:t>, vol. 33, no. 3, pp. 371-379.</w:t>
      </w:r>
    </w:p>
    <w:bookmarkEnd w:id="740"/>
    <w:p w14:paraId="6FBCB152" w14:textId="77777777" w:rsidR="007D4948" w:rsidRPr="007D1918" w:rsidRDefault="007D4948" w:rsidP="003653DA">
      <w:pPr>
        <w:pStyle w:val="EndNoteBibliography"/>
        <w:spacing w:after="0"/>
        <w:rPr>
          <w:rFonts w:asciiTheme="minorHAnsi" w:hAnsiTheme="minorHAnsi" w:cstheme="minorHAnsi"/>
        </w:rPr>
      </w:pPr>
    </w:p>
    <w:p w14:paraId="228BF2FF" w14:textId="1932EEE0" w:rsidR="007D4948" w:rsidRPr="007D1918" w:rsidRDefault="007D4948" w:rsidP="003653DA">
      <w:pPr>
        <w:pStyle w:val="EndNoteBibliography"/>
        <w:spacing w:after="0"/>
        <w:rPr>
          <w:rFonts w:asciiTheme="minorHAnsi" w:hAnsiTheme="minorHAnsi" w:cstheme="minorHAnsi"/>
        </w:rPr>
      </w:pPr>
      <w:bookmarkStart w:id="741" w:name="_ENREF_94"/>
      <w:r w:rsidRPr="007D1918">
        <w:rPr>
          <w:rFonts w:asciiTheme="minorHAnsi" w:hAnsiTheme="minorHAnsi" w:cstheme="minorHAnsi"/>
        </w:rPr>
        <w:t xml:space="preserve">SIGN 2014, </w:t>
      </w:r>
      <w:r w:rsidRPr="007D1918">
        <w:rPr>
          <w:rFonts w:asciiTheme="minorHAnsi" w:hAnsiTheme="minorHAnsi" w:cstheme="minorHAnsi"/>
          <w:i/>
        </w:rPr>
        <w:t>SIGN 50: a guideline developer’s handbook (SIGN publication no. 50)</w:t>
      </w:r>
      <w:r w:rsidRPr="007D1918">
        <w:rPr>
          <w:rFonts w:asciiTheme="minorHAnsi" w:hAnsiTheme="minorHAnsi" w:cstheme="minorHAnsi"/>
        </w:rPr>
        <w:t xml:space="preserve">, Scottish Intercollegiate Guidelines Network, Edinburgh, &lt; </w:t>
      </w:r>
      <w:hyperlink r:id="rId92" w:tooltip="Website link" w:history="1">
        <w:r w:rsidRPr="007D1918">
          <w:rPr>
            <w:rStyle w:val="Hyperlink"/>
            <w:rFonts w:asciiTheme="minorHAnsi" w:hAnsiTheme="minorHAnsi" w:cstheme="minorHAnsi"/>
          </w:rPr>
          <w:t>http://www.sign.ac.uk</w:t>
        </w:r>
      </w:hyperlink>
      <w:r w:rsidRPr="007D1918">
        <w:rPr>
          <w:rFonts w:asciiTheme="minorHAnsi" w:hAnsiTheme="minorHAnsi" w:cstheme="minorHAnsi"/>
        </w:rPr>
        <w:t>&gt;.</w:t>
      </w:r>
    </w:p>
    <w:bookmarkEnd w:id="741"/>
    <w:p w14:paraId="0F4F3ABD" w14:textId="77777777" w:rsidR="007D4948" w:rsidRPr="007D1918" w:rsidRDefault="007D4948" w:rsidP="003653DA">
      <w:pPr>
        <w:pStyle w:val="EndNoteBibliography"/>
        <w:spacing w:after="0"/>
        <w:rPr>
          <w:rFonts w:asciiTheme="minorHAnsi" w:hAnsiTheme="minorHAnsi" w:cstheme="minorHAnsi"/>
        </w:rPr>
      </w:pPr>
    </w:p>
    <w:p w14:paraId="5A3CB8DE" w14:textId="77777777" w:rsidR="007D4948" w:rsidRPr="007D1918" w:rsidRDefault="007D4948" w:rsidP="003653DA">
      <w:pPr>
        <w:pStyle w:val="EndNoteBibliography"/>
        <w:spacing w:after="0"/>
        <w:rPr>
          <w:rFonts w:asciiTheme="minorHAnsi" w:hAnsiTheme="minorHAnsi" w:cstheme="minorHAnsi"/>
        </w:rPr>
      </w:pPr>
      <w:bookmarkStart w:id="742" w:name="_ENREF_95"/>
      <w:r w:rsidRPr="007D1918">
        <w:rPr>
          <w:rFonts w:asciiTheme="minorHAnsi" w:hAnsiTheme="minorHAnsi" w:cstheme="minorHAnsi"/>
        </w:rPr>
        <w:t xml:space="preserve">Sorgun, MH, Sener, HO, Yucesan, C &amp; Yucemen, N 2014, 'Intravenous immunoglobulin for prophylaxis of acute exacerbation in myasthenia gravis', </w:t>
      </w:r>
      <w:r w:rsidRPr="007D1918">
        <w:rPr>
          <w:rFonts w:asciiTheme="minorHAnsi" w:hAnsiTheme="minorHAnsi" w:cstheme="minorHAnsi"/>
          <w:i/>
        </w:rPr>
        <w:t>Neurological Sciences</w:t>
      </w:r>
      <w:r w:rsidRPr="007D1918">
        <w:rPr>
          <w:rFonts w:asciiTheme="minorHAnsi" w:hAnsiTheme="minorHAnsi" w:cstheme="minorHAnsi"/>
        </w:rPr>
        <w:t>, vol. 35, no. 6, pp. 891-896.</w:t>
      </w:r>
    </w:p>
    <w:bookmarkEnd w:id="742"/>
    <w:p w14:paraId="496E645B" w14:textId="77777777" w:rsidR="007D4948" w:rsidRPr="007D1918" w:rsidRDefault="007D4948" w:rsidP="003653DA">
      <w:pPr>
        <w:pStyle w:val="EndNoteBibliography"/>
        <w:spacing w:after="0"/>
        <w:rPr>
          <w:rFonts w:asciiTheme="minorHAnsi" w:hAnsiTheme="minorHAnsi" w:cstheme="minorHAnsi"/>
        </w:rPr>
      </w:pPr>
    </w:p>
    <w:p w14:paraId="2F6194F0" w14:textId="77777777" w:rsidR="007D4948" w:rsidRPr="007D1918" w:rsidRDefault="007D4948" w:rsidP="003653DA">
      <w:pPr>
        <w:pStyle w:val="EndNoteBibliography"/>
        <w:spacing w:after="0"/>
        <w:rPr>
          <w:rFonts w:asciiTheme="minorHAnsi" w:hAnsiTheme="minorHAnsi" w:cstheme="minorHAnsi"/>
        </w:rPr>
      </w:pPr>
      <w:bookmarkStart w:id="743" w:name="_ENREF_96"/>
      <w:r w:rsidRPr="007D1918">
        <w:rPr>
          <w:rFonts w:asciiTheme="minorHAnsi" w:hAnsiTheme="minorHAnsi" w:cstheme="minorHAnsi"/>
        </w:rPr>
        <w:t xml:space="preserve">Statland, JM &amp; Ciafaloni, E 2013, 'Myasthenia gravis: Five new things', </w:t>
      </w:r>
      <w:r w:rsidRPr="007D1918">
        <w:rPr>
          <w:rFonts w:asciiTheme="minorHAnsi" w:hAnsiTheme="minorHAnsi" w:cstheme="minorHAnsi"/>
          <w:i/>
        </w:rPr>
        <w:t>Neurology: Clinical Practice</w:t>
      </w:r>
      <w:r w:rsidRPr="007D1918">
        <w:rPr>
          <w:rFonts w:asciiTheme="minorHAnsi" w:hAnsiTheme="minorHAnsi" w:cstheme="minorHAnsi"/>
        </w:rPr>
        <w:t>, vol. 3, no. 2, pp. 126-133.</w:t>
      </w:r>
    </w:p>
    <w:bookmarkEnd w:id="743"/>
    <w:p w14:paraId="6304B27C" w14:textId="77777777" w:rsidR="007D4948" w:rsidRPr="007D1918" w:rsidRDefault="007D4948" w:rsidP="003653DA">
      <w:pPr>
        <w:pStyle w:val="EndNoteBibliography"/>
        <w:spacing w:after="0"/>
        <w:rPr>
          <w:rFonts w:asciiTheme="minorHAnsi" w:hAnsiTheme="minorHAnsi" w:cstheme="minorHAnsi"/>
        </w:rPr>
      </w:pPr>
    </w:p>
    <w:p w14:paraId="23FEEE87" w14:textId="77777777" w:rsidR="007D4948" w:rsidRPr="007D1918" w:rsidRDefault="007D4948" w:rsidP="003653DA">
      <w:pPr>
        <w:pStyle w:val="EndNoteBibliography"/>
        <w:spacing w:after="0"/>
        <w:rPr>
          <w:rFonts w:asciiTheme="minorHAnsi" w:hAnsiTheme="minorHAnsi" w:cstheme="minorHAnsi"/>
        </w:rPr>
      </w:pPr>
      <w:bookmarkStart w:id="744" w:name="_ENREF_97"/>
      <w:r w:rsidRPr="007D1918">
        <w:rPr>
          <w:rFonts w:asciiTheme="minorHAnsi" w:hAnsiTheme="minorHAnsi" w:cstheme="minorHAnsi"/>
        </w:rPr>
        <w:t xml:space="preserve">Sunshine Coast Hospital and Health Service 2015, </w:t>
      </w:r>
      <w:r w:rsidRPr="007D1918">
        <w:rPr>
          <w:rFonts w:asciiTheme="minorHAnsi" w:hAnsiTheme="minorHAnsi" w:cstheme="minorHAnsi"/>
          <w:i/>
        </w:rPr>
        <w:t>Arteriovenous fistula - Information for patients and their families</w:t>
      </w:r>
      <w:r w:rsidRPr="007D1918">
        <w:rPr>
          <w:rFonts w:asciiTheme="minorHAnsi" w:hAnsiTheme="minorHAnsi" w:cstheme="minorHAnsi"/>
        </w:rPr>
        <w:t>, vol. 953-V1 December 2015, Queensland, Australia.</w:t>
      </w:r>
    </w:p>
    <w:bookmarkEnd w:id="744"/>
    <w:p w14:paraId="66131F6C" w14:textId="77777777" w:rsidR="007D4948" w:rsidRPr="007D1918" w:rsidRDefault="007D4948" w:rsidP="003653DA">
      <w:pPr>
        <w:pStyle w:val="EndNoteBibliography"/>
        <w:spacing w:after="0"/>
        <w:rPr>
          <w:rFonts w:asciiTheme="minorHAnsi" w:hAnsiTheme="minorHAnsi" w:cstheme="minorHAnsi"/>
        </w:rPr>
      </w:pPr>
    </w:p>
    <w:p w14:paraId="7CFEA5F2" w14:textId="77777777" w:rsidR="007D4948" w:rsidRPr="007D1918" w:rsidRDefault="007D4948" w:rsidP="003653DA">
      <w:pPr>
        <w:pStyle w:val="EndNoteBibliography"/>
        <w:spacing w:after="0"/>
        <w:rPr>
          <w:rFonts w:asciiTheme="minorHAnsi" w:hAnsiTheme="minorHAnsi" w:cstheme="minorHAnsi"/>
        </w:rPr>
      </w:pPr>
      <w:bookmarkStart w:id="745" w:name="_ENREF_98"/>
      <w:r w:rsidRPr="007D1918">
        <w:rPr>
          <w:rFonts w:asciiTheme="minorHAnsi" w:hAnsiTheme="minorHAnsi" w:cstheme="minorHAnsi"/>
        </w:rPr>
        <w:t xml:space="preserve">Tandan, R, Hehir, MK, Waheed, W &amp; Howard, DB 2017, 'Rituximab treatment of myasthenia gravis: A systematic review', </w:t>
      </w:r>
      <w:r w:rsidRPr="007D1918">
        <w:rPr>
          <w:rFonts w:asciiTheme="minorHAnsi" w:hAnsiTheme="minorHAnsi" w:cstheme="minorHAnsi"/>
          <w:i/>
        </w:rPr>
        <w:t>Muscle and Nerve</w:t>
      </w:r>
      <w:r w:rsidRPr="007D1918">
        <w:rPr>
          <w:rFonts w:asciiTheme="minorHAnsi" w:hAnsiTheme="minorHAnsi" w:cstheme="minorHAnsi"/>
        </w:rPr>
        <w:t>, vol. 56, no. 2, pp. 185-196.</w:t>
      </w:r>
    </w:p>
    <w:bookmarkEnd w:id="745"/>
    <w:p w14:paraId="0C2E41DF" w14:textId="77777777" w:rsidR="007D4948" w:rsidRPr="007D1918" w:rsidRDefault="007D4948" w:rsidP="003653DA">
      <w:pPr>
        <w:pStyle w:val="EndNoteBibliography"/>
        <w:spacing w:after="0"/>
        <w:rPr>
          <w:rFonts w:asciiTheme="minorHAnsi" w:hAnsiTheme="minorHAnsi" w:cstheme="minorHAnsi"/>
        </w:rPr>
      </w:pPr>
    </w:p>
    <w:p w14:paraId="1392B16A" w14:textId="77777777" w:rsidR="007D4948" w:rsidRPr="007D1918" w:rsidRDefault="007D4948" w:rsidP="003653DA">
      <w:pPr>
        <w:pStyle w:val="EndNoteBibliography"/>
        <w:spacing w:after="0"/>
        <w:rPr>
          <w:rFonts w:asciiTheme="minorHAnsi" w:hAnsiTheme="minorHAnsi" w:cstheme="minorHAnsi"/>
        </w:rPr>
      </w:pPr>
      <w:bookmarkStart w:id="746" w:name="_ENREF_99"/>
      <w:r w:rsidRPr="007D1918">
        <w:rPr>
          <w:rFonts w:asciiTheme="minorHAnsi" w:hAnsiTheme="minorHAnsi" w:cstheme="minorHAnsi"/>
        </w:rPr>
        <w:t xml:space="preserve">Thompson, K, Taylor, C, Forde, K &amp; Hammond, N 2018, 'The evolution of Australian intensive care and its related costs: A narrative review', </w:t>
      </w:r>
      <w:r w:rsidRPr="007D1918">
        <w:rPr>
          <w:rFonts w:asciiTheme="minorHAnsi" w:hAnsiTheme="minorHAnsi" w:cstheme="minorHAnsi"/>
          <w:i/>
        </w:rPr>
        <w:t>Aust Crit Care</w:t>
      </w:r>
      <w:r w:rsidRPr="007D1918">
        <w:rPr>
          <w:rFonts w:asciiTheme="minorHAnsi" w:hAnsiTheme="minorHAnsi" w:cstheme="minorHAnsi"/>
        </w:rPr>
        <w:t>, vol. 31, no. 5, Sep, pp. 325-330.</w:t>
      </w:r>
    </w:p>
    <w:bookmarkEnd w:id="746"/>
    <w:p w14:paraId="6CA96DEC" w14:textId="77777777" w:rsidR="007D4948" w:rsidRPr="007D1918" w:rsidRDefault="007D4948" w:rsidP="003653DA">
      <w:pPr>
        <w:pStyle w:val="EndNoteBibliography"/>
        <w:spacing w:after="0"/>
        <w:rPr>
          <w:rFonts w:asciiTheme="minorHAnsi" w:hAnsiTheme="minorHAnsi" w:cstheme="minorHAnsi"/>
        </w:rPr>
      </w:pPr>
    </w:p>
    <w:p w14:paraId="09984BFF" w14:textId="4BB83FAE" w:rsidR="007D4948" w:rsidRPr="007D1918" w:rsidRDefault="007D4948" w:rsidP="003653DA">
      <w:pPr>
        <w:pStyle w:val="EndNoteBibliography"/>
        <w:spacing w:after="0"/>
        <w:rPr>
          <w:rFonts w:asciiTheme="minorHAnsi" w:hAnsiTheme="minorHAnsi" w:cstheme="minorHAnsi"/>
        </w:rPr>
      </w:pPr>
      <w:bookmarkStart w:id="747" w:name="_ENREF_100"/>
      <w:r w:rsidRPr="007D1918">
        <w:rPr>
          <w:rFonts w:asciiTheme="minorHAnsi" w:hAnsiTheme="minorHAnsi" w:cstheme="minorHAnsi"/>
        </w:rPr>
        <w:t xml:space="preserve">Tindall, RSA, Phillips, JT, Rollins, JA, Wells, L &amp; Hall, K 1993, 'A Clinical Therapeutic Trial of Cyclosporine in Myasthenia Gravisa', </w:t>
      </w:r>
      <w:r w:rsidRPr="007D1918">
        <w:rPr>
          <w:rFonts w:asciiTheme="minorHAnsi" w:hAnsiTheme="minorHAnsi" w:cstheme="minorHAnsi"/>
          <w:i/>
        </w:rPr>
        <w:t>Annals of the new york academy of sciences</w:t>
      </w:r>
      <w:r w:rsidRPr="007D1918">
        <w:rPr>
          <w:rFonts w:asciiTheme="minorHAnsi" w:hAnsiTheme="minorHAnsi" w:cstheme="minorHAnsi"/>
        </w:rPr>
        <w:t>, vol. 681, no. 1, pp. 539-551.</w:t>
      </w:r>
    </w:p>
    <w:bookmarkEnd w:id="747"/>
    <w:p w14:paraId="7929C499" w14:textId="77777777" w:rsidR="007D4948" w:rsidRPr="007D1918" w:rsidRDefault="007D4948" w:rsidP="003653DA">
      <w:pPr>
        <w:pStyle w:val="EndNoteBibliography"/>
        <w:spacing w:after="0"/>
        <w:rPr>
          <w:rFonts w:asciiTheme="minorHAnsi" w:hAnsiTheme="minorHAnsi" w:cstheme="minorHAnsi"/>
        </w:rPr>
      </w:pPr>
    </w:p>
    <w:p w14:paraId="00ED61DF" w14:textId="77777777" w:rsidR="007D4948" w:rsidRPr="007D1918" w:rsidRDefault="007D4948" w:rsidP="003653DA">
      <w:pPr>
        <w:pStyle w:val="EndNoteBibliography"/>
        <w:spacing w:after="0"/>
        <w:rPr>
          <w:rFonts w:asciiTheme="minorHAnsi" w:hAnsiTheme="minorHAnsi" w:cstheme="minorHAnsi"/>
        </w:rPr>
      </w:pPr>
      <w:bookmarkStart w:id="748" w:name="_ENREF_101"/>
      <w:r w:rsidRPr="007D1918">
        <w:rPr>
          <w:rFonts w:asciiTheme="minorHAnsi" w:hAnsiTheme="minorHAnsi" w:cstheme="minorHAnsi"/>
        </w:rPr>
        <w:t xml:space="preserve">VanderPluym, J, Vajsar, J, Jacob, FD, Mah, JK, Grenier, D &amp; Kolski, H 2013, 'Clinical characteristics of pediatric myasthenia: A surveillance study', </w:t>
      </w:r>
      <w:r w:rsidRPr="007D1918">
        <w:rPr>
          <w:rFonts w:asciiTheme="minorHAnsi" w:hAnsiTheme="minorHAnsi" w:cstheme="minorHAnsi"/>
          <w:i/>
        </w:rPr>
        <w:t>Pediatrics</w:t>
      </w:r>
      <w:r w:rsidRPr="007D1918">
        <w:rPr>
          <w:rFonts w:asciiTheme="minorHAnsi" w:hAnsiTheme="minorHAnsi" w:cstheme="minorHAnsi"/>
        </w:rPr>
        <w:t>, vol. 132, no. 4, pp. e939-e944.</w:t>
      </w:r>
    </w:p>
    <w:bookmarkEnd w:id="748"/>
    <w:p w14:paraId="2EF92913" w14:textId="77777777" w:rsidR="007D4948" w:rsidRPr="007D1918" w:rsidRDefault="007D4948" w:rsidP="003653DA">
      <w:pPr>
        <w:pStyle w:val="EndNoteBibliography"/>
        <w:spacing w:after="0"/>
        <w:rPr>
          <w:rFonts w:asciiTheme="minorHAnsi" w:hAnsiTheme="minorHAnsi" w:cstheme="minorHAnsi"/>
        </w:rPr>
      </w:pPr>
    </w:p>
    <w:p w14:paraId="2FF27436" w14:textId="77777777" w:rsidR="007D4948" w:rsidRPr="007D1918" w:rsidRDefault="007D4948" w:rsidP="003653DA">
      <w:pPr>
        <w:pStyle w:val="EndNoteBibliography"/>
        <w:spacing w:after="0"/>
        <w:rPr>
          <w:rFonts w:asciiTheme="minorHAnsi" w:hAnsiTheme="minorHAnsi" w:cstheme="minorHAnsi"/>
        </w:rPr>
      </w:pPr>
      <w:bookmarkStart w:id="749" w:name="_ENREF_102"/>
      <w:r w:rsidRPr="007D1918">
        <w:rPr>
          <w:rFonts w:asciiTheme="minorHAnsi" w:hAnsiTheme="minorHAnsi" w:cstheme="minorHAnsi"/>
        </w:rPr>
        <w:t xml:space="preserve">Vucic, S &amp; Davies, L 1998, 'Safety of plasmapheresis in the treatment of neurological disease', </w:t>
      </w:r>
      <w:r w:rsidRPr="007D1918">
        <w:rPr>
          <w:rFonts w:asciiTheme="minorHAnsi" w:hAnsiTheme="minorHAnsi" w:cstheme="minorHAnsi"/>
          <w:i/>
        </w:rPr>
        <w:t>Aust N Z J Med</w:t>
      </w:r>
      <w:r w:rsidRPr="007D1918">
        <w:rPr>
          <w:rFonts w:asciiTheme="minorHAnsi" w:hAnsiTheme="minorHAnsi" w:cstheme="minorHAnsi"/>
        </w:rPr>
        <w:t>, vol. 28, no. 3, Jun, pp. 301-305.</w:t>
      </w:r>
    </w:p>
    <w:bookmarkEnd w:id="749"/>
    <w:p w14:paraId="39CE014D" w14:textId="77777777" w:rsidR="007D4948" w:rsidRPr="007D1918" w:rsidRDefault="007D4948" w:rsidP="003653DA">
      <w:pPr>
        <w:pStyle w:val="EndNoteBibliography"/>
        <w:spacing w:after="0"/>
        <w:rPr>
          <w:rFonts w:asciiTheme="minorHAnsi" w:hAnsiTheme="minorHAnsi" w:cstheme="minorHAnsi"/>
        </w:rPr>
      </w:pPr>
    </w:p>
    <w:p w14:paraId="7D6A4239" w14:textId="77777777" w:rsidR="007D4948" w:rsidRPr="007D1918" w:rsidRDefault="007D4948" w:rsidP="003653DA">
      <w:pPr>
        <w:pStyle w:val="EndNoteBibliography"/>
        <w:spacing w:after="0"/>
        <w:rPr>
          <w:rFonts w:asciiTheme="minorHAnsi" w:hAnsiTheme="minorHAnsi" w:cstheme="minorHAnsi"/>
        </w:rPr>
      </w:pPr>
      <w:bookmarkStart w:id="750" w:name="_ENREF_103"/>
      <w:r w:rsidRPr="007D1918">
        <w:rPr>
          <w:rFonts w:asciiTheme="minorHAnsi" w:hAnsiTheme="minorHAnsi" w:cstheme="minorHAnsi"/>
        </w:rPr>
        <w:t xml:space="preserve">Wali A, PC, Bello N, Mandeville R. 2017, 'Cost comparison between rituximab, plasmapheresis and intravenous immnoglobulin for refractory Musk antibody positivie myasthenia gravis. (Abstract Only)', </w:t>
      </w:r>
      <w:r w:rsidRPr="007D1918">
        <w:rPr>
          <w:rFonts w:asciiTheme="minorHAnsi" w:hAnsiTheme="minorHAnsi" w:cstheme="minorHAnsi"/>
          <w:i/>
        </w:rPr>
        <w:t>American Association of Neuromuscular &amp; Electrodiagnostic Medicine</w:t>
      </w:r>
      <w:r w:rsidRPr="007D1918">
        <w:rPr>
          <w:rFonts w:asciiTheme="minorHAnsi" w:hAnsiTheme="minorHAnsi" w:cstheme="minorHAnsi"/>
        </w:rPr>
        <w:t>, vol. Annual Meeting Abstracts, no. Phoenix, Arizona | September 13–16, 2017.</w:t>
      </w:r>
    </w:p>
    <w:bookmarkEnd w:id="750"/>
    <w:p w14:paraId="4FC03848" w14:textId="77777777" w:rsidR="007D4948" w:rsidRPr="007D1918" w:rsidRDefault="007D4948" w:rsidP="003653DA">
      <w:pPr>
        <w:pStyle w:val="EndNoteBibliography"/>
        <w:spacing w:after="0"/>
        <w:rPr>
          <w:rFonts w:asciiTheme="minorHAnsi" w:hAnsiTheme="minorHAnsi" w:cstheme="minorHAnsi"/>
        </w:rPr>
      </w:pPr>
    </w:p>
    <w:p w14:paraId="27EFFB29" w14:textId="77777777" w:rsidR="007D4948" w:rsidRPr="007D1918" w:rsidRDefault="007D4948" w:rsidP="003653DA">
      <w:pPr>
        <w:pStyle w:val="EndNoteBibliography"/>
        <w:spacing w:after="0"/>
        <w:rPr>
          <w:rFonts w:asciiTheme="minorHAnsi" w:hAnsiTheme="minorHAnsi" w:cstheme="minorHAnsi"/>
        </w:rPr>
      </w:pPr>
      <w:bookmarkStart w:id="751" w:name="_ENREF_104"/>
      <w:r w:rsidRPr="007D1918">
        <w:rPr>
          <w:rFonts w:asciiTheme="minorHAnsi" w:hAnsiTheme="minorHAnsi" w:cstheme="minorHAnsi"/>
        </w:rPr>
        <w:t xml:space="preserve">Wang, MG, Huang, XX, Yao, D, An, Q &amp; Deng, XQ 2016, 'Effect of glucocorticoid combined with gamma globulin in treatment of children with myasthenia gravis and its effects on immune globulin and </w:t>
      </w:r>
      <w:r w:rsidRPr="007D1918">
        <w:rPr>
          <w:rFonts w:asciiTheme="minorHAnsi" w:hAnsiTheme="minorHAnsi" w:cstheme="minorHAnsi"/>
        </w:rPr>
        <w:lastRenderedPageBreak/>
        <w:t xml:space="preserve">complement of children', </w:t>
      </w:r>
      <w:r w:rsidRPr="007D1918">
        <w:rPr>
          <w:rFonts w:asciiTheme="minorHAnsi" w:hAnsiTheme="minorHAnsi" w:cstheme="minorHAnsi"/>
          <w:i/>
        </w:rPr>
        <w:t>European review for medical and pharmacological sciences</w:t>
      </w:r>
      <w:r w:rsidRPr="007D1918">
        <w:rPr>
          <w:rFonts w:asciiTheme="minorHAnsi" w:hAnsiTheme="minorHAnsi" w:cstheme="minorHAnsi"/>
        </w:rPr>
        <w:t>, vol. 20, no. 11, pp. 2404-2408.</w:t>
      </w:r>
    </w:p>
    <w:bookmarkEnd w:id="751"/>
    <w:p w14:paraId="0A990F5C" w14:textId="77777777" w:rsidR="007D4948" w:rsidRPr="007D1918" w:rsidRDefault="007D4948" w:rsidP="003653DA">
      <w:pPr>
        <w:pStyle w:val="EndNoteBibliography"/>
        <w:spacing w:after="0"/>
        <w:rPr>
          <w:rFonts w:asciiTheme="minorHAnsi" w:hAnsiTheme="minorHAnsi" w:cstheme="minorHAnsi"/>
        </w:rPr>
      </w:pPr>
    </w:p>
    <w:p w14:paraId="3A647C4D" w14:textId="77777777" w:rsidR="007D4948" w:rsidRPr="007D1918" w:rsidRDefault="007D4948" w:rsidP="003653DA">
      <w:pPr>
        <w:pStyle w:val="EndNoteBibliography"/>
        <w:spacing w:after="0"/>
        <w:rPr>
          <w:rFonts w:asciiTheme="minorHAnsi" w:hAnsiTheme="minorHAnsi" w:cstheme="minorHAnsi"/>
        </w:rPr>
      </w:pPr>
      <w:bookmarkStart w:id="752" w:name="_ENREF_105"/>
      <w:r w:rsidRPr="007D1918">
        <w:rPr>
          <w:rFonts w:asciiTheme="minorHAnsi" w:hAnsiTheme="minorHAnsi" w:cstheme="minorHAnsi"/>
        </w:rPr>
        <w:t xml:space="preserve">Westphal, GA, Pereira, AB, Fachin, SM, Barreto, ACC, Bornschein, A, Caldeira Filho, M &amp; Koenig, A 2019, 'Characteristics and outcomes of patients with community-acquired and hospital-acquired sepsis', </w:t>
      </w:r>
      <w:r w:rsidRPr="007D1918">
        <w:rPr>
          <w:rFonts w:asciiTheme="minorHAnsi" w:hAnsiTheme="minorHAnsi" w:cstheme="minorHAnsi"/>
          <w:i/>
        </w:rPr>
        <w:t>Rev Bras Ter Intensiva</w:t>
      </w:r>
      <w:r w:rsidRPr="007D1918">
        <w:rPr>
          <w:rFonts w:asciiTheme="minorHAnsi" w:hAnsiTheme="minorHAnsi" w:cstheme="minorHAnsi"/>
        </w:rPr>
        <w:t>, vol. 31, no. 1, Jan-Mar, pp. 71-78.</w:t>
      </w:r>
    </w:p>
    <w:bookmarkEnd w:id="752"/>
    <w:p w14:paraId="1D1FFC44" w14:textId="77777777" w:rsidR="007D4948" w:rsidRPr="007D1918" w:rsidRDefault="007D4948" w:rsidP="003653DA">
      <w:pPr>
        <w:pStyle w:val="EndNoteBibliography"/>
        <w:spacing w:after="0"/>
        <w:rPr>
          <w:rFonts w:asciiTheme="minorHAnsi" w:hAnsiTheme="minorHAnsi" w:cstheme="minorHAnsi"/>
        </w:rPr>
      </w:pPr>
    </w:p>
    <w:p w14:paraId="5745C7CE" w14:textId="77777777" w:rsidR="007D4948" w:rsidRPr="007D1918" w:rsidRDefault="007D4948" w:rsidP="003653DA">
      <w:pPr>
        <w:pStyle w:val="EndNoteBibliography"/>
        <w:spacing w:after="0"/>
        <w:rPr>
          <w:rFonts w:asciiTheme="minorHAnsi" w:hAnsiTheme="minorHAnsi" w:cstheme="minorHAnsi"/>
        </w:rPr>
      </w:pPr>
      <w:bookmarkStart w:id="753" w:name="_ENREF_106"/>
      <w:r w:rsidRPr="007D1918">
        <w:rPr>
          <w:rFonts w:asciiTheme="minorHAnsi" w:hAnsiTheme="minorHAnsi" w:cstheme="minorHAnsi"/>
        </w:rPr>
        <w:t xml:space="preserve">Wolfe, GI, Herbelin, L, Nations, SP, Foster, B, Bryan, WW &amp; Barohn, RJ 1999, 'Myasthenia gravis activities of daily living profile', </w:t>
      </w:r>
      <w:r w:rsidRPr="007D1918">
        <w:rPr>
          <w:rFonts w:asciiTheme="minorHAnsi" w:hAnsiTheme="minorHAnsi" w:cstheme="minorHAnsi"/>
          <w:i/>
        </w:rPr>
        <w:t>Neurology</w:t>
      </w:r>
      <w:r w:rsidRPr="007D1918">
        <w:rPr>
          <w:rFonts w:asciiTheme="minorHAnsi" w:hAnsiTheme="minorHAnsi" w:cstheme="minorHAnsi"/>
        </w:rPr>
        <w:t>, vol. 52, no. 7, pp. 1487-1487.</w:t>
      </w:r>
    </w:p>
    <w:bookmarkEnd w:id="753"/>
    <w:p w14:paraId="7B09CA23" w14:textId="77777777" w:rsidR="007D4948" w:rsidRPr="007D1918" w:rsidRDefault="007D4948" w:rsidP="003653DA">
      <w:pPr>
        <w:pStyle w:val="EndNoteBibliography"/>
        <w:spacing w:after="0"/>
        <w:rPr>
          <w:rFonts w:asciiTheme="minorHAnsi" w:hAnsiTheme="minorHAnsi" w:cstheme="minorHAnsi"/>
        </w:rPr>
      </w:pPr>
    </w:p>
    <w:p w14:paraId="1D7DD248" w14:textId="77777777" w:rsidR="007D4948" w:rsidRPr="007D1918" w:rsidRDefault="007D4948" w:rsidP="003653DA">
      <w:pPr>
        <w:pStyle w:val="EndNoteBibliography"/>
        <w:spacing w:after="0"/>
        <w:rPr>
          <w:rFonts w:asciiTheme="minorHAnsi" w:hAnsiTheme="minorHAnsi" w:cstheme="minorHAnsi"/>
        </w:rPr>
      </w:pPr>
      <w:bookmarkStart w:id="754" w:name="_ENREF_107"/>
      <w:r w:rsidRPr="007D1918">
        <w:rPr>
          <w:rFonts w:asciiTheme="minorHAnsi" w:hAnsiTheme="minorHAnsi" w:cstheme="minorHAnsi"/>
        </w:rPr>
        <w:t xml:space="preserve">Yamada, C, Teener, JW, Davenport, RD &amp; Cooling, L 2015, 'Maintenance plasma exchange treatment for muscle specific kinase antibody positive myasthenia gravis patients', </w:t>
      </w:r>
      <w:r w:rsidRPr="007D1918">
        <w:rPr>
          <w:rFonts w:asciiTheme="minorHAnsi" w:hAnsiTheme="minorHAnsi" w:cstheme="minorHAnsi"/>
          <w:i/>
        </w:rPr>
        <w:t>Journal of Clinical Apheresis</w:t>
      </w:r>
      <w:r w:rsidRPr="007D1918">
        <w:rPr>
          <w:rFonts w:asciiTheme="minorHAnsi" w:hAnsiTheme="minorHAnsi" w:cstheme="minorHAnsi"/>
        </w:rPr>
        <w:t>, vol. 30, no. 5, pp. 314-319.</w:t>
      </w:r>
    </w:p>
    <w:bookmarkEnd w:id="754"/>
    <w:p w14:paraId="2A9651F0" w14:textId="77777777" w:rsidR="007D4948" w:rsidRPr="007D1918" w:rsidRDefault="007D4948" w:rsidP="003653DA">
      <w:pPr>
        <w:pStyle w:val="EndNoteBibliography"/>
        <w:spacing w:after="0"/>
        <w:rPr>
          <w:rFonts w:asciiTheme="minorHAnsi" w:hAnsiTheme="minorHAnsi" w:cstheme="minorHAnsi"/>
        </w:rPr>
      </w:pPr>
    </w:p>
    <w:p w14:paraId="3900B5EC" w14:textId="77777777" w:rsidR="007D4948" w:rsidRPr="007D1918" w:rsidRDefault="007D4948" w:rsidP="003653DA">
      <w:pPr>
        <w:pStyle w:val="EndNoteBibliography"/>
        <w:spacing w:after="0"/>
        <w:rPr>
          <w:rFonts w:asciiTheme="minorHAnsi" w:hAnsiTheme="minorHAnsi" w:cstheme="minorHAnsi"/>
        </w:rPr>
      </w:pPr>
      <w:bookmarkStart w:id="755" w:name="_ENREF_108"/>
      <w:r w:rsidRPr="007D1918">
        <w:rPr>
          <w:rFonts w:asciiTheme="minorHAnsi" w:hAnsiTheme="minorHAnsi" w:cstheme="minorHAnsi"/>
        </w:rPr>
        <w:t xml:space="preserve">Yeh, J-H, Chen, W-H, Huang, K-M &amp; Chiu, H-C 2005, 'Prethymectomy plasmapheresis in myasthenia gravis', </w:t>
      </w:r>
      <w:r w:rsidRPr="007D1918">
        <w:rPr>
          <w:rFonts w:asciiTheme="minorHAnsi" w:hAnsiTheme="minorHAnsi" w:cstheme="minorHAnsi"/>
          <w:i/>
        </w:rPr>
        <w:t>Journal of Clinical Apheresis</w:t>
      </w:r>
      <w:r w:rsidRPr="007D1918">
        <w:rPr>
          <w:rFonts w:asciiTheme="minorHAnsi" w:hAnsiTheme="minorHAnsi" w:cstheme="minorHAnsi"/>
        </w:rPr>
        <w:t>, vol. 20, no. 4, pp. 217-221.</w:t>
      </w:r>
    </w:p>
    <w:bookmarkEnd w:id="755"/>
    <w:p w14:paraId="73C3EACF" w14:textId="77777777" w:rsidR="007D4948" w:rsidRPr="007D1918" w:rsidRDefault="007D4948" w:rsidP="003653DA">
      <w:pPr>
        <w:pStyle w:val="EndNoteBibliography"/>
        <w:spacing w:after="0"/>
        <w:rPr>
          <w:rFonts w:asciiTheme="minorHAnsi" w:hAnsiTheme="minorHAnsi" w:cstheme="minorHAnsi"/>
        </w:rPr>
      </w:pPr>
    </w:p>
    <w:p w14:paraId="1DC97612" w14:textId="77777777" w:rsidR="007D4948" w:rsidRPr="007D1918" w:rsidRDefault="007D4948" w:rsidP="003653DA">
      <w:pPr>
        <w:pStyle w:val="EndNoteBibliography"/>
        <w:spacing w:after="0"/>
        <w:rPr>
          <w:rFonts w:asciiTheme="minorHAnsi" w:hAnsiTheme="minorHAnsi" w:cstheme="minorHAnsi"/>
        </w:rPr>
      </w:pPr>
      <w:bookmarkStart w:id="756" w:name="_ENREF_109"/>
      <w:r w:rsidRPr="007D1918">
        <w:rPr>
          <w:rFonts w:asciiTheme="minorHAnsi" w:hAnsiTheme="minorHAnsi" w:cstheme="minorHAnsi"/>
        </w:rPr>
        <w:t xml:space="preserve">Zinman, L, Ng, E &amp; Bril, V 2007, 'IV immunoglobulin in patients with myasthenia gravis: a randomized controlled trial', </w:t>
      </w:r>
      <w:r w:rsidRPr="007D1918">
        <w:rPr>
          <w:rFonts w:asciiTheme="minorHAnsi" w:hAnsiTheme="minorHAnsi" w:cstheme="minorHAnsi"/>
          <w:i/>
        </w:rPr>
        <w:t>Neurology</w:t>
      </w:r>
      <w:r w:rsidRPr="007D1918">
        <w:rPr>
          <w:rFonts w:asciiTheme="minorHAnsi" w:hAnsiTheme="minorHAnsi" w:cstheme="minorHAnsi"/>
        </w:rPr>
        <w:t>, vol. 68, no. 11, pp. 837‐841.</w:t>
      </w:r>
    </w:p>
    <w:bookmarkEnd w:id="756"/>
    <w:p w14:paraId="61EFC0CE" w14:textId="77777777" w:rsidR="007D4948" w:rsidRPr="007D1918" w:rsidRDefault="007D4948" w:rsidP="003653DA">
      <w:pPr>
        <w:pStyle w:val="EndNoteBibliography"/>
        <w:spacing w:after="0"/>
        <w:rPr>
          <w:rFonts w:asciiTheme="minorHAnsi" w:hAnsiTheme="minorHAnsi" w:cstheme="minorHAnsi"/>
        </w:rPr>
      </w:pPr>
    </w:p>
    <w:p w14:paraId="0CF081D7" w14:textId="54C3430A" w:rsidR="0075212A" w:rsidRPr="00183E4D" w:rsidRDefault="0075212A" w:rsidP="003653DA">
      <w:pPr>
        <w:pStyle w:val="References"/>
        <w:spacing w:after="0"/>
        <w:ind w:left="0" w:firstLine="0"/>
        <w:jc w:val="both"/>
      </w:pPr>
      <w:r w:rsidRPr="007D1918">
        <w:rPr>
          <w:rFonts w:asciiTheme="minorHAnsi" w:hAnsiTheme="minorHAnsi" w:cstheme="minorHAnsi"/>
        </w:rPr>
        <w:fldChar w:fldCharType="end"/>
      </w:r>
    </w:p>
    <w:sectPr w:rsidR="0075212A" w:rsidRPr="00183E4D" w:rsidSect="00945DB8">
      <w:headerReference w:type="even" r:id="rId93"/>
      <w:headerReference w:type="default" r:id="rId94"/>
      <w:footerReference w:type="even" r:id="rId95"/>
      <w:headerReference w:type="first" r:id="rId96"/>
      <w:pgSz w:w="11906" w:h="16838"/>
      <w:pgMar w:top="1440" w:right="1440" w:bottom="1440" w:left="1440" w:header="720" w:footer="720" w:gutter="0"/>
      <w:paperSrc w:first="7" w:other="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12A57" w14:textId="77777777" w:rsidR="00D320AF" w:rsidRDefault="00D320AF" w:rsidP="00A23645">
      <w:r>
        <w:separator/>
      </w:r>
    </w:p>
  </w:endnote>
  <w:endnote w:type="continuationSeparator" w:id="0">
    <w:p w14:paraId="70766377" w14:textId="77777777" w:rsidR="00D320AF" w:rsidRDefault="00D320AF" w:rsidP="00A23645">
      <w:r>
        <w:continuationSeparator/>
      </w:r>
    </w:p>
  </w:endnote>
  <w:endnote w:type="continuationNotice" w:id="1">
    <w:p w14:paraId="276AE4BF" w14:textId="77777777" w:rsidR="00D320AF" w:rsidRDefault="00D320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Humanist 77 7 BT">
    <w:altName w:val="Humanist 77 7 B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umanist521BT-Roman">
    <w:panose1 w:val="00000000000000000000"/>
    <w:charset w:val="4D"/>
    <w:family w:val="roman"/>
    <w:notTrueType/>
    <w:pitch w:val="default"/>
    <w:sig w:usb0="00000003" w:usb1="00000000" w:usb2="00000000" w:usb3="00000000" w:csb0="00000001" w:csb1="00000000"/>
  </w:font>
  <w:font w:name="Arial Bold">
    <w:altName w:val="Arial"/>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86A1D" w14:textId="77777777" w:rsidR="006E3FC4" w:rsidRDefault="006E3F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04A0D" w14:textId="77777777" w:rsidR="00D320AF" w:rsidRPr="00F568FA" w:rsidRDefault="00D320AF"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131</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186</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FE15D3" w14:textId="77777777" w:rsidR="00D320AF" w:rsidRDefault="00D320AF">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7B53A" w14:textId="77777777" w:rsidR="00D320AF" w:rsidRDefault="00D320AF">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438FD" w14:textId="77777777" w:rsidR="00D320AF" w:rsidRDefault="00D320AF">
    <w:pPr>
      <w:pStyle w:val="Footer"/>
      <w:tabs>
        <w:tab w:val="clear" w:pos="9000"/>
        <w:tab w:val="right" w:pos="8931"/>
        <w:tab w:val="right" w:pos="14742"/>
      </w:tabs>
      <w:ind w:right="98"/>
    </w:pPr>
    <w:r>
      <w:rPr>
        <w:rStyle w:val="PageNumber"/>
        <w:bCs/>
      </w:rPr>
      <w:fldChar w:fldCharType="begin"/>
    </w:r>
    <w:r>
      <w:rPr>
        <w:rStyle w:val="PageNumber"/>
        <w:bCs/>
      </w:rPr>
      <w:instrText xml:space="preserve"> PAGE </w:instrText>
    </w:r>
    <w:r>
      <w:rPr>
        <w:rStyle w:val="PageNumber"/>
        <w:bCs/>
      </w:rPr>
      <w:fldChar w:fldCharType="separate"/>
    </w:r>
    <w:r>
      <w:rPr>
        <w:rStyle w:val="PageNumber"/>
        <w:bCs/>
        <w:noProof/>
      </w:rPr>
      <w:t>42</w:t>
    </w:r>
    <w:r>
      <w:rPr>
        <w:rStyle w:val="PageNumber"/>
        <w:bCs/>
      </w:rPr>
      <w:fldChar w:fldCharType="end"/>
    </w:r>
    <w:r>
      <w:rPr>
        <w:rStyle w:val="PageNumber"/>
      </w:rPr>
      <w:tab/>
      <w:t>Vertebroplasty and kyphoplasty</w:t>
    </w:r>
    <w:r>
      <w:rPr>
        <w:vanish/>
        <w:color w:val="0000FF"/>
      </w:rPr>
      <w:t>&lt;Name of application&gt;</w:t>
    </w:r>
  </w:p>
  <w:p w14:paraId="1AD02299" w14:textId="77777777" w:rsidR="00D320AF" w:rsidRDefault="00D320A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EB60" w14:textId="77777777" w:rsidR="006E3FC4" w:rsidRDefault="006E3F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36E01" w14:textId="77777777" w:rsidR="006E3FC4" w:rsidRDefault="006E3FC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CB26E" w14:textId="77777777" w:rsidR="00D320AF" w:rsidRPr="00C843FF" w:rsidRDefault="00D320AF" w:rsidP="00A23645">
    <w:pPr>
      <w:pStyle w:val="Footer"/>
    </w:pPr>
    <w:r>
      <w:rPr>
        <w:rStyle w:val="PageNumber"/>
        <w:rFonts w:ascii="Arial" w:hAnsi="Arial" w:cs="Arial"/>
        <w:b/>
        <w:sz w:val="20"/>
      </w:rPr>
      <w:t xml:space="preserve"> Page </w:t>
    </w:r>
    <w:r w:rsidRPr="000B0364">
      <w:rPr>
        <w:rStyle w:val="PageNumber"/>
        <w:rFonts w:ascii="Arial" w:hAnsi="Arial" w:cs="Arial"/>
        <w:b/>
        <w:sz w:val="20"/>
      </w:rPr>
      <w:fldChar w:fldCharType="begin"/>
    </w:r>
    <w:r w:rsidRPr="000B0364">
      <w:rPr>
        <w:rStyle w:val="PageNumber"/>
        <w:rFonts w:ascii="Arial" w:hAnsi="Arial" w:cs="Arial"/>
        <w:b/>
        <w:sz w:val="20"/>
      </w:rPr>
      <w:instrText xml:space="preserve"> PAGE </w:instrText>
    </w:r>
    <w:r w:rsidRPr="000B0364">
      <w:rPr>
        <w:rStyle w:val="PageNumber"/>
        <w:rFonts w:ascii="Arial" w:hAnsi="Arial" w:cs="Arial"/>
        <w:b/>
        <w:sz w:val="20"/>
      </w:rPr>
      <w:fldChar w:fldCharType="separate"/>
    </w:r>
    <w:r>
      <w:rPr>
        <w:rStyle w:val="PageNumber"/>
        <w:rFonts w:ascii="Arial" w:hAnsi="Arial" w:cs="Arial"/>
        <w:b/>
        <w:noProof/>
        <w:sz w:val="20"/>
      </w:rPr>
      <w:t>iv</w:t>
    </w:r>
    <w:r w:rsidRPr="000B0364">
      <w:rPr>
        <w:rStyle w:val="PageNumber"/>
        <w:rFonts w:ascii="Arial" w:hAnsi="Arial" w:cs="Arial"/>
        <w:b/>
        <w:sz w:val="20"/>
      </w:rPr>
      <w:fldChar w:fldCharType="end"/>
    </w:r>
    <w:r>
      <w:rPr>
        <w:rStyle w:val="PageNumber"/>
        <w:rFonts w:ascii="Arial" w:hAnsi="Arial" w:cs="Arial"/>
        <w:b/>
        <w:sz w:val="20"/>
      </w:rPr>
      <w:t xml:space="preserve"> of </w:t>
    </w:r>
    <w:r w:rsidRPr="00894FB1">
      <w:rPr>
        <w:rStyle w:val="PageNumber"/>
        <w:rFonts w:ascii="Arial" w:hAnsi="Arial" w:cs="Arial"/>
        <w:b/>
        <w:sz w:val="20"/>
      </w:rPr>
      <w:fldChar w:fldCharType="begin"/>
    </w:r>
    <w:r w:rsidRPr="00894FB1">
      <w:rPr>
        <w:rStyle w:val="PageNumber"/>
        <w:rFonts w:ascii="Arial" w:hAnsi="Arial" w:cs="Arial"/>
        <w:b/>
        <w:sz w:val="20"/>
      </w:rPr>
      <w:instrText xml:space="preserve"> NUMPAGES </w:instrText>
    </w:r>
    <w:r w:rsidRPr="00894FB1">
      <w:rPr>
        <w:rStyle w:val="PageNumber"/>
        <w:rFonts w:ascii="Arial" w:hAnsi="Arial" w:cs="Arial"/>
        <w:b/>
        <w:sz w:val="20"/>
      </w:rPr>
      <w:fldChar w:fldCharType="separate"/>
    </w:r>
    <w:r>
      <w:rPr>
        <w:rStyle w:val="PageNumber"/>
        <w:rFonts w:ascii="Arial" w:hAnsi="Arial" w:cs="Arial"/>
        <w:b/>
        <w:noProof/>
        <w:sz w:val="20"/>
      </w:rPr>
      <w:t>3</w:t>
    </w:r>
    <w:r w:rsidRPr="00894FB1">
      <w:rPr>
        <w:rStyle w:val="PageNumber"/>
        <w:rFonts w:ascii="Arial" w:hAnsi="Arial" w:cs="Arial"/>
        <w:b/>
        <w:sz w:val="20"/>
      </w:rPr>
      <w:fldChar w:fldCharType="end"/>
    </w:r>
    <w:r>
      <w:rPr>
        <w:rStyle w:val="PageNumber"/>
        <w:rFonts w:ascii="Arial" w:hAnsi="Arial" w:cs="Arial"/>
        <w:b/>
        <w:sz w:val="20"/>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11C6B" w14:textId="048D3204" w:rsidR="00D320AF" w:rsidRPr="00C843FF" w:rsidRDefault="00D320AF" w:rsidP="00B426FF">
    <w:pPr>
      <w:pStyle w:val="Footer"/>
      <w:tabs>
        <w:tab w:val="clear" w:pos="9000"/>
        <w:tab w:val="right" w:pos="8931"/>
      </w:tabs>
      <w:rPr>
        <w:rStyle w:val="PageNumber"/>
        <w:rFonts w:ascii="Arial" w:hAnsi="Arial" w:cs="Arial"/>
        <w:sz w:val="20"/>
      </w:rPr>
    </w:pPr>
    <w:r>
      <w:t xml:space="preserve">Immunoglobulin for myasthenia gravis – MSAC </w:t>
    </w:r>
    <w:r w:rsidRPr="00BF0B33">
      <w:rPr>
        <w:rFonts w:ascii="Arial Bold" w:hAnsi="Arial Bold"/>
      </w:rPr>
      <w:t xml:space="preserve">CA </w:t>
    </w:r>
    <w:r>
      <w:rPr>
        <w:rFonts w:ascii="Arial Bold" w:hAnsi="Arial Bold"/>
      </w:rPr>
      <w:t>1566</w:t>
    </w:r>
    <w:r w:rsidRPr="00C843FF">
      <w:rPr>
        <w:rStyle w:val="PageNumber"/>
        <w:rFonts w:ascii="Arial" w:hAnsi="Arial" w:cs="Arial"/>
        <w:sz w:val="20"/>
      </w:rPr>
      <w:tab/>
    </w:r>
    <w:r w:rsidRPr="00C843FF">
      <w:rPr>
        <w:rStyle w:val="PageNumber"/>
        <w:rFonts w:ascii="Arial" w:hAnsi="Arial" w:cs="Arial"/>
        <w:sz w:val="20"/>
      </w:rPr>
      <w:fldChar w:fldCharType="begin"/>
    </w:r>
    <w:r w:rsidRPr="00C843FF">
      <w:rPr>
        <w:rStyle w:val="PageNumber"/>
        <w:rFonts w:ascii="Arial" w:hAnsi="Arial" w:cs="Arial"/>
        <w:sz w:val="20"/>
      </w:rPr>
      <w:instrText xml:space="preserve"> PAGE </w:instrText>
    </w:r>
    <w:r w:rsidRPr="00C843FF">
      <w:rPr>
        <w:rStyle w:val="PageNumber"/>
        <w:rFonts w:ascii="Arial" w:hAnsi="Arial" w:cs="Arial"/>
        <w:sz w:val="20"/>
      </w:rPr>
      <w:fldChar w:fldCharType="separate"/>
    </w:r>
    <w:r w:rsidR="002814BF">
      <w:rPr>
        <w:rStyle w:val="PageNumber"/>
        <w:rFonts w:ascii="Arial" w:hAnsi="Arial" w:cs="Arial"/>
        <w:noProof/>
        <w:sz w:val="20"/>
      </w:rPr>
      <w:t>32</w:t>
    </w:r>
    <w:r w:rsidRPr="00C843FF">
      <w:rPr>
        <w:rStyle w:val="PageNumber"/>
        <w:rFonts w:ascii="Arial" w:hAnsi="Arial" w:cs="Arial"/>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B98A4" w14:textId="4A8E88A8" w:rsidR="00D320AF" w:rsidRPr="005D0213" w:rsidRDefault="00D320AF" w:rsidP="006E3FC4">
    <w:pPr>
      <w:pBdr>
        <w:top w:val="single" w:sz="4" w:space="1" w:color="auto"/>
      </w:pBdr>
      <w:ind w:left="709" w:right="-1"/>
      <w:jc w:val="center"/>
      <w:rPr>
        <w:rStyle w:val="PageNumber"/>
        <w:rFonts w:ascii="Times New Roman" w:hAnsi="Times New Roman"/>
        <w:sz w:val="20"/>
      </w:rPr>
    </w:pPr>
    <w:r w:rsidRPr="00A85F1C">
      <w:rPr>
        <w:rFonts w:cs="Calibri"/>
        <w:sz w:val="20"/>
      </w:rPr>
      <w:t>MSAC 1</w:t>
    </w:r>
    <w:r>
      <w:rPr>
        <w:rFonts w:cs="Calibri"/>
        <w:sz w:val="20"/>
      </w:rPr>
      <w:t>566</w:t>
    </w:r>
    <w:r w:rsidR="006E3FC4">
      <w:rPr>
        <w:rFonts w:cs="Calibri"/>
        <w:sz w:val="20"/>
      </w:rPr>
      <w:tab/>
    </w:r>
    <w:r w:rsidR="006E3FC4">
      <w:rPr>
        <w:rFonts w:cs="Calibri"/>
        <w:sz w:val="20"/>
      </w:rPr>
      <w:tab/>
    </w:r>
    <w:r w:rsidR="006E3FC4">
      <w:rPr>
        <w:rFonts w:cs="Calibri"/>
        <w:sz w:val="20"/>
      </w:rPr>
      <w:tab/>
      <w:t>August` 2019</w:t>
    </w:r>
    <w:r w:rsidR="006E3FC4">
      <w:rPr>
        <w:rFonts w:cs="Calibri"/>
        <w:sz w:val="20"/>
      </w:rPr>
      <w:tab/>
    </w:r>
    <w:r w:rsidR="006E3FC4">
      <w:rPr>
        <w:rFonts w:cs="Calibri"/>
        <w:sz w:val="20"/>
      </w:rPr>
      <w:tab/>
    </w:r>
    <w:r w:rsidRPr="005D0213">
      <w:rPr>
        <w:rFonts w:ascii="Times New Roman" w:hAnsi="Times New Roman"/>
        <w:sz w:val="20"/>
      </w:rPr>
      <w:tab/>
    </w:r>
    <w:r w:rsidRPr="005D0213">
      <w:rPr>
        <w:rStyle w:val="PageNumber"/>
        <w:b w:val="0"/>
      </w:rPr>
      <w:fldChar w:fldCharType="begin"/>
    </w:r>
    <w:r w:rsidRPr="005D0213">
      <w:rPr>
        <w:rStyle w:val="PageNumber"/>
        <w:b w:val="0"/>
      </w:rPr>
      <w:instrText xml:space="preserve"> PAGE </w:instrText>
    </w:r>
    <w:r w:rsidRPr="005D0213">
      <w:rPr>
        <w:rStyle w:val="PageNumber"/>
        <w:b w:val="0"/>
      </w:rPr>
      <w:fldChar w:fldCharType="separate"/>
    </w:r>
    <w:r w:rsidR="002814BF">
      <w:rPr>
        <w:rStyle w:val="PageNumber"/>
        <w:b w:val="0"/>
        <w:noProof/>
      </w:rPr>
      <w:t>155</w:t>
    </w:r>
    <w:r w:rsidRPr="005D0213">
      <w:rPr>
        <w:rStyle w:val="PageNumber"/>
        <w:b w:val="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AE77B" w14:textId="77777777" w:rsidR="00D320AF" w:rsidRPr="00F568FA" w:rsidRDefault="00D320AF"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492F" w14:textId="77777777" w:rsidR="00D320AF" w:rsidRPr="00F568FA" w:rsidRDefault="00D320AF"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FD21D" w14:textId="77777777" w:rsidR="00D320AF" w:rsidRPr="00F568FA" w:rsidRDefault="00D320AF" w:rsidP="00A23645">
    <w:pPr>
      <w:pStyle w:val="Footer"/>
      <w:rPr>
        <w:rStyle w:val="PageNumber"/>
        <w:rFonts w:ascii="Arial" w:hAnsi="Arial" w:cs="Arial"/>
        <w:b/>
        <w:sz w:val="20"/>
      </w:rPr>
    </w:pPr>
    <w:r w:rsidRPr="00F568FA">
      <w:rPr>
        <w:rStyle w:val="PageNumber"/>
        <w:rFonts w:ascii="Arial" w:hAnsi="Arial" w:cs="Arial"/>
        <w:b/>
        <w:snapToGrid w:val="0"/>
        <w:sz w:val="20"/>
        <w:lang w:eastAsia="en-US"/>
      </w:rPr>
      <w:t xml:space="preserve">Page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PAGE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82</w:t>
    </w:r>
    <w:r w:rsidRPr="00F568FA">
      <w:rPr>
        <w:rStyle w:val="PageNumber"/>
        <w:rFonts w:ascii="Arial" w:hAnsi="Arial" w:cs="Arial"/>
        <w:b/>
        <w:snapToGrid w:val="0"/>
        <w:sz w:val="20"/>
        <w:lang w:eastAsia="en-US"/>
      </w:rPr>
      <w:fldChar w:fldCharType="end"/>
    </w:r>
    <w:r w:rsidRPr="00F568FA">
      <w:rPr>
        <w:rStyle w:val="PageNumber"/>
        <w:rFonts w:ascii="Arial" w:hAnsi="Arial" w:cs="Arial"/>
        <w:b/>
        <w:snapToGrid w:val="0"/>
        <w:sz w:val="20"/>
        <w:lang w:eastAsia="en-US"/>
      </w:rPr>
      <w:t xml:space="preserve"> of </w:t>
    </w:r>
    <w:r w:rsidRPr="00F568FA">
      <w:rPr>
        <w:rStyle w:val="PageNumber"/>
        <w:rFonts w:ascii="Arial" w:hAnsi="Arial" w:cs="Arial"/>
        <w:b/>
        <w:snapToGrid w:val="0"/>
        <w:sz w:val="20"/>
        <w:lang w:eastAsia="en-US"/>
      </w:rPr>
      <w:fldChar w:fldCharType="begin"/>
    </w:r>
    <w:r w:rsidRPr="00F568FA">
      <w:rPr>
        <w:rStyle w:val="PageNumber"/>
        <w:rFonts w:ascii="Arial" w:hAnsi="Arial" w:cs="Arial"/>
        <w:b/>
        <w:snapToGrid w:val="0"/>
        <w:sz w:val="20"/>
        <w:lang w:eastAsia="en-US"/>
      </w:rPr>
      <w:instrText xml:space="preserve"> NUMPAGES </w:instrText>
    </w:r>
    <w:r w:rsidRPr="00F568FA">
      <w:rPr>
        <w:rStyle w:val="PageNumber"/>
        <w:rFonts w:ascii="Arial" w:hAnsi="Arial" w:cs="Arial"/>
        <w:b/>
        <w:snapToGrid w:val="0"/>
        <w:sz w:val="20"/>
        <w:lang w:eastAsia="en-US"/>
      </w:rPr>
      <w:fldChar w:fldCharType="separate"/>
    </w:r>
    <w:r>
      <w:rPr>
        <w:rStyle w:val="PageNumber"/>
        <w:rFonts w:ascii="Arial" w:hAnsi="Arial" w:cs="Arial"/>
        <w:b/>
        <w:noProof/>
        <w:snapToGrid w:val="0"/>
        <w:sz w:val="20"/>
        <w:lang w:eastAsia="en-US"/>
      </w:rPr>
      <w:t>3</w:t>
    </w:r>
    <w:r w:rsidRPr="00F568FA">
      <w:rPr>
        <w:rStyle w:val="PageNumber"/>
        <w:rFonts w:ascii="Arial" w:hAnsi="Arial" w:cs="Arial"/>
        <w:b/>
        <w:snapToGrid w:val="0"/>
        <w:sz w:val="20"/>
        <w:lang w:eastAsia="en-US"/>
      </w:rPr>
      <w:fldChar w:fldCharType="end"/>
    </w:r>
    <w:r>
      <w:rPr>
        <w:rStyle w:val="PageNumber"/>
        <w:rFonts w:ascii="Arial" w:hAnsi="Arial" w:cs="Arial"/>
        <w:b/>
        <w:sz w:val="20"/>
      </w:rPr>
      <w:t xml:space="preserve">   </w:t>
    </w:r>
    <w:r w:rsidRPr="00F568FA">
      <w:rPr>
        <w:rStyle w:val="PageNumber"/>
        <w:rFonts w:ascii="Arial" w:hAnsi="Arial" w:cs="Arial"/>
        <w:b/>
        <w:sz w:val="20"/>
      </w:rPr>
      <w:t xml:space="preserve">Version No. XX DD/MM/YYYY </w:t>
    </w:r>
    <w:r>
      <w:rPr>
        <w:rStyle w:val="PageNumber"/>
        <w:rFonts w:ascii="Arial" w:hAnsi="Arial" w:cs="Arial"/>
        <w:b/>
        <w:sz w:val="20"/>
      </w:rPr>
      <w:tab/>
    </w:r>
    <w:r w:rsidRPr="00014EC1">
      <w:rPr>
        <w:rStyle w:val="PageNumber"/>
        <w:rFonts w:ascii="Arial" w:hAnsi="Arial" w:cs="Arial"/>
        <w:b/>
        <w:sz w:val="20"/>
      </w:rPr>
      <w:t>Application Name &amp; No</w:t>
    </w:r>
    <w:r w:rsidRPr="00014EC1">
      <w:rPr>
        <w:rStyle w:val="PageNumber"/>
        <w:rFonts w:ascii="Arial" w:hAnsi="Arial"/>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020F46" w14:textId="77777777" w:rsidR="00D320AF" w:rsidRDefault="00D320AF" w:rsidP="00A23645">
      <w:r>
        <w:separator/>
      </w:r>
    </w:p>
  </w:footnote>
  <w:footnote w:type="continuationSeparator" w:id="0">
    <w:p w14:paraId="53B42730" w14:textId="77777777" w:rsidR="00D320AF" w:rsidRDefault="00D320AF" w:rsidP="00A23645">
      <w:r>
        <w:continuationSeparator/>
      </w:r>
    </w:p>
  </w:footnote>
  <w:footnote w:type="continuationNotice" w:id="1">
    <w:p w14:paraId="34C5F8FA" w14:textId="77777777" w:rsidR="00D320AF" w:rsidRDefault="00D320AF">
      <w:pPr>
        <w:spacing w:after="0" w:line="240" w:lineRule="auto"/>
      </w:pPr>
    </w:p>
  </w:footnote>
  <w:footnote w:id="2">
    <w:p w14:paraId="639B0AC9" w14:textId="77777777" w:rsidR="00D320AF" w:rsidRDefault="00D320AF">
      <w:pPr>
        <w:pStyle w:val="FootnoteText"/>
      </w:pPr>
      <w:r>
        <w:rPr>
          <w:rStyle w:val="FootnoteReference"/>
        </w:rPr>
        <w:footnoteRef/>
      </w:r>
      <w:r>
        <w:t xml:space="preserve"> Population, Intervention, Comparator, Outcomes</w:t>
      </w:r>
    </w:p>
  </w:footnote>
  <w:footnote w:id="3">
    <w:p w14:paraId="77AFFCB1" w14:textId="77777777" w:rsidR="00D320AF" w:rsidRPr="00A45D77" w:rsidRDefault="00D320AF" w:rsidP="00603E26">
      <w:pPr>
        <w:pStyle w:val="FootnoteText"/>
        <w:rPr>
          <w:sz w:val="16"/>
          <w:szCs w:val="16"/>
        </w:rPr>
      </w:pPr>
      <w:r w:rsidRPr="00A45D77">
        <w:rPr>
          <w:rStyle w:val="FootnoteReference"/>
          <w:sz w:val="16"/>
          <w:szCs w:val="16"/>
        </w:rPr>
        <w:footnoteRef/>
      </w:r>
      <w:r w:rsidRPr="00A45D77">
        <w:rPr>
          <w:sz w:val="16"/>
          <w:szCs w:val="16"/>
        </w:rPr>
        <w:t xml:space="preserve"> </w:t>
      </w:r>
      <w:r w:rsidRPr="00A45D77">
        <w:rPr>
          <w:color w:val="000000"/>
          <w:sz w:val="16"/>
          <w:szCs w:val="16"/>
        </w:rPr>
        <w:t>http://nationalstandards.safetyandquality.gov.au/7.-blood-management</w:t>
      </w:r>
    </w:p>
  </w:footnote>
  <w:footnote w:id="4">
    <w:p w14:paraId="3454F15F" w14:textId="077AE997" w:rsidR="00D320AF" w:rsidRDefault="00D320AF">
      <w:pPr>
        <w:pStyle w:val="FootnoteText"/>
      </w:pPr>
      <w:r>
        <w:rPr>
          <w:rStyle w:val="FootnoteReference"/>
        </w:rPr>
        <w:footnoteRef/>
      </w:r>
      <w:r>
        <w:t xml:space="preserve"> </w:t>
      </w:r>
      <w:hyperlink r:id="rId1" w:history="1">
        <w:r w:rsidRPr="005C39D4">
          <w:rPr>
            <w:rStyle w:val="Hyperlink"/>
          </w:rPr>
          <w:t>BloodSTAR</w:t>
        </w:r>
      </w:hyperlink>
      <w:r>
        <w:t xml:space="preserve"> is an online system used to manage the access to the supply of government funded Ig products in Australia</w:t>
      </w:r>
    </w:p>
  </w:footnote>
  <w:footnote w:id="5">
    <w:p w14:paraId="0047BF8E" w14:textId="77777777" w:rsidR="00D320AF" w:rsidRPr="003A155E" w:rsidRDefault="00D320AF" w:rsidP="00615BDD">
      <w:pPr>
        <w:ind w:right="85"/>
        <w:rPr>
          <w:sz w:val="24"/>
          <w:szCs w:val="24"/>
        </w:rPr>
      </w:pPr>
      <w:r>
        <w:rPr>
          <w:rStyle w:val="FootnoteReference"/>
        </w:rPr>
        <w:footnoteRef/>
      </w:r>
      <w:r>
        <w:t xml:space="preserve"> </w:t>
      </w:r>
      <w:r w:rsidRPr="00CA6763">
        <w:rPr>
          <w:sz w:val="20"/>
        </w:rPr>
        <w:t xml:space="preserve">National Blood Authority 2018, </w:t>
      </w:r>
      <w:r w:rsidRPr="00CA6763">
        <w:rPr>
          <w:i/>
          <w:iCs/>
          <w:sz w:val="20"/>
        </w:rPr>
        <w:t>Criteria for the clinical use of immunoglobulin in Australia v3.0.1</w:t>
      </w:r>
      <w:r w:rsidRPr="00CA6763">
        <w:rPr>
          <w:sz w:val="20"/>
        </w:rPr>
        <w:t>,</w:t>
      </w:r>
      <w:r>
        <w:rPr>
          <w:sz w:val="20"/>
        </w:rPr>
        <w:t xml:space="preserve"> www</w:t>
      </w:r>
      <w:hyperlink r:id="rId2" w:history="1">
        <w:r w:rsidRPr="00CA6763">
          <w:rPr>
            <w:sz w:val="20"/>
          </w:rPr>
          <w:t>.criteria.blood.gov.au/MedicalCondition/View/2549</w:t>
        </w:r>
      </w:hyperlink>
      <w:r w:rsidRPr="00CA6763">
        <w:rPr>
          <w:sz w:val="20"/>
        </w:rPr>
        <w:t>.</w:t>
      </w:r>
    </w:p>
    <w:p w14:paraId="5B8C5299" w14:textId="77777777" w:rsidR="00D320AF" w:rsidRDefault="00D320AF" w:rsidP="00615BDD">
      <w:pPr>
        <w:pStyle w:val="FootnoteText"/>
      </w:pPr>
    </w:p>
  </w:footnote>
  <w:footnote w:id="6">
    <w:p w14:paraId="64F85872" w14:textId="2A348073" w:rsidR="00D320AF" w:rsidRDefault="00D320AF" w:rsidP="00714286">
      <w:pPr>
        <w:pStyle w:val="FootnoteText"/>
      </w:pPr>
      <w:r>
        <w:rPr>
          <w:rStyle w:val="FootnoteReference"/>
        </w:rPr>
        <w:footnoteRef/>
      </w:r>
      <w:r>
        <w:t xml:space="preserve"> Patients were identified by the ICD-9-CD code 358.01 for acute MG crisis or of an MG patient had a secondary diagnosis of acute respiratory failure by coded518.81, and/or required mechanical ventilation during the same admission. </w:t>
      </w:r>
    </w:p>
  </w:footnote>
  <w:footnote w:id="7">
    <w:p w14:paraId="75058212" w14:textId="77777777" w:rsidR="00D320AF" w:rsidRDefault="00D320AF" w:rsidP="002630F7">
      <w:pPr>
        <w:pStyle w:val="FootnoteText"/>
      </w:pPr>
      <w:r>
        <w:rPr>
          <w:rStyle w:val="FootnoteReference"/>
        </w:rPr>
        <w:footnoteRef/>
      </w:r>
      <w:r>
        <w:t xml:space="preserve"> Patients were identified by the ICD-9-CD code 358.01 for acute MG crisis or of an MG patient had a secondary diagnosis of acute respiratory failure by coded518.81, and/or required mechanical ventilation during the same admission. </w:t>
      </w:r>
    </w:p>
  </w:footnote>
  <w:footnote w:id="8">
    <w:p w14:paraId="61FAD172" w14:textId="24F98C81" w:rsidR="00D320AF" w:rsidRDefault="00D320AF" w:rsidP="00E30322">
      <w:pPr>
        <w:pStyle w:val="FootnoteText"/>
      </w:pPr>
      <w:r>
        <w:rPr>
          <w:rStyle w:val="FootnoteReference"/>
        </w:rPr>
        <w:footnoteRef/>
      </w:r>
      <w:r>
        <w:t xml:space="preserve"> from ABS Life Tables 2015-2017: available at </w:t>
      </w:r>
      <w:hyperlink r:id="rId3" w:tooltip="Website link" w:history="1">
        <w:r w:rsidRPr="00FF7EDD">
          <w:rPr>
            <w:rStyle w:val="Hyperlink"/>
          </w:rPr>
          <w:t>https://www.abs.gov.au/ausstats/abs@.nsf/mf/3302.0.55.001</w:t>
        </w:r>
      </w:hyperlink>
      <w:r>
        <w:t xml:space="preserve"> </w:t>
      </w:r>
    </w:p>
  </w:footnote>
  <w:footnote w:id="9">
    <w:p w14:paraId="65C4B634" w14:textId="55CE7F8A" w:rsidR="00D320AF" w:rsidRDefault="00D320AF" w:rsidP="004831F5">
      <w:pPr>
        <w:pStyle w:val="FootnoteText"/>
      </w:pPr>
      <w:r w:rsidRPr="007036F8">
        <w:rPr>
          <w:rStyle w:val="FootnoteReference"/>
        </w:rPr>
        <w:footnoteRef/>
      </w:r>
      <w:r w:rsidRPr="007036F8">
        <w:t xml:space="preserve"> Immunoglobulin Review Reference Group</w:t>
      </w:r>
    </w:p>
  </w:footnote>
  <w:footnote w:id="10">
    <w:p w14:paraId="3DFE56BB" w14:textId="77777777" w:rsidR="00D320AF" w:rsidRDefault="00D320AF" w:rsidP="008747C1">
      <w:pPr>
        <w:pStyle w:val="FootnoteText"/>
      </w:pPr>
      <w:r>
        <w:rPr>
          <w:rStyle w:val="FootnoteReference"/>
        </w:rPr>
        <w:footnoteRef/>
      </w:r>
      <w:r>
        <w:t xml:space="preserve"> email 12/04/19 to AHTA from </w:t>
      </w:r>
      <w:r w:rsidRPr="00652079">
        <w:t>PBS Post Market Review Section, Office of Health Technology Assessment Policy Branch, Technology Assessment and Access Division, Department of Health</w:t>
      </w:r>
      <w:r>
        <w:t>.</w:t>
      </w:r>
    </w:p>
  </w:footnote>
  <w:footnote w:id="11">
    <w:p w14:paraId="72908B9D" w14:textId="77777777" w:rsidR="00D320AF" w:rsidRDefault="00D320AF" w:rsidP="006C641A">
      <w:pPr>
        <w:pStyle w:val="FootnoteText"/>
      </w:pPr>
      <w:r>
        <w:rPr>
          <w:rStyle w:val="FootnoteReference"/>
        </w:rPr>
        <w:footnoteRef/>
      </w:r>
      <w:r>
        <w:t xml:space="preserve"> As at July 1, 2019</w:t>
      </w:r>
    </w:p>
  </w:footnote>
  <w:footnote w:id="12">
    <w:p w14:paraId="2E4908F0" w14:textId="77777777" w:rsidR="00D320AF" w:rsidRPr="00C5033D" w:rsidRDefault="00D320AF" w:rsidP="000B5479">
      <w:pPr>
        <w:pStyle w:val="FootnoteText"/>
        <w:spacing w:after="0" w:line="240" w:lineRule="auto"/>
        <w:rPr>
          <w:rFonts w:ascii="Arial Narrow" w:hAnsi="Arial Narrow"/>
          <w:sz w:val="18"/>
        </w:rPr>
      </w:pPr>
      <w:r w:rsidRPr="00C5033D">
        <w:rPr>
          <w:rStyle w:val="FootnoteReference"/>
          <w:rFonts w:ascii="Arial Narrow" w:hAnsi="Arial Narrow"/>
          <w:sz w:val="18"/>
        </w:rPr>
        <w:footnoteRef/>
      </w:r>
      <w:r w:rsidRPr="00C5033D">
        <w:rPr>
          <w:rFonts w:ascii="Arial Narrow" w:hAnsi="Arial Narrow"/>
          <w:sz w:val="18"/>
        </w:rPr>
        <w:t xml:space="preserve"> </w:t>
      </w:r>
      <w:r w:rsidRPr="00C5033D">
        <w:t>https</w:t>
      </w:r>
      <w:r w:rsidRPr="00002CB3">
        <w:t>://www.transfusionguidelines.org/transfusion-handbook/11-therapeutic-apheresis/11-1-therapeutic-plasma-exchange-tpe</w:t>
      </w:r>
    </w:p>
  </w:footnote>
  <w:footnote w:id="13">
    <w:p w14:paraId="42E89F40" w14:textId="3A115D94" w:rsidR="00D320AF" w:rsidRPr="00C5033D" w:rsidRDefault="00D320AF" w:rsidP="000B5479">
      <w:pPr>
        <w:pStyle w:val="FootnoteText"/>
        <w:spacing w:after="0" w:line="240" w:lineRule="auto"/>
      </w:pPr>
      <w:r>
        <w:rPr>
          <w:rStyle w:val="FootnoteReference"/>
        </w:rPr>
        <w:footnoteRef/>
      </w:r>
      <w:r>
        <w:t xml:space="preserve"> </w:t>
      </w:r>
      <w:hyperlink r:id="rId4" w:tooltip="Website link" w:history="1">
        <w:r w:rsidRPr="00C5033D">
          <w:t>https://professionaleducation.blood.ca/en/transfusion/guide-clinique/albumin</w:t>
        </w:r>
      </w:hyperlink>
      <w:r w:rsidRPr="00C5033D">
        <w:t xml:space="preserve"> </w:t>
      </w:r>
    </w:p>
  </w:footnote>
  <w:footnote w:id="14">
    <w:p w14:paraId="71323FB3" w14:textId="77777777" w:rsidR="00D320AF" w:rsidRDefault="00D320AF" w:rsidP="000B5479">
      <w:pPr>
        <w:pStyle w:val="FootnoteText"/>
        <w:spacing w:line="240" w:lineRule="auto"/>
        <w:jc w:val="both"/>
      </w:pPr>
      <w:r>
        <w:rPr>
          <w:rStyle w:val="FootnoteReference"/>
        </w:rPr>
        <w:footnoteRef/>
      </w:r>
      <w:r>
        <w:t xml:space="preserve"> This costing approach varies from the approach used in Assessment 1565, where a source was identified reporting Australian administration costs for IVIg specifically in the context of acquired hypogammaglobulinaemia (dosed at 0.4g/kg), as $253/administration (predominantly chair and nurse time). Given the dose of IVIg used preoperatively and for maintenance in MG is substantially higher (up to 1g/kg), it is expected to incur significantly longer chair and nursing supervision times, therefore the estimated administration cost of $461, based on Service 10.13 using the NWAU calculator; $461 appears reasonably consistent with the 1565 estimate, despite the different approach.</w:t>
      </w:r>
    </w:p>
  </w:footnote>
  <w:footnote w:id="15">
    <w:p w14:paraId="61D7C1AA" w14:textId="024E01DF" w:rsidR="00D320AF" w:rsidRDefault="00D320AF" w:rsidP="000B5479">
      <w:pPr>
        <w:pStyle w:val="FootnoteText"/>
      </w:pPr>
      <w:r>
        <w:rPr>
          <w:rStyle w:val="FootnoteReference"/>
        </w:rPr>
        <w:footnoteRef/>
      </w:r>
      <w:r>
        <w:t xml:space="preserve"> Independent Hospital Pricing Authority can be accessed at the link: </w:t>
      </w:r>
      <w:hyperlink r:id="rId5" w:tooltip="Website link" w:history="1">
        <w:r w:rsidRPr="00602AB9">
          <w:rPr>
            <w:rStyle w:val="Hyperlink"/>
          </w:rPr>
          <w:t>https://www.ihpa.gov.au</w:t>
        </w:r>
      </w:hyperlink>
      <w:r>
        <w:t xml:space="preserve"> </w:t>
      </w:r>
    </w:p>
  </w:footnote>
  <w:footnote w:id="16">
    <w:p w14:paraId="26DC129F" w14:textId="50007D04" w:rsidR="00D320AF" w:rsidRDefault="00D320AF" w:rsidP="006C641A">
      <w:pPr>
        <w:pStyle w:val="FootnoteText"/>
        <w:spacing w:line="264" w:lineRule="auto"/>
        <w:contextualSpacing/>
      </w:pPr>
      <w:r>
        <w:rPr>
          <w:rStyle w:val="FootnoteReference"/>
        </w:rPr>
        <w:footnoteRef/>
      </w:r>
      <w:r w:rsidRPr="00FA4ECA">
        <w:t xml:space="preserve"> See </w:t>
      </w:r>
      <w:hyperlink r:id="rId6" w:tooltip="Website link" w:history="1">
        <w:r w:rsidRPr="00B95881">
          <w:rPr>
            <w:rStyle w:val="Hyperlink"/>
          </w:rPr>
          <w:t>https://www.blood.gov.au/bloodstar</w:t>
        </w:r>
      </w:hyperlink>
      <w:r>
        <w:t>. The criteria for IVIg supply in MG (as defined in Version 3) are;</w:t>
      </w:r>
    </w:p>
    <w:p w14:paraId="63C31761" w14:textId="77777777" w:rsidR="00D320AF" w:rsidRDefault="00D320AF" w:rsidP="006C641A">
      <w:pPr>
        <w:pStyle w:val="FootnoteText"/>
        <w:numPr>
          <w:ilvl w:val="0"/>
          <w:numId w:val="42"/>
        </w:numPr>
        <w:spacing w:line="264" w:lineRule="auto"/>
        <w:ind w:left="709" w:hanging="425"/>
        <w:contextualSpacing/>
      </w:pPr>
      <w:r>
        <w:t>Patients with, or at risk of, myasthenic crisis.</w:t>
      </w:r>
    </w:p>
    <w:p w14:paraId="4E64D83A" w14:textId="77777777" w:rsidR="00D320AF" w:rsidRDefault="00D320AF" w:rsidP="006C641A">
      <w:pPr>
        <w:pStyle w:val="FootnoteText"/>
        <w:numPr>
          <w:ilvl w:val="0"/>
          <w:numId w:val="42"/>
        </w:numPr>
        <w:spacing w:line="264" w:lineRule="auto"/>
        <w:ind w:left="709" w:hanging="425"/>
        <w:contextualSpacing/>
      </w:pPr>
      <w:r>
        <w:t>Patients with advanced MG, bulbar symptoms or respiratory involvement, prior to surgery and/or thymectomy.</w:t>
      </w:r>
    </w:p>
    <w:p w14:paraId="0DC809CE" w14:textId="77777777" w:rsidR="00D320AF" w:rsidRDefault="00D320AF" w:rsidP="006C641A">
      <w:pPr>
        <w:pStyle w:val="FootnoteText"/>
        <w:spacing w:line="264" w:lineRule="auto"/>
        <w:ind w:left="709" w:hanging="425"/>
      </w:pPr>
      <w:r>
        <w:t>3.</w:t>
      </w:r>
      <w:r>
        <w:tab/>
        <w:t>As maintenance therapy in patients with moderate to severe MG when other treatments have been ineffective or caused intolerable side effects.</w:t>
      </w:r>
    </w:p>
  </w:footnote>
  <w:footnote w:id="17">
    <w:p w14:paraId="4E2CEA6B" w14:textId="4167F816" w:rsidR="00D320AF" w:rsidRDefault="00D320AF" w:rsidP="006C641A">
      <w:pPr>
        <w:pStyle w:val="FootnoteText"/>
      </w:pPr>
      <w:r>
        <w:rPr>
          <w:rStyle w:val="FootnoteReference"/>
        </w:rPr>
        <w:footnoteRef/>
      </w:r>
      <w:r>
        <w:t xml:space="preserve"> </w:t>
      </w:r>
      <w:r w:rsidR="0062642A">
        <w:t>Department correspondence</w:t>
      </w:r>
      <w:r>
        <w:t xml:space="preserve"> 12/04/19 </w:t>
      </w:r>
    </w:p>
  </w:footnote>
  <w:footnote w:id="18">
    <w:p w14:paraId="2C29E8C2" w14:textId="77777777" w:rsidR="00D320AF" w:rsidRDefault="00D320AF" w:rsidP="006C641A">
      <w:pPr>
        <w:pStyle w:val="FootnoteText"/>
      </w:pPr>
      <w:r>
        <w:rPr>
          <w:rStyle w:val="FootnoteReference"/>
        </w:rPr>
        <w:footnoteRef/>
      </w:r>
      <w:r>
        <w:t xml:space="preserve"> </w:t>
      </w:r>
      <w:r w:rsidRPr="003C5EB9">
        <w:t>https://www.ihpa.gov.au/what-we-do/pricing/national-weighted-activity-unit-nwau-calculators/nwau-calculators-2019-20</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3258F9" w14:textId="77777777" w:rsidR="006E3FC4" w:rsidRDefault="006E3FC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234C4D" w14:textId="77777777" w:rsidR="00D320AF" w:rsidRDefault="00D320A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FE187" w14:textId="77777777" w:rsidR="00D320AF" w:rsidRDefault="00D320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0EB81" w14:textId="77777777" w:rsidR="00D320AF" w:rsidRDefault="00D320A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8F8CA" w14:textId="77777777" w:rsidR="00D320AF" w:rsidRDefault="00D320AF" w:rsidP="00A2364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7AB5A" w14:textId="77777777" w:rsidR="00D320AF" w:rsidRDefault="00D320AF" w:rsidP="00B426FF">
    <w:pPr>
      <w:pStyle w:val="Header"/>
      <w:tabs>
        <w:tab w:val="clear" w:pos="8306"/>
        <w:tab w:val="right" w:pos="8931"/>
      </w:tabs>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7FA92" w14:textId="77777777" w:rsidR="00D320AF" w:rsidRDefault="00D320AF" w:rsidP="00A2364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16E4E" w14:textId="77777777" w:rsidR="00D320AF" w:rsidRDefault="00D320AF" w:rsidP="00A23645">
    <w:pPr>
      <w:pStyle w:val="Header"/>
    </w:pPr>
  </w:p>
  <w:p w14:paraId="1293B133" w14:textId="77777777" w:rsidR="00D320AF" w:rsidRDefault="00D320AF"/>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F2AF9" w14:textId="77777777" w:rsidR="00D320AF" w:rsidRDefault="00D320AF" w:rsidP="00B426FF">
    <w:pPr>
      <w:pStyle w:val="Header"/>
      <w:tabs>
        <w:tab w:val="clear" w:pos="8306"/>
        <w:tab w:val="right" w:pos="8931"/>
      </w:tabs>
    </w:pPr>
  </w:p>
  <w:p w14:paraId="5DA5506B" w14:textId="77777777" w:rsidR="00D320AF" w:rsidRDefault="00D320AF"/>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1C63" w14:textId="77777777" w:rsidR="00D320AF" w:rsidRDefault="00D320AF" w:rsidP="00A23645">
    <w:pPr>
      <w:pStyle w:val="Header"/>
    </w:pPr>
  </w:p>
  <w:p w14:paraId="594C8E5E" w14:textId="77777777" w:rsidR="00D320AF" w:rsidRDefault="00D320AF"/>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6355F" w14:textId="77777777" w:rsidR="00D320AF" w:rsidRDefault="00D320AF" w:rsidP="00B426FF">
    <w:pPr>
      <w:pStyle w:val="Header"/>
      <w:tabs>
        <w:tab w:val="clear" w:pos="8306"/>
        <w:tab w:val="right" w:pos="8931"/>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2B332" w14:textId="77777777" w:rsidR="00D320AF" w:rsidRDefault="00D320AF" w:rsidP="00B426FF">
    <w:pPr>
      <w:pStyle w:val="Header"/>
      <w:tabs>
        <w:tab w:val="clear" w:pos="8306"/>
        <w:tab w:val="right" w:pos="8931"/>
      </w:tabs>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080A5" w14:textId="77777777" w:rsidR="00D320AF" w:rsidRDefault="00D320AF" w:rsidP="00B426FF">
    <w:pPr>
      <w:pStyle w:val="Header"/>
      <w:tabs>
        <w:tab w:val="clear" w:pos="8306"/>
        <w:tab w:val="right" w:pos="8931"/>
      </w:tabs>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CB05F" w14:textId="77777777" w:rsidR="00D320AF" w:rsidRDefault="002814BF">
    <w:pPr>
      <w:pStyle w:val="Header"/>
    </w:pPr>
    <w:r>
      <w:rPr>
        <w:noProof/>
      </w:rPr>
      <w:pict w14:anchorId="08A134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412.2pt;height:247.3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A36FE" w14:textId="77777777" w:rsidR="00D320AF" w:rsidRDefault="00D320AF" w:rsidP="00006961">
    <w:pPr>
      <w:pStyle w:val="Header"/>
      <w:jc w:val="both"/>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0C690" w14:textId="77777777" w:rsidR="00D320AF" w:rsidRDefault="002814BF">
    <w:pPr>
      <w:pStyle w:val="Header"/>
    </w:pPr>
    <w:r>
      <w:rPr>
        <w:noProof/>
      </w:rPr>
      <w:pict w14:anchorId="2B584B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412.2pt;height:247.3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04EC1" w14:textId="494C6D64" w:rsidR="00D320AF" w:rsidRDefault="00D320AF">
    <w:pPr>
      <w:pStyle w:val="Header"/>
    </w:pPr>
    <w:r>
      <w:rPr>
        <w:noProof/>
      </w:rPr>
      <mc:AlternateContent>
        <mc:Choice Requires="wps">
          <w:drawing>
            <wp:anchor distT="0" distB="0" distL="114300" distR="114300" simplePos="0" relativeHeight="251663360" behindDoc="1" locked="0" layoutInCell="0" allowOverlap="1" wp14:anchorId="21FC4958" wp14:editId="096D8322">
              <wp:simplePos x="0" y="0"/>
              <wp:positionH relativeFrom="margin">
                <wp:align>center</wp:align>
              </wp:positionH>
              <wp:positionV relativeFrom="margin">
                <wp:align>center</wp:align>
              </wp:positionV>
              <wp:extent cx="5234940" cy="3140710"/>
              <wp:effectExtent l="0" t="1143000" r="0" b="6597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4940" cy="3140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6AD2DD" w14:textId="77777777" w:rsidR="00D320AF" w:rsidRDefault="00D320AF" w:rsidP="00D2504B">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1FC4958" id="_x0000_t202" coordsize="21600,21600" o:spt="202" path="m,l,21600r21600,l21600,xe">
              <v:stroke joinstyle="miter"/>
              <v:path gradientshapeok="t" o:connecttype="rect"/>
            </v:shapetype>
            <v:shape id="Text Box 10" o:spid="_x0000_s1026" type="#_x0000_t202" style="position:absolute;margin-left:0;margin-top:0;width:412.2pt;height:247.3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" o:allowincell="f" filled="f" stroked="f">
              <v:stroke joinstyle="round"/>
              <o:lock v:ext="edit" shapetype="t"/>
              <v:textbox style="mso-fit-shape-to-text:t">
                <w:txbxContent>
                  <w:p w14:paraId="506AD2DD" w14:textId="77777777" w:rsidR="00D320AF" w:rsidRDefault="00D320AF" w:rsidP="00D2504B">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2A884" w14:textId="77777777" w:rsidR="00D320AF" w:rsidRDefault="00D320AF" w:rsidP="00006961">
    <w:pPr>
      <w:pStyle w:val="Header"/>
      <w:jc w:val="both"/>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7356C" w14:textId="1A143A73" w:rsidR="00D320AF" w:rsidRDefault="00D320AF">
    <w:pPr>
      <w:pStyle w:val="Header"/>
    </w:pPr>
    <w:r>
      <w:rPr>
        <w:noProof/>
      </w:rPr>
      <mc:AlternateContent>
        <mc:Choice Requires="wps">
          <w:drawing>
            <wp:anchor distT="0" distB="0" distL="114300" distR="114300" simplePos="0" relativeHeight="251662336" behindDoc="1" locked="0" layoutInCell="0" allowOverlap="1" wp14:anchorId="66967B2D" wp14:editId="0586A929">
              <wp:simplePos x="0" y="0"/>
              <wp:positionH relativeFrom="margin">
                <wp:align>center</wp:align>
              </wp:positionH>
              <wp:positionV relativeFrom="margin">
                <wp:align>center</wp:align>
              </wp:positionV>
              <wp:extent cx="5234940" cy="3140710"/>
              <wp:effectExtent l="0" t="1143000" r="0" b="6597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4940" cy="31407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9765AD" w14:textId="77777777" w:rsidR="00D320AF" w:rsidRDefault="00D320AF" w:rsidP="00D2504B">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6967B2D" id="_x0000_t202" coordsize="21600,21600" o:spt="202" path="m,l,21600r21600,l21600,xe">
              <v:stroke joinstyle="miter"/>
              <v:path gradientshapeok="t" o:connecttype="rect"/>
            </v:shapetype>
            <v:shape id="Text Box 9" o:spid="_x0000_s1027" type="#_x0000_t202" style="position:absolute;margin-left:0;margin-top:0;width:412.2pt;height:247.3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" o:allowincell="f" filled="f" stroked="f">
              <v:stroke joinstyle="round"/>
              <o:lock v:ext="edit" shapetype="t"/>
              <v:textbox style="mso-fit-shape-to-text:t">
                <w:txbxContent>
                  <w:p w14:paraId="6C9765AD" w14:textId="77777777" w:rsidR="00D320AF" w:rsidRDefault="00D320AF" w:rsidP="00D2504B">
                    <w:pPr>
                      <w:pStyle w:val="NormalWeb"/>
                      <w:spacing w:before="0" w:beforeAutospacing="0" w:after="0" w:afterAutospacing="0"/>
                      <w:jc w:val="center"/>
                      <w:rPr>
                        <w:sz w:val="24"/>
                      </w:rPr>
                    </w:pPr>
                    <w:r>
                      <w:rPr>
                        <w:rFonts w:ascii="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95F26" w14:textId="77777777" w:rsidR="00D320AF" w:rsidRDefault="002814BF">
    <w:pPr>
      <w:pStyle w:val="Header"/>
    </w:pPr>
    <w:r>
      <w:rPr>
        <w:noProof/>
      </w:rPr>
      <w:pict w14:anchorId="46625E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8" o:spid="_x0000_s2050" type="#_x0000_t136" style="position:absolute;margin-left:0;margin-top:0;width:412.2pt;height:247.3pt;rotation:315;z-index:-25165619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1DBC8A76" w14:textId="77777777" w:rsidR="00D320AF" w:rsidRDefault="00D320AF"/>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F19DA" w14:textId="77777777" w:rsidR="00D320AF" w:rsidRDefault="00D320AF" w:rsidP="00006961">
    <w:pPr>
      <w:pStyle w:val="Header"/>
      <w:jc w:val="both"/>
    </w:pPr>
  </w:p>
  <w:p w14:paraId="65028EEB" w14:textId="77777777" w:rsidR="00D320AF" w:rsidRDefault="00D320AF"/>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C5E39" w14:textId="77777777" w:rsidR="00D320AF" w:rsidRDefault="002814BF">
    <w:pPr>
      <w:pStyle w:val="Header"/>
    </w:pPr>
    <w:r>
      <w:rPr>
        <w:noProof/>
      </w:rPr>
      <w:pict w14:anchorId="46C737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56507" o:spid="_x0000_s2049" type="#_x0000_t136" style="position:absolute;margin-left:0;margin-top:0;width:412.2pt;height:247.3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49438" w14:textId="77777777" w:rsidR="00D320AF" w:rsidRDefault="00D320AF" w:rsidP="00B426FF">
    <w:pPr>
      <w:pStyle w:val="Header"/>
      <w:tabs>
        <w:tab w:val="clear" w:pos="8306"/>
        <w:tab w:val="right" w:pos="8931"/>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7BEC" w14:textId="77777777" w:rsidR="00D320AF" w:rsidRDefault="00D320AF" w:rsidP="00A236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99296" w14:textId="77777777" w:rsidR="00D320AF" w:rsidRDefault="00D320AF" w:rsidP="00B426FF">
    <w:pPr>
      <w:pStyle w:val="Header"/>
      <w:tabs>
        <w:tab w:val="clear" w:pos="8306"/>
        <w:tab w:val="right" w:pos="8931"/>
      </w:tabs>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E564E" w14:textId="77777777" w:rsidR="00D320AF" w:rsidRDefault="00D320AF" w:rsidP="00A2364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EFC03" w14:textId="77777777" w:rsidR="00D320AF" w:rsidRDefault="00D320AF" w:rsidP="00A2364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76A4E" w14:textId="77777777" w:rsidR="00D320AF" w:rsidRDefault="00D320AF" w:rsidP="00B426FF">
    <w:pPr>
      <w:pStyle w:val="Header"/>
      <w:tabs>
        <w:tab w:val="clear" w:pos="8306"/>
        <w:tab w:val="right" w:pos="8931"/>
      </w:tabs>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B37A8" w14:textId="77777777" w:rsidR="00D320AF" w:rsidRDefault="00D320AF" w:rsidP="00A236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000002"/>
    <w:multiLevelType w:val="multilevel"/>
    <w:tmpl w:val="00000002"/>
    <w:lvl w:ilvl="0">
      <w:start w:val="1"/>
      <w:numFmt w:val="bullet"/>
      <w:lvlText w:val="·"/>
      <w:lvlJc w:val="left"/>
      <w:rPr>
        <w:rFonts w:ascii="Symbol" w:hAnsi="Symbol" w:cs="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A14888"/>
    <w:multiLevelType w:val="hybridMultilevel"/>
    <w:tmpl w:val="646C0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086265"/>
    <w:multiLevelType w:val="hybridMultilevel"/>
    <w:tmpl w:val="083C4A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462BFB"/>
    <w:multiLevelType w:val="hybridMultilevel"/>
    <w:tmpl w:val="E7AC5E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113B42"/>
    <w:multiLevelType w:val="singleLevel"/>
    <w:tmpl w:val="56CEB106"/>
    <w:lvl w:ilvl="0">
      <w:start w:val="1"/>
      <w:numFmt w:val="bullet"/>
      <w:pStyle w:val="Dash"/>
      <w:lvlText w:val="–"/>
      <w:lvlJc w:val="left"/>
      <w:pPr>
        <w:tabs>
          <w:tab w:val="num" w:pos="1800"/>
        </w:tabs>
        <w:ind w:left="1800" w:hanging="360"/>
      </w:pPr>
      <w:rPr>
        <w:rFonts w:ascii="Times New Roman" w:hAnsi="Times New Roman" w:hint="default"/>
        <w:sz w:val="20"/>
      </w:rPr>
    </w:lvl>
  </w:abstractNum>
  <w:abstractNum w:abstractNumId="6" w15:restartNumberingAfterBreak="0">
    <w:nsid w:val="160B51B2"/>
    <w:multiLevelType w:val="hybridMultilevel"/>
    <w:tmpl w:val="CEC86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E21023"/>
    <w:multiLevelType w:val="hybridMultilevel"/>
    <w:tmpl w:val="96C0C6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996F6A"/>
    <w:multiLevelType w:val="hybridMultilevel"/>
    <w:tmpl w:val="209A3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D237D2B"/>
    <w:multiLevelType w:val="multilevel"/>
    <w:tmpl w:val="E640D178"/>
    <w:lvl w:ilvl="0">
      <w:start w:val="1"/>
      <w:numFmt w:val="decimal"/>
      <w:lvlText w:val="%1."/>
      <w:lvlJc w:val="left"/>
      <w:pPr>
        <w:ind w:left="1800" w:hanging="360"/>
      </w:pPr>
      <w:rPr>
        <w:rFonts w:hint="default"/>
      </w:rPr>
    </w:lvl>
    <w:lvl w:ilvl="1">
      <w:start w:val="2"/>
      <w:numFmt w:val="decimal"/>
      <w:isLgl/>
      <w:lvlText w:val="%1.%2"/>
      <w:lvlJc w:val="left"/>
      <w:pPr>
        <w:ind w:left="1800" w:hanging="360"/>
      </w:pPr>
      <w:rPr>
        <w:rFonts w:hint="default"/>
      </w:rPr>
    </w:lvl>
    <w:lvl w:ilvl="2">
      <w:start w:val="1"/>
      <w:numFmt w:val="decimal"/>
      <w:isLgl/>
      <w:lvlText w:val="%1.%2.%3"/>
      <w:lvlJc w:val="left"/>
      <w:pPr>
        <w:ind w:left="1800" w:hanging="36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160" w:hanging="720"/>
      </w:pPr>
      <w:rPr>
        <w:rFonts w:hint="default"/>
      </w:rPr>
    </w:lvl>
    <w:lvl w:ilvl="5">
      <w:start w:val="1"/>
      <w:numFmt w:val="decimal"/>
      <w:isLgl/>
      <w:lvlText w:val="%1.%2.%3.%4.%5.%6"/>
      <w:lvlJc w:val="left"/>
      <w:pPr>
        <w:ind w:left="2160" w:hanging="72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2520" w:hanging="1080"/>
      </w:pPr>
      <w:rPr>
        <w:rFonts w:hint="default"/>
      </w:rPr>
    </w:lvl>
    <w:lvl w:ilvl="8">
      <w:start w:val="1"/>
      <w:numFmt w:val="decimal"/>
      <w:isLgl/>
      <w:lvlText w:val="%1.%2.%3.%4.%5.%6.%7.%8.%9"/>
      <w:lvlJc w:val="left"/>
      <w:pPr>
        <w:ind w:left="2520" w:hanging="1080"/>
      </w:pPr>
      <w:rPr>
        <w:rFonts w:hint="default"/>
      </w:rPr>
    </w:lvl>
  </w:abstractNum>
  <w:abstractNum w:abstractNumId="10" w15:restartNumberingAfterBreak="0">
    <w:nsid w:val="1E4D1F51"/>
    <w:multiLevelType w:val="hybridMultilevel"/>
    <w:tmpl w:val="5B5C40F2"/>
    <w:lvl w:ilvl="0" w:tplc="48D0AF0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D91422"/>
    <w:multiLevelType w:val="hybridMultilevel"/>
    <w:tmpl w:val="72882C6E"/>
    <w:lvl w:ilvl="0" w:tplc="42E2531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0A07EC"/>
    <w:multiLevelType w:val="singleLevel"/>
    <w:tmpl w:val="FC24B238"/>
    <w:lvl w:ilvl="0">
      <w:start w:val="1"/>
      <w:numFmt w:val="decimal"/>
      <w:pStyle w:val="ESNumberedSectionHeading"/>
      <w:lvlText w:val="A.%1"/>
      <w:lvlJc w:val="left"/>
      <w:pPr>
        <w:ind w:left="644" w:hanging="360"/>
      </w:pPr>
      <w:rPr>
        <w:rFonts w:ascii="Calibri" w:hAnsi="Calibri" w:hint="default"/>
        <w:b/>
        <w:i w:val="0"/>
        <w:color w:val="auto"/>
        <w:sz w:val="24"/>
      </w:rPr>
    </w:lvl>
  </w:abstractNum>
  <w:abstractNum w:abstractNumId="13" w15:restartNumberingAfterBreak="0">
    <w:nsid w:val="237C0EE4"/>
    <w:multiLevelType w:val="multilevel"/>
    <w:tmpl w:val="FEE071C8"/>
    <w:styleLink w:val="ESSectionheading-numbered"/>
    <w:lvl w:ilvl="0">
      <w:start w:val="1"/>
      <w:numFmt w:val="none"/>
      <w:lvlText w:val="A.1"/>
      <w:lvlJc w:val="left"/>
      <w:pPr>
        <w:ind w:left="1134" w:hanging="1134"/>
      </w:pPr>
      <w:rPr>
        <w:rFonts w:ascii="Calibri" w:hAnsi="Calibri" w:hint="default"/>
        <w:b/>
        <w:i w:val="0"/>
        <w:color w:val="auto"/>
        <w:sz w:val="24"/>
      </w:rPr>
    </w:lvl>
    <w:lvl w:ilvl="1">
      <w:start w:val="1"/>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14" w15:restartNumberingAfterBreak="0">
    <w:nsid w:val="27162320"/>
    <w:multiLevelType w:val="hybridMultilevel"/>
    <w:tmpl w:val="3D4AB0E0"/>
    <w:lvl w:ilvl="0" w:tplc="F9A48B7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9E314F1"/>
    <w:multiLevelType w:val="hybridMultilevel"/>
    <w:tmpl w:val="BC7EA2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FDD67E4"/>
    <w:multiLevelType w:val="hybridMultilevel"/>
    <w:tmpl w:val="1B32AC7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25222F4"/>
    <w:multiLevelType w:val="hybridMultilevel"/>
    <w:tmpl w:val="474ED7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AD3835"/>
    <w:multiLevelType w:val="multilevel"/>
    <w:tmpl w:val="D30E6B36"/>
    <w:lvl w:ilvl="0">
      <w:start w:val="1"/>
      <w:numFmt w:val="decimal"/>
      <w:lvlText w:val="%1."/>
      <w:lvlJc w:val="left"/>
      <w:pPr>
        <w:ind w:left="1134" w:hanging="1134"/>
      </w:pPr>
      <w:rPr>
        <w:rFonts w:hint="default"/>
        <w:b w:val="0"/>
        <w:i w:val="0"/>
        <w:color w:val="auto"/>
        <w:sz w:val="16"/>
      </w:rPr>
    </w:lvl>
    <w:lvl w:ilvl="1">
      <w:start w:val="1"/>
      <w:numFmt w:val="decimal"/>
      <w:lvlText w:val="%2."/>
      <w:lvlJc w:val="left"/>
      <w:pPr>
        <w:ind w:left="1701" w:hanging="737"/>
      </w:pPr>
      <w:rPr>
        <w:rFonts w:hint="default"/>
        <w:b w:val="0"/>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19" w15:restartNumberingAfterBreak="0">
    <w:nsid w:val="394555AF"/>
    <w:multiLevelType w:val="hybridMultilevel"/>
    <w:tmpl w:val="927E83EE"/>
    <w:lvl w:ilvl="0" w:tplc="86ECA438">
      <w:start w:val="2"/>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792CD4"/>
    <w:multiLevelType w:val="multilevel"/>
    <w:tmpl w:val="FEE071C8"/>
    <w:numStyleLink w:val="ESSectionheading-numbered"/>
  </w:abstractNum>
  <w:abstractNum w:abstractNumId="21" w15:restartNumberingAfterBreak="0">
    <w:nsid w:val="40E300C3"/>
    <w:multiLevelType w:val="hybridMultilevel"/>
    <w:tmpl w:val="DEB43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811AF4"/>
    <w:multiLevelType w:val="hybridMultilevel"/>
    <w:tmpl w:val="A2041A4C"/>
    <w:lvl w:ilvl="0" w:tplc="3DCC3D64">
      <w:start w:val="1"/>
      <w:numFmt w:val="decimal"/>
      <w:lvlText w:val="%1."/>
      <w:lvlJc w:val="left"/>
      <w:pPr>
        <w:ind w:left="720" w:hanging="360"/>
      </w:pPr>
      <w:rPr>
        <w:rFonts w:cs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6614CB5"/>
    <w:multiLevelType w:val="hybridMultilevel"/>
    <w:tmpl w:val="8F82F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B365A3"/>
    <w:multiLevelType w:val="hybridMultilevel"/>
    <w:tmpl w:val="F5B498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3D2D7C"/>
    <w:multiLevelType w:val="hybridMultilevel"/>
    <w:tmpl w:val="5CF82D4E"/>
    <w:lvl w:ilvl="0" w:tplc="9EEE801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15910A6"/>
    <w:multiLevelType w:val="hybridMultilevel"/>
    <w:tmpl w:val="8C0AC2D4"/>
    <w:lvl w:ilvl="0" w:tplc="9EEE801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2997605"/>
    <w:multiLevelType w:val="hybridMultilevel"/>
    <w:tmpl w:val="03924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3F67EC"/>
    <w:multiLevelType w:val="hybridMultilevel"/>
    <w:tmpl w:val="0AD0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91D8A"/>
    <w:multiLevelType w:val="multilevel"/>
    <w:tmpl w:val="FEE071C8"/>
    <w:numStyleLink w:val="ESSectionheading-numbered"/>
  </w:abstractNum>
  <w:abstractNum w:abstractNumId="30" w15:restartNumberingAfterBreak="0">
    <w:nsid w:val="58E473F9"/>
    <w:multiLevelType w:val="hybridMultilevel"/>
    <w:tmpl w:val="D94853E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D903835"/>
    <w:multiLevelType w:val="singleLevel"/>
    <w:tmpl w:val="48C4148A"/>
    <w:lvl w:ilvl="0">
      <w:numFmt w:val="bullet"/>
      <w:pStyle w:val="Bullet"/>
      <w:lvlText w:val=""/>
      <w:lvlJc w:val="left"/>
      <w:pPr>
        <w:tabs>
          <w:tab w:val="num" w:pos="1440"/>
        </w:tabs>
        <w:ind w:left="1440" w:hanging="720"/>
      </w:pPr>
      <w:rPr>
        <w:rFonts w:ascii="Symbol" w:hAnsi="Symbol" w:hint="default"/>
        <w:sz w:val="22"/>
      </w:rPr>
    </w:lvl>
  </w:abstractNum>
  <w:abstractNum w:abstractNumId="32" w15:restartNumberingAfterBreak="0">
    <w:nsid w:val="60C95C66"/>
    <w:multiLevelType w:val="hybridMultilevel"/>
    <w:tmpl w:val="F5DEF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F11438"/>
    <w:multiLevelType w:val="multilevel"/>
    <w:tmpl w:val="A9964C2E"/>
    <w:lvl w:ilvl="0">
      <w:start w:val="1"/>
      <w:numFmt w:val="decimal"/>
      <w:lvlText w:val="C.1.%1."/>
      <w:lvlJc w:val="left"/>
      <w:pPr>
        <w:ind w:left="1134" w:hanging="1134"/>
      </w:pPr>
      <w:rPr>
        <w:rFonts w:hint="default"/>
        <w:b/>
        <w:i w:val="0"/>
        <w:color w:val="auto"/>
        <w:sz w:val="24"/>
      </w:rPr>
    </w:lvl>
    <w:lvl w:ilvl="1">
      <w:start w:val="3"/>
      <w:numFmt w:val="decimal"/>
      <w:lvlText w:val="B.%2"/>
      <w:lvlJc w:val="left"/>
      <w:pPr>
        <w:ind w:left="1134" w:hanging="1134"/>
      </w:pPr>
      <w:rPr>
        <w:rFonts w:ascii="Calibri" w:hAnsi="Calibri" w:hint="default"/>
        <w:b/>
        <w:i w:val="0"/>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34" w15:restartNumberingAfterBreak="0">
    <w:nsid w:val="63F57C09"/>
    <w:multiLevelType w:val="hybridMultilevel"/>
    <w:tmpl w:val="0F0A31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BB32BE"/>
    <w:multiLevelType w:val="hybridMultilevel"/>
    <w:tmpl w:val="2788D6C6"/>
    <w:lvl w:ilvl="0" w:tplc="B0DA2C7E">
      <w:start w:val="1"/>
      <w:numFmt w:val="decimal"/>
      <w:pStyle w:val="MainBodySectionHeading-numbered"/>
      <w:lvlText w:val="A.%1"/>
      <w:lvlJc w:val="left"/>
      <w:pPr>
        <w:ind w:left="720" w:hanging="360"/>
      </w:pPr>
      <w:rPr>
        <w:rFonts w:ascii="Calibri" w:hAnsi="Calibri" w:hint="default"/>
        <w:b/>
        <w:i w:val="0"/>
        <w:color w:val="auto"/>
        <w:sz w:val="28"/>
      </w:rPr>
    </w:lvl>
    <w:lvl w:ilvl="1" w:tplc="3412F0B6" w:tentative="1">
      <w:start w:val="1"/>
      <w:numFmt w:val="lowerLetter"/>
      <w:lvlText w:val="%2."/>
      <w:lvlJc w:val="left"/>
      <w:pPr>
        <w:ind w:left="1440" w:hanging="360"/>
      </w:pPr>
    </w:lvl>
    <w:lvl w:ilvl="2" w:tplc="0A2C92E8" w:tentative="1">
      <w:start w:val="1"/>
      <w:numFmt w:val="lowerRoman"/>
      <w:lvlText w:val="%3."/>
      <w:lvlJc w:val="right"/>
      <w:pPr>
        <w:ind w:left="2160" w:hanging="180"/>
      </w:pPr>
    </w:lvl>
    <w:lvl w:ilvl="3" w:tplc="51E06328" w:tentative="1">
      <w:start w:val="1"/>
      <w:numFmt w:val="decimal"/>
      <w:lvlText w:val="%4."/>
      <w:lvlJc w:val="left"/>
      <w:pPr>
        <w:ind w:left="2880" w:hanging="360"/>
      </w:pPr>
    </w:lvl>
    <w:lvl w:ilvl="4" w:tplc="55121EB0" w:tentative="1">
      <w:start w:val="1"/>
      <w:numFmt w:val="lowerLetter"/>
      <w:lvlText w:val="%5."/>
      <w:lvlJc w:val="left"/>
      <w:pPr>
        <w:ind w:left="3600" w:hanging="360"/>
      </w:pPr>
    </w:lvl>
    <w:lvl w:ilvl="5" w:tplc="C0BC6618" w:tentative="1">
      <w:start w:val="1"/>
      <w:numFmt w:val="lowerRoman"/>
      <w:lvlText w:val="%6."/>
      <w:lvlJc w:val="right"/>
      <w:pPr>
        <w:ind w:left="4320" w:hanging="180"/>
      </w:pPr>
    </w:lvl>
    <w:lvl w:ilvl="6" w:tplc="2C762004" w:tentative="1">
      <w:start w:val="1"/>
      <w:numFmt w:val="decimal"/>
      <w:lvlText w:val="%7."/>
      <w:lvlJc w:val="left"/>
      <w:pPr>
        <w:ind w:left="5040" w:hanging="360"/>
      </w:pPr>
    </w:lvl>
    <w:lvl w:ilvl="7" w:tplc="AAE0D5E4" w:tentative="1">
      <w:start w:val="1"/>
      <w:numFmt w:val="lowerLetter"/>
      <w:lvlText w:val="%8."/>
      <w:lvlJc w:val="left"/>
      <w:pPr>
        <w:ind w:left="5760" w:hanging="360"/>
      </w:pPr>
    </w:lvl>
    <w:lvl w:ilvl="8" w:tplc="37CCD67A" w:tentative="1">
      <w:start w:val="1"/>
      <w:numFmt w:val="lowerRoman"/>
      <w:lvlText w:val="%9."/>
      <w:lvlJc w:val="right"/>
      <w:pPr>
        <w:ind w:left="6480" w:hanging="180"/>
      </w:pPr>
    </w:lvl>
  </w:abstractNum>
  <w:abstractNum w:abstractNumId="36" w15:restartNumberingAfterBreak="0">
    <w:nsid w:val="68513A87"/>
    <w:multiLevelType w:val="hybridMultilevel"/>
    <w:tmpl w:val="0130D78E"/>
    <w:lvl w:ilvl="0" w:tplc="3DCC3D64">
      <w:start w:val="1"/>
      <w:numFmt w:val="decimal"/>
      <w:lvlText w:val="%1."/>
      <w:lvlJc w:val="left"/>
      <w:pPr>
        <w:ind w:left="720" w:hanging="360"/>
      </w:pPr>
      <w:rPr>
        <w:rFonts w:cstheme="minorHAns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C252901"/>
    <w:multiLevelType w:val="multilevel"/>
    <w:tmpl w:val="77D0E56C"/>
    <w:lvl w:ilvl="0">
      <w:start w:val="1"/>
      <w:numFmt w:val="decimal"/>
      <w:lvlText w:val="A.%1."/>
      <w:lvlJc w:val="left"/>
      <w:pPr>
        <w:ind w:left="1134" w:hanging="1134"/>
      </w:pPr>
      <w:rPr>
        <w:rFonts w:hint="default"/>
        <w:b/>
        <w:i w:val="0"/>
        <w:color w:val="auto"/>
        <w:sz w:val="24"/>
      </w:rPr>
    </w:lvl>
    <w:lvl w:ilvl="1">
      <w:start w:val="1"/>
      <w:numFmt w:val="decimal"/>
      <w:lvlText w:val="%2."/>
      <w:lvlJc w:val="left"/>
      <w:pPr>
        <w:ind w:left="1701" w:hanging="737"/>
      </w:pPr>
      <w:rPr>
        <w:rFonts w:ascii="Calibri" w:hAnsi="Calibri" w:hint="default"/>
        <w:b/>
        <w:i w:val="0"/>
        <w:sz w:val="24"/>
      </w:rPr>
    </w:lvl>
    <w:lvl w:ilvl="2">
      <w:start w:val="1"/>
      <w:numFmt w:val="decimal"/>
      <w:lvlText w:val="B.%3."/>
      <w:lvlJc w:val="left"/>
      <w:pPr>
        <w:ind w:left="1134" w:hanging="1134"/>
      </w:pPr>
      <w:rPr>
        <w:rFonts w:ascii="Calibri" w:hAnsi="Calibri" w:hint="default"/>
        <w:b/>
        <w:i w:val="0"/>
        <w:sz w:val="24"/>
      </w:rPr>
    </w:lvl>
    <w:lvl w:ilvl="3">
      <w:start w:val="1"/>
      <w:numFmt w:val="decimal"/>
      <w:lvlText w:val="%4."/>
      <w:lvlJc w:val="left"/>
      <w:pPr>
        <w:ind w:left="1134" w:hanging="170"/>
      </w:pPr>
      <w:rPr>
        <w:rFonts w:ascii="Calibri" w:hAnsi="Calibri" w:hint="default"/>
        <w:b/>
        <w:i w:val="0"/>
        <w:sz w:val="24"/>
      </w:rPr>
    </w:lvl>
    <w:lvl w:ilvl="4">
      <w:start w:val="1"/>
      <w:numFmt w:val="decimal"/>
      <w:lvlText w:val="C.%5."/>
      <w:lvlJc w:val="left"/>
      <w:pPr>
        <w:ind w:left="1134" w:hanging="1134"/>
      </w:pPr>
      <w:rPr>
        <w:rFonts w:ascii="Calibri" w:hAnsi="Calibri" w:hint="default"/>
        <w:b/>
        <w:i w:val="0"/>
        <w:sz w:val="24"/>
      </w:rPr>
    </w:lvl>
    <w:lvl w:ilvl="5">
      <w:start w:val="1"/>
      <w:numFmt w:val="decimal"/>
      <w:lvlText w:val="%6"/>
      <w:lvlJc w:val="left"/>
      <w:pPr>
        <w:ind w:left="1134" w:hanging="170"/>
      </w:pPr>
      <w:rPr>
        <w:rFonts w:ascii="Calibri" w:hAnsi="Calibri" w:hint="default"/>
        <w:b/>
        <w:i w:val="0"/>
        <w:color w:val="auto"/>
        <w:sz w:val="24"/>
      </w:rPr>
    </w:lvl>
    <w:lvl w:ilvl="6">
      <w:start w:val="1"/>
      <w:numFmt w:val="decimal"/>
      <w:lvlText w:val="D.%7"/>
      <w:lvlJc w:val="left"/>
      <w:pPr>
        <w:ind w:left="1134" w:hanging="1134"/>
      </w:pPr>
      <w:rPr>
        <w:rFonts w:ascii="Calibri" w:hAnsi="Calibri" w:hint="default"/>
        <w:b/>
        <w:i w:val="0"/>
        <w:color w:val="auto"/>
        <w:sz w:val="24"/>
      </w:rPr>
    </w:lvl>
    <w:lvl w:ilvl="7">
      <w:start w:val="1"/>
      <w:numFmt w:val="decimal"/>
      <w:lvlText w:val="%8"/>
      <w:lvlJc w:val="left"/>
      <w:pPr>
        <w:ind w:left="1134" w:hanging="170"/>
      </w:pPr>
      <w:rPr>
        <w:rFonts w:ascii="Calibri" w:hAnsi="Calibri" w:hint="default"/>
        <w:b/>
        <w:i w:val="0"/>
        <w:color w:val="auto"/>
        <w:sz w:val="24"/>
      </w:rPr>
    </w:lvl>
    <w:lvl w:ilvl="8">
      <w:start w:val="1"/>
      <w:numFmt w:val="decimal"/>
      <w:lvlText w:val="E.%9"/>
      <w:lvlJc w:val="left"/>
      <w:pPr>
        <w:ind w:left="1134" w:hanging="1134"/>
      </w:pPr>
      <w:rPr>
        <w:rFonts w:ascii="Calibri" w:hAnsi="Calibri" w:hint="default"/>
        <w:b/>
        <w:i w:val="0"/>
        <w:color w:val="auto"/>
        <w:sz w:val="24"/>
      </w:rPr>
    </w:lvl>
  </w:abstractNum>
  <w:abstractNum w:abstractNumId="38" w15:restartNumberingAfterBreak="0">
    <w:nsid w:val="6EC42560"/>
    <w:multiLevelType w:val="hybridMultilevel"/>
    <w:tmpl w:val="F3663736"/>
    <w:lvl w:ilvl="0" w:tplc="FF3AF7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832AF5"/>
    <w:multiLevelType w:val="hybridMultilevel"/>
    <w:tmpl w:val="997E02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3FB41A7"/>
    <w:multiLevelType w:val="hybridMultilevel"/>
    <w:tmpl w:val="473EA2F4"/>
    <w:lvl w:ilvl="0" w:tplc="FF3AF7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6EA4824"/>
    <w:multiLevelType w:val="hybridMultilevel"/>
    <w:tmpl w:val="FDF40C88"/>
    <w:lvl w:ilvl="0" w:tplc="9EEE801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8302C2"/>
    <w:multiLevelType w:val="hybridMultilevel"/>
    <w:tmpl w:val="DAA487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B1701C4"/>
    <w:multiLevelType w:val="hybridMultilevel"/>
    <w:tmpl w:val="86142316"/>
    <w:lvl w:ilvl="0" w:tplc="0C09000F">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200C70"/>
    <w:multiLevelType w:val="multilevel"/>
    <w:tmpl w:val="37B0CA18"/>
    <w:lvl w:ilvl="0">
      <w:start w:val="1"/>
      <w:numFmt w:val="none"/>
      <w:pStyle w:val="ESSectionHeading-numbered0"/>
      <w:lvlText w:val="A.1"/>
      <w:lvlJc w:val="left"/>
      <w:pPr>
        <w:ind w:left="1134" w:hanging="1134"/>
      </w:pPr>
      <w:rPr>
        <w:rFonts w:ascii="Calibri" w:hAnsi="Calibri" w:hint="default"/>
        <w:b/>
        <w:i w:val="0"/>
        <w:color w:val="auto"/>
        <w:sz w:val="24"/>
      </w:rPr>
    </w:lvl>
    <w:lvl w:ilvl="1">
      <w:start w:val="2"/>
      <w:numFmt w:val="decimal"/>
      <w:lvlText w:val="B.%2"/>
      <w:lvlJc w:val="left"/>
      <w:pPr>
        <w:ind w:left="1134" w:hanging="1134"/>
      </w:pPr>
      <w:rPr>
        <w:rFonts w:ascii="Calibri" w:hAnsi="Calibri" w:hint="default"/>
        <w:b/>
        <w:i w:val="0"/>
        <w:color w:val="auto"/>
        <w:sz w:val="24"/>
      </w:rPr>
    </w:lvl>
    <w:lvl w:ilvl="2">
      <w:start w:val="1"/>
      <w:numFmt w:val="decimal"/>
      <w:lvlText w:val="C.%3."/>
      <w:lvlJc w:val="left"/>
      <w:pPr>
        <w:ind w:left="1134" w:hanging="1134"/>
      </w:pPr>
      <w:rPr>
        <w:rFonts w:ascii="Calibri" w:hAnsi="Calibri" w:hint="default"/>
        <w:b/>
        <w:i w:val="0"/>
        <w:sz w:val="24"/>
      </w:rPr>
    </w:lvl>
    <w:lvl w:ilvl="3">
      <w:start w:val="1"/>
      <w:numFmt w:val="decimal"/>
      <w:lvlText w:val="D.%4."/>
      <w:lvlJc w:val="left"/>
      <w:pPr>
        <w:ind w:left="1134" w:hanging="1134"/>
      </w:pPr>
      <w:rPr>
        <w:rFonts w:ascii="Calibri" w:hAnsi="Calibri" w:hint="default"/>
        <w:b/>
        <w:i w:val="0"/>
        <w:sz w:val="24"/>
      </w:rPr>
    </w:lvl>
    <w:lvl w:ilvl="4">
      <w:start w:val="1"/>
      <w:numFmt w:val="decimal"/>
      <w:lvlText w:val="E.%5."/>
      <w:lvlJc w:val="left"/>
      <w:pPr>
        <w:ind w:left="1134" w:hanging="1134"/>
      </w:pPr>
      <w:rPr>
        <w:rFonts w:ascii="Calibri" w:hAnsi="Calibri" w:hint="default"/>
        <w:b/>
        <w:i w:val="0"/>
        <w:sz w:val="24"/>
      </w:rPr>
    </w:lvl>
    <w:lvl w:ilvl="5">
      <w:start w:val="1"/>
      <w:numFmt w:val="decimal"/>
      <w:lvlText w:val="A.%6"/>
      <w:lvlJc w:val="left"/>
      <w:pPr>
        <w:ind w:left="1134" w:hanging="1134"/>
      </w:pPr>
      <w:rPr>
        <w:rFonts w:ascii="Calibri" w:hAnsi="Calibri" w:hint="default"/>
        <w:b/>
        <w:i w:val="0"/>
        <w:color w:val="auto"/>
        <w:sz w:val="24"/>
      </w:rPr>
    </w:lvl>
    <w:lvl w:ilvl="6">
      <w:start w:val="1"/>
      <w:numFmt w:val="none"/>
      <w:lvlText w:val=""/>
      <w:lvlJc w:val="left"/>
      <w:pPr>
        <w:ind w:left="1134" w:hanging="1134"/>
      </w:pPr>
      <w:rPr>
        <w:rFonts w:ascii="Calibri" w:hAnsi="Calibri" w:hint="default"/>
        <w:b/>
        <w:i w:val="0"/>
        <w:sz w:val="24"/>
      </w:rPr>
    </w:lvl>
    <w:lvl w:ilvl="7">
      <w:start w:val="1"/>
      <w:numFmt w:val="none"/>
      <w:lvlText w:val="%8"/>
      <w:lvlJc w:val="left"/>
      <w:pPr>
        <w:ind w:left="1134" w:hanging="1134"/>
      </w:pPr>
      <w:rPr>
        <w:rFonts w:hint="default"/>
      </w:rPr>
    </w:lvl>
    <w:lvl w:ilvl="8">
      <w:start w:val="1"/>
      <w:numFmt w:val="none"/>
      <w:lvlText w:val="%9"/>
      <w:lvlJc w:val="right"/>
      <w:pPr>
        <w:ind w:left="1134" w:hanging="1134"/>
      </w:pPr>
      <w:rPr>
        <w:rFonts w:hint="default"/>
      </w:rPr>
    </w:lvl>
  </w:abstractNum>
  <w:abstractNum w:abstractNumId="45" w15:restartNumberingAfterBreak="0">
    <w:nsid w:val="7D4E5B1F"/>
    <w:multiLevelType w:val="hybridMultilevel"/>
    <w:tmpl w:val="E57080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F181516"/>
    <w:multiLevelType w:val="hybridMultilevel"/>
    <w:tmpl w:val="FF9EE7EA"/>
    <w:lvl w:ilvl="0" w:tplc="99525AAE">
      <w:start w:val="1"/>
      <w:numFmt w:val="decimal"/>
      <w:pStyle w:val="Nnumberedlist"/>
      <w:lvlText w:val="%1."/>
      <w:lvlJc w:val="left"/>
      <w:pPr>
        <w:tabs>
          <w:tab w:val="num" w:pos="1440"/>
        </w:tabs>
        <w:ind w:left="1440" w:hanging="360"/>
      </w:pPr>
    </w:lvl>
    <w:lvl w:ilvl="1" w:tplc="389C2200" w:tentative="1">
      <w:start w:val="1"/>
      <w:numFmt w:val="lowerLetter"/>
      <w:lvlText w:val="%2."/>
      <w:lvlJc w:val="left"/>
      <w:pPr>
        <w:tabs>
          <w:tab w:val="num" w:pos="2160"/>
        </w:tabs>
        <w:ind w:left="2160" w:hanging="360"/>
      </w:pPr>
    </w:lvl>
    <w:lvl w:ilvl="2" w:tplc="C3F8B188" w:tentative="1">
      <w:start w:val="1"/>
      <w:numFmt w:val="lowerRoman"/>
      <w:lvlText w:val="%3."/>
      <w:lvlJc w:val="right"/>
      <w:pPr>
        <w:tabs>
          <w:tab w:val="num" w:pos="2880"/>
        </w:tabs>
        <w:ind w:left="2880" w:hanging="180"/>
      </w:pPr>
    </w:lvl>
    <w:lvl w:ilvl="3" w:tplc="391E97F0" w:tentative="1">
      <w:start w:val="1"/>
      <w:numFmt w:val="decimal"/>
      <w:lvlText w:val="%4."/>
      <w:lvlJc w:val="left"/>
      <w:pPr>
        <w:tabs>
          <w:tab w:val="num" w:pos="3600"/>
        </w:tabs>
        <w:ind w:left="3600" w:hanging="360"/>
      </w:pPr>
    </w:lvl>
    <w:lvl w:ilvl="4" w:tplc="4F42265E" w:tentative="1">
      <w:start w:val="1"/>
      <w:numFmt w:val="lowerLetter"/>
      <w:lvlText w:val="%5."/>
      <w:lvlJc w:val="left"/>
      <w:pPr>
        <w:tabs>
          <w:tab w:val="num" w:pos="4320"/>
        </w:tabs>
        <w:ind w:left="4320" w:hanging="360"/>
      </w:pPr>
    </w:lvl>
    <w:lvl w:ilvl="5" w:tplc="30546058" w:tentative="1">
      <w:start w:val="1"/>
      <w:numFmt w:val="lowerRoman"/>
      <w:lvlText w:val="%6."/>
      <w:lvlJc w:val="right"/>
      <w:pPr>
        <w:tabs>
          <w:tab w:val="num" w:pos="5040"/>
        </w:tabs>
        <w:ind w:left="5040" w:hanging="180"/>
      </w:pPr>
    </w:lvl>
    <w:lvl w:ilvl="6" w:tplc="6E10F0C6" w:tentative="1">
      <w:start w:val="1"/>
      <w:numFmt w:val="decimal"/>
      <w:lvlText w:val="%7."/>
      <w:lvlJc w:val="left"/>
      <w:pPr>
        <w:tabs>
          <w:tab w:val="num" w:pos="5760"/>
        </w:tabs>
        <w:ind w:left="5760" w:hanging="360"/>
      </w:pPr>
    </w:lvl>
    <w:lvl w:ilvl="7" w:tplc="70B07B9C" w:tentative="1">
      <w:start w:val="1"/>
      <w:numFmt w:val="lowerLetter"/>
      <w:lvlText w:val="%8."/>
      <w:lvlJc w:val="left"/>
      <w:pPr>
        <w:tabs>
          <w:tab w:val="num" w:pos="6480"/>
        </w:tabs>
        <w:ind w:left="6480" w:hanging="360"/>
      </w:pPr>
    </w:lvl>
    <w:lvl w:ilvl="8" w:tplc="9BF48AAC" w:tentative="1">
      <w:start w:val="1"/>
      <w:numFmt w:val="lowerRoman"/>
      <w:lvlText w:val="%9."/>
      <w:lvlJc w:val="right"/>
      <w:pPr>
        <w:tabs>
          <w:tab w:val="num" w:pos="7200"/>
        </w:tabs>
        <w:ind w:left="7200" w:hanging="180"/>
      </w:pPr>
    </w:lvl>
  </w:abstractNum>
  <w:abstractNum w:abstractNumId="47" w15:restartNumberingAfterBreak="0">
    <w:nsid w:val="7FD56D00"/>
    <w:multiLevelType w:val="hybridMultilevel"/>
    <w:tmpl w:val="D49CF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46"/>
  </w:num>
  <w:num w:numId="4">
    <w:abstractNumId w:val="11"/>
  </w:num>
  <w:num w:numId="5">
    <w:abstractNumId w:val="35"/>
  </w:num>
  <w:num w:numId="6">
    <w:abstractNumId w:val="13"/>
  </w:num>
  <w:num w:numId="7">
    <w:abstractNumId w:val="44"/>
  </w:num>
  <w:num w:numId="8">
    <w:abstractNumId w:val="12"/>
  </w:num>
  <w:num w:numId="9">
    <w:abstractNumId w:val="37"/>
  </w:num>
  <w:num w:numId="10">
    <w:abstractNumId w:val="20"/>
  </w:num>
  <w:num w:numId="11">
    <w:abstractNumId w:val="29"/>
  </w:num>
  <w:num w:numId="12">
    <w:abstractNumId w:val="32"/>
  </w:num>
  <w:num w:numId="13">
    <w:abstractNumId w:val="33"/>
  </w:num>
  <w:num w:numId="14">
    <w:abstractNumId w:val="42"/>
  </w:num>
  <w:num w:numId="15">
    <w:abstractNumId w:val="34"/>
  </w:num>
  <w:num w:numId="16">
    <w:abstractNumId w:val="7"/>
  </w:num>
  <w:num w:numId="17">
    <w:abstractNumId w:val="9"/>
  </w:num>
  <w:num w:numId="18">
    <w:abstractNumId w:val="0"/>
  </w:num>
  <w:num w:numId="19">
    <w:abstractNumId w:val="1"/>
  </w:num>
  <w:num w:numId="20">
    <w:abstractNumId w:val="27"/>
  </w:num>
  <w:num w:numId="21">
    <w:abstractNumId w:val="28"/>
  </w:num>
  <w:num w:numId="22">
    <w:abstractNumId w:val="39"/>
  </w:num>
  <w:num w:numId="23">
    <w:abstractNumId w:val="22"/>
  </w:num>
  <w:num w:numId="24">
    <w:abstractNumId w:val="36"/>
  </w:num>
  <w:num w:numId="25">
    <w:abstractNumId w:val="41"/>
  </w:num>
  <w:num w:numId="26">
    <w:abstractNumId w:val="26"/>
  </w:num>
  <w:num w:numId="27">
    <w:abstractNumId w:val="25"/>
  </w:num>
  <w:num w:numId="28">
    <w:abstractNumId w:val="16"/>
  </w:num>
  <w:num w:numId="29">
    <w:abstractNumId w:val="43"/>
  </w:num>
  <w:num w:numId="30">
    <w:abstractNumId w:val="40"/>
  </w:num>
  <w:num w:numId="31">
    <w:abstractNumId w:val="38"/>
  </w:num>
  <w:num w:numId="32">
    <w:abstractNumId w:val="15"/>
  </w:num>
  <w:num w:numId="33">
    <w:abstractNumId w:val="45"/>
  </w:num>
  <w:num w:numId="34">
    <w:abstractNumId w:val="3"/>
  </w:num>
  <w:num w:numId="35">
    <w:abstractNumId w:val="6"/>
  </w:num>
  <w:num w:numId="36">
    <w:abstractNumId w:val="30"/>
  </w:num>
  <w:num w:numId="37">
    <w:abstractNumId w:val="4"/>
  </w:num>
  <w:num w:numId="38">
    <w:abstractNumId w:val="23"/>
  </w:num>
  <w:num w:numId="39">
    <w:abstractNumId w:val="24"/>
  </w:num>
  <w:num w:numId="40">
    <w:abstractNumId w:val="17"/>
  </w:num>
  <w:num w:numId="41">
    <w:abstractNumId w:val="47"/>
  </w:num>
  <w:num w:numId="42">
    <w:abstractNumId w:val="18"/>
  </w:num>
  <w:num w:numId="43">
    <w:abstractNumId w:val="14"/>
  </w:num>
  <w:num w:numId="44">
    <w:abstractNumId w:val="8"/>
  </w:num>
  <w:num w:numId="45">
    <w:abstractNumId w:val="21"/>
  </w:num>
  <w:num w:numId="46">
    <w:abstractNumId w:val="10"/>
  </w:num>
  <w:num w:numId="47">
    <w:abstractNumId w:val="19"/>
  </w:num>
  <w:num w:numId="48">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5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UofA (Style Manual Australia 6th edn)&lt;/Style&gt;&lt;LeftDelim&gt;{&lt;/LeftDelim&gt;&lt;RightDelim&gt;}&lt;/RightDelim&gt;&lt;FontName&gt;Tahom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aevrx2slsts5ve9sdavatf125dsx0av2v9d&quot;&gt;Report library&lt;record-ids&gt;&lt;item&gt;2&lt;/item&gt;&lt;item&gt;3&lt;/item&gt;&lt;item&gt;4&lt;/item&gt;&lt;item&gt;7&lt;/item&gt;&lt;item&gt;8&lt;/item&gt;&lt;item&gt;9&lt;/item&gt;&lt;item&gt;10&lt;/item&gt;&lt;item&gt;11&lt;/item&gt;&lt;item&gt;12&lt;/item&gt;&lt;item&gt;13&lt;/item&gt;&lt;item&gt;14&lt;/item&gt;&lt;item&gt;15&lt;/item&gt;&lt;item&gt;17&lt;/item&gt;&lt;item&gt;18&lt;/item&gt;&lt;item&gt;19&lt;/item&gt;&lt;item&gt;20&lt;/item&gt;&lt;item&gt;21&lt;/item&gt;&lt;item&gt;22&lt;/item&gt;&lt;item&gt;23&lt;/item&gt;&lt;item&gt;24&lt;/item&gt;&lt;item&gt;25&lt;/item&gt;&lt;item&gt;26&lt;/item&gt;&lt;item&gt;27&lt;/item&gt;&lt;item&gt;28&lt;/item&gt;&lt;item&gt;29&lt;/item&gt;&lt;item&gt;30&lt;/item&gt;&lt;item&gt;33&lt;/item&gt;&lt;item&gt;34&lt;/item&gt;&lt;item&gt;35&lt;/item&gt;&lt;item&gt;36&lt;/item&gt;&lt;item&gt;37&lt;/item&gt;&lt;item&gt;38&lt;/item&gt;&lt;item&gt;39&lt;/item&gt;&lt;item&gt;40&lt;/item&gt;&lt;item&gt;41&lt;/item&gt;&lt;item&gt;43&lt;/item&gt;&lt;item&gt;44&lt;/item&gt;&lt;item&gt;45&lt;/item&gt;&lt;item&gt;46&lt;/item&gt;&lt;item&gt;47&lt;/item&gt;&lt;item&gt;48&lt;/item&gt;&lt;item&gt;49&lt;/item&gt;&lt;item&gt;50&lt;/item&gt;&lt;item&gt;51&lt;/item&gt;&lt;item&gt;52&lt;/item&gt;&lt;item&gt;53&lt;/item&gt;&lt;item&gt;55&lt;/item&gt;&lt;item&gt;56&lt;/item&gt;&lt;item&gt;62&lt;/item&gt;&lt;item&gt;63&lt;/item&gt;&lt;item&gt;64&lt;/item&gt;&lt;item&gt;65&lt;/item&gt;&lt;item&gt;67&lt;/item&gt;&lt;item&gt;69&lt;/item&gt;&lt;item&gt;70&lt;/item&gt;&lt;item&gt;71&lt;/item&gt;&lt;item&gt;73&lt;/item&gt;&lt;item&gt;74&lt;/item&gt;&lt;item&gt;75&lt;/item&gt;&lt;item&gt;76&lt;/item&gt;&lt;item&gt;77&lt;/item&gt;&lt;item&gt;78&lt;/item&gt;&lt;item&gt;80&lt;/item&gt;&lt;item&gt;81&lt;/item&gt;&lt;item&gt;82&lt;/item&gt;&lt;item&gt;83&lt;/item&gt;&lt;item&gt;84&lt;/item&gt;&lt;item&gt;85&lt;/item&gt;&lt;item&gt;86&lt;/item&gt;&lt;item&gt;88&lt;/item&gt;&lt;item&gt;89&lt;/item&gt;&lt;item&gt;90&lt;/item&gt;&lt;item&gt;91&lt;/item&gt;&lt;item&gt;92&lt;/item&gt;&lt;item&gt;93&lt;/item&gt;&lt;item&gt;96&lt;/item&gt;&lt;item&gt;97&lt;/item&gt;&lt;item&gt;98&lt;/item&gt;&lt;item&gt;99&lt;/item&gt;&lt;item&gt;100&lt;/item&gt;&lt;item&gt;101&lt;/item&gt;&lt;item&gt;102&lt;/item&gt;&lt;item&gt;104&lt;/item&gt;&lt;item&gt;105&lt;/item&gt;&lt;item&gt;106&lt;/item&gt;&lt;item&gt;107&lt;/item&gt;&lt;item&gt;109&lt;/item&gt;&lt;item&gt;110&lt;/item&gt;&lt;item&gt;111&lt;/item&gt;&lt;item&gt;112&lt;/item&gt;&lt;item&gt;113&lt;/item&gt;&lt;item&gt;114&lt;/item&gt;&lt;item&gt;115&lt;/item&gt;&lt;item&gt;116&lt;/item&gt;&lt;item&gt;117&lt;/item&gt;&lt;item&gt;118&lt;/item&gt;&lt;/record-ids&gt;&lt;/item&gt;&lt;/Libraries&gt;"/>
  </w:docVars>
  <w:rsids>
    <w:rsidRoot w:val="000B6AFD"/>
    <w:rsid w:val="000006B5"/>
    <w:rsid w:val="00000B93"/>
    <w:rsid w:val="00000B9C"/>
    <w:rsid w:val="00000BEB"/>
    <w:rsid w:val="00000C42"/>
    <w:rsid w:val="00000FA9"/>
    <w:rsid w:val="0000127D"/>
    <w:rsid w:val="0000136D"/>
    <w:rsid w:val="00001635"/>
    <w:rsid w:val="0000178A"/>
    <w:rsid w:val="0000190C"/>
    <w:rsid w:val="00001C3C"/>
    <w:rsid w:val="00001E31"/>
    <w:rsid w:val="00001F98"/>
    <w:rsid w:val="0000226A"/>
    <w:rsid w:val="0000228D"/>
    <w:rsid w:val="00002552"/>
    <w:rsid w:val="000029F2"/>
    <w:rsid w:val="00002C8F"/>
    <w:rsid w:val="00002CB3"/>
    <w:rsid w:val="00002FC7"/>
    <w:rsid w:val="00003287"/>
    <w:rsid w:val="00003796"/>
    <w:rsid w:val="00003F03"/>
    <w:rsid w:val="0000430A"/>
    <w:rsid w:val="00004D16"/>
    <w:rsid w:val="00005109"/>
    <w:rsid w:val="00005257"/>
    <w:rsid w:val="0000536A"/>
    <w:rsid w:val="000055D4"/>
    <w:rsid w:val="000056FA"/>
    <w:rsid w:val="00006627"/>
    <w:rsid w:val="00006641"/>
    <w:rsid w:val="00006961"/>
    <w:rsid w:val="000069A7"/>
    <w:rsid w:val="00006C74"/>
    <w:rsid w:val="00006EBD"/>
    <w:rsid w:val="000070F9"/>
    <w:rsid w:val="0000711D"/>
    <w:rsid w:val="000078F6"/>
    <w:rsid w:val="00007948"/>
    <w:rsid w:val="00007A44"/>
    <w:rsid w:val="00007A4C"/>
    <w:rsid w:val="00007BE0"/>
    <w:rsid w:val="00007D81"/>
    <w:rsid w:val="00007DC0"/>
    <w:rsid w:val="000101D8"/>
    <w:rsid w:val="000106F7"/>
    <w:rsid w:val="0001085B"/>
    <w:rsid w:val="0001088E"/>
    <w:rsid w:val="000108EE"/>
    <w:rsid w:val="000109F3"/>
    <w:rsid w:val="00010A84"/>
    <w:rsid w:val="00010BF8"/>
    <w:rsid w:val="00010FB8"/>
    <w:rsid w:val="000111D2"/>
    <w:rsid w:val="00011550"/>
    <w:rsid w:val="00011723"/>
    <w:rsid w:val="00011758"/>
    <w:rsid w:val="00011772"/>
    <w:rsid w:val="00011866"/>
    <w:rsid w:val="00012EA4"/>
    <w:rsid w:val="00012EA6"/>
    <w:rsid w:val="0001307B"/>
    <w:rsid w:val="000130D3"/>
    <w:rsid w:val="000133F9"/>
    <w:rsid w:val="000134C1"/>
    <w:rsid w:val="0001357B"/>
    <w:rsid w:val="00013791"/>
    <w:rsid w:val="0001388D"/>
    <w:rsid w:val="00013934"/>
    <w:rsid w:val="000139D1"/>
    <w:rsid w:val="000139EB"/>
    <w:rsid w:val="00013B46"/>
    <w:rsid w:val="00013CAF"/>
    <w:rsid w:val="00013FA1"/>
    <w:rsid w:val="00014736"/>
    <w:rsid w:val="00014917"/>
    <w:rsid w:val="000149C2"/>
    <w:rsid w:val="00014A66"/>
    <w:rsid w:val="00014D6D"/>
    <w:rsid w:val="00014EC1"/>
    <w:rsid w:val="00015282"/>
    <w:rsid w:val="000155E6"/>
    <w:rsid w:val="0001563F"/>
    <w:rsid w:val="000156F4"/>
    <w:rsid w:val="00015787"/>
    <w:rsid w:val="00015998"/>
    <w:rsid w:val="00015B0A"/>
    <w:rsid w:val="00015C26"/>
    <w:rsid w:val="00015E03"/>
    <w:rsid w:val="000160B3"/>
    <w:rsid w:val="00016333"/>
    <w:rsid w:val="0001667E"/>
    <w:rsid w:val="00016792"/>
    <w:rsid w:val="0001695D"/>
    <w:rsid w:val="00016FDF"/>
    <w:rsid w:val="000171FD"/>
    <w:rsid w:val="00017B2B"/>
    <w:rsid w:val="00017D44"/>
    <w:rsid w:val="00017E8D"/>
    <w:rsid w:val="000208A2"/>
    <w:rsid w:val="00020A61"/>
    <w:rsid w:val="00020AA6"/>
    <w:rsid w:val="00020C59"/>
    <w:rsid w:val="00020F15"/>
    <w:rsid w:val="00021072"/>
    <w:rsid w:val="00021FDC"/>
    <w:rsid w:val="0002230A"/>
    <w:rsid w:val="0002265C"/>
    <w:rsid w:val="00022FCD"/>
    <w:rsid w:val="000236CF"/>
    <w:rsid w:val="00023792"/>
    <w:rsid w:val="0002386F"/>
    <w:rsid w:val="000240E5"/>
    <w:rsid w:val="0002446C"/>
    <w:rsid w:val="00024819"/>
    <w:rsid w:val="00024A76"/>
    <w:rsid w:val="00024DA8"/>
    <w:rsid w:val="0002581D"/>
    <w:rsid w:val="00025984"/>
    <w:rsid w:val="00025CFC"/>
    <w:rsid w:val="00025D96"/>
    <w:rsid w:val="00025F1A"/>
    <w:rsid w:val="0002607A"/>
    <w:rsid w:val="000266AD"/>
    <w:rsid w:val="0002695E"/>
    <w:rsid w:val="00026D2F"/>
    <w:rsid w:val="00026D6A"/>
    <w:rsid w:val="00027055"/>
    <w:rsid w:val="0002707D"/>
    <w:rsid w:val="00027329"/>
    <w:rsid w:val="0002749F"/>
    <w:rsid w:val="00027611"/>
    <w:rsid w:val="00027731"/>
    <w:rsid w:val="00027B53"/>
    <w:rsid w:val="00027D86"/>
    <w:rsid w:val="00027DDF"/>
    <w:rsid w:val="00027F1B"/>
    <w:rsid w:val="000303D8"/>
    <w:rsid w:val="00030C51"/>
    <w:rsid w:val="00030C76"/>
    <w:rsid w:val="00030E6F"/>
    <w:rsid w:val="00030FB4"/>
    <w:rsid w:val="000311A8"/>
    <w:rsid w:val="000311DB"/>
    <w:rsid w:val="00031330"/>
    <w:rsid w:val="0003136E"/>
    <w:rsid w:val="000313F3"/>
    <w:rsid w:val="000314E2"/>
    <w:rsid w:val="00031A2C"/>
    <w:rsid w:val="000321D9"/>
    <w:rsid w:val="0003260D"/>
    <w:rsid w:val="00033E27"/>
    <w:rsid w:val="000340BA"/>
    <w:rsid w:val="00034AE9"/>
    <w:rsid w:val="00034CFE"/>
    <w:rsid w:val="0003587F"/>
    <w:rsid w:val="0003595E"/>
    <w:rsid w:val="00035FF2"/>
    <w:rsid w:val="00036221"/>
    <w:rsid w:val="0003639B"/>
    <w:rsid w:val="0003669F"/>
    <w:rsid w:val="000368B9"/>
    <w:rsid w:val="00036954"/>
    <w:rsid w:val="00036F0B"/>
    <w:rsid w:val="000373D6"/>
    <w:rsid w:val="000373E8"/>
    <w:rsid w:val="00037729"/>
    <w:rsid w:val="00037B2B"/>
    <w:rsid w:val="00040305"/>
    <w:rsid w:val="000405F0"/>
    <w:rsid w:val="000406B4"/>
    <w:rsid w:val="00040D41"/>
    <w:rsid w:val="00040DD2"/>
    <w:rsid w:val="0004109F"/>
    <w:rsid w:val="0004165A"/>
    <w:rsid w:val="00041867"/>
    <w:rsid w:val="00041ADB"/>
    <w:rsid w:val="00041B23"/>
    <w:rsid w:val="00041C6F"/>
    <w:rsid w:val="00041F2B"/>
    <w:rsid w:val="00041FB6"/>
    <w:rsid w:val="000424B4"/>
    <w:rsid w:val="000427F8"/>
    <w:rsid w:val="00043293"/>
    <w:rsid w:val="00043C04"/>
    <w:rsid w:val="000440B5"/>
    <w:rsid w:val="000444BD"/>
    <w:rsid w:val="0004468B"/>
    <w:rsid w:val="00044AD6"/>
    <w:rsid w:val="00044B7A"/>
    <w:rsid w:val="0004536B"/>
    <w:rsid w:val="00045C50"/>
    <w:rsid w:val="00045F8E"/>
    <w:rsid w:val="00045FE6"/>
    <w:rsid w:val="0004642F"/>
    <w:rsid w:val="000464C3"/>
    <w:rsid w:val="00046E1D"/>
    <w:rsid w:val="000473DD"/>
    <w:rsid w:val="0004756A"/>
    <w:rsid w:val="00050356"/>
    <w:rsid w:val="000504BC"/>
    <w:rsid w:val="000506FE"/>
    <w:rsid w:val="000508A4"/>
    <w:rsid w:val="00050DAA"/>
    <w:rsid w:val="00051060"/>
    <w:rsid w:val="00051085"/>
    <w:rsid w:val="000512A0"/>
    <w:rsid w:val="0005156D"/>
    <w:rsid w:val="00051666"/>
    <w:rsid w:val="00051889"/>
    <w:rsid w:val="00051A96"/>
    <w:rsid w:val="0005232D"/>
    <w:rsid w:val="00052434"/>
    <w:rsid w:val="0005272E"/>
    <w:rsid w:val="00052741"/>
    <w:rsid w:val="0005281F"/>
    <w:rsid w:val="0005287C"/>
    <w:rsid w:val="00052935"/>
    <w:rsid w:val="00052E3F"/>
    <w:rsid w:val="00052FBC"/>
    <w:rsid w:val="00053196"/>
    <w:rsid w:val="00053A89"/>
    <w:rsid w:val="00054C69"/>
    <w:rsid w:val="0005514D"/>
    <w:rsid w:val="000554AA"/>
    <w:rsid w:val="00055E03"/>
    <w:rsid w:val="00055E08"/>
    <w:rsid w:val="00056684"/>
    <w:rsid w:val="00056BE2"/>
    <w:rsid w:val="00056DC4"/>
    <w:rsid w:val="00056ED1"/>
    <w:rsid w:val="00057768"/>
    <w:rsid w:val="00057834"/>
    <w:rsid w:val="00057FD3"/>
    <w:rsid w:val="00060875"/>
    <w:rsid w:val="000608FD"/>
    <w:rsid w:val="000609A2"/>
    <w:rsid w:val="00060B82"/>
    <w:rsid w:val="00060E4F"/>
    <w:rsid w:val="00060E70"/>
    <w:rsid w:val="000613E7"/>
    <w:rsid w:val="00061A1C"/>
    <w:rsid w:val="00061AF5"/>
    <w:rsid w:val="00061DB6"/>
    <w:rsid w:val="00062064"/>
    <w:rsid w:val="00062432"/>
    <w:rsid w:val="000625F7"/>
    <w:rsid w:val="00062F2F"/>
    <w:rsid w:val="00062FA0"/>
    <w:rsid w:val="0006306E"/>
    <w:rsid w:val="00063167"/>
    <w:rsid w:val="00063311"/>
    <w:rsid w:val="0006384B"/>
    <w:rsid w:val="00063983"/>
    <w:rsid w:val="00063A3A"/>
    <w:rsid w:val="00063C40"/>
    <w:rsid w:val="00063C88"/>
    <w:rsid w:val="00063CC4"/>
    <w:rsid w:val="00063F1E"/>
    <w:rsid w:val="00063F44"/>
    <w:rsid w:val="00063FE3"/>
    <w:rsid w:val="0006406E"/>
    <w:rsid w:val="0006420B"/>
    <w:rsid w:val="0006422B"/>
    <w:rsid w:val="000650CB"/>
    <w:rsid w:val="0006531D"/>
    <w:rsid w:val="00065CD5"/>
    <w:rsid w:val="00065DD7"/>
    <w:rsid w:val="0006606D"/>
    <w:rsid w:val="00066566"/>
    <w:rsid w:val="00066A28"/>
    <w:rsid w:val="00066CD5"/>
    <w:rsid w:val="00066F5D"/>
    <w:rsid w:val="0006777A"/>
    <w:rsid w:val="00067AF8"/>
    <w:rsid w:val="00067BF6"/>
    <w:rsid w:val="00067EC2"/>
    <w:rsid w:val="00070B84"/>
    <w:rsid w:val="00071159"/>
    <w:rsid w:val="000715CB"/>
    <w:rsid w:val="00071963"/>
    <w:rsid w:val="00071B67"/>
    <w:rsid w:val="00071BA0"/>
    <w:rsid w:val="00071CA3"/>
    <w:rsid w:val="00072027"/>
    <w:rsid w:val="00072199"/>
    <w:rsid w:val="0007284B"/>
    <w:rsid w:val="00072A22"/>
    <w:rsid w:val="00072DC0"/>
    <w:rsid w:val="00073235"/>
    <w:rsid w:val="00073267"/>
    <w:rsid w:val="00073339"/>
    <w:rsid w:val="00073376"/>
    <w:rsid w:val="00073636"/>
    <w:rsid w:val="0007379A"/>
    <w:rsid w:val="00073882"/>
    <w:rsid w:val="000739E5"/>
    <w:rsid w:val="00073A8D"/>
    <w:rsid w:val="00073EC5"/>
    <w:rsid w:val="00074ABF"/>
    <w:rsid w:val="00074D51"/>
    <w:rsid w:val="00074F92"/>
    <w:rsid w:val="00075298"/>
    <w:rsid w:val="00075A7C"/>
    <w:rsid w:val="00075C24"/>
    <w:rsid w:val="00075E59"/>
    <w:rsid w:val="00076070"/>
    <w:rsid w:val="000768BB"/>
    <w:rsid w:val="00076A45"/>
    <w:rsid w:val="00076A70"/>
    <w:rsid w:val="00076F32"/>
    <w:rsid w:val="00077247"/>
    <w:rsid w:val="000774A0"/>
    <w:rsid w:val="000774DB"/>
    <w:rsid w:val="00077880"/>
    <w:rsid w:val="00077D4B"/>
    <w:rsid w:val="0008033F"/>
    <w:rsid w:val="00080706"/>
    <w:rsid w:val="00080986"/>
    <w:rsid w:val="000809D5"/>
    <w:rsid w:val="0008168D"/>
    <w:rsid w:val="00081911"/>
    <w:rsid w:val="000821BD"/>
    <w:rsid w:val="000822EA"/>
    <w:rsid w:val="0008260B"/>
    <w:rsid w:val="0008261B"/>
    <w:rsid w:val="00082712"/>
    <w:rsid w:val="00082977"/>
    <w:rsid w:val="00082C5A"/>
    <w:rsid w:val="00082CDD"/>
    <w:rsid w:val="00082E66"/>
    <w:rsid w:val="00082EC5"/>
    <w:rsid w:val="00083088"/>
    <w:rsid w:val="00083498"/>
    <w:rsid w:val="0008367E"/>
    <w:rsid w:val="000836F9"/>
    <w:rsid w:val="000838C2"/>
    <w:rsid w:val="000840CE"/>
    <w:rsid w:val="00084CE9"/>
    <w:rsid w:val="00084F83"/>
    <w:rsid w:val="00085049"/>
    <w:rsid w:val="00085282"/>
    <w:rsid w:val="00085400"/>
    <w:rsid w:val="00085883"/>
    <w:rsid w:val="00085981"/>
    <w:rsid w:val="00085C31"/>
    <w:rsid w:val="000860FF"/>
    <w:rsid w:val="0008612D"/>
    <w:rsid w:val="000861FA"/>
    <w:rsid w:val="00086491"/>
    <w:rsid w:val="000868BD"/>
    <w:rsid w:val="000869F6"/>
    <w:rsid w:val="00086D44"/>
    <w:rsid w:val="00086DB8"/>
    <w:rsid w:val="00087F4E"/>
    <w:rsid w:val="00090330"/>
    <w:rsid w:val="000903F9"/>
    <w:rsid w:val="000905F4"/>
    <w:rsid w:val="00090904"/>
    <w:rsid w:val="00090AA3"/>
    <w:rsid w:val="00090BD2"/>
    <w:rsid w:val="00090DDE"/>
    <w:rsid w:val="00090EF8"/>
    <w:rsid w:val="00091296"/>
    <w:rsid w:val="00091667"/>
    <w:rsid w:val="000917C7"/>
    <w:rsid w:val="00091989"/>
    <w:rsid w:val="00091A2F"/>
    <w:rsid w:val="00092116"/>
    <w:rsid w:val="00092A35"/>
    <w:rsid w:val="00092CFA"/>
    <w:rsid w:val="000933E6"/>
    <w:rsid w:val="000937B3"/>
    <w:rsid w:val="0009386C"/>
    <w:rsid w:val="000939B9"/>
    <w:rsid w:val="00093C9A"/>
    <w:rsid w:val="00093CE9"/>
    <w:rsid w:val="00093DC4"/>
    <w:rsid w:val="00093EE9"/>
    <w:rsid w:val="000941F4"/>
    <w:rsid w:val="00094977"/>
    <w:rsid w:val="00094DBD"/>
    <w:rsid w:val="000956D4"/>
    <w:rsid w:val="000962AA"/>
    <w:rsid w:val="00096AAE"/>
    <w:rsid w:val="00096B92"/>
    <w:rsid w:val="00096BD5"/>
    <w:rsid w:val="00096BD8"/>
    <w:rsid w:val="00096EBE"/>
    <w:rsid w:val="00097A59"/>
    <w:rsid w:val="00097AAC"/>
    <w:rsid w:val="000A012B"/>
    <w:rsid w:val="000A0146"/>
    <w:rsid w:val="000A024E"/>
    <w:rsid w:val="000A051D"/>
    <w:rsid w:val="000A0790"/>
    <w:rsid w:val="000A07CB"/>
    <w:rsid w:val="000A0819"/>
    <w:rsid w:val="000A0C9C"/>
    <w:rsid w:val="000A0D18"/>
    <w:rsid w:val="000A1298"/>
    <w:rsid w:val="000A13F7"/>
    <w:rsid w:val="000A1508"/>
    <w:rsid w:val="000A1599"/>
    <w:rsid w:val="000A1D85"/>
    <w:rsid w:val="000A2278"/>
    <w:rsid w:val="000A2445"/>
    <w:rsid w:val="000A25CD"/>
    <w:rsid w:val="000A272A"/>
    <w:rsid w:val="000A28F6"/>
    <w:rsid w:val="000A2C9E"/>
    <w:rsid w:val="000A375A"/>
    <w:rsid w:val="000A396C"/>
    <w:rsid w:val="000A39F4"/>
    <w:rsid w:val="000A3A40"/>
    <w:rsid w:val="000A3AAF"/>
    <w:rsid w:val="000A3E60"/>
    <w:rsid w:val="000A3F8D"/>
    <w:rsid w:val="000A4DF3"/>
    <w:rsid w:val="000A546E"/>
    <w:rsid w:val="000A54AD"/>
    <w:rsid w:val="000A55B4"/>
    <w:rsid w:val="000A5CE8"/>
    <w:rsid w:val="000A5DB5"/>
    <w:rsid w:val="000A612B"/>
    <w:rsid w:val="000A6C01"/>
    <w:rsid w:val="000A70B2"/>
    <w:rsid w:val="000A7356"/>
    <w:rsid w:val="000A77C8"/>
    <w:rsid w:val="000A7943"/>
    <w:rsid w:val="000A7D0A"/>
    <w:rsid w:val="000B00E6"/>
    <w:rsid w:val="000B0364"/>
    <w:rsid w:val="000B0634"/>
    <w:rsid w:val="000B06C4"/>
    <w:rsid w:val="000B0993"/>
    <w:rsid w:val="000B0EF6"/>
    <w:rsid w:val="000B0F0F"/>
    <w:rsid w:val="000B1434"/>
    <w:rsid w:val="000B164F"/>
    <w:rsid w:val="000B189E"/>
    <w:rsid w:val="000B1F56"/>
    <w:rsid w:val="000B21CB"/>
    <w:rsid w:val="000B23EA"/>
    <w:rsid w:val="000B2675"/>
    <w:rsid w:val="000B274D"/>
    <w:rsid w:val="000B2DCA"/>
    <w:rsid w:val="000B2E4B"/>
    <w:rsid w:val="000B30A2"/>
    <w:rsid w:val="000B3610"/>
    <w:rsid w:val="000B378C"/>
    <w:rsid w:val="000B3CA5"/>
    <w:rsid w:val="000B4173"/>
    <w:rsid w:val="000B4253"/>
    <w:rsid w:val="000B4A87"/>
    <w:rsid w:val="000B4BDC"/>
    <w:rsid w:val="000B4CAD"/>
    <w:rsid w:val="000B4F55"/>
    <w:rsid w:val="000B508C"/>
    <w:rsid w:val="000B525C"/>
    <w:rsid w:val="000B5479"/>
    <w:rsid w:val="000B5B9C"/>
    <w:rsid w:val="000B5C7B"/>
    <w:rsid w:val="000B5D81"/>
    <w:rsid w:val="000B63E1"/>
    <w:rsid w:val="000B688F"/>
    <w:rsid w:val="000B6AFD"/>
    <w:rsid w:val="000B7A2F"/>
    <w:rsid w:val="000B7B78"/>
    <w:rsid w:val="000B7BC7"/>
    <w:rsid w:val="000B7DFE"/>
    <w:rsid w:val="000B7EE2"/>
    <w:rsid w:val="000B7EE7"/>
    <w:rsid w:val="000B7F56"/>
    <w:rsid w:val="000B7F5D"/>
    <w:rsid w:val="000C0364"/>
    <w:rsid w:val="000C0493"/>
    <w:rsid w:val="000C04C1"/>
    <w:rsid w:val="000C0559"/>
    <w:rsid w:val="000C0684"/>
    <w:rsid w:val="000C10BA"/>
    <w:rsid w:val="000C1341"/>
    <w:rsid w:val="000C14EF"/>
    <w:rsid w:val="000C1599"/>
    <w:rsid w:val="000C1714"/>
    <w:rsid w:val="000C1747"/>
    <w:rsid w:val="000C1AFE"/>
    <w:rsid w:val="000C1FA6"/>
    <w:rsid w:val="000C226B"/>
    <w:rsid w:val="000C3024"/>
    <w:rsid w:val="000C32A4"/>
    <w:rsid w:val="000C3CDE"/>
    <w:rsid w:val="000C4137"/>
    <w:rsid w:val="000C4404"/>
    <w:rsid w:val="000C44CA"/>
    <w:rsid w:val="000C4A10"/>
    <w:rsid w:val="000C53B8"/>
    <w:rsid w:val="000C5752"/>
    <w:rsid w:val="000C5850"/>
    <w:rsid w:val="000C5A70"/>
    <w:rsid w:val="000C5D0A"/>
    <w:rsid w:val="000C5EE6"/>
    <w:rsid w:val="000C5F36"/>
    <w:rsid w:val="000C61C5"/>
    <w:rsid w:val="000C651F"/>
    <w:rsid w:val="000C6D10"/>
    <w:rsid w:val="000C769F"/>
    <w:rsid w:val="000C7A5E"/>
    <w:rsid w:val="000C7C44"/>
    <w:rsid w:val="000C7F6A"/>
    <w:rsid w:val="000D0128"/>
    <w:rsid w:val="000D04F4"/>
    <w:rsid w:val="000D0784"/>
    <w:rsid w:val="000D0A25"/>
    <w:rsid w:val="000D1300"/>
    <w:rsid w:val="000D13CD"/>
    <w:rsid w:val="000D180A"/>
    <w:rsid w:val="000D186C"/>
    <w:rsid w:val="000D18A2"/>
    <w:rsid w:val="000D1C4C"/>
    <w:rsid w:val="000D1D75"/>
    <w:rsid w:val="000D2428"/>
    <w:rsid w:val="000D2632"/>
    <w:rsid w:val="000D2D78"/>
    <w:rsid w:val="000D2D89"/>
    <w:rsid w:val="000D2E96"/>
    <w:rsid w:val="000D2EB6"/>
    <w:rsid w:val="000D3024"/>
    <w:rsid w:val="000D328F"/>
    <w:rsid w:val="000D3317"/>
    <w:rsid w:val="000D33CE"/>
    <w:rsid w:val="000D34EB"/>
    <w:rsid w:val="000D3AD0"/>
    <w:rsid w:val="000D3B89"/>
    <w:rsid w:val="000D3E93"/>
    <w:rsid w:val="000D41F3"/>
    <w:rsid w:val="000D4203"/>
    <w:rsid w:val="000D4324"/>
    <w:rsid w:val="000D4515"/>
    <w:rsid w:val="000D4845"/>
    <w:rsid w:val="000D49EC"/>
    <w:rsid w:val="000D4AB6"/>
    <w:rsid w:val="000D4D6A"/>
    <w:rsid w:val="000D4DFE"/>
    <w:rsid w:val="000D4F8C"/>
    <w:rsid w:val="000D4FCE"/>
    <w:rsid w:val="000D50CD"/>
    <w:rsid w:val="000D5A53"/>
    <w:rsid w:val="000D5AF8"/>
    <w:rsid w:val="000D60AA"/>
    <w:rsid w:val="000D63E0"/>
    <w:rsid w:val="000D6684"/>
    <w:rsid w:val="000D6840"/>
    <w:rsid w:val="000D68DF"/>
    <w:rsid w:val="000D6C22"/>
    <w:rsid w:val="000D708E"/>
    <w:rsid w:val="000D7AE4"/>
    <w:rsid w:val="000E02D8"/>
    <w:rsid w:val="000E073C"/>
    <w:rsid w:val="000E09A4"/>
    <w:rsid w:val="000E0B6A"/>
    <w:rsid w:val="000E0D09"/>
    <w:rsid w:val="000E0E1E"/>
    <w:rsid w:val="000E125E"/>
    <w:rsid w:val="000E1439"/>
    <w:rsid w:val="000E145B"/>
    <w:rsid w:val="000E1520"/>
    <w:rsid w:val="000E160C"/>
    <w:rsid w:val="000E1C9D"/>
    <w:rsid w:val="000E1D12"/>
    <w:rsid w:val="000E201E"/>
    <w:rsid w:val="000E21A1"/>
    <w:rsid w:val="000E21A2"/>
    <w:rsid w:val="000E2864"/>
    <w:rsid w:val="000E362B"/>
    <w:rsid w:val="000E3816"/>
    <w:rsid w:val="000E398C"/>
    <w:rsid w:val="000E3D82"/>
    <w:rsid w:val="000E455E"/>
    <w:rsid w:val="000E4D70"/>
    <w:rsid w:val="000E50DC"/>
    <w:rsid w:val="000E53B7"/>
    <w:rsid w:val="000E551B"/>
    <w:rsid w:val="000E5E5C"/>
    <w:rsid w:val="000E5EAC"/>
    <w:rsid w:val="000E6179"/>
    <w:rsid w:val="000E63DD"/>
    <w:rsid w:val="000E673C"/>
    <w:rsid w:val="000E6784"/>
    <w:rsid w:val="000E6891"/>
    <w:rsid w:val="000E6A1B"/>
    <w:rsid w:val="000E6C55"/>
    <w:rsid w:val="000E7851"/>
    <w:rsid w:val="000E7969"/>
    <w:rsid w:val="000E7A82"/>
    <w:rsid w:val="000E7AC3"/>
    <w:rsid w:val="000E7B84"/>
    <w:rsid w:val="000E7E95"/>
    <w:rsid w:val="000E7EE5"/>
    <w:rsid w:val="000F03E2"/>
    <w:rsid w:val="000F0975"/>
    <w:rsid w:val="000F0BC9"/>
    <w:rsid w:val="000F0C54"/>
    <w:rsid w:val="000F0D08"/>
    <w:rsid w:val="000F1578"/>
    <w:rsid w:val="000F1B1E"/>
    <w:rsid w:val="000F1FA8"/>
    <w:rsid w:val="000F204E"/>
    <w:rsid w:val="000F219E"/>
    <w:rsid w:val="000F236B"/>
    <w:rsid w:val="000F285B"/>
    <w:rsid w:val="000F29C9"/>
    <w:rsid w:val="000F2C00"/>
    <w:rsid w:val="000F3B50"/>
    <w:rsid w:val="000F4CB0"/>
    <w:rsid w:val="000F508A"/>
    <w:rsid w:val="000F50C5"/>
    <w:rsid w:val="000F56E8"/>
    <w:rsid w:val="000F59C3"/>
    <w:rsid w:val="000F5DD8"/>
    <w:rsid w:val="000F5FC9"/>
    <w:rsid w:val="000F627B"/>
    <w:rsid w:val="000F640C"/>
    <w:rsid w:val="000F66F8"/>
    <w:rsid w:val="000F6918"/>
    <w:rsid w:val="000F6D1C"/>
    <w:rsid w:val="000F7361"/>
    <w:rsid w:val="000F76EF"/>
    <w:rsid w:val="000F7A58"/>
    <w:rsid w:val="000F7C32"/>
    <w:rsid w:val="000F7FD2"/>
    <w:rsid w:val="00100186"/>
    <w:rsid w:val="001001F0"/>
    <w:rsid w:val="00100281"/>
    <w:rsid w:val="00100570"/>
    <w:rsid w:val="001005AA"/>
    <w:rsid w:val="00100BD3"/>
    <w:rsid w:val="00101159"/>
    <w:rsid w:val="00101616"/>
    <w:rsid w:val="001019F6"/>
    <w:rsid w:val="00101BB2"/>
    <w:rsid w:val="00101DAF"/>
    <w:rsid w:val="00101EA6"/>
    <w:rsid w:val="0010232D"/>
    <w:rsid w:val="001024C0"/>
    <w:rsid w:val="001024FE"/>
    <w:rsid w:val="0010271E"/>
    <w:rsid w:val="00102752"/>
    <w:rsid w:val="00102ACE"/>
    <w:rsid w:val="00102C26"/>
    <w:rsid w:val="00103282"/>
    <w:rsid w:val="00103470"/>
    <w:rsid w:val="0010377A"/>
    <w:rsid w:val="00103B60"/>
    <w:rsid w:val="00103FE2"/>
    <w:rsid w:val="0010407C"/>
    <w:rsid w:val="001042DB"/>
    <w:rsid w:val="00104698"/>
    <w:rsid w:val="001047AE"/>
    <w:rsid w:val="00104C44"/>
    <w:rsid w:val="001053AD"/>
    <w:rsid w:val="001059C5"/>
    <w:rsid w:val="0010618E"/>
    <w:rsid w:val="001064DF"/>
    <w:rsid w:val="001064E2"/>
    <w:rsid w:val="00106705"/>
    <w:rsid w:val="00106CAC"/>
    <w:rsid w:val="00106D47"/>
    <w:rsid w:val="00106D5A"/>
    <w:rsid w:val="00107317"/>
    <w:rsid w:val="001075D9"/>
    <w:rsid w:val="00107AE7"/>
    <w:rsid w:val="00107E45"/>
    <w:rsid w:val="001106E0"/>
    <w:rsid w:val="00110763"/>
    <w:rsid w:val="00110A0A"/>
    <w:rsid w:val="00110A66"/>
    <w:rsid w:val="00110B44"/>
    <w:rsid w:val="00110E5B"/>
    <w:rsid w:val="0011120F"/>
    <w:rsid w:val="00111444"/>
    <w:rsid w:val="0011156A"/>
    <w:rsid w:val="00111A9D"/>
    <w:rsid w:val="00111FD8"/>
    <w:rsid w:val="001131C7"/>
    <w:rsid w:val="001134B2"/>
    <w:rsid w:val="00113822"/>
    <w:rsid w:val="001140D8"/>
    <w:rsid w:val="00114341"/>
    <w:rsid w:val="00114478"/>
    <w:rsid w:val="0011451F"/>
    <w:rsid w:val="001146D3"/>
    <w:rsid w:val="00114A80"/>
    <w:rsid w:val="00114A88"/>
    <w:rsid w:val="00114B52"/>
    <w:rsid w:val="0011532F"/>
    <w:rsid w:val="001158F0"/>
    <w:rsid w:val="00115EC2"/>
    <w:rsid w:val="00116F9A"/>
    <w:rsid w:val="00116FF7"/>
    <w:rsid w:val="00117291"/>
    <w:rsid w:val="00117514"/>
    <w:rsid w:val="001176B4"/>
    <w:rsid w:val="001176E9"/>
    <w:rsid w:val="001178D8"/>
    <w:rsid w:val="00117C27"/>
    <w:rsid w:val="00117D2B"/>
    <w:rsid w:val="00117D72"/>
    <w:rsid w:val="001203AE"/>
    <w:rsid w:val="00120EA6"/>
    <w:rsid w:val="001214B2"/>
    <w:rsid w:val="001214FB"/>
    <w:rsid w:val="001217CB"/>
    <w:rsid w:val="001218B9"/>
    <w:rsid w:val="00121E37"/>
    <w:rsid w:val="00121F50"/>
    <w:rsid w:val="00122253"/>
    <w:rsid w:val="00122BFE"/>
    <w:rsid w:val="0012306C"/>
    <w:rsid w:val="00123707"/>
    <w:rsid w:val="00123994"/>
    <w:rsid w:val="001246F3"/>
    <w:rsid w:val="00124B78"/>
    <w:rsid w:val="00124D5D"/>
    <w:rsid w:val="00124E8F"/>
    <w:rsid w:val="00124EA4"/>
    <w:rsid w:val="00125398"/>
    <w:rsid w:val="00125441"/>
    <w:rsid w:val="00125879"/>
    <w:rsid w:val="00125C85"/>
    <w:rsid w:val="00125D53"/>
    <w:rsid w:val="00125FE7"/>
    <w:rsid w:val="0012607A"/>
    <w:rsid w:val="00126226"/>
    <w:rsid w:val="0012647D"/>
    <w:rsid w:val="00126564"/>
    <w:rsid w:val="00126943"/>
    <w:rsid w:val="00126DE3"/>
    <w:rsid w:val="00126EFA"/>
    <w:rsid w:val="00127356"/>
    <w:rsid w:val="00127363"/>
    <w:rsid w:val="001273C4"/>
    <w:rsid w:val="00127CA9"/>
    <w:rsid w:val="001302CC"/>
    <w:rsid w:val="0013042C"/>
    <w:rsid w:val="00130648"/>
    <w:rsid w:val="00130883"/>
    <w:rsid w:val="00130AD5"/>
    <w:rsid w:val="00130D24"/>
    <w:rsid w:val="0013111A"/>
    <w:rsid w:val="00131140"/>
    <w:rsid w:val="00131895"/>
    <w:rsid w:val="00131C4B"/>
    <w:rsid w:val="00132097"/>
    <w:rsid w:val="001320D4"/>
    <w:rsid w:val="0013222D"/>
    <w:rsid w:val="001324EC"/>
    <w:rsid w:val="00133128"/>
    <w:rsid w:val="001333E5"/>
    <w:rsid w:val="00133825"/>
    <w:rsid w:val="00133A8D"/>
    <w:rsid w:val="00133B34"/>
    <w:rsid w:val="001341F5"/>
    <w:rsid w:val="0013441B"/>
    <w:rsid w:val="0013468D"/>
    <w:rsid w:val="001346B4"/>
    <w:rsid w:val="00134848"/>
    <w:rsid w:val="001349E0"/>
    <w:rsid w:val="001353E6"/>
    <w:rsid w:val="00135585"/>
    <w:rsid w:val="001358F1"/>
    <w:rsid w:val="001359FA"/>
    <w:rsid w:val="00135E02"/>
    <w:rsid w:val="0013708B"/>
    <w:rsid w:val="001372D7"/>
    <w:rsid w:val="001374BD"/>
    <w:rsid w:val="00137928"/>
    <w:rsid w:val="00137B1B"/>
    <w:rsid w:val="00137CA8"/>
    <w:rsid w:val="00137F23"/>
    <w:rsid w:val="00140185"/>
    <w:rsid w:val="00140573"/>
    <w:rsid w:val="00140654"/>
    <w:rsid w:val="0014084D"/>
    <w:rsid w:val="001408BB"/>
    <w:rsid w:val="00140C12"/>
    <w:rsid w:val="00140D15"/>
    <w:rsid w:val="00140E14"/>
    <w:rsid w:val="00140F50"/>
    <w:rsid w:val="00141210"/>
    <w:rsid w:val="001412E5"/>
    <w:rsid w:val="001415B8"/>
    <w:rsid w:val="0014188E"/>
    <w:rsid w:val="001419D8"/>
    <w:rsid w:val="00141D60"/>
    <w:rsid w:val="0014200D"/>
    <w:rsid w:val="00142285"/>
    <w:rsid w:val="001422C9"/>
    <w:rsid w:val="0014254D"/>
    <w:rsid w:val="001428F3"/>
    <w:rsid w:val="001429FA"/>
    <w:rsid w:val="00142BE7"/>
    <w:rsid w:val="00142FAB"/>
    <w:rsid w:val="00143063"/>
    <w:rsid w:val="001431A4"/>
    <w:rsid w:val="001433BE"/>
    <w:rsid w:val="00143A51"/>
    <w:rsid w:val="00143A58"/>
    <w:rsid w:val="00143DB1"/>
    <w:rsid w:val="00143DDC"/>
    <w:rsid w:val="001442F1"/>
    <w:rsid w:val="0014448E"/>
    <w:rsid w:val="0014499A"/>
    <w:rsid w:val="00144A0B"/>
    <w:rsid w:val="00144A28"/>
    <w:rsid w:val="00144D58"/>
    <w:rsid w:val="0014524F"/>
    <w:rsid w:val="00145259"/>
    <w:rsid w:val="00145798"/>
    <w:rsid w:val="001458BC"/>
    <w:rsid w:val="00145A91"/>
    <w:rsid w:val="00145AE0"/>
    <w:rsid w:val="00145B7F"/>
    <w:rsid w:val="00145D45"/>
    <w:rsid w:val="001465EA"/>
    <w:rsid w:val="00146708"/>
    <w:rsid w:val="001469B0"/>
    <w:rsid w:val="00146BFB"/>
    <w:rsid w:val="00146C81"/>
    <w:rsid w:val="00146CD6"/>
    <w:rsid w:val="0014710C"/>
    <w:rsid w:val="0014750D"/>
    <w:rsid w:val="001479B1"/>
    <w:rsid w:val="00147BE1"/>
    <w:rsid w:val="00147BFF"/>
    <w:rsid w:val="00147FB2"/>
    <w:rsid w:val="00150300"/>
    <w:rsid w:val="0015033A"/>
    <w:rsid w:val="001503B1"/>
    <w:rsid w:val="00150675"/>
    <w:rsid w:val="00150E1C"/>
    <w:rsid w:val="00151800"/>
    <w:rsid w:val="00151ABF"/>
    <w:rsid w:val="00151AF9"/>
    <w:rsid w:val="00151D89"/>
    <w:rsid w:val="00151EAE"/>
    <w:rsid w:val="00152100"/>
    <w:rsid w:val="00152430"/>
    <w:rsid w:val="001525DB"/>
    <w:rsid w:val="001530D6"/>
    <w:rsid w:val="00153384"/>
    <w:rsid w:val="001533D9"/>
    <w:rsid w:val="00153514"/>
    <w:rsid w:val="00153891"/>
    <w:rsid w:val="00153BBF"/>
    <w:rsid w:val="00153C4D"/>
    <w:rsid w:val="00153FD2"/>
    <w:rsid w:val="001544FF"/>
    <w:rsid w:val="00154913"/>
    <w:rsid w:val="00154B49"/>
    <w:rsid w:val="00154E38"/>
    <w:rsid w:val="001550E8"/>
    <w:rsid w:val="00155135"/>
    <w:rsid w:val="001555D6"/>
    <w:rsid w:val="00155AD0"/>
    <w:rsid w:val="00155C9E"/>
    <w:rsid w:val="00155E4E"/>
    <w:rsid w:val="00156499"/>
    <w:rsid w:val="00156859"/>
    <w:rsid w:val="0015692D"/>
    <w:rsid w:val="00156B13"/>
    <w:rsid w:val="00156D16"/>
    <w:rsid w:val="0015712D"/>
    <w:rsid w:val="0015779E"/>
    <w:rsid w:val="00157BEF"/>
    <w:rsid w:val="00157DCC"/>
    <w:rsid w:val="00157FD4"/>
    <w:rsid w:val="001603FF"/>
    <w:rsid w:val="00160452"/>
    <w:rsid w:val="001604AE"/>
    <w:rsid w:val="00160761"/>
    <w:rsid w:val="00160D13"/>
    <w:rsid w:val="00160E43"/>
    <w:rsid w:val="00160FC6"/>
    <w:rsid w:val="001611F7"/>
    <w:rsid w:val="00161324"/>
    <w:rsid w:val="00161B4A"/>
    <w:rsid w:val="00161B8B"/>
    <w:rsid w:val="00162196"/>
    <w:rsid w:val="0016230E"/>
    <w:rsid w:val="0016247E"/>
    <w:rsid w:val="001624A7"/>
    <w:rsid w:val="00162928"/>
    <w:rsid w:val="00162B88"/>
    <w:rsid w:val="0016314A"/>
    <w:rsid w:val="00163F13"/>
    <w:rsid w:val="001645B3"/>
    <w:rsid w:val="001647C1"/>
    <w:rsid w:val="00164EDF"/>
    <w:rsid w:val="00165002"/>
    <w:rsid w:val="001654F6"/>
    <w:rsid w:val="00165813"/>
    <w:rsid w:val="00165A88"/>
    <w:rsid w:val="0016605A"/>
    <w:rsid w:val="0016686F"/>
    <w:rsid w:val="00166B64"/>
    <w:rsid w:val="001670DD"/>
    <w:rsid w:val="00167B2A"/>
    <w:rsid w:val="00167E78"/>
    <w:rsid w:val="001702C4"/>
    <w:rsid w:val="001705B7"/>
    <w:rsid w:val="0017093A"/>
    <w:rsid w:val="00170CD1"/>
    <w:rsid w:val="00170CEB"/>
    <w:rsid w:val="00171806"/>
    <w:rsid w:val="00171856"/>
    <w:rsid w:val="001719B3"/>
    <w:rsid w:val="00171A53"/>
    <w:rsid w:val="00171B8C"/>
    <w:rsid w:val="00171CFA"/>
    <w:rsid w:val="00171FC7"/>
    <w:rsid w:val="001722AD"/>
    <w:rsid w:val="001728A5"/>
    <w:rsid w:val="00172D3B"/>
    <w:rsid w:val="00172FA1"/>
    <w:rsid w:val="00173048"/>
    <w:rsid w:val="0017367D"/>
    <w:rsid w:val="00174536"/>
    <w:rsid w:val="00174A82"/>
    <w:rsid w:val="00174C1E"/>
    <w:rsid w:val="00174CBB"/>
    <w:rsid w:val="00175429"/>
    <w:rsid w:val="001755CA"/>
    <w:rsid w:val="00175691"/>
    <w:rsid w:val="00175AFF"/>
    <w:rsid w:val="00176377"/>
    <w:rsid w:val="00176716"/>
    <w:rsid w:val="0017680D"/>
    <w:rsid w:val="001769AB"/>
    <w:rsid w:val="00176BA6"/>
    <w:rsid w:val="00176BF2"/>
    <w:rsid w:val="00176C84"/>
    <w:rsid w:val="001770E2"/>
    <w:rsid w:val="001773F3"/>
    <w:rsid w:val="001777CD"/>
    <w:rsid w:val="00177987"/>
    <w:rsid w:val="00177A89"/>
    <w:rsid w:val="00177BBB"/>
    <w:rsid w:val="00177BE4"/>
    <w:rsid w:val="00177F02"/>
    <w:rsid w:val="00177FF7"/>
    <w:rsid w:val="00180295"/>
    <w:rsid w:val="00180A95"/>
    <w:rsid w:val="001810C7"/>
    <w:rsid w:val="0018118E"/>
    <w:rsid w:val="001814EC"/>
    <w:rsid w:val="00181942"/>
    <w:rsid w:val="00181AB2"/>
    <w:rsid w:val="00181ADE"/>
    <w:rsid w:val="00181B0D"/>
    <w:rsid w:val="00181B39"/>
    <w:rsid w:val="001822C4"/>
    <w:rsid w:val="00182C18"/>
    <w:rsid w:val="00182D1F"/>
    <w:rsid w:val="00182ED0"/>
    <w:rsid w:val="0018308E"/>
    <w:rsid w:val="0018337A"/>
    <w:rsid w:val="00183A45"/>
    <w:rsid w:val="00183B2F"/>
    <w:rsid w:val="00183BA7"/>
    <w:rsid w:val="00183E4D"/>
    <w:rsid w:val="00183FF4"/>
    <w:rsid w:val="00184148"/>
    <w:rsid w:val="0018480C"/>
    <w:rsid w:val="001850C0"/>
    <w:rsid w:val="00185497"/>
    <w:rsid w:val="00185A14"/>
    <w:rsid w:val="00185AAE"/>
    <w:rsid w:val="00185DC1"/>
    <w:rsid w:val="00185E19"/>
    <w:rsid w:val="00185E3B"/>
    <w:rsid w:val="00186246"/>
    <w:rsid w:val="001866BF"/>
    <w:rsid w:val="00186A92"/>
    <w:rsid w:val="00186AA4"/>
    <w:rsid w:val="00186C9F"/>
    <w:rsid w:val="00187020"/>
    <w:rsid w:val="001870D1"/>
    <w:rsid w:val="001870F0"/>
    <w:rsid w:val="00187CF5"/>
    <w:rsid w:val="0019057B"/>
    <w:rsid w:val="00190C42"/>
    <w:rsid w:val="00190D6F"/>
    <w:rsid w:val="00190E47"/>
    <w:rsid w:val="00190E57"/>
    <w:rsid w:val="00191577"/>
    <w:rsid w:val="001926D6"/>
    <w:rsid w:val="00192AA4"/>
    <w:rsid w:val="00192B76"/>
    <w:rsid w:val="00192F46"/>
    <w:rsid w:val="001930AF"/>
    <w:rsid w:val="001932BF"/>
    <w:rsid w:val="001937F6"/>
    <w:rsid w:val="00193835"/>
    <w:rsid w:val="00193962"/>
    <w:rsid w:val="00193AB1"/>
    <w:rsid w:val="00193B87"/>
    <w:rsid w:val="00193DE2"/>
    <w:rsid w:val="00193E3B"/>
    <w:rsid w:val="00193EC8"/>
    <w:rsid w:val="00194025"/>
    <w:rsid w:val="001941FC"/>
    <w:rsid w:val="001946D0"/>
    <w:rsid w:val="001947FB"/>
    <w:rsid w:val="0019554C"/>
    <w:rsid w:val="00195BF9"/>
    <w:rsid w:val="00195E62"/>
    <w:rsid w:val="001964FD"/>
    <w:rsid w:val="00196EED"/>
    <w:rsid w:val="00196F63"/>
    <w:rsid w:val="00196FD6"/>
    <w:rsid w:val="001A0023"/>
    <w:rsid w:val="001A0148"/>
    <w:rsid w:val="001A0E53"/>
    <w:rsid w:val="001A12A4"/>
    <w:rsid w:val="001A1623"/>
    <w:rsid w:val="001A1860"/>
    <w:rsid w:val="001A1C91"/>
    <w:rsid w:val="001A1DDB"/>
    <w:rsid w:val="001A1E0A"/>
    <w:rsid w:val="001A2468"/>
    <w:rsid w:val="001A2CC1"/>
    <w:rsid w:val="001A2D7A"/>
    <w:rsid w:val="001A3113"/>
    <w:rsid w:val="001A31BB"/>
    <w:rsid w:val="001A3319"/>
    <w:rsid w:val="001A361C"/>
    <w:rsid w:val="001A41E3"/>
    <w:rsid w:val="001A43AC"/>
    <w:rsid w:val="001A4BD8"/>
    <w:rsid w:val="001A4FAC"/>
    <w:rsid w:val="001A589C"/>
    <w:rsid w:val="001A5972"/>
    <w:rsid w:val="001A5C3F"/>
    <w:rsid w:val="001A5EF8"/>
    <w:rsid w:val="001A652C"/>
    <w:rsid w:val="001A6B50"/>
    <w:rsid w:val="001A6B5E"/>
    <w:rsid w:val="001A6B84"/>
    <w:rsid w:val="001A73C9"/>
    <w:rsid w:val="001A7A0A"/>
    <w:rsid w:val="001B0D83"/>
    <w:rsid w:val="001B112E"/>
    <w:rsid w:val="001B18BA"/>
    <w:rsid w:val="001B1AD5"/>
    <w:rsid w:val="001B25F4"/>
    <w:rsid w:val="001B279B"/>
    <w:rsid w:val="001B2A0B"/>
    <w:rsid w:val="001B2A7E"/>
    <w:rsid w:val="001B2BF4"/>
    <w:rsid w:val="001B33AE"/>
    <w:rsid w:val="001B35B1"/>
    <w:rsid w:val="001B3A2C"/>
    <w:rsid w:val="001B3A9D"/>
    <w:rsid w:val="001B45BF"/>
    <w:rsid w:val="001B4703"/>
    <w:rsid w:val="001B49CC"/>
    <w:rsid w:val="001B4CC7"/>
    <w:rsid w:val="001B4DDE"/>
    <w:rsid w:val="001B4E96"/>
    <w:rsid w:val="001B51C9"/>
    <w:rsid w:val="001B5867"/>
    <w:rsid w:val="001B5924"/>
    <w:rsid w:val="001B5E40"/>
    <w:rsid w:val="001B5EDE"/>
    <w:rsid w:val="001B600A"/>
    <w:rsid w:val="001B601D"/>
    <w:rsid w:val="001B67DB"/>
    <w:rsid w:val="001B686B"/>
    <w:rsid w:val="001B6A91"/>
    <w:rsid w:val="001B6D1F"/>
    <w:rsid w:val="001B6F2B"/>
    <w:rsid w:val="001B7309"/>
    <w:rsid w:val="001B7522"/>
    <w:rsid w:val="001B7D3C"/>
    <w:rsid w:val="001B7D4E"/>
    <w:rsid w:val="001C0062"/>
    <w:rsid w:val="001C0441"/>
    <w:rsid w:val="001C0511"/>
    <w:rsid w:val="001C0761"/>
    <w:rsid w:val="001C0CEF"/>
    <w:rsid w:val="001C0F86"/>
    <w:rsid w:val="001C1433"/>
    <w:rsid w:val="001C1509"/>
    <w:rsid w:val="001C184A"/>
    <w:rsid w:val="001C197E"/>
    <w:rsid w:val="001C1A17"/>
    <w:rsid w:val="001C20EF"/>
    <w:rsid w:val="001C2D9A"/>
    <w:rsid w:val="001C2E1E"/>
    <w:rsid w:val="001C3A68"/>
    <w:rsid w:val="001C3C5F"/>
    <w:rsid w:val="001C3E29"/>
    <w:rsid w:val="001C42F3"/>
    <w:rsid w:val="001C4319"/>
    <w:rsid w:val="001C4872"/>
    <w:rsid w:val="001C4A9A"/>
    <w:rsid w:val="001C58AF"/>
    <w:rsid w:val="001C62B6"/>
    <w:rsid w:val="001C66F1"/>
    <w:rsid w:val="001C69A9"/>
    <w:rsid w:val="001C69AC"/>
    <w:rsid w:val="001C6A22"/>
    <w:rsid w:val="001C6D80"/>
    <w:rsid w:val="001C75A6"/>
    <w:rsid w:val="001C79B3"/>
    <w:rsid w:val="001C7B87"/>
    <w:rsid w:val="001D0548"/>
    <w:rsid w:val="001D08EE"/>
    <w:rsid w:val="001D0E71"/>
    <w:rsid w:val="001D102B"/>
    <w:rsid w:val="001D152F"/>
    <w:rsid w:val="001D1546"/>
    <w:rsid w:val="001D169C"/>
    <w:rsid w:val="001D1AD6"/>
    <w:rsid w:val="001D1CC7"/>
    <w:rsid w:val="001D1DDF"/>
    <w:rsid w:val="001D22EB"/>
    <w:rsid w:val="001D269C"/>
    <w:rsid w:val="001D3018"/>
    <w:rsid w:val="001D396E"/>
    <w:rsid w:val="001D3A9B"/>
    <w:rsid w:val="001D3AA3"/>
    <w:rsid w:val="001D48F3"/>
    <w:rsid w:val="001D5263"/>
    <w:rsid w:val="001D5380"/>
    <w:rsid w:val="001D53A0"/>
    <w:rsid w:val="001D565B"/>
    <w:rsid w:val="001D5676"/>
    <w:rsid w:val="001D62B4"/>
    <w:rsid w:val="001D6423"/>
    <w:rsid w:val="001D646C"/>
    <w:rsid w:val="001D6BA0"/>
    <w:rsid w:val="001D6C21"/>
    <w:rsid w:val="001D7A0B"/>
    <w:rsid w:val="001D7B2F"/>
    <w:rsid w:val="001D7CCE"/>
    <w:rsid w:val="001D7D4A"/>
    <w:rsid w:val="001E009C"/>
    <w:rsid w:val="001E025C"/>
    <w:rsid w:val="001E085B"/>
    <w:rsid w:val="001E0C2D"/>
    <w:rsid w:val="001E0EA2"/>
    <w:rsid w:val="001E0EBE"/>
    <w:rsid w:val="001E170A"/>
    <w:rsid w:val="001E17C1"/>
    <w:rsid w:val="001E1B6F"/>
    <w:rsid w:val="001E25DF"/>
    <w:rsid w:val="001E25EC"/>
    <w:rsid w:val="001E287C"/>
    <w:rsid w:val="001E28D2"/>
    <w:rsid w:val="001E2DFB"/>
    <w:rsid w:val="001E31F3"/>
    <w:rsid w:val="001E32B9"/>
    <w:rsid w:val="001E3578"/>
    <w:rsid w:val="001E3645"/>
    <w:rsid w:val="001E384A"/>
    <w:rsid w:val="001E3946"/>
    <w:rsid w:val="001E3963"/>
    <w:rsid w:val="001E3AA0"/>
    <w:rsid w:val="001E4217"/>
    <w:rsid w:val="001E4BD6"/>
    <w:rsid w:val="001E4F09"/>
    <w:rsid w:val="001E5397"/>
    <w:rsid w:val="001E54C8"/>
    <w:rsid w:val="001E55CD"/>
    <w:rsid w:val="001E5BF0"/>
    <w:rsid w:val="001E65D9"/>
    <w:rsid w:val="001E66FC"/>
    <w:rsid w:val="001E705F"/>
    <w:rsid w:val="001E709D"/>
    <w:rsid w:val="001E71F5"/>
    <w:rsid w:val="001E7F65"/>
    <w:rsid w:val="001F0369"/>
    <w:rsid w:val="001F069E"/>
    <w:rsid w:val="001F0799"/>
    <w:rsid w:val="001F0A5B"/>
    <w:rsid w:val="001F0FDD"/>
    <w:rsid w:val="001F11EB"/>
    <w:rsid w:val="001F199A"/>
    <w:rsid w:val="001F1A6A"/>
    <w:rsid w:val="001F1C68"/>
    <w:rsid w:val="001F1C78"/>
    <w:rsid w:val="001F2743"/>
    <w:rsid w:val="001F2819"/>
    <w:rsid w:val="001F289A"/>
    <w:rsid w:val="001F301C"/>
    <w:rsid w:val="001F360D"/>
    <w:rsid w:val="001F38FB"/>
    <w:rsid w:val="001F3ECF"/>
    <w:rsid w:val="001F44A0"/>
    <w:rsid w:val="001F4B1B"/>
    <w:rsid w:val="001F5116"/>
    <w:rsid w:val="001F579B"/>
    <w:rsid w:val="001F598F"/>
    <w:rsid w:val="001F61E5"/>
    <w:rsid w:val="001F622B"/>
    <w:rsid w:val="001F686A"/>
    <w:rsid w:val="001F6CF7"/>
    <w:rsid w:val="001F6E99"/>
    <w:rsid w:val="001F747F"/>
    <w:rsid w:val="001F7690"/>
    <w:rsid w:val="0020001C"/>
    <w:rsid w:val="0020018B"/>
    <w:rsid w:val="002002F1"/>
    <w:rsid w:val="00200315"/>
    <w:rsid w:val="002003A2"/>
    <w:rsid w:val="0020044D"/>
    <w:rsid w:val="00200DE0"/>
    <w:rsid w:val="00201220"/>
    <w:rsid w:val="002016B4"/>
    <w:rsid w:val="00201A06"/>
    <w:rsid w:val="0020228D"/>
    <w:rsid w:val="002023A3"/>
    <w:rsid w:val="00202B51"/>
    <w:rsid w:val="00203947"/>
    <w:rsid w:val="00203DD7"/>
    <w:rsid w:val="00205356"/>
    <w:rsid w:val="00205A91"/>
    <w:rsid w:val="00205E54"/>
    <w:rsid w:val="00205F9D"/>
    <w:rsid w:val="00206886"/>
    <w:rsid w:val="002068C1"/>
    <w:rsid w:val="00206C27"/>
    <w:rsid w:val="00207278"/>
    <w:rsid w:val="00207AAF"/>
    <w:rsid w:val="00207B1E"/>
    <w:rsid w:val="00207B7F"/>
    <w:rsid w:val="00207C1C"/>
    <w:rsid w:val="00210033"/>
    <w:rsid w:val="00210407"/>
    <w:rsid w:val="002106B9"/>
    <w:rsid w:val="002106C0"/>
    <w:rsid w:val="0021096F"/>
    <w:rsid w:val="00210C5E"/>
    <w:rsid w:val="00211701"/>
    <w:rsid w:val="00211DCE"/>
    <w:rsid w:val="002120D8"/>
    <w:rsid w:val="00212330"/>
    <w:rsid w:val="0021273B"/>
    <w:rsid w:val="0021294E"/>
    <w:rsid w:val="00212D8E"/>
    <w:rsid w:val="00212E6A"/>
    <w:rsid w:val="00212EE0"/>
    <w:rsid w:val="00212EFC"/>
    <w:rsid w:val="0021311F"/>
    <w:rsid w:val="00213374"/>
    <w:rsid w:val="002133C9"/>
    <w:rsid w:val="0021352C"/>
    <w:rsid w:val="0021376A"/>
    <w:rsid w:val="0021388F"/>
    <w:rsid w:val="00213B43"/>
    <w:rsid w:val="00213CA2"/>
    <w:rsid w:val="00213EA5"/>
    <w:rsid w:val="00213ECD"/>
    <w:rsid w:val="00213EED"/>
    <w:rsid w:val="00214815"/>
    <w:rsid w:val="00214C6A"/>
    <w:rsid w:val="00214F43"/>
    <w:rsid w:val="00214F7B"/>
    <w:rsid w:val="00215B84"/>
    <w:rsid w:val="002161EB"/>
    <w:rsid w:val="0021639E"/>
    <w:rsid w:val="002165BB"/>
    <w:rsid w:val="00216A34"/>
    <w:rsid w:val="00216D21"/>
    <w:rsid w:val="0021799F"/>
    <w:rsid w:val="00217A8E"/>
    <w:rsid w:val="00217E3B"/>
    <w:rsid w:val="00220029"/>
    <w:rsid w:val="0022035F"/>
    <w:rsid w:val="0022043C"/>
    <w:rsid w:val="00220A74"/>
    <w:rsid w:val="00220CBB"/>
    <w:rsid w:val="0022114B"/>
    <w:rsid w:val="002217FB"/>
    <w:rsid w:val="002219B8"/>
    <w:rsid w:val="00221E68"/>
    <w:rsid w:val="002221F6"/>
    <w:rsid w:val="00222419"/>
    <w:rsid w:val="0022247B"/>
    <w:rsid w:val="00222570"/>
    <w:rsid w:val="002226F6"/>
    <w:rsid w:val="00222A28"/>
    <w:rsid w:val="0022318A"/>
    <w:rsid w:val="002233D3"/>
    <w:rsid w:val="00223476"/>
    <w:rsid w:val="0022359D"/>
    <w:rsid w:val="002245F8"/>
    <w:rsid w:val="00224E39"/>
    <w:rsid w:val="002250C7"/>
    <w:rsid w:val="0022525A"/>
    <w:rsid w:val="00225B70"/>
    <w:rsid w:val="00225EF4"/>
    <w:rsid w:val="00225FEC"/>
    <w:rsid w:val="00226063"/>
    <w:rsid w:val="002264CB"/>
    <w:rsid w:val="002265DA"/>
    <w:rsid w:val="0022719F"/>
    <w:rsid w:val="0022768B"/>
    <w:rsid w:val="00227788"/>
    <w:rsid w:val="00227CE6"/>
    <w:rsid w:val="00227DC8"/>
    <w:rsid w:val="0023007B"/>
    <w:rsid w:val="0023020D"/>
    <w:rsid w:val="0023050C"/>
    <w:rsid w:val="002305E3"/>
    <w:rsid w:val="00230718"/>
    <w:rsid w:val="00230999"/>
    <w:rsid w:val="00230AE4"/>
    <w:rsid w:val="0023168C"/>
    <w:rsid w:val="00231B9E"/>
    <w:rsid w:val="0023205F"/>
    <w:rsid w:val="0023225E"/>
    <w:rsid w:val="00232586"/>
    <w:rsid w:val="00232730"/>
    <w:rsid w:val="0023297A"/>
    <w:rsid w:val="00232BAB"/>
    <w:rsid w:val="00232C74"/>
    <w:rsid w:val="00233065"/>
    <w:rsid w:val="002339E3"/>
    <w:rsid w:val="00233ADB"/>
    <w:rsid w:val="002345C6"/>
    <w:rsid w:val="0023473A"/>
    <w:rsid w:val="002349F9"/>
    <w:rsid w:val="00234D1D"/>
    <w:rsid w:val="00235223"/>
    <w:rsid w:val="00235327"/>
    <w:rsid w:val="002353DA"/>
    <w:rsid w:val="00235ECB"/>
    <w:rsid w:val="0023643C"/>
    <w:rsid w:val="002368EB"/>
    <w:rsid w:val="00236A7B"/>
    <w:rsid w:val="00236D26"/>
    <w:rsid w:val="002371C0"/>
    <w:rsid w:val="00240168"/>
    <w:rsid w:val="0024027B"/>
    <w:rsid w:val="002407F1"/>
    <w:rsid w:val="00240D9D"/>
    <w:rsid w:val="00240E92"/>
    <w:rsid w:val="0024176B"/>
    <w:rsid w:val="00241E85"/>
    <w:rsid w:val="002422FA"/>
    <w:rsid w:val="002423E8"/>
    <w:rsid w:val="002425EC"/>
    <w:rsid w:val="00242786"/>
    <w:rsid w:val="00242920"/>
    <w:rsid w:val="00242BED"/>
    <w:rsid w:val="00242D36"/>
    <w:rsid w:val="00242FE6"/>
    <w:rsid w:val="00243503"/>
    <w:rsid w:val="00243530"/>
    <w:rsid w:val="002436E9"/>
    <w:rsid w:val="0024380D"/>
    <w:rsid w:val="00243AC8"/>
    <w:rsid w:val="00243D99"/>
    <w:rsid w:val="002440A5"/>
    <w:rsid w:val="00244533"/>
    <w:rsid w:val="00244875"/>
    <w:rsid w:val="00244DB9"/>
    <w:rsid w:val="002453A8"/>
    <w:rsid w:val="002456D9"/>
    <w:rsid w:val="00245CC6"/>
    <w:rsid w:val="002461B6"/>
    <w:rsid w:val="002465C9"/>
    <w:rsid w:val="00246647"/>
    <w:rsid w:val="00246759"/>
    <w:rsid w:val="00246BCE"/>
    <w:rsid w:val="00247672"/>
    <w:rsid w:val="00247AF3"/>
    <w:rsid w:val="00247F76"/>
    <w:rsid w:val="002509F3"/>
    <w:rsid w:val="00250AD3"/>
    <w:rsid w:val="00250E0F"/>
    <w:rsid w:val="00251081"/>
    <w:rsid w:val="0025138F"/>
    <w:rsid w:val="00251E8F"/>
    <w:rsid w:val="0025242F"/>
    <w:rsid w:val="002528E9"/>
    <w:rsid w:val="00252AD6"/>
    <w:rsid w:val="00252BAA"/>
    <w:rsid w:val="00252D88"/>
    <w:rsid w:val="00252E96"/>
    <w:rsid w:val="002530FF"/>
    <w:rsid w:val="0025353D"/>
    <w:rsid w:val="002536E5"/>
    <w:rsid w:val="00253941"/>
    <w:rsid w:val="002540E4"/>
    <w:rsid w:val="00254120"/>
    <w:rsid w:val="002546FE"/>
    <w:rsid w:val="00254906"/>
    <w:rsid w:val="00254D43"/>
    <w:rsid w:val="00255B28"/>
    <w:rsid w:val="00255C7C"/>
    <w:rsid w:val="00255DE0"/>
    <w:rsid w:val="00255F4E"/>
    <w:rsid w:val="00256C93"/>
    <w:rsid w:val="00257377"/>
    <w:rsid w:val="002579B5"/>
    <w:rsid w:val="00257A4F"/>
    <w:rsid w:val="00257B8F"/>
    <w:rsid w:val="00257E0C"/>
    <w:rsid w:val="002604D1"/>
    <w:rsid w:val="002608AA"/>
    <w:rsid w:val="00260983"/>
    <w:rsid w:val="002611B2"/>
    <w:rsid w:val="002615A7"/>
    <w:rsid w:val="00261CCC"/>
    <w:rsid w:val="00261E92"/>
    <w:rsid w:val="00262DBC"/>
    <w:rsid w:val="00262FC1"/>
    <w:rsid w:val="0026308E"/>
    <w:rsid w:val="002630F7"/>
    <w:rsid w:val="0026326C"/>
    <w:rsid w:val="00263375"/>
    <w:rsid w:val="002644DF"/>
    <w:rsid w:val="002646F0"/>
    <w:rsid w:val="002648F6"/>
    <w:rsid w:val="00264CC5"/>
    <w:rsid w:val="00264E3C"/>
    <w:rsid w:val="002655A7"/>
    <w:rsid w:val="00265C77"/>
    <w:rsid w:val="00265D82"/>
    <w:rsid w:val="002664ED"/>
    <w:rsid w:val="0026653C"/>
    <w:rsid w:val="00266665"/>
    <w:rsid w:val="002666EA"/>
    <w:rsid w:val="00266B0C"/>
    <w:rsid w:val="0026730F"/>
    <w:rsid w:val="002679CF"/>
    <w:rsid w:val="00270220"/>
    <w:rsid w:val="0027032B"/>
    <w:rsid w:val="002707B7"/>
    <w:rsid w:val="00270AC9"/>
    <w:rsid w:val="002711DC"/>
    <w:rsid w:val="002714D3"/>
    <w:rsid w:val="002718D3"/>
    <w:rsid w:val="002718FF"/>
    <w:rsid w:val="00271AD3"/>
    <w:rsid w:val="00271AF4"/>
    <w:rsid w:val="00271E8A"/>
    <w:rsid w:val="002720B6"/>
    <w:rsid w:val="00272585"/>
    <w:rsid w:val="002726A0"/>
    <w:rsid w:val="00272E24"/>
    <w:rsid w:val="00273148"/>
    <w:rsid w:val="00273362"/>
    <w:rsid w:val="002735E7"/>
    <w:rsid w:val="00273978"/>
    <w:rsid w:val="00273AE5"/>
    <w:rsid w:val="00273B16"/>
    <w:rsid w:val="00273B9D"/>
    <w:rsid w:val="00273D00"/>
    <w:rsid w:val="00274085"/>
    <w:rsid w:val="002740F9"/>
    <w:rsid w:val="00274733"/>
    <w:rsid w:val="00274872"/>
    <w:rsid w:val="00274895"/>
    <w:rsid w:val="002748D9"/>
    <w:rsid w:val="00274CAF"/>
    <w:rsid w:val="00274F96"/>
    <w:rsid w:val="00275321"/>
    <w:rsid w:val="00275DD6"/>
    <w:rsid w:val="0027625C"/>
    <w:rsid w:val="0027645A"/>
    <w:rsid w:val="002766A5"/>
    <w:rsid w:val="002767F8"/>
    <w:rsid w:val="00276CC7"/>
    <w:rsid w:val="00276D3C"/>
    <w:rsid w:val="00277981"/>
    <w:rsid w:val="00277AF6"/>
    <w:rsid w:val="00277D37"/>
    <w:rsid w:val="00277DD8"/>
    <w:rsid w:val="002803CD"/>
    <w:rsid w:val="0028046F"/>
    <w:rsid w:val="002806AF"/>
    <w:rsid w:val="00280826"/>
    <w:rsid w:val="00280A78"/>
    <w:rsid w:val="00280A91"/>
    <w:rsid w:val="00280CDB"/>
    <w:rsid w:val="00280E58"/>
    <w:rsid w:val="00281055"/>
    <w:rsid w:val="00281127"/>
    <w:rsid w:val="002814BF"/>
    <w:rsid w:val="00281742"/>
    <w:rsid w:val="00281909"/>
    <w:rsid w:val="00281F58"/>
    <w:rsid w:val="002826E9"/>
    <w:rsid w:val="0028281C"/>
    <w:rsid w:val="00282D87"/>
    <w:rsid w:val="00282EEC"/>
    <w:rsid w:val="00283046"/>
    <w:rsid w:val="002832EB"/>
    <w:rsid w:val="002845AC"/>
    <w:rsid w:val="002845D9"/>
    <w:rsid w:val="00284FDB"/>
    <w:rsid w:val="002853A8"/>
    <w:rsid w:val="0028571D"/>
    <w:rsid w:val="00285BAA"/>
    <w:rsid w:val="0028607E"/>
    <w:rsid w:val="0028613C"/>
    <w:rsid w:val="0028652F"/>
    <w:rsid w:val="0028655C"/>
    <w:rsid w:val="00286D2F"/>
    <w:rsid w:val="00287626"/>
    <w:rsid w:val="00287657"/>
    <w:rsid w:val="002902F6"/>
    <w:rsid w:val="002909D8"/>
    <w:rsid w:val="00290AC3"/>
    <w:rsid w:val="00290ADF"/>
    <w:rsid w:val="00290C8C"/>
    <w:rsid w:val="00290ECA"/>
    <w:rsid w:val="00291322"/>
    <w:rsid w:val="002915CD"/>
    <w:rsid w:val="002915EA"/>
    <w:rsid w:val="00292039"/>
    <w:rsid w:val="0029235B"/>
    <w:rsid w:val="00292470"/>
    <w:rsid w:val="002925AF"/>
    <w:rsid w:val="00292832"/>
    <w:rsid w:val="002929B8"/>
    <w:rsid w:val="00292AE9"/>
    <w:rsid w:val="00292D7B"/>
    <w:rsid w:val="00293364"/>
    <w:rsid w:val="002939E7"/>
    <w:rsid w:val="00293DBF"/>
    <w:rsid w:val="00293DC0"/>
    <w:rsid w:val="00293FDA"/>
    <w:rsid w:val="00294042"/>
    <w:rsid w:val="00294681"/>
    <w:rsid w:val="0029507C"/>
    <w:rsid w:val="002950E0"/>
    <w:rsid w:val="002953E0"/>
    <w:rsid w:val="00295460"/>
    <w:rsid w:val="0029591E"/>
    <w:rsid w:val="00295A7F"/>
    <w:rsid w:val="00295D83"/>
    <w:rsid w:val="002960C7"/>
    <w:rsid w:val="002960E5"/>
    <w:rsid w:val="002964E2"/>
    <w:rsid w:val="00296540"/>
    <w:rsid w:val="002968E0"/>
    <w:rsid w:val="00296CD6"/>
    <w:rsid w:val="00296F63"/>
    <w:rsid w:val="002976AF"/>
    <w:rsid w:val="002977F8"/>
    <w:rsid w:val="00297E4B"/>
    <w:rsid w:val="00297E60"/>
    <w:rsid w:val="00297EB7"/>
    <w:rsid w:val="002A01F3"/>
    <w:rsid w:val="002A02F9"/>
    <w:rsid w:val="002A0439"/>
    <w:rsid w:val="002A0700"/>
    <w:rsid w:val="002A0815"/>
    <w:rsid w:val="002A0A46"/>
    <w:rsid w:val="002A0AEB"/>
    <w:rsid w:val="002A0C34"/>
    <w:rsid w:val="002A106A"/>
    <w:rsid w:val="002A1388"/>
    <w:rsid w:val="002A1CFA"/>
    <w:rsid w:val="002A215C"/>
    <w:rsid w:val="002A2637"/>
    <w:rsid w:val="002A289C"/>
    <w:rsid w:val="002A2B94"/>
    <w:rsid w:val="002A2C58"/>
    <w:rsid w:val="002A2D19"/>
    <w:rsid w:val="002A3108"/>
    <w:rsid w:val="002A3293"/>
    <w:rsid w:val="002A34E6"/>
    <w:rsid w:val="002A38D0"/>
    <w:rsid w:val="002A3BC8"/>
    <w:rsid w:val="002A3C59"/>
    <w:rsid w:val="002A422C"/>
    <w:rsid w:val="002A4415"/>
    <w:rsid w:val="002A49E9"/>
    <w:rsid w:val="002A55AE"/>
    <w:rsid w:val="002A5F93"/>
    <w:rsid w:val="002A613A"/>
    <w:rsid w:val="002A63EB"/>
    <w:rsid w:val="002A69BC"/>
    <w:rsid w:val="002A6B8E"/>
    <w:rsid w:val="002A6C87"/>
    <w:rsid w:val="002A6D11"/>
    <w:rsid w:val="002A7385"/>
    <w:rsid w:val="002A745F"/>
    <w:rsid w:val="002A75B6"/>
    <w:rsid w:val="002A7917"/>
    <w:rsid w:val="002A7B09"/>
    <w:rsid w:val="002B01FE"/>
    <w:rsid w:val="002B0221"/>
    <w:rsid w:val="002B076C"/>
    <w:rsid w:val="002B0853"/>
    <w:rsid w:val="002B0A01"/>
    <w:rsid w:val="002B0AA6"/>
    <w:rsid w:val="002B0AFB"/>
    <w:rsid w:val="002B0BD1"/>
    <w:rsid w:val="002B0EBA"/>
    <w:rsid w:val="002B0EF3"/>
    <w:rsid w:val="002B0F0C"/>
    <w:rsid w:val="002B15E2"/>
    <w:rsid w:val="002B1955"/>
    <w:rsid w:val="002B1FD7"/>
    <w:rsid w:val="002B28C0"/>
    <w:rsid w:val="002B2C5A"/>
    <w:rsid w:val="002B2CF4"/>
    <w:rsid w:val="002B2EF6"/>
    <w:rsid w:val="002B2FEE"/>
    <w:rsid w:val="002B3676"/>
    <w:rsid w:val="002B3A81"/>
    <w:rsid w:val="002B3C11"/>
    <w:rsid w:val="002B45D0"/>
    <w:rsid w:val="002B476D"/>
    <w:rsid w:val="002B481D"/>
    <w:rsid w:val="002B4CCB"/>
    <w:rsid w:val="002B5288"/>
    <w:rsid w:val="002B54BA"/>
    <w:rsid w:val="002B56F7"/>
    <w:rsid w:val="002B5993"/>
    <w:rsid w:val="002B5B49"/>
    <w:rsid w:val="002B6198"/>
    <w:rsid w:val="002B63F5"/>
    <w:rsid w:val="002B6500"/>
    <w:rsid w:val="002B6D8D"/>
    <w:rsid w:val="002B6EC6"/>
    <w:rsid w:val="002B7219"/>
    <w:rsid w:val="002B791F"/>
    <w:rsid w:val="002B7F2E"/>
    <w:rsid w:val="002C04D4"/>
    <w:rsid w:val="002C04E2"/>
    <w:rsid w:val="002C0564"/>
    <w:rsid w:val="002C0825"/>
    <w:rsid w:val="002C086E"/>
    <w:rsid w:val="002C0A64"/>
    <w:rsid w:val="002C148E"/>
    <w:rsid w:val="002C14E9"/>
    <w:rsid w:val="002C1799"/>
    <w:rsid w:val="002C179B"/>
    <w:rsid w:val="002C1AC2"/>
    <w:rsid w:val="002C2175"/>
    <w:rsid w:val="002C21ED"/>
    <w:rsid w:val="002C222A"/>
    <w:rsid w:val="002C2B38"/>
    <w:rsid w:val="002C2CC5"/>
    <w:rsid w:val="002C2CCE"/>
    <w:rsid w:val="002C2FFB"/>
    <w:rsid w:val="002C31D6"/>
    <w:rsid w:val="002C378A"/>
    <w:rsid w:val="002C37DE"/>
    <w:rsid w:val="002C40F8"/>
    <w:rsid w:val="002C4198"/>
    <w:rsid w:val="002C42C9"/>
    <w:rsid w:val="002C42E8"/>
    <w:rsid w:val="002C48AE"/>
    <w:rsid w:val="002C4AAA"/>
    <w:rsid w:val="002C5648"/>
    <w:rsid w:val="002C5B95"/>
    <w:rsid w:val="002C5DD4"/>
    <w:rsid w:val="002C5E0C"/>
    <w:rsid w:val="002C5F9D"/>
    <w:rsid w:val="002C5FD8"/>
    <w:rsid w:val="002C659B"/>
    <w:rsid w:val="002C65A2"/>
    <w:rsid w:val="002C6936"/>
    <w:rsid w:val="002C6AAC"/>
    <w:rsid w:val="002C6AEC"/>
    <w:rsid w:val="002C6E73"/>
    <w:rsid w:val="002C706C"/>
    <w:rsid w:val="002C741B"/>
    <w:rsid w:val="002C774A"/>
    <w:rsid w:val="002C7E09"/>
    <w:rsid w:val="002D0203"/>
    <w:rsid w:val="002D0490"/>
    <w:rsid w:val="002D0575"/>
    <w:rsid w:val="002D060F"/>
    <w:rsid w:val="002D0ABC"/>
    <w:rsid w:val="002D0DA8"/>
    <w:rsid w:val="002D180F"/>
    <w:rsid w:val="002D185F"/>
    <w:rsid w:val="002D1B59"/>
    <w:rsid w:val="002D207C"/>
    <w:rsid w:val="002D2081"/>
    <w:rsid w:val="002D2319"/>
    <w:rsid w:val="002D271D"/>
    <w:rsid w:val="002D2760"/>
    <w:rsid w:val="002D2CF7"/>
    <w:rsid w:val="002D395E"/>
    <w:rsid w:val="002D399D"/>
    <w:rsid w:val="002D3EFB"/>
    <w:rsid w:val="002D4230"/>
    <w:rsid w:val="002D44DB"/>
    <w:rsid w:val="002D4DBB"/>
    <w:rsid w:val="002D4E71"/>
    <w:rsid w:val="002D557B"/>
    <w:rsid w:val="002D56B1"/>
    <w:rsid w:val="002D5C43"/>
    <w:rsid w:val="002D5C5E"/>
    <w:rsid w:val="002D654D"/>
    <w:rsid w:val="002D6DF1"/>
    <w:rsid w:val="002D7145"/>
    <w:rsid w:val="002D747E"/>
    <w:rsid w:val="002D7722"/>
    <w:rsid w:val="002D7924"/>
    <w:rsid w:val="002D7A50"/>
    <w:rsid w:val="002E0526"/>
    <w:rsid w:val="002E0A14"/>
    <w:rsid w:val="002E0C15"/>
    <w:rsid w:val="002E1F7D"/>
    <w:rsid w:val="002E253F"/>
    <w:rsid w:val="002E255D"/>
    <w:rsid w:val="002E266A"/>
    <w:rsid w:val="002E2C51"/>
    <w:rsid w:val="002E2D57"/>
    <w:rsid w:val="002E2E09"/>
    <w:rsid w:val="002E300C"/>
    <w:rsid w:val="002E3709"/>
    <w:rsid w:val="002E3A74"/>
    <w:rsid w:val="002E3B0C"/>
    <w:rsid w:val="002E3E7C"/>
    <w:rsid w:val="002E3F3C"/>
    <w:rsid w:val="002E3FAD"/>
    <w:rsid w:val="002E4562"/>
    <w:rsid w:val="002E4864"/>
    <w:rsid w:val="002E4C40"/>
    <w:rsid w:val="002E4D55"/>
    <w:rsid w:val="002E50C5"/>
    <w:rsid w:val="002E5149"/>
    <w:rsid w:val="002E5632"/>
    <w:rsid w:val="002E56E1"/>
    <w:rsid w:val="002E5787"/>
    <w:rsid w:val="002E595C"/>
    <w:rsid w:val="002E5D5F"/>
    <w:rsid w:val="002E5F0C"/>
    <w:rsid w:val="002E6316"/>
    <w:rsid w:val="002E646C"/>
    <w:rsid w:val="002E64A2"/>
    <w:rsid w:val="002E665A"/>
    <w:rsid w:val="002E67D1"/>
    <w:rsid w:val="002E6B7F"/>
    <w:rsid w:val="002E6BFC"/>
    <w:rsid w:val="002E6D72"/>
    <w:rsid w:val="002E6F5D"/>
    <w:rsid w:val="002E70F8"/>
    <w:rsid w:val="002E72B0"/>
    <w:rsid w:val="002E74E2"/>
    <w:rsid w:val="002E773C"/>
    <w:rsid w:val="002E7842"/>
    <w:rsid w:val="002E7AD7"/>
    <w:rsid w:val="002E7E54"/>
    <w:rsid w:val="002F007B"/>
    <w:rsid w:val="002F0D08"/>
    <w:rsid w:val="002F10F0"/>
    <w:rsid w:val="002F143D"/>
    <w:rsid w:val="002F1956"/>
    <w:rsid w:val="002F1C32"/>
    <w:rsid w:val="002F1C4F"/>
    <w:rsid w:val="002F2314"/>
    <w:rsid w:val="002F27A6"/>
    <w:rsid w:val="002F2838"/>
    <w:rsid w:val="002F334F"/>
    <w:rsid w:val="002F353C"/>
    <w:rsid w:val="002F3930"/>
    <w:rsid w:val="002F3D8D"/>
    <w:rsid w:val="002F3D91"/>
    <w:rsid w:val="002F3DA1"/>
    <w:rsid w:val="002F3F44"/>
    <w:rsid w:val="002F440B"/>
    <w:rsid w:val="002F44D3"/>
    <w:rsid w:val="002F471D"/>
    <w:rsid w:val="002F47BB"/>
    <w:rsid w:val="002F4A37"/>
    <w:rsid w:val="002F5782"/>
    <w:rsid w:val="002F5B62"/>
    <w:rsid w:val="002F5CAF"/>
    <w:rsid w:val="002F5F18"/>
    <w:rsid w:val="002F5F9B"/>
    <w:rsid w:val="002F64D0"/>
    <w:rsid w:val="002F6679"/>
    <w:rsid w:val="002F6788"/>
    <w:rsid w:val="002F68E5"/>
    <w:rsid w:val="002F7992"/>
    <w:rsid w:val="002F7A15"/>
    <w:rsid w:val="002F7AEA"/>
    <w:rsid w:val="002F7BCB"/>
    <w:rsid w:val="002F7F2A"/>
    <w:rsid w:val="00300091"/>
    <w:rsid w:val="003004ED"/>
    <w:rsid w:val="00300593"/>
    <w:rsid w:val="003006F8"/>
    <w:rsid w:val="00300C17"/>
    <w:rsid w:val="00300C8E"/>
    <w:rsid w:val="00301230"/>
    <w:rsid w:val="00301265"/>
    <w:rsid w:val="00301419"/>
    <w:rsid w:val="003029CE"/>
    <w:rsid w:val="00302AEA"/>
    <w:rsid w:val="00302E30"/>
    <w:rsid w:val="00302F94"/>
    <w:rsid w:val="003030AB"/>
    <w:rsid w:val="003037AE"/>
    <w:rsid w:val="00303D54"/>
    <w:rsid w:val="0030469D"/>
    <w:rsid w:val="0030481F"/>
    <w:rsid w:val="00304FB9"/>
    <w:rsid w:val="00305030"/>
    <w:rsid w:val="00305127"/>
    <w:rsid w:val="003053AF"/>
    <w:rsid w:val="00305473"/>
    <w:rsid w:val="00305766"/>
    <w:rsid w:val="003057BF"/>
    <w:rsid w:val="003057C8"/>
    <w:rsid w:val="003059BD"/>
    <w:rsid w:val="003059CE"/>
    <w:rsid w:val="00305AD3"/>
    <w:rsid w:val="003060DC"/>
    <w:rsid w:val="0030624A"/>
    <w:rsid w:val="0030651C"/>
    <w:rsid w:val="003069A5"/>
    <w:rsid w:val="003069DD"/>
    <w:rsid w:val="00306C3C"/>
    <w:rsid w:val="00306CF3"/>
    <w:rsid w:val="00306F6C"/>
    <w:rsid w:val="003072EF"/>
    <w:rsid w:val="00307500"/>
    <w:rsid w:val="003079EF"/>
    <w:rsid w:val="00307FB9"/>
    <w:rsid w:val="00310008"/>
    <w:rsid w:val="003104A6"/>
    <w:rsid w:val="00310E40"/>
    <w:rsid w:val="00310F06"/>
    <w:rsid w:val="0031117D"/>
    <w:rsid w:val="003112FE"/>
    <w:rsid w:val="00311423"/>
    <w:rsid w:val="003115A5"/>
    <w:rsid w:val="003118DE"/>
    <w:rsid w:val="00312133"/>
    <w:rsid w:val="003122EE"/>
    <w:rsid w:val="003122F3"/>
    <w:rsid w:val="00312327"/>
    <w:rsid w:val="00312C9B"/>
    <w:rsid w:val="0031303D"/>
    <w:rsid w:val="00313404"/>
    <w:rsid w:val="00313426"/>
    <w:rsid w:val="00313480"/>
    <w:rsid w:val="00313AAB"/>
    <w:rsid w:val="00313E18"/>
    <w:rsid w:val="003143BD"/>
    <w:rsid w:val="00314C45"/>
    <w:rsid w:val="00314C87"/>
    <w:rsid w:val="00314E9E"/>
    <w:rsid w:val="00315100"/>
    <w:rsid w:val="003152F0"/>
    <w:rsid w:val="003155E0"/>
    <w:rsid w:val="00315C36"/>
    <w:rsid w:val="00315C77"/>
    <w:rsid w:val="00315ED4"/>
    <w:rsid w:val="00315EEC"/>
    <w:rsid w:val="00315F37"/>
    <w:rsid w:val="00316596"/>
    <w:rsid w:val="0031687B"/>
    <w:rsid w:val="00316F4B"/>
    <w:rsid w:val="003174D9"/>
    <w:rsid w:val="00317898"/>
    <w:rsid w:val="00317C36"/>
    <w:rsid w:val="00317CAF"/>
    <w:rsid w:val="00320025"/>
    <w:rsid w:val="00320611"/>
    <w:rsid w:val="00320974"/>
    <w:rsid w:val="00320CBA"/>
    <w:rsid w:val="00320F9A"/>
    <w:rsid w:val="0032145A"/>
    <w:rsid w:val="003215B2"/>
    <w:rsid w:val="003215BC"/>
    <w:rsid w:val="00321645"/>
    <w:rsid w:val="0032186B"/>
    <w:rsid w:val="003219E1"/>
    <w:rsid w:val="0032213E"/>
    <w:rsid w:val="00322151"/>
    <w:rsid w:val="00322661"/>
    <w:rsid w:val="00322697"/>
    <w:rsid w:val="00322A9D"/>
    <w:rsid w:val="00323033"/>
    <w:rsid w:val="0032374D"/>
    <w:rsid w:val="00323901"/>
    <w:rsid w:val="00323AEB"/>
    <w:rsid w:val="00323BFA"/>
    <w:rsid w:val="00323D1A"/>
    <w:rsid w:val="00323D36"/>
    <w:rsid w:val="00324172"/>
    <w:rsid w:val="0032483C"/>
    <w:rsid w:val="00324D3A"/>
    <w:rsid w:val="00324EEC"/>
    <w:rsid w:val="003268D7"/>
    <w:rsid w:val="00326AD1"/>
    <w:rsid w:val="00326AFF"/>
    <w:rsid w:val="003279EA"/>
    <w:rsid w:val="00327A7D"/>
    <w:rsid w:val="00327ABF"/>
    <w:rsid w:val="00327F60"/>
    <w:rsid w:val="00330069"/>
    <w:rsid w:val="00330AF1"/>
    <w:rsid w:val="00330C5F"/>
    <w:rsid w:val="00330EB8"/>
    <w:rsid w:val="003313E3"/>
    <w:rsid w:val="0033180A"/>
    <w:rsid w:val="00331EDE"/>
    <w:rsid w:val="00332049"/>
    <w:rsid w:val="003322DE"/>
    <w:rsid w:val="00332C95"/>
    <w:rsid w:val="0033352A"/>
    <w:rsid w:val="00333F0E"/>
    <w:rsid w:val="003340C4"/>
    <w:rsid w:val="00334216"/>
    <w:rsid w:val="003342CB"/>
    <w:rsid w:val="003346E0"/>
    <w:rsid w:val="003347D5"/>
    <w:rsid w:val="003349E9"/>
    <w:rsid w:val="00334F6B"/>
    <w:rsid w:val="0033520B"/>
    <w:rsid w:val="003352DB"/>
    <w:rsid w:val="003354E8"/>
    <w:rsid w:val="003362EE"/>
    <w:rsid w:val="0033648B"/>
    <w:rsid w:val="003369C1"/>
    <w:rsid w:val="00336A6A"/>
    <w:rsid w:val="00336B1A"/>
    <w:rsid w:val="00336BBD"/>
    <w:rsid w:val="00336F02"/>
    <w:rsid w:val="00336FDA"/>
    <w:rsid w:val="0033707D"/>
    <w:rsid w:val="00337118"/>
    <w:rsid w:val="00337205"/>
    <w:rsid w:val="0033799C"/>
    <w:rsid w:val="00337A85"/>
    <w:rsid w:val="00337F75"/>
    <w:rsid w:val="00340245"/>
    <w:rsid w:val="003408F6"/>
    <w:rsid w:val="00340C6F"/>
    <w:rsid w:val="00340DF9"/>
    <w:rsid w:val="00341093"/>
    <w:rsid w:val="00341142"/>
    <w:rsid w:val="0034140E"/>
    <w:rsid w:val="00341568"/>
    <w:rsid w:val="0034179F"/>
    <w:rsid w:val="00341A6A"/>
    <w:rsid w:val="00341D5F"/>
    <w:rsid w:val="0034225B"/>
    <w:rsid w:val="003425F6"/>
    <w:rsid w:val="00342D5D"/>
    <w:rsid w:val="00343082"/>
    <w:rsid w:val="003430E6"/>
    <w:rsid w:val="003431DA"/>
    <w:rsid w:val="00343780"/>
    <w:rsid w:val="00343F86"/>
    <w:rsid w:val="00343F96"/>
    <w:rsid w:val="0034443C"/>
    <w:rsid w:val="00344B62"/>
    <w:rsid w:val="00344F04"/>
    <w:rsid w:val="00345746"/>
    <w:rsid w:val="0034667F"/>
    <w:rsid w:val="003467A2"/>
    <w:rsid w:val="00346ADC"/>
    <w:rsid w:val="00346C43"/>
    <w:rsid w:val="003477D1"/>
    <w:rsid w:val="00347D27"/>
    <w:rsid w:val="00347EC2"/>
    <w:rsid w:val="003503D2"/>
    <w:rsid w:val="00350586"/>
    <w:rsid w:val="00350763"/>
    <w:rsid w:val="00350D63"/>
    <w:rsid w:val="00350E2D"/>
    <w:rsid w:val="00350F4E"/>
    <w:rsid w:val="00351191"/>
    <w:rsid w:val="00351740"/>
    <w:rsid w:val="003519E4"/>
    <w:rsid w:val="00351CD8"/>
    <w:rsid w:val="00351FE9"/>
    <w:rsid w:val="00352213"/>
    <w:rsid w:val="003529C5"/>
    <w:rsid w:val="00352A30"/>
    <w:rsid w:val="00352F69"/>
    <w:rsid w:val="0035318D"/>
    <w:rsid w:val="0035329D"/>
    <w:rsid w:val="003533B9"/>
    <w:rsid w:val="0035375B"/>
    <w:rsid w:val="003540C2"/>
    <w:rsid w:val="003544BF"/>
    <w:rsid w:val="003544EC"/>
    <w:rsid w:val="003546C7"/>
    <w:rsid w:val="003547F7"/>
    <w:rsid w:val="00354FD0"/>
    <w:rsid w:val="0035507C"/>
    <w:rsid w:val="003554CF"/>
    <w:rsid w:val="003558F2"/>
    <w:rsid w:val="003565A5"/>
    <w:rsid w:val="003569DE"/>
    <w:rsid w:val="00356C10"/>
    <w:rsid w:val="00356FBC"/>
    <w:rsid w:val="00357444"/>
    <w:rsid w:val="0036040E"/>
    <w:rsid w:val="0036073D"/>
    <w:rsid w:val="00360A50"/>
    <w:rsid w:val="00360AD5"/>
    <w:rsid w:val="00360D87"/>
    <w:rsid w:val="00360EB0"/>
    <w:rsid w:val="00361825"/>
    <w:rsid w:val="00362100"/>
    <w:rsid w:val="003624E6"/>
    <w:rsid w:val="0036281D"/>
    <w:rsid w:val="0036290B"/>
    <w:rsid w:val="00363100"/>
    <w:rsid w:val="00363589"/>
    <w:rsid w:val="00363B21"/>
    <w:rsid w:val="00363BDF"/>
    <w:rsid w:val="00363E0D"/>
    <w:rsid w:val="00363E87"/>
    <w:rsid w:val="00364233"/>
    <w:rsid w:val="00364640"/>
    <w:rsid w:val="00365279"/>
    <w:rsid w:val="003652EB"/>
    <w:rsid w:val="003653DA"/>
    <w:rsid w:val="003659A8"/>
    <w:rsid w:val="00365CA3"/>
    <w:rsid w:val="00365D8D"/>
    <w:rsid w:val="00365D9B"/>
    <w:rsid w:val="003662FC"/>
    <w:rsid w:val="00366514"/>
    <w:rsid w:val="003666B9"/>
    <w:rsid w:val="00366796"/>
    <w:rsid w:val="00366ACF"/>
    <w:rsid w:val="00366BD2"/>
    <w:rsid w:val="00366CE1"/>
    <w:rsid w:val="003674B8"/>
    <w:rsid w:val="003675F2"/>
    <w:rsid w:val="00367879"/>
    <w:rsid w:val="003679CF"/>
    <w:rsid w:val="00367A98"/>
    <w:rsid w:val="00367C92"/>
    <w:rsid w:val="00367CBD"/>
    <w:rsid w:val="00367F95"/>
    <w:rsid w:val="00370426"/>
    <w:rsid w:val="00370871"/>
    <w:rsid w:val="00370C30"/>
    <w:rsid w:val="00370EDC"/>
    <w:rsid w:val="00370FF5"/>
    <w:rsid w:val="003711D3"/>
    <w:rsid w:val="003712E5"/>
    <w:rsid w:val="00371460"/>
    <w:rsid w:val="00371A84"/>
    <w:rsid w:val="00371CD5"/>
    <w:rsid w:val="0037232F"/>
    <w:rsid w:val="00372851"/>
    <w:rsid w:val="00372898"/>
    <w:rsid w:val="003729D6"/>
    <w:rsid w:val="00372D7E"/>
    <w:rsid w:val="00373051"/>
    <w:rsid w:val="00373408"/>
    <w:rsid w:val="003736AC"/>
    <w:rsid w:val="00373C1F"/>
    <w:rsid w:val="00373E8E"/>
    <w:rsid w:val="00373F93"/>
    <w:rsid w:val="0037427C"/>
    <w:rsid w:val="003742C8"/>
    <w:rsid w:val="00374541"/>
    <w:rsid w:val="00374647"/>
    <w:rsid w:val="003747D4"/>
    <w:rsid w:val="00374982"/>
    <w:rsid w:val="00374BB8"/>
    <w:rsid w:val="003750C9"/>
    <w:rsid w:val="003753DC"/>
    <w:rsid w:val="003756EE"/>
    <w:rsid w:val="00375869"/>
    <w:rsid w:val="00375AAB"/>
    <w:rsid w:val="00375BDF"/>
    <w:rsid w:val="00375EF7"/>
    <w:rsid w:val="0037626D"/>
    <w:rsid w:val="00376648"/>
    <w:rsid w:val="0037666E"/>
    <w:rsid w:val="0037672B"/>
    <w:rsid w:val="00376B3C"/>
    <w:rsid w:val="00376BF1"/>
    <w:rsid w:val="00376C4C"/>
    <w:rsid w:val="00377334"/>
    <w:rsid w:val="0037738A"/>
    <w:rsid w:val="00377778"/>
    <w:rsid w:val="003778C9"/>
    <w:rsid w:val="00377ACB"/>
    <w:rsid w:val="00377CC2"/>
    <w:rsid w:val="00377E7C"/>
    <w:rsid w:val="00377EC5"/>
    <w:rsid w:val="00380473"/>
    <w:rsid w:val="003805A2"/>
    <w:rsid w:val="003806EF"/>
    <w:rsid w:val="00380733"/>
    <w:rsid w:val="00380B96"/>
    <w:rsid w:val="0038179A"/>
    <w:rsid w:val="00381BDD"/>
    <w:rsid w:val="00381CB8"/>
    <w:rsid w:val="00382187"/>
    <w:rsid w:val="0038272D"/>
    <w:rsid w:val="00382BF8"/>
    <w:rsid w:val="003831B4"/>
    <w:rsid w:val="003832C8"/>
    <w:rsid w:val="00383C30"/>
    <w:rsid w:val="003841A1"/>
    <w:rsid w:val="0038436D"/>
    <w:rsid w:val="00384427"/>
    <w:rsid w:val="0038442A"/>
    <w:rsid w:val="0038469C"/>
    <w:rsid w:val="0038498E"/>
    <w:rsid w:val="00384F92"/>
    <w:rsid w:val="003854DB"/>
    <w:rsid w:val="00385558"/>
    <w:rsid w:val="0038576A"/>
    <w:rsid w:val="00385AB7"/>
    <w:rsid w:val="00386F36"/>
    <w:rsid w:val="0038700D"/>
    <w:rsid w:val="00387391"/>
    <w:rsid w:val="003876B0"/>
    <w:rsid w:val="00387BC1"/>
    <w:rsid w:val="00387E21"/>
    <w:rsid w:val="00390077"/>
    <w:rsid w:val="0039021F"/>
    <w:rsid w:val="00390528"/>
    <w:rsid w:val="00390555"/>
    <w:rsid w:val="0039081B"/>
    <w:rsid w:val="00390CA7"/>
    <w:rsid w:val="00390E49"/>
    <w:rsid w:val="00391C36"/>
    <w:rsid w:val="00391C77"/>
    <w:rsid w:val="00391D4F"/>
    <w:rsid w:val="00391EA8"/>
    <w:rsid w:val="00392060"/>
    <w:rsid w:val="00392140"/>
    <w:rsid w:val="0039322D"/>
    <w:rsid w:val="00393367"/>
    <w:rsid w:val="00393371"/>
    <w:rsid w:val="003938BD"/>
    <w:rsid w:val="00393B17"/>
    <w:rsid w:val="003948F3"/>
    <w:rsid w:val="00394D13"/>
    <w:rsid w:val="0039511C"/>
    <w:rsid w:val="003956D2"/>
    <w:rsid w:val="00396366"/>
    <w:rsid w:val="003964BE"/>
    <w:rsid w:val="00396624"/>
    <w:rsid w:val="0039665C"/>
    <w:rsid w:val="003967AC"/>
    <w:rsid w:val="003967F2"/>
    <w:rsid w:val="003968D1"/>
    <w:rsid w:val="00396B7F"/>
    <w:rsid w:val="0039725D"/>
    <w:rsid w:val="00397636"/>
    <w:rsid w:val="00397649"/>
    <w:rsid w:val="00397669"/>
    <w:rsid w:val="00397772"/>
    <w:rsid w:val="003A00F3"/>
    <w:rsid w:val="003A033C"/>
    <w:rsid w:val="003A0F28"/>
    <w:rsid w:val="003A1538"/>
    <w:rsid w:val="003A1EFF"/>
    <w:rsid w:val="003A22ED"/>
    <w:rsid w:val="003A26F7"/>
    <w:rsid w:val="003A2B36"/>
    <w:rsid w:val="003A2FA6"/>
    <w:rsid w:val="003A315E"/>
    <w:rsid w:val="003A3704"/>
    <w:rsid w:val="003A38AB"/>
    <w:rsid w:val="003A3D98"/>
    <w:rsid w:val="003A445A"/>
    <w:rsid w:val="003A4B01"/>
    <w:rsid w:val="003A4EF1"/>
    <w:rsid w:val="003A4F2C"/>
    <w:rsid w:val="003A4F73"/>
    <w:rsid w:val="003A53F4"/>
    <w:rsid w:val="003A54B0"/>
    <w:rsid w:val="003A5603"/>
    <w:rsid w:val="003A5820"/>
    <w:rsid w:val="003A5868"/>
    <w:rsid w:val="003A5DDD"/>
    <w:rsid w:val="003A5FFD"/>
    <w:rsid w:val="003A62CB"/>
    <w:rsid w:val="003A63CF"/>
    <w:rsid w:val="003A6692"/>
    <w:rsid w:val="003A6F23"/>
    <w:rsid w:val="003A74EA"/>
    <w:rsid w:val="003A7673"/>
    <w:rsid w:val="003A7C22"/>
    <w:rsid w:val="003A7C8F"/>
    <w:rsid w:val="003A7E35"/>
    <w:rsid w:val="003B0625"/>
    <w:rsid w:val="003B20DA"/>
    <w:rsid w:val="003B29A8"/>
    <w:rsid w:val="003B2F43"/>
    <w:rsid w:val="003B3003"/>
    <w:rsid w:val="003B3267"/>
    <w:rsid w:val="003B3DE8"/>
    <w:rsid w:val="003B40C2"/>
    <w:rsid w:val="003B4101"/>
    <w:rsid w:val="003B4146"/>
    <w:rsid w:val="003B4A5B"/>
    <w:rsid w:val="003B4B50"/>
    <w:rsid w:val="003B4B69"/>
    <w:rsid w:val="003B5131"/>
    <w:rsid w:val="003B54A8"/>
    <w:rsid w:val="003B54F2"/>
    <w:rsid w:val="003B559E"/>
    <w:rsid w:val="003B5731"/>
    <w:rsid w:val="003B599D"/>
    <w:rsid w:val="003B5ABD"/>
    <w:rsid w:val="003B5AD6"/>
    <w:rsid w:val="003B5F3E"/>
    <w:rsid w:val="003B5FA9"/>
    <w:rsid w:val="003B5FE5"/>
    <w:rsid w:val="003B6124"/>
    <w:rsid w:val="003B660C"/>
    <w:rsid w:val="003B66C8"/>
    <w:rsid w:val="003B674A"/>
    <w:rsid w:val="003B67E3"/>
    <w:rsid w:val="003B714A"/>
    <w:rsid w:val="003B7556"/>
    <w:rsid w:val="003B7830"/>
    <w:rsid w:val="003B7CD6"/>
    <w:rsid w:val="003B7FCC"/>
    <w:rsid w:val="003C0C38"/>
    <w:rsid w:val="003C0CB9"/>
    <w:rsid w:val="003C0E23"/>
    <w:rsid w:val="003C1038"/>
    <w:rsid w:val="003C11EE"/>
    <w:rsid w:val="003C12E2"/>
    <w:rsid w:val="003C143C"/>
    <w:rsid w:val="003C188E"/>
    <w:rsid w:val="003C208D"/>
    <w:rsid w:val="003C27F9"/>
    <w:rsid w:val="003C2B56"/>
    <w:rsid w:val="003C2C23"/>
    <w:rsid w:val="003C31E6"/>
    <w:rsid w:val="003C342F"/>
    <w:rsid w:val="003C36F6"/>
    <w:rsid w:val="003C3A6B"/>
    <w:rsid w:val="003C431B"/>
    <w:rsid w:val="003C4B2C"/>
    <w:rsid w:val="003C4E43"/>
    <w:rsid w:val="003C4F76"/>
    <w:rsid w:val="003C5130"/>
    <w:rsid w:val="003C5158"/>
    <w:rsid w:val="003C5650"/>
    <w:rsid w:val="003C5960"/>
    <w:rsid w:val="003C5A3C"/>
    <w:rsid w:val="003C5EB9"/>
    <w:rsid w:val="003C61BF"/>
    <w:rsid w:val="003C61C3"/>
    <w:rsid w:val="003C6276"/>
    <w:rsid w:val="003C6329"/>
    <w:rsid w:val="003C6937"/>
    <w:rsid w:val="003C7350"/>
    <w:rsid w:val="003C7731"/>
    <w:rsid w:val="003C79ED"/>
    <w:rsid w:val="003C7A14"/>
    <w:rsid w:val="003C7A70"/>
    <w:rsid w:val="003C7B1D"/>
    <w:rsid w:val="003C7EF3"/>
    <w:rsid w:val="003D02AA"/>
    <w:rsid w:val="003D0317"/>
    <w:rsid w:val="003D0724"/>
    <w:rsid w:val="003D07C2"/>
    <w:rsid w:val="003D0969"/>
    <w:rsid w:val="003D0DF5"/>
    <w:rsid w:val="003D0F14"/>
    <w:rsid w:val="003D0F5C"/>
    <w:rsid w:val="003D1B55"/>
    <w:rsid w:val="003D1D95"/>
    <w:rsid w:val="003D28C5"/>
    <w:rsid w:val="003D2ABD"/>
    <w:rsid w:val="003D2DA1"/>
    <w:rsid w:val="003D3331"/>
    <w:rsid w:val="003D34FC"/>
    <w:rsid w:val="003D3562"/>
    <w:rsid w:val="003D42F3"/>
    <w:rsid w:val="003D42FB"/>
    <w:rsid w:val="003D432C"/>
    <w:rsid w:val="003D435A"/>
    <w:rsid w:val="003D436A"/>
    <w:rsid w:val="003D46D9"/>
    <w:rsid w:val="003D47E3"/>
    <w:rsid w:val="003D4930"/>
    <w:rsid w:val="003D5146"/>
    <w:rsid w:val="003D54CE"/>
    <w:rsid w:val="003D562E"/>
    <w:rsid w:val="003D5B24"/>
    <w:rsid w:val="003D6180"/>
    <w:rsid w:val="003D6E56"/>
    <w:rsid w:val="003D7215"/>
    <w:rsid w:val="003D745D"/>
    <w:rsid w:val="003D781D"/>
    <w:rsid w:val="003D795B"/>
    <w:rsid w:val="003D7EF3"/>
    <w:rsid w:val="003D7F5B"/>
    <w:rsid w:val="003E0105"/>
    <w:rsid w:val="003E0125"/>
    <w:rsid w:val="003E03F7"/>
    <w:rsid w:val="003E0648"/>
    <w:rsid w:val="003E0D55"/>
    <w:rsid w:val="003E0D7C"/>
    <w:rsid w:val="003E0EE1"/>
    <w:rsid w:val="003E11FF"/>
    <w:rsid w:val="003E14C6"/>
    <w:rsid w:val="003E1827"/>
    <w:rsid w:val="003E1A47"/>
    <w:rsid w:val="003E1B16"/>
    <w:rsid w:val="003E1C24"/>
    <w:rsid w:val="003E2D79"/>
    <w:rsid w:val="003E2E57"/>
    <w:rsid w:val="003E31F7"/>
    <w:rsid w:val="003E3736"/>
    <w:rsid w:val="003E3748"/>
    <w:rsid w:val="003E391A"/>
    <w:rsid w:val="003E3B37"/>
    <w:rsid w:val="003E3C2C"/>
    <w:rsid w:val="003E3F0F"/>
    <w:rsid w:val="003E4265"/>
    <w:rsid w:val="003E44CB"/>
    <w:rsid w:val="003E5452"/>
    <w:rsid w:val="003E55C9"/>
    <w:rsid w:val="003E5C47"/>
    <w:rsid w:val="003E5E30"/>
    <w:rsid w:val="003E626D"/>
    <w:rsid w:val="003E6272"/>
    <w:rsid w:val="003E6476"/>
    <w:rsid w:val="003E6698"/>
    <w:rsid w:val="003E686C"/>
    <w:rsid w:val="003E68BE"/>
    <w:rsid w:val="003E6CBD"/>
    <w:rsid w:val="003E71DA"/>
    <w:rsid w:val="003E7374"/>
    <w:rsid w:val="003E7C79"/>
    <w:rsid w:val="003E7F7D"/>
    <w:rsid w:val="003F0004"/>
    <w:rsid w:val="003F04C7"/>
    <w:rsid w:val="003F0FE3"/>
    <w:rsid w:val="003F169D"/>
    <w:rsid w:val="003F1732"/>
    <w:rsid w:val="003F1C21"/>
    <w:rsid w:val="003F1CAD"/>
    <w:rsid w:val="003F1CE5"/>
    <w:rsid w:val="003F20F6"/>
    <w:rsid w:val="003F27A5"/>
    <w:rsid w:val="003F2811"/>
    <w:rsid w:val="003F2B77"/>
    <w:rsid w:val="003F2C1C"/>
    <w:rsid w:val="003F2E17"/>
    <w:rsid w:val="003F30D0"/>
    <w:rsid w:val="003F3676"/>
    <w:rsid w:val="003F3B26"/>
    <w:rsid w:val="003F3D32"/>
    <w:rsid w:val="003F3FCA"/>
    <w:rsid w:val="003F45FD"/>
    <w:rsid w:val="003F5101"/>
    <w:rsid w:val="003F51D6"/>
    <w:rsid w:val="003F570C"/>
    <w:rsid w:val="003F5820"/>
    <w:rsid w:val="003F5AE6"/>
    <w:rsid w:val="003F5C1D"/>
    <w:rsid w:val="003F5C8F"/>
    <w:rsid w:val="003F5D56"/>
    <w:rsid w:val="003F60C2"/>
    <w:rsid w:val="003F693C"/>
    <w:rsid w:val="003F6D36"/>
    <w:rsid w:val="003F6DD7"/>
    <w:rsid w:val="003F6F94"/>
    <w:rsid w:val="003F75E2"/>
    <w:rsid w:val="003F7658"/>
    <w:rsid w:val="003F7692"/>
    <w:rsid w:val="003F7727"/>
    <w:rsid w:val="003F7786"/>
    <w:rsid w:val="003F7946"/>
    <w:rsid w:val="003F7E35"/>
    <w:rsid w:val="003F7F2D"/>
    <w:rsid w:val="004000E4"/>
    <w:rsid w:val="004002DE"/>
    <w:rsid w:val="004007FC"/>
    <w:rsid w:val="004009F5"/>
    <w:rsid w:val="004010FE"/>
    <w:rsid w:val="004012BA"/>
    <w:rsid w:val="004015BF"/>
    <w:rsid w:val="004019EA"/>
    <w:rsid w:val="00401BFB"/>
    <w:rsid w:val="00401EEF"/>
    <w:rsid w:val="00401F9E"/>
    <w:rsid w:val="00402028"/>
    <w:rsid w:val="00402140"/>
    <w:rsid w:val="004023B8"/>
    <w:rsid w:val="00402B7A"/>
    <w:rsid w:val="00402CE8"/>
    <w:rsid w:val="00402DD9"/>
    <w:rsid w:val="00402FBA"/>
    <w:rsid w:val="0040306F"/>
    <w:rsid w:val="0040319B"/>
    <w:rsid w:val="00403204"/>
    <w:rsid w:val="0040389F"/>
    <w:rsid w:val="00403926"/>
    <w:rsid w:val="00403C41"/>
    <w:rsid w:val="00403E59"/>
    <w:rsid w:val="00404037"/>
    <w:rsid w:val="00404277"/>
    <w:rsid w:val="00404372"/>
    <w:rsid w:val="0040440A"/>
    <w:rsid w:val="00404428"/>
    <w:rsid w:val="00404961"/>
    <w:rsid w:val="00404BE7"/>
    <w:rsid w:val="00404C3F"/>
    <w:rsid w:val="00404D13"/>
    <w:rsid w:val="00404E68"/>
    <w:rsid w:val="00405079"/>
    <w:rsid w:val="004063C5"/>
    <w:rsid w:val="00406734"/>
    <w:rsid w:val="00406DB2"/>
    <w:rsid w:val="00407068"/>
    <w:rsid w:val="0040770C"/>
    <w:rsid w:val="0041037F"/>
    <w:rsid w:val="00411746"/>
    <w:rsid w:val="00411CA1"/>
    <w:rsid w:val="00412BEB"/>
    <w:rsid w:val="00412D83"/>
    <w:rsid w:val="0041313B"/>
    <w:rsid w:val="004135BF"/>
    <w:rsid w:val="0041388D"/>
    <w:rsid w:val="00413A22"/>
    <w:rsid w:val="00413C7F"/>
    <w:rsid w:val="00414215"/>
    <w:rsid w:val="004144C3"/>
    <w:rsid w:val="004149B5"/>
    <w:rsid w:val="00414AAC"/>
    <w:rsid w:val="00414B23"/>
    <w:rsid w:val="00414E37"/>
    <w:rsid w:val="00414E86"/>
    <w:rsid w:val="00414EB9"/>
    <w:rsid w:val="00414FD7"/>
    <w:rsid w:val="00415CF2"/>
    <w:rsid w:val="0041656C"/>
    <w:rsid w:val="004166D2"/>
    <w:rsid w:val="00416A1E"/>
    <w:rsid w:val="00416A79"/>
    <w:rsid w:val="00416C22"/>
    <w:rsid w:val="00416C2B"/>
    <w:rsid w:val="00416DF4"/>
    <w:rsid w:val="0041715E"/>
    <w:rsid w:val="00417696"/>
    <w:rsid w:val="0042014A"/>
    <w:rsid w:val="0042026D"/>
    <w:rsid w:val="0042103B"/>
    <w:rsid w:val="00421094"/>
    <w:rsid w:val="00421129"/>
    <w:rsid w:val="0042127A"/>
    <w:rsid w:val="00421694"/>
    <w:rsid w:val="004218D9"/>
    <w:rsid w:val="004225F6"/>
    <w:rsid w:val="004229DE"/>
    <w:rsid w:val="0042356F"/>
    <w:rsid w:val="00423821"/>
    <w:rsid w:val="004239FE"/>
    <w:rsid w:val="00423DEB"/>
    <w:rsid w:val="00423F03"/>
    <w:rsid w:val="00424E90"/>
    <w:rsid w:val="0042535D"/>
    <w:rsid w:val="00425656"/>
    <w:rsid w:val="00425DA5"/>
    <w:rsid w:val="00426279"/>
    <w:rsid w:val="0042636F"/>
    <w:rsid w:val="00426421"/>
    <w:rsid w:val="0042651B"/>
    <w:rsid w:val="00426B67"/>
    <w:rsid w:val="00426C2F"/>
    <w:rsid w:val="00426F73"/>
    <w:rsid w:val="004270D8"/>
    <w:rsid w:val="00427321"/>
    <w:rsid w:val="00427AC6"/>
    <w:rsid w:val="00430005"/>
    <w:rsid w:val="004300C6"/>
    <w:rsid w:val="004308BC"/>
    <w:rsid w:val="00430CE3"/>
    <w:rsid w:val="00430D0C"/>
    <w:rsid w:val="004310AA"/>
    <w:rsid w:val="00431384"/>
    <w:rsid w:val="004313CF"/>
    <w:rsid w:val="0043160B"/>
    <w:rsid w:val="004323BC"/>
    <w:rsid w:val="004326C1"/>
    <w:rsid w:val="00432B0C"/>
    <w:rsid w:val="00432BF4"/>
    <w:rsid w:val="00433336"/>
    <w:rsid w:val="00433AB3"/>
    <w:rsid w:val="00433D24"/>
    <w:rsid w:val="00433D8E"/>
    <w:rsid w:val="00433FCC"/>
    <w:rsid w:val="00434342"/>
    <w:rsid w:val="004345AD"/>
    <w:rsid w:val="00434DF9"/>
    <w:rsid w:val="00434F7E"/>
    <w:rsid w:val="00435408"/>
    <w:rsid w:val="00435B56"/>
    <w:rsid w:val="00435EF3"/>
    <w:rsid w:val="004360A8"/>
    <w:rsid w:val="004362EC"/>
    <w:rsid w:val="004363DA"/>
    <w:rsid w:val="00436DEC"/>
    <w:rsid w:val="00437147"/>
    <w:rsid w:val="004376D0"/>
    <w:rsid w:val="00437915"/>
    <w:rsid w:val="00437B2F"/>
    <w:rsid w:val="00437B60"/>
    <w:rsid w:val="00437DE4"/>
    <w:rsid w:val="00440114"/>
    <w:rsid w:val="00440136"/>
    <w:rsid w:val="0044045C"/>
    <w:rsid w:val="004404CD"/>
    <w:rsid w:val="00440574"/>
    <w:rsid w:val="00440736"/>
    <w:rsid w:val="004407B9"/>
    <w:rsid w:val="004413BA"/>
    <w:rsid w:val="0044183A"/>
    <w:rsid w:val="00441845"/>
    <w:rsid w:val="00441D63"/>
    <w:rsid w:val="00441EBE"/>
    <w:rsid w:val="00442150"/>
    <w:rsid w:val="004422F6"/>
    <w:rsid w:val="0044279A"/>
    <w:rsid w:val="00442BC5"/>
    <w:rsid w:val="00442E18"/>
    <w:rsid w:val="00442FF4"/>
    <w:rsid w:val="00443ADB"/>
    <w:rsid w:val="00444187"/>
    <w:rsid w:val="00444444"/>
    <w:rsid w:val="004446C5"/>
    <w:rsid w:val="004449C4"/>
    <w:rsid w:val="004450D5"/>
    <w:rsid w:val="00445A94"/>
    <w:rsid w:val="00446856"/>
    <w:rsid w:val="00446E3B"/>
    <w:rsid w:val="00447016"/>
    <w:rsid w:val="00447850"/>
    <w:rsid w:val="00447A1E"/>
    <w:rsid w:val="00450506"/>
    <w:rsid w:val="004506CA"/>
    <w:rsid w:val="00450967"/>
    <w:rsid w:val="00450B91"/>
    <w:rsid w:val="00450CB7"/>
    <w:rsid w:val="004512F6"/>
    <w:rsid w:val="00451342"/>
    <w:rsid w:val="004514A1"/>
    <w:rsid w:val="00451B2B"/>
    <w:rsid w:val="00451FDB"/>
    <w:rsid w:val="00451FE7"/>
    <w:rsid w:val="00452018"/>
    <w:rsid w:val="004520CE"/>
    <w:rsid w:val="00452169"/>
    <w:rsid w:val="00452746"/>
    <w:rsid w:val="004527D8"/>
    <w:rsid w:val="00452AC9"/>
    <w:rsid w:val="00452F32"/>
    <w:rsid w:val="00452FDE"/>
    <w:rsid w:val="004534F3"/>
    <w:rsid w:val="00453971"/>
    <w:rsid w:val="00453A9C"/>
    <w:rsid w:val="00453EE4"/>
    <w:rsid w:val="004543CC"/>
    <w:rsid w:val="004553C6"/>
    <w:rsid w:val="00455D88"/>
    <w:rsid w:val="00455DF3"/>
    <w:rsid w:val="0045633F"/>
    <w:rsid w:val="00456CD2"/>
    <w:rsid w:val="00456EB7"/>
    <w:rsid w:val="00457516"/>
    <w:rsid w:val="0045753E"/>
    <w:rsid w:val="00457D36"/>
    <w:rsid w:val="00457DC0"/>
    <w:rsid w:val="004603ED"/>
    <w:rsid w:val="00460891"/>
    <w:rsid w:val="00460A55"/>
    <w:rsid w:val="00460E43"/>
    <w:rsid w:val="00461747"/>
    <w:rsid w:val="00461B43"/>
    <w:rsid w:val="00461BA6"/>
    <w:rsid w:val="00462004"/>
    <w:rsid w:val="004626DA"/>
    <w:rsid w:val="00462725"/>
    <w:rsid w:val="00462965"/>
    <w:rsid w:val="00462D78"/>
    <w:rsid w:val="00462EBA"/>
    <w:rsid w:val="004630DA"/>
    <w:rsid w:val="004631A5"/>
    <w:rsid w:val="004632DB"/>
    <w:rsid w:val="0046335C"/>
    <w:rsid w:val="00463536"/>
    <w:rsid w:val="00463863"/>
    <w:rsid w:val="00463950"/>
    <w:rsid w:val="004639A8"/>
    <w:rsid w:val="004639BC"/>
    <w:rsid w:val="00463B7F"/>
    <w:rsid w:val="00463C24"/>
    <w:rsid w:val="00463F42"/>
    <w:rsid w:val="004640D7"/>
    <w:rsid w:val="00464A01"/>
    <w:rsid w:val="00464A4D"/>
    <w:rsid w:val="00464D05"/>
    <w:rsid w:val="00464FCB"/>
    <w:rsid w:val="00465442"/>
    <w:rsid w:val="0046554A"/>
    <w:rsid w:val="0046657C"/>
    <w:rsid w:val="00466B37"/>
    <w:rsid w:val="00467094"/>
    <w:rsid w:val="004672CC"/>
    <w:rsid w:val="00467586"/>
    <w:rsid w:val="00467959"/>
    <w:rsid w:val="004679F5"/>
    <w:rsid w:val="00467A4A"/>
    <w:rsid w:val="00467B9D"/>
    <w:rsid w:val="00467F94"/>
    <w:rsid w:val="00467FA2"/>
    <w:rsid w:val="00470552"/>
    <w:rsid w:val="004705ED"/>
    <w:rsid w:val="00471016"/>
    <w:rsid w:val="0047105E"/>
    <w:rsid w:val="00471675"/>
    <w:rsid w:val="004718CA"/>
    <w:rsid w:val="00471D52"/>
    <w:rsid w:val="00471E82"/>
    <w:rsid w:val="00472770"/>
    <w:rsid w:val="00472BA1"/>
    <w:rsid w:val="00472DC1"/>
    <w:rsid w:val="00472EA0"/>
    <w:rsid w:val="0047367C"/>
    <w:rsid w:val="004738ED"/>
    <w:rsid w:val="004739C7"/>
    <w:rsid w:val="00473E00"/>
    <w:rsid w:val="00474303"/>
    <w:rsid w:val="00474515"/>
    <w:rsid w:val="00474639"/>
    <w:rsid w:val="004753DE"/>
    <w:rsid w:val="004757AC"/>
    <w:rsid w:val="00475845"/>
    <w:rsid w:val="00475A2B"/>
    <w:rsid w:val="00476B3A"/>
    <w:rsid w:val="00476C6D"/>
    <w:rsid w:val="00476E96"/>
    <w:rsid w:val="00476EE9"/>
    <w:rsid w:val="00477814"/>
    <w:rsid w:val="00477CC0"/>
    <w:rsid w:val="00477D37"/>
    <w:rsid w:val="00477F62"/>
    <w:rsid w:val="004810F0"/>
    <w:rsid w:val="00481526"/>
    <w:rsid w:val="0048157D"/>
    <w:rsid w:val="00481888"/>
    <w:rsid w:val="0048203E"/>
    <w:rsid w:val="00482144"/>
    <w:rsid w:val="0048226E"/>
    <w:rsid w:val="0048227C"/>
    <w:rsid w:val="004825DC"/>
    <w:rsid w:val="00482802"/>
    <w:rsid w:val="00482ABD"/>
    <w:rsid w:val="00482D5C"/>
    <w:rsid w:val="00482E9A"/>
    <w:rsid w:val="004831F5"/>
    <w:rsid w:val="0048320A"/>
    <w:rsid w:val="00483381"/>
    <w:rsid w:val="00483A86"/>
    <w:rsid w:val="00483B9F"/>
    <w:rsid w:val="00483DD9"/>
    <w:rsid w:val="00483E41"/>
    <w:rsid w:val="00483FA8"/>
    <w:rsid w:val="004841B6"/>
    <w:rsid w:val="00484205"/>
    <w:rsid w:val="00484381"/>
    <w:rsid w:val="004844C1"/>
    <w:rsid w:val="00484F13"/>
    <w:rsid w:val="00485AC4"/>
    <w:rsid w:val="00485B21"/>
    <w:rsid w:val="00485D35"/>
    <w:rsid w:val="00486375"/>
    <w:rsid w:val="004864B6"/>
    <w:rsid w:val="004864D4"/>
    <w:rsid w:val="004866E7"/>
    <w:rsid w:val="00486A64"/>
    <w:rsid w:val="00486C36"/>
    <w:rsid w:val="00486D61"/>
    <w:rsid w:val="00487411"/>
    <w:rsid w:val="00487B53"/>
    <w:rsid w:val="004900F4"/>
    <w:rsid w:val="0049030D"/>
    <w:rsid w:val="00490F49"/>
    <w:rsid w:val="004914B6"/>
    <w:rsid w:val="00491532"/>
    <w:rsid w:val="0049156F"/>
    <w:rsid w:val="00491AB0"/>
    <w:rsid w:val="00491ADB"/>
    <w:rsid w:val="0049206E"/>
    <w:rsid w:val="00492083"/>
    <w:rsid w:val="0049292B"/>
    <w:rsid w:val="00492AF5"/>
    <w:rsid w:val="00492BEF"/>
    <w:rsid w:val="00492C76"/>
    <w:rsid w:val="00492E2C"/>
    <w:rsid w:val="00492F6D"/>
    <w:rsid w:val="00492FD5"/>
    <w:rsid w:val="00493036"/>
    <w:rsid w:val="00493145"/>
    <w:rsid w:val="004933A2"/>
    <w:rsid w:val="00493C60"/>
    <w:rsid w:val="004941DB"/>
    <w:rsid w:val="004941FF"/>
    <w:rsid w:val="004950AE"/>
    <w:rsid w:val="00495234"/>
    <w:rsid w:val="00495274"/>
    <w:rsid w:val="00495829"/>
    <w:rsid w:val="0049596E"/>
    <w:rsid w:val="00495AB5"/>
    <w:rsid w:val="00495B32"/>
    <w:rsid w:val="00495D86"/>
    <w:rsid w:val="004964E8"/>
    <w:rsid w:val="00496BCA"/>
    <w:rsid w:val="00496D1B"/>
    <w:rsid w:val="0049722F"/>
    <w:rsid w:val="00497726"/>
    <w:rsid w:val="004A0100"/>
    <w:rsid w:val="004A03DA"/>
    <w:rsid w:val="004A05DA"/>
    <w:rsid w:val="004A0BA1"/>
    <w:rsid w:val="004A14A5"/>
    <w:rsid w:val="004A1B8D"/>
    <w:rsid w:val="004A2325"/>
    <w:rsid w:val="004A31A3"/>
    <w:rsid w:val="004A378E"/>
    <w:rsid w:val="004A3DFE"/>
    <w:rsid w:val="004A3FD8"/>
    <w:rsid w:val="004A4114"/>
    <w:rsid w:val="004A4130"/>
    <w:rsid w:val="004A4241"/>
    <w:rsid w:val="004A4259"/>
    <w:rsid w:val="004A4454"/>
    <w:rsid w:val="004A4471"/>
    <w:rsid w:val="004A4535"/>
    <w:rsid w:val="004A4963"/>
    <w:rsid w:val="004A4E63"/>
    <w:rsid w:val="004A5770"/>
    <w:rsid w:val="004A5927"/>
    <w:rsid w:val="004A59AC"/>
    <w:rsid w:val="004A5A00"/>
    <w:rsid w:val="004A6441"/>
    <w:rsid w:val="004A66AF"/>
    <w:rsid w:val="004A66EE"/>
    <w:rsid w:val="004A7EF4"/>
    <w:rsid w:val="004A7F00"/>
    <w:rsid w:val="004B0295"/>
    <w:rsid w:val="004B0831"/>
    <w:rsid w:val="004B0C08"/>
    <w:rsid w:val="004B0D63"/>
    <w:rsid w:val="004B1699"/>
    <w:rsid w:val="004B1735"/>
    <w:rsid w:val="004B1DB2"/>
    <w:rsid w:val="004B2036"/>
    <w:rsid w:val="004B26BB"/>
    <w:rsid w:val="004B2863"/>
    <w:rsid w:val="004B29B9"/>
    <w:rsid w:val="004B3AD1"/>
    <w:rsid w:val="004B3C53"/>
    <w:rsid w:val="004B3C89"/>
    <w:rsid w:val="004B41D8"/>
    <w:rsid w:val="004B46F9"/>
    <w:rsid w:val="004B49B5"/>
    <w:rsid w:val="004B4BFE"/>
    <w:rsid w:val="004B5157"/>
    <w:rsid w:val="004B5508"/>
    <w:rsid w:val="004B5806"/>
    <w:rsid w:val="004B591F"/>
    <w:rsid w:val="004B5992"/>
    <w:rsid w:val="004B5AE2"/>
    <w:rsid w:val="004B5B32"/>
    <w:rsid w:val="004B5D5B"/>
    <w:rsid w:val="004B67C6"/>
    <w:rsid w:val="004B6876"/>
    <w:rsid w:val="004B69FC"/>
    <w:rsid w:val="004B6AB7"/>
    <w:rsid w:val="004B6B40"/>
    <w:rsid w:val="004B6DAC"/>
    <w:rsid w:val="004B6EFD"/>
    <w:rsid w:val="004B7025"/>
    <w:rsid w:val="004B7285"/>
    <w:rsid w:val="004B744D"/>
    <w:rsid w:val="004B79B1"/>
    <w:rsid w:val="004B7A12"/>
    <w:rsid w:val="004C068D"/>
    <w:rsid w:val="004C0747"/>
    <w:rsid w:val="004C0A7C"/>
    <w:rsid w:val="004C15D0"/>
    <w:rsid w:val="004C1804"/>
    <w:rsid w:val="004C190C"/>
    <w:rsid w:val="004C1D35"/>
    <w:rsid w:val="004C215E"/>
    <w:rsid w:val="004C2293"/>
    <w:rsid w:val="004C2A04"/>
    <w:rsid w:val="004C2E4D"/>
    <w:rsid w:val="004C2E66"/>
    <w:rsid w:val="004C3060"/>
    <w:rsid w:val="004C30A6"/>
    <w:rsid w:val="004C3219"/>
    <w:rsid w:val="004C39CD"/>
    <w:rsid w:val="004C3E23"/>
    <w:rsid w:val="004C3FF6"/>
    <w:rsid w:val="004C4115"/>
    <w:rsid w:val="004C437A"/>
    <w:rsid w:val="004C454A"/>
    <w:rsid w:val="004C4B96"/>
    <w:rsid w:val="004C4CC8"/>
    <w:rsid w:val="004C4DF1"/>
    <w:rsid w:val="004C4EE6"/>
    <w:rsid w:val="004C4F45"/>
    <w:rsid w:val="004C5A84"/>
    <w:rsid w:val="004C5E79"/>
    <w:rsid w:val="004C5E9D"/>
    <w:rsid w:val="004C5F58"/>
    <w:rsid w:val="004C6073"/>
    <w:rsid w:val="004C609C"/>
    <w:rsid w:val="004C617B"/>
    <w:rsid w:val="004C622F"/>
    <w:rsid w:val="004C65BB"/>
    <w:rsid w:val="004C6712"/>
    <w:rsid w:val="004C6715"/>
    <w:rsid w:val="004C6788"/>
    <w:rsid w:val="004C6B15"/>
    <w:rsid w:val="004C6CA6"/>
    <w:rsid w:val="004C6D62"/>
    <w:rsid w:val="004C746A"/>
    <w:rsid w:val="004C74F4"/>
    <w:rsid w:val="004C7B75"/>
    <w:rsid w:val="004D005A"/>
    <w:rsid w:val="004D01B8"/>
    <w:rsid w:val="004D05C5"/>
    <w:rsid w:val="004D09BD"/>
    <w:rsid w:val="004D0A18"/>
    <w:rsid w:val="004D0C04"/>
    <w:rsid w:val="004D10A9"/>
    <w:rsid w:val="004D123A"/>
    <w:rsid w:val="004D12B5"/>
    <w:rsid w:val="004D17A5"/>
    <w:rsid w:val="004D19C8"/>
    <w:rsid w:val="004D2074"/>
    <w:rsid w:val="004D26D2"/>
    <w:rsid w:val="004D2C2F"/>
    <w:rsid w:val="004D2C77"/>
    <w:rsid w:val="004D2EC0"/>
    <w:rsid w:val="004D3879"/>
    <w:rsid w:val="004D3A0B"/>
    <w:rsid w:val="004D3FC6"/>
    <w:rsid w:val="004D41D4"/>
    <w:rsid w:val="004D43FA"/>
    <w:rsid w:val="004D5244"/>
    <w:rsid w:val="004D53A0"/>
    <w:rsid w:val="004D559D"/>
    <w:rsid w:val="004D5C14"/>
    <w:rsid w:val="004D6133"/>
    <w:rsid w:val="004D6276"/>
    <w:rsid w:val="004D64BC"/>
    <w:rsid w:val="004D64E0"/>
    <w:rsid w:val="004D6547"/>
    <w:rsid w:val="004D6B89"/>
    <w:rsid w:val="004D6C03"/>
    <w:rsid w:val="004D6FD9"/>
    <w:rsid w:val="004D727B"/>
    <w:rsid w:val="004D7A16"/>
    <w:rsid w:val="004D7C52"/>
    <w:rsid w:val="004E050F"/>
    <w:rsid w:val="004E0A4C"/>
    <w:rsid w:val="004E15CD"/>
    <w:rsid w:val="004E162C"/>
    <w:rsid w:val="004E1A97"/>
    <w:rsid w:val="004E2005"/>
    <w:rsid w:val="004E25AE"/>
    <w:rsid w:val="004E2822"/>
    <w:rsid w:val="004E2FE2"/>
    <w:rsid w:val="004E3411"/>
    <w:rsid w:val="004E3835"/>
    <w:rsid w:val="004E389B"/>
    <w:rsid w:val="004E39FE"/>
    <w:rsid w:val="004E45C4"/>
    <w:rsid w:val="004E5198"/>
    <w:rsid w:val="004E5363"/>
    <w:rsid w:val="004E579C"/>
    <w:rsid w:val="004E5856"/>
    <w:rsid w:val="004E596C"/>
    <w:rsid w:val="004E598D"/>
    <w:rsid w:val="004E5A45"/>
    <w:rsid w:val="004E5C98"/>
    <w:rsid w:val="004E7433"/>
    <w:rsid w:val="004E75C8"/>
    <w:rsid w:val="004E7766"/>
    <w:rsid w:val="004E78A0"/>
    <w:rsid w:val="004E7F69"/>
    <w:rsid w:val="004E7F71"/>
    <w:rsid w:val="004F0317"/>
    <w:rsid w:val="004F0459"/>
    <w:rsid w:val="004F057A"/>
    <w:rsid w:val="004F07BA"/>
    <w:rsid w:val="004F1C5F"/>
    <w:rsid w:val="004F249F"/>
    <w:rsid w:val="004F25F8"/>
    <w:rsid w:val="004F3637"/>
    <w:rsid w:val="004F36F1"/>
    <w:rsid w:val="004F3970"/>
    <w:rsid w:val="004F3A7D"/>
    <w:rsid w:val="004F3D19"/>
    <w:rsid w:val="004F3EFC"/>
    <w:rsid w:val="004F4172"/>
    <w:rsid w:val="004F4859"/>
    <w:rsid w:val="004F4CD6"/>
    <w:rsid w:val="004F58AF"/>
    <w:rsid w:val="004F6159"/>
    <w:rsid w:val="004F61B0"/>
    <w:rsid w:val="004F61DA"/>
    <w:rsid w:val="004F628E"/>
    <w:rsid w:val="004F65A5"/>
    <w:rsid w:val="004F6685"/>
    <w:rsid w:val="004F66DF"/>
    <w:rsid w:val="004F6AD0"/>
    <w:rsid w:val="004F7712"/>
    <w:rsid w:val="004F7813"/>
    <w:rsid w:val="004F7897"/>
    <w:rsid w:val="004F7BEA"/>
    <w:rsid w:val="004F7BF4"/>
    <w:rsid w:val="004F7E75"/>
    <w:rsid w:val="0050071E"/>
    <w:rsid w:val="00500E89"/>
    <w:rsid w:val="00500FE1"/>
    <w:rsid w:val="0050102B"/>
    <w:rsid w:val="00501472"/>
    <w:rsid w:val="005014FD"/>
    <w:rsid w:val="00501B2A"/>
    <w:rsid w:val="00501B61"/>
    <w:rsid w:val="00501D0C"/>
    <w:rsid w:val="00501FFC"/>
    <w:rsid w:val="0050217B"/>
    <w:rsid w:val="005021EC"/>
    <w:rsid w:val="0050232B"/>
    <w:rsid w:val="00502F65"/>
    <w:rsid w:val="0050354B"/>
    <w:rsid w:val="005035C6"/>
    <w:rsid w:val="00503677"/>
    <w:rsid w:val="00503C5B"/>
    <w:rsid w:val="00503E06"/>
    <w:rsid w:val="00503E46"/>
    <w:rsid w:val="00503F66"/>
    <w:rsid w:val="005044A8"/>
    <w:rsid w:val="005046EE"/>
    <w:rsid w:val="005049C7"/>
    <w:rsid w:val="005049F5"/>
    <w:rsid w:val="00505027"/>
    <w:rsid w:val="00505086"/>
    <w:rsid w:val="00505124"/>
    <w:rsid w:val="00505641"/>
    <w:rsid w:val="005062EA"/>
    <w:rsid w:val="00506648"/>
    <w:rsid w:val="005067ED"/>
    <w:rsid w:val="0050680D"/>
    <w:rsid w:val="00506878"/>
    <w:rsid w:val="005068F5"/>
    <w:rsid w:val="0050694B"/>
    <w:rsid w:val="00506B94"/>
    <w:rsid w:val="00506D81"/>
    <w:rsid w:val="005071FD"/>
    <w:rsid w:val="005072E1"/>
    <w:rsid w:val="005073E6"/>
    <w:rsid w:val="00507419"/>
    <w:rsid w:val="00507603"/>
    <w:rsid w:val="00507ABE"/>
    <w:rsid w:val="00507D2C"/>
    <w:rsid w:val="00510194"/>
    <w:rsid w:val="005104D8"/>
    <w:rsid w:val="0051096D"/>
    <w:rsid w:val="00510B09"/>
    <w:rsid w:val="00510C3E"/>
    <w:rsid w:val="00510EF4"/>
    <w:rsid w:val="005111FA"/>
    <w:rsid w:val="00511292"/>
    <w:rsid w:val="005112E5"/>
    <w:rsid w:val="005116F2"/>
    <w:rsid w:val="00511ABC"/>
    <w:rsid w:val="00511D3C"/>
    <w:rsid w:val="0051205F"/>
    <w:rsid w:val="00512694"/>
    <w:rsid w:val="005139BC"/>
    <w:rsid w:val="00513C4E"/>
    <w:rsid w:val="0051405F"/>
    <w:rsid w:val="0051452F"/>
    <w:rsid w:val="00514694"/>
    <w:rsid w:val="005149CD"/>
    <w:rsid w:val="00514BDE"/>
    <w:rsid w:val="0051522F"/>
    <w:rsid w:val="00515330"/>
    <w:rsid w:val="005158DD"/>
    <w:rsid w:val="00515930"/>
    <w:rsid w:val="00515BC6"/>
    <w:rsid w:val="00515D3B"/>
    <w:rsid w:val="00515D67"/>
    <w:rsid w:val="00516041"/>
    <w:rsid w:val="00516182"/>
    <w:rsid w:val="00516396"/>
    <w:rsid w:val="005164DE"/>
    <w:rsid w:val="00516DA6"/>
    <w:rsid w:val="00517CD1"/>
    <w:rsid w:val="00517D8C"/>
    <w:rsid w:val="00520095"/>
    <w:rsid w:val="005200E2"/>
    <w:rsid w:val="005205A5"/>
    <w:rsid w:val="005208D7"/>
    <w:rsid w:val="005212DF"/>
    <w:rsid w:val="0052165C"/>
    <w:rsid w:val="00521B75"/>
    <w:rsid w:val="00521FAD"/>
    <w:rsid w:val="0052200F"/>
    <w:rsid w:val="0052247F"/>
    <w:rsid w:val="0052270C"/>
    <w:rsid w:val="005229AF"/>
    <w:rsid w:val="00522A4C"/>
    <w:rsid w:val="00523152"/>
    <w:rsid w:val="005237AE"/>
    <w:rsid w:val="00523C5D"/>
    <w:rsid w:val="00523C99"/>
    <w:rsid w:val="00524AEB"/>
    <w:rsid w:val="00524C71"/>
    <w:rsid w:val="00524E33"/>
    <w:rsid w:val="005257F9"/>
    <w:rsid w:val="00525934"/>
    <w:rsid w:val="00525F1A"/>
    <w:rsid w:val="005262A5"/>
    <w:rsid w:val="005265C4"/>
    <w:rsid w:val="00526927"/>
    <w:rsid w:val="00526B54"/>
    <w:rsid w:val="00526EB1"/>
    <w:rsid w:val="00526F13"/>
    <w:rsid w:val="00526F9A"/>
    <w:rsid w:val="0052731A"/>
    <w:rsid w:val="00527860"/>
    <w:rsid w:val="005278E7"/>
    <w:rsid w:val="00527959"/>
    <w:rsid w:val="00527D00"/>
    <w:rsid w:val="00527E51"/>
    <w:rsid w:val="005303A4"/>
    <w:rsid w:val="00530541"/>
    <w:rsid w:val="00530D38"/>
    <w:rsid w:val="00530FDA"/>
    <w:rsid w:val="00531BAD"/>
    <w:rsid w:val="00532041"/>
    <w:rsid w:val="0053290B"/>
    <w:rsid w:val="00532EC0"/>
    <w:rsid w:val="005336CD"/>
    <w:rsid w:val="00533732"/>
    <w:rsid w:val="00533830"/>
    <w:rsid w:val="00533AD2"/>
    <w:rsid w:val="00533E16"/>
    <w:rsid w:val="00534492"/>
    <w:rsid w:val="0053456F"/>
    <w:rsid w:val="0053459C"/>
    <w:rsid w:val="005345E0"/>
    <w:rsid w:val="005347CC"/>
    <w:rsid w:val="00534EF8"/>
    <w:rsid w:val="00534F13"/>
    <w:rsid w:val="00535065"/>
    <w:rsid w:val="005350B7"/>
    <w:rsid w:val="00535262"/>
    <w:rsid w:val="005354F8"/>
    <w:rsid w:val="00535690"/>
    <w:rsid w:val="0053589D"/>
    <w:rsid w:val="005358D5"/>
    <w:rsid w:val="00535B3F"/>
    <w:rsid w:val="0053625B"/>
    <w:rsid w:val="00536D4A"/>
    <w:rsid w:val="00536D8F"/>
    <w:rsid w:val="005370FC"/>
    <w:rsid w:val="00537145"/>
    <w:rsid w:val="00537175"/>
    <w:rsid w:val="005376FF"/>
    <w:rsid w:val="00537E9D"/>
    <w:rsid w:val="0054004F"/>
    <w:rsid w:val="0054025E"/>
    <w:rsid w:val="00540738"/>
    <w:rsid w:val="00540C86"/>
    <w:rsid w:val="00540F5E"/>
    <w:rsid w:val="005417EB"/>
    <w:rsid w:val="005420BF"/>
    <w:rsid w:val="00542174"/>
    <w:rsid w:val="00542210"/>
    <w:rsid w:val="00542244"/>
    <w:rsid w:val="00542570"/>
    <w:rsid w:val="005429E1"/>
    <w:rsid w:val="00542C3E"/>
    <w:rsid w:val="00542C86"/>
    <w:rsid w:val="00542CA4"/>
    <w:rsid w:val="00542E81"/>
    <w:rsid w:val="005431DA"/>
    <w:rsid w:val="005434C0"/>
    <w:rsid w:val="005440E8"/>
    <w:rsid w:val="00544764"/>
    <w:rsid w:val="005448DA"/>
    <w:rsid w:val="005449BC"/>
    <w:rsid w:val="0054554A"/>
    <w:rsid w:val="0054574A"/>
    <w:rsid w:val="00545BAA"/>
    <w:rsid w:val="00545C12"/>
    <w:rsid w:val="005463C3"/>
    <w:rsid w:val="005465CB"/>
    <w:rsid w:val="00546864"/>
    <w:rsid w:val="005468A1"/>
    <w:rsid w:val="00546F11"/>
    <w:rsid w:val="00546F58"/>
    <w:rsid w:val="005475BB"/>
    <w:rsid w:val="0054778B"/>
    <w:rsid w:val="00547BFA"/>
    <w:rsid w:val="005502DD"/>
    <w:rsid w:val="0055069F"/>
    <w:rsid w:val="00550AB6"/>
    <w:rsid w:val="00551132"/>
    <w:rsid w:val="005512DF"/>
    <w:rsid w:val="00551C6A"/>
    <w:rsid w:val="005524D4"/>
    <w:rsid w:val="00552DEC"/>
    <w:rsid w:val="00552F12"/>
    <w:rsid w:val="00552F6F"/>
    <w:rsid w:val="00553006"/>
    <w:rsid w:val="00553167"/>
    <w:rsid w:val="0055323C"/>
    <w:rsid w:val="00553409"/>
    <w:rsid w:val="00553518"/>
    <w:rsid w:val="00553845"/>
    <w:rsid w:val="0055384A"/>
    <w:rsid w:val="005538C9"/>
    <w:rsid w:val="00553F64"/>
    <w:rsid w:val="005548C0"/>
    <w:rsid w:val="00554EF5"/>
    <w:rsid w:val="0055525A"/>
    <w:rsid w:val="00555630"/>
    <w:rsid w:val="00555BDC"/>
    <w:rsid w:val="00555DAC"/>
    <w:rsid w:val="00555EAA"/>
    <w:rsid w:val="00555EDF"/>
    <w:rsid w:val="00555F07"/>
    <w:rsid w:val="00556235"/>
    <w:rsid w:val="00556319"/>
    <w:rsid w:val="00556472"/>
    <w:rsid w:val="005569EA"/>
    <w:rsid w:val="00556C2A"/>
    <w:rsid w:val="00556D54"/>
    <w:rsid w:val="0055709F"/>
    <w:rsid w:val="005570A6"/>
    <w:rsid w:val="00557133"/>
    <w:rsid w:val="00557167"/>
    <w:rsid w:val="005572A7"/>
    <w:rsid w:val="00557587"/>
    <w:rsid w:val="005576B5"/>
    <w:rsid w:val="00557B92"/>
    <w:rsid w:val="005601D2"/>
    <w:rsid w:val="005602D3"/>
    <w:rsid w:val="00560575"/>
    <w:rsid w:val="005606A5"/>
    <w:rsid w:val="005608AE"/>
    <w:rsid w:val="005609CB"/>
    <w:rsid w:val="00560D53"/>
    <w:rsid w:val="00560E52"/>
    <w:rsid w:val="00560F26"/>
    <w:rsid w:val="005613FD"/>
    <w:rsid w:val="0056151E"/>
    <w:rsid w:val="005615E7"/>
    <w:rsid w:val="005619FC"/>
    <w:rsid w:val="00561D7A"/>
    <w:rsid w:val="00561DBB"/>
    <w:rsid w:val="00561EA8"/>
    <w:rsid w:val="005620E2"/>
    <w:rsid w:val="0056225F"/>
    <w:rsid w:val="005625A4"/>
    <w:rsid w:val="00562D04"/>
    <w:rsid w:val="00562FFA"/>
    <w:rsid w:val="00563043"/>
    <w:rsid w:val="005631A9"/>
    <w:rsid w:val="00563335"/>
    <w:rsid w:val="005633BE"/>
    <w:rsid w:val="005633DB"/>
    <w:rsid w:val="00563502"/>
    <w:rsid w:val="005636B6"/>
    <w:rsid w:val="00563D45"/>
    <w:rsid w:val="00564592"/>
    <w:rsid w:val="0056466E"/>
    <w:rsid w:val="005646B8"/>
    <w:rsid w:val="005647F3"/>
    <w:rsid w:val="0056525A"/>
    <w:rsid w:val="00565EDD"/>
    <w:rsid w:val="00566331"/>
    <w:rsid w:val="00566715"/>
    <w:rsid w:val="00566819"/>
    <w:rsid w:val="005671AD"/>
    <w:rsid w:val="005671FB"/>
    <w:rsid w:val="00567517"/>
    <w:rsid w:val="00567821"/>
    <w:rsid w:val="00567A5A"/>
    <w:rsid w:val="00567AFD"/>
    <w:rsid w:val="00567C20"/>
    <w:rsid w:val="00567CC7"/>
    <w:rsid w:val="00567E1B"/>
    <w:rsid w:val="00570445"/>
    <w:rsid w:val="00570640"/>
    <w:rsid w:val="00570B3F"/>
    <w:rsid w:val="00570CCA"/>
    <w:rsid w:val="00571163"/>
    <w:rsid w:val="00571267"/>
    <w:rsid w:val="0057194A"/>
    <w:rsid w:val="00571C57"/>
    <w:rsid w:val="005724E5"/>
    <w:rsid w:val="0057254F"/>
    <w:rsid w:val="005725B7"/>
    <w:rsid w:val="00572EDA"/>
    <w:rsid w:val="005735DE"/>
    <w:rsid w:val="0057368D"/>
    <w:rsid w:val="005737F7"/>
    <w:rsid w:val="005743A7"/>
    <w:rsid w:val="0057443A"/>
    <w:rsid w:val="005744F6"/>
    <w:rsid w:val="00574579"/>
    <w:rsid w:val="005745B8"/>
    <w:rsid w:val="00574605"/>
    <w:rsid w:val="005746D0"/>
    <w:rsid w:val="00574ADC"/>
    <w:rsid w:val="00574BF8"/>
    <w:rsid w:val="0057531F"/>
    <w:rsid w:val="005754D8"/>
    <w:rsid w:val="00575CAE"/>
    <w:rsid w:val="00575EC9"/>
    <w:rsid w:val="00575EFE"/>
    <w:rsid w:val="005764B3"/>
    <w:rsid w:val="00576C2E"/>
    <w:rsid w:val="00576C8F"/>
    <w:rsid w:val="00576D65"/>
    <w:rsid w:val="00577570"/>
    <w:rsid w:val="005775A1"/>
    <w:rsid w:val="0058022E"/>
    <w:rsid w:val="0058046C"/>
    <w:rsid w:val="005804C2"/>
    <w:rsid w:val="005804D8"/>
    <w:rsid w:val="00580726"/>
    <w:rsid w:val="00581159"/>
    <w:rsid w:val="005811EC"/>
    <w:rsid w:val="005811F0"/>
    <w:rsid w:val="005814B7"/>
    <w:rsid w:val="00581514"/>
    <w:rsid w:val="005819DD"/>
    <w:rsid w:val="00581A33"/>
    <w:rsid w:val="00581A83"/>
    <w:rsid w:val="00581B24"/>
    <w:rsid w:val="00581D41"/>
    <w:rsid w:val="00581FCA"/>
    <w:rsid w:val="0058212A"/>
    <w:rsid w:val="00582613"/>
    <w:rsid w:val="0058272D"/>
    <w:rsid w:val="0058290E"/>
    <w:rsid w:val="0058294C"/>
    <w:rsid w:val="00582FD0"/>
    <w:rsid w:val="005833DB"/>
    <w:rsid w:val="005834AA"/>
    <w:rsid w:val="00583965"/>
    <w:rsid w:val="00583DE0"/>
    <w:rsid w:val="00584196"/>
    <w:rsid w:val="00584479"/>
    <w:rsid w:val="00584679"/>
    <w:rsid w:val="0058480B"/>
    <w:rsid w:val="0058637B"/>
    <w:rsid w:val="0058640F"/>
    <w:rsid w:val="00586E4A"/>
    <w:rsid w:val="0058726E"/>
    <w:rsid w:val="005873C5"/>
    <w:rsid w:val="005901D1"/>
    <w:rsid w:val="00590688"/>
    <w:rsid w:val="00590933"/>
    <w:rsid w:val="00590FE7"/>
    <w:rsid w:val="00591206"/>
    <w:rsid w:val="0059127C"/>
    <w:rsid w:val="005913CD"/>
    <w:rsid w:val="0059199C"/>
    <w:rsid w:val="00591A6D"/>
    <w:rsid w:val="00591DEF"/>
    <w:rsid w:val="0059219E"/>
    <w:rsid w:val="0059298C"/>
    <w:rsid w:val="005929F3"/>
    <w:rsid w:val="00592D90"/>
    <w:rsid w:val="00592EC5"/>
    <w:rsid w:val="00592F90"/>
    <w:rsid w:val="00592FEF"/>
    <w:rsid w:val="0059316B"/>
    <w:rsid w:val="005931CE"/>
    <w:rsid w:val="005932AF"/>
    <w:rsid w:val="00593423"/>
    <w:rsid w:val="00593792"/>
    <w:rsid w:val="0059381D"/>
    <w:rsid w:val="00594566"/>
    <w:rsid w:val="00594A22"/>
    <w:rsid w:val="00594BC6"/>
    <w:rsid w:val="00594F35"/>
    <w:rsid w:val="00595003"/>
    <w:rsid w:val="005953B5"/>
    <w:rsid w:val="0059576F"/>
    <w:rsid w:val="00595CD5"/>
    <w:rsid w:val="00596058"/>
    <w:rsid w:val="0059665E"/>
    <w:rsid w:val="00596ADE"/>
    <w:rsid w:val="00596B23"/>
    <w:rsid w:val="00596F77"/>
    <w:rsid w:val="00597257"/>
    <w:rsid w:val="005972B0"/>
    <w:rsid w:val="0059751A"/>
    <w:rsid w:val="00597DFA"/>
    <w:rsid w:val="005A00F0"/>
    <w:rsid w:val="005A0180"/>
    <w:rsid w:val="005A049D"/>
    <w:rsid w:val="005A0630"/>
    <w:rsid w:val="005A064F"/>
    <w:rsid w:val="005A1230"/>
    <w:rsid w:val="005A125C"/>
    <w:rsid w:val="005A158B"/>
    <w:rsid w:val="005A164A"/>
    <w:rsid w:val="005A1874"/>
    <w:rsid w:val="005A20E0"/>
    <w:rsid w:val="005A21FB"/>
    <w:rsid w:val="005A23F5"/>
    <w:rsid w:val="005A2494"/>
    <w:rsid w:val="005A2610"/>
    <w:rsid w:val="005A27D1"/>
    <w:rsid w:val="005A2B76"/>
    <w:rsid w:val="005A2E15"/>
    <w:rsid w:val="005A2FC5"/>
    <w:rsid w:val="005A30B5"/>
    <w:rsid w:val="005A4079"/>
    <w:rsid w:val="005A4149"/>
    <w:rsid w:val="005A41F5"/>
    <w:rsid w:val="005A4CA3"/>
    <w:rsid w:val="005A4D15"/>
    <w:rsid w:val="005A5594"/>
    <w:rsid w:val="005A5831"/>
    <w:rsid w:val="005A5EC8"/>
    <w:rsid w:val="005A60F5"/>
    <w:rsid w:val="005A6353"/>
    <w:rsid w:val="005A687F"/>
    <w:rsid w:val="005A72AE"/>
    <w:rsid w:val="005A755F"/>
    <w:rsid w:val="005A77EA"/>
    <w:rsid w:val="005A7F8F"/>
    <w:rsid w:val="005B0162"/>
    <w:rsid w:val="005B07E0"/>
    <w:rsid w:val="005B0CA0"/>
    <w:rsid w:val="005B141D"/>
    <w:rsid w:val="005B154C"/>
    <w:rsid w:val="005B1B8B"/>
    <w:rsid w:val="005B20D8"/>
    <w:rsid w:val="005B298D"/>
    <w:rsid w:val="005B2A33"/>
    <w:rsid w:val="005B2B2B"/>
    <w:rsid w:val="005B2F73"/>
    <w:rsid w:val="005B3045"/>
    <w:rsid w:val="005B3496"/>
    <w:rsid w:val="005B35CA"/>
    <w:rsid w:val="005B3646"/>
    <w:rsid w:val="005B3957"/>
    <w:rsid w:val="005B3D09"/>
    <w:rsid w:val="005B43AD"/>
    <w:rsid w:val="005B4507"/>
    <w:rsid w:val="005B475B"/>
    <w:rsid w:val="005B4B03"/>
    <w:rsid w:val="005B5346"/>
    <w:rsid w:val="005B591C"/>
    <w:rsid w:val="005B5B40"/>
    <w:rsid w:val="005B6270"/>
    <w:rsid w:val="005B673A"/>
    <w:rsid w:val="005B789B"/>
    <w:rsid w:val="005B7A48"/>
    <w:rsid w:val="005B7AA4"/>
    <w:rsid w:val="005B7C71"/>
    <w:rsid w:val="005C03B3"/>
    <w:rsid w:val="005C061E"/>
    <w:rsid w:val="005C0631"/>
    <w:rsid w:val="005C0874"/>
    <w:rsid w:val="005C0949"/>
    <w:rsid w:val="005C099D"/>
    <w:rsid w:val="005C0C30"/>
    <w:rsid w:val="005C0D82"/>
    <w:rsid w:val="005C13DE"/>
    <w:rsid w:val="005C19AE"/>
    <w:rsid w:val="005C20A8"/>
    <w:rsid w:val="005C25AA"/>
    <w:rsid w:val="005C29B6"/>
    <w:rsid w:val="005C2FB0"/>
    <w:rsid w:val="005C39D4"/>
    <w:rsid w:val="005C3E17"/>
    <w:rsid w:val="005C40F3"/>
    <w:rsid w:val="005C4181"/>
    <w:rsid w:val="005C44A6"/>
    <w:rsid w:val="005C4640"/>
    <w:rsid w:val="005C4693"/>
    <w:rsid w:val="005C4901"/>
    <w:rsid w:val="005C4C24"/>
    <w:rsid w:val="005C4ED5"/>
    <w:rsid w:val="005C512F"/>
    <w:rsid w:val="005C5316"/>
    <w:rsid w:val="005C5428"/>
    <w:rsid w:val="005C553C"/>
    <w:rsid w:val="005C5790"/>
    <w:rsid w:val="005C6209"/>
    <w:rsid w:val="005C67AB"/>
    <w:rsid w:val="005C7342"/>
    <w:rsid w:val="005C7403"/>
    <w:rsid w:val="005C7913"/>
    <w:rsid w:val="005C7DE8"/>
    <w:rsid w:val="005C7FEF"/>
    <w:rsid w:val="005D00A2"/>
    <w:rsid w:val="005D0247"/>
    <w:rsid w:val="005D0795"/>
    <w:rsid w:val="005D08D2"/>
    <w:rsid w:val="005D0A84"/>
    <w:rsid w:val="005D0B1E"/>
    <w:rsid w:val="005D191A"/>
    <w:rsid w:val="005D1DC2"/>
    <w:rsid w:val="005D1DF1"/>
    <w:rsid w:val="005D1E74"/>
    <w:rsid w:val="005D2112"/>
    <w:rsid w:val="005D2375"/>
    <w:rsid w:val="005D29DE"/>
    <w:rsid w:val="005D2B8A"/>
    <w:rsid w:val="005D2EDC"/>
    <w:rsid w:val="005D3738"/>
    <w:rsid w:val="005D3EE4"/>
    <w:rsid w:val="005D3F74"/>
    <w:rsid w:val="005D4209"/>
    <w:rsid w:val="005D42C9"/>
    <w:rsid w:val="005D4640"/>
    <w:rsid w:val="005D475E"/>
    <w:rsid w:val="005D4C0A"/>
    <w:rsid w:val="005D5830"/>
    <w:rsid w:val="005D5AB7"/>
    <w:rsid w:val="005D5C54"/>
    <w:rsid w:val="005D5DED"/>
    <w:rsid w:val="005D5E96"/>
    <w:rsid w:val="005D5E9E"/>
    <w:rsid w:val="005D6081"/>
    <w:rsid w:val="005D6215"/>
    <w:rsid w:val="005D65DC"/>
    <w:rsid w:val="005D6696"/>
    <w:rsid w:val="005D68B3"/>
    <w:rsid w:val="005D7636"/>
    <w:rsid w:val="005D772D"/>
    <w:rsid w:val="005D7746"/>
    <w:rsid w:val="005D7835"/>
    <w:rsid w:val="005D7C36"/>
    <w:rsid w:val="005D7E1D"/>
    <w:rsid w:val="005D7E75"/>
    <w:rsid w:val="005E070F"/>
    <w:rsid w:val="005E07E6"/>
    <w:rsid w:val="005E094B"/>
    <w:rsid w:val="005E0A21"/>
    <w:rsid w:val="005E0A6D"/>
    <w:rsid w:val="005E0FC6"/>
    <w:rsid w:val="005E152A"/>
    <w:rsid w:val="005E198E"/>
    <w:rsid w:val="005E1AA9"/>
    <w:rsid w:val="005E1DA2"/>
    <w:rsid w:val="005E1F83"/>
    <w:rsid w:val="005E20C2"/>
    <w:rsid w:val="005E20FE"/>
    <w:rsid w:val="005E2C0A"/>
    <w:rsid w:val="005E2C47"/>
    <w:rsid w:val="005E2F25"/>
    <w:rsid w:val="005E334B"/>
    <w:rsid w:val="005E38DA"/>
    <w:rsid w:val="005E3C35"/>
    <w:rsid w:val="005E3CC8"/>
    <w:rsid w:val="005E3CEE"/>
    <w:rsid w:val="005E3F0C"/>
    <w:rsid w:val="005E4190"/>
    <w:rsid w:val="005E42E4"/>
    <w:rsid w:val="005E4862"/>
    <w:rsid w:val="005E48E4"/>
    <w:rsid w:val="005E4AAF"/>
    <w:rsid w:val="005E5A62"/>
    <w:rsid w:val="005E5FCF"/>
    <w:rsid w:val="005E60E7"/>
    <w:rsid w:val="005E74B6"/>
    <w:rsid w:val="005E75DD"/>
    <w:rsid w:val="005E78A5"/>
    <w:rsid w:val="005E7A41"/>
    <w:rsid w:val="005F0A12"/>
    <w:rsid w:val="005F14D4"/>
    <w:rsid w:val="005F1676"/>
    <w:rsid w:val="005F21E7"/>
    <w:rsid w:val="005F2368"/>
    <w:rsid w:val="005F26F8"/>
    <w:rsid w:val="005F2A85"/>
    <w:rsid w:val="005F2B37"/>
    <w:rsid w:val="005F2C64"/>
    <w:rsid w:val="005F3012"/>
    <w:rsid w:val="005F35E7"/>
    <w:rsid w:val="005F4029"/>
    <w:rsid w:val="005F4198"/>
    <w:rsid w:val="005F48FA"/>
    <w:rsid w:val="005F4A40"/>
    <w:rsid w:val="005F4AE6"/>
    <w:rsid w:val="005F4CC5"/>
    <w:rsid w:val="005F53FF"/>
    <w:rsid w:val="005F543E"/>
    <w:rsid w:val="005F5963"/>
    <w:rsid w:val="005F5E41"/>
    <w:rsid w:val="005F603D"/>
    <w:rsid w:val="005F624D"/>
    <w:rsid w:val="005F6753"/>
    <w:rsid w:val="005F6999"/>
    <w:rsid w:val="005F6AE2"/>
    <w:rsid w:val="005F6B74"/>
    <w:rsid w:val="005F6C75"/>
    <w:rsid w:val="005F715D"/>
    <w:rsid w:val="005F71F6"/>
    <w:rsid w:val="005F77C1"/>
    <w:rsid w:val="005F7A6D"/>
    <w:rsid w:val="0060006A"/>
    <w:rsid w:val="006000EE"/>
    <w:rsid w:val="0060025E"/>
    <w:rsid w:val="006002D6"/>
    <w:rsid w:val="00600F8C"/>
    <w:rsid w:val="006013CB"/>
    <w:rsid w:val="00601B38"/>
    <w:rsid w:val="00601BAA"/>
    <w:rsid w:val="006022EE"/>
    <w:rsid w:val="006025EC"/>
    <w:rsid w:val="006030F7"/>
    <w:rsid w:val="006037B0"/>
    <w:rsid w:val="00603E26"/>
    <w:rsid w:val="00603EF9"/>
    <w:rsid w:val="00604026"/>
    <w:rsid w:val="006040D2"/>
    <w:rsid w:val="006041B0"/>
    <w:rsid w:val="006042FB"/>
    <w:rsid w:val="006048CF"/>
    <w:rsid w:val="00604AA8"/>
    <w:rsid w:val="00604EAC"/>
    <w:rsid w:val="00605330"/>
    <w:rsid w:val="006059C4"/>
    <w:rsid w:val="00605A2E"/>
    <w:rsid w:val="00605ECD"/>
    <w:rsid w:val="00606927"/>
    <w:rsid w:val="00606ADE"/>
    <w:rsid w:val="00606B23"/>
    <w:rsid w:val="0060747D"/>
    <w:rsid w:val="00607623"/>
    <w:rsid w:val="00607808"/>
    <w:rsid w:val="00607821"/>
    <w:rsid w:val="00607947"/>
    <w:rsid w:val="00607D01"/>
    <w:rsid w:val="00607F9A"/>
    <w:rsid w:val="00610286"/>
    <w:rsid w:val="00610D9C"/>
    <w:rsid w:val="00611235"/>
    <w:rsid w:val="0061169D"/>
    <w:rsid w:val="00611A48"/>
    <w:rsid w:val="00611BE3"/>
    <w:rsid w:val="0061234A"/>
    <w:rsid w:val="0061237F"/>
    <w:rsid w:val="006123B4"/>
    <w:rsid w:val="00612760"/>
    <w:rsid w:val="0061282A"/>
    <w:rsid w:val="00613152"/>
    <w:rsid w:val="006131EA"/>
    <w:rsid w:val="006134AF"/>
    <w:rsid w:val="00613CDB"/>
    <w:rsid w:val="00613FDD"/>
    <w:rsid w:val="006145F1"/>
    <w:rsid w:val="0061485E"/>
    <w:rsid w:val="00614B96"/>
    <w:rsid w:val="00614EC2"/>
    <w:rsid w:val="006151D6"/>
    <w:rsid w:val="00615277"/>
    <w:rsid w:val="006156BA"/>
    <w:rsid w:val="00615BDD"/>
    <w:rsid w:val="00615C8C"/>
    <w:rsid w:val="00615CBB"/>
    <w:rsid w:val="00615D53"/>
    <w:rsid w:val="0061616B"/>
    <w:rsid w:val="00616545"/>
    <w:rsid w:val="00616E9B"/>
    <w:rsid w:val="00617212"/>
    <w:rsid w:val="00617399"/>
    <w:rsid w:val="00617872"/>
    <w:rsid w:val="006178C8"/>
    <w:rsid w:val="00617EA4"/>
    <w:rsid w:val="00620316"/>
    <w:rsid w:val="00620518"/>
    <w:rsid w:val="00620AF2"/>
    <w:rsid w:val="00620E19"/>
    <w:rsid w:val="00620FF3"/>
    <w:rsid w:val="00621047"/>
    <w:rsid w:val="00621094"/>
    <w:rsid w:val="006210B5"/>
    <w:rsid w:val="00621262"/>
    <w:rsid w:val="00621472"/>
    <w:rsid w:val="006214A4"/>
    <w:rsid w:val="006215FB"/>
    <w:rsid w:val="00621761"/>
    <w:rsid w:val="006217EA"/>
    <w:rsid w:val="00621855"/>
    <w:rsid w:val="006221DA"/>
    <w:rsid w:val="006225D8"/>
    <w:rsid w:val="00622770"/>
    <w:rsid w:val="00622CDA"/>
    <w:rsid w:val="00622CE3"/>
    <w:rsid w:val="006233F7"/>
    <w:rsid w:val="00623631"/>
    <w:rsid w:val="00623A14"/>
    <w:rsid w:val="00623BF7"/>
    <w:rsid w:val="00623E28"/>
    <w:rsid w:val="0062408A"/>
    <w:rsid w:val="006240C6"/>
    <w:rsid w:val="00624213"/>
    <w:rsid w:val="0062448A"/>
    <w:rsid w:val="0062461F"/>
    <w:rsid w:val="0062465B"/>
    <w:rsid w:val="0062480B"/>
    <w:rsid w:val="00624871"/>
    <w:rsid w:val="00624893"/>
    <w:rsid w:val="00624F89"/>
    <w:rsid w:val="006253DC"/>
    <w:rsid w:val="0062548E"/>
    <w:rsid w:val="006254CF"/>
    <w:rsid w:val="006257D0"/>
    <w:rsid w:val="00625B4D"/>
    <w:rsid w:val="00625D6C"/>
    <w:rsid w:val="00625E91"/>
    <w:rsid w:val="00625FF5"/>
    <w:rsid w:val="00626112"/>
    <w:rsid w:val="0062642A"/>
    <w:rsid w:val="00626478"/>
    <w:rsid w:val="006267D5"/>
    <w:rsid w:val="006276EB"/>
    <w:rsid w:val="00627721"/>
    <w:rsid w:val="00627723"/>
    <w:rsid w:val="006279BA"/>
    <w:rsid w:val="00627A6D"/>
    <w:rsid w:val="00627B1D"/>
    <w:rsid w:val="00630828"/>
    <w:rsid w:val="00630874"/>
    <w:rsid w:val="00630910"/>
    <w:rsid w:val="00630A98"/>
    <w:rsid w:val="006313BF"/>
    <w:rsid w:val="00631635"/>
    <w:rsid w:val="006317FF"/>
    <w:rsid w:val="006328B7"/>
    <w:rsid w:val="006328D5"/>
    <w:rsid w:val="00632F24"/>
    <w:rsid w:val="00633145"/>
    <w:rsid w:val="00633AF5"/>
    <w:rsid w:val="00633B81"/>
    <w:rsid w:val="00633CA5"/>
    <w:rsid w:val="00633D94"/>
    <w:rsid w:val="006341C8"/>
    <w:rsid w:val="00634807"/>
    <w:rsid w:val="00634DE6"/>
    <w:rsid w:val="00635D2F"/>
    <w:rsid w:val="00635EEE"/>
    <w:rsid w:val="00636309"/>
    <w:rsid w:val="00636957"/>
    <w:rsid w:val="006369DE"/>
    <w:rsid w:val="00636A20"/>
    <w:rsid w:val="00636ACB"/>
    <w:rsid w:val="00636CBE"/>
    <w:rsid w:val="00636CE6"/>
    <w:rsid w:val="00636FF4"/>
    <w:rsid w:val="0063705A"/>
    <w:rsid w:val="00637704"/>
    <w:rsid w:val="0063777D"/>
    <w:rsid w:val="00637886"/>
    <w:rsid w:val="006378AE"/>
    <w:rsid w:val="00637A18"/>
    <w:rsid w:val="00637AD4"/>
    <w:rsid w:val="00637D7A"/>
    <w:rsid w:val="00637FA7"/>
    <w:rsid w:val="00637FE8"/>
    <w:rsid w:val="006406F9"/>
    <w:rsid w:val="00640C27"/>
    <w:rsid w:val="00640EF1"/>
    <w:rsid w:val="006411B6"/>
    <w:rsid w:val="006412F2"/>
    <w:rsid w:val="0064162F"/>
    <w:rsid w:val="006416EA"/>
    <w:rsid w:val="00641A7B"/>
    <w:rsid w:val="00641BEC"/>
    <w:rsid w:val="00641C01"/>
    <w:rsid w:val="00641D34"/>
    <w:rsid w:val="00641F14"/>
    <w:rsid w:val="006424E8"/>
    <w:rsid w:val="0064262C"/>
    <w:rsid w:val="00642641"/>
    <w:rsid w:val="006429E1"/>
    <w:rsid w:val="00642AD8"/>
    <w:rsid w:val="00642AFB"/>
    <w:rsid w:val="00643301"/>
    <w:rsid w:val="00643DB4"/>
    <w:rsid w:val="00643F0E"/>
    <w:rsid w:val="00644099"/>
    <w:rsid w:val="0064449D"/>
    <w:rsid w:val="0064465A"/>
    <w:rsid w:val="0064476C"/>
    <w:rsid w:val="0064486F"/>
    <w:rsid w:val="00644A81"/>
    <w:rsid w:val="00644B62"/>
    <w:rsid w:val="00644CF2"/>
    <w:rsid w:val="00645479"/>
    <w:rsid w:val="006458F9"/>
    <w:rsid w:val="00645927"/>
    <w:rsid w:val="00645C8B"/>
    <w:rsid w:val="00645D51"/>
    <w:rsid w:val="00645E86"/>
    <w:rsid w:val="00646110"/>
    <w:rsid w:val="006463B9"/>
    <w:rsid w:val="00646ED9"/>
    <w:rsid w:val="00646F34"/>
    <w:rsid w:val="0064724E"/>
    <w:rsid w:val="006473EB"/>
    <w:rsid w:val="006477C7"/>
    <w:rsid w:val="00647A0E"/>
    <w:rsid w:val="00647B95"/>
    <w:rsid w:val="00647D38"/>
    <w:rsid w:val="00647E3C"/>
    <w:rsid w:val="00647EB8"/>
    <w:rsid w:val="00647F16"/>
    <w:rsid w:val="006502E3"/>
    <w:rsid w:val="006506EA"/>
    <w:rsid w:val="00650BDA"/>
    <w:rsid w:val="00651618"/>
    <w:rsid w:val="006516C3"/>
    <w:rsid w:val="006518EE"/>
    <w:rsid w:val="00651CEE"/>
    <w:rsid w:val="00652079"/>
    <w:rsid w:val="006520BA"/>
    <w:rsid w:val="00652566"/>
    <w:rsid w:val="00652C51"/>
    <w:rsid w:val="00652E9C"/>
    <w:rsid w:val="00653E00"/>
    <w:rsid w:val="00653E65"/>
    <w:rsid w:val="00653FA8"/>
    <w:rsid w:val="0065424F"/>
    <w:rsid w:val="00654AAE"/>
    <w:rsid w:val="00654B30"/>
    <w:rsid w:val="00654C78"/>
    <w:rsid w:val="006551C4"/>
    <w:rsid w:val="0065532A"/>
    <w:rsid w:val="006553AD"/>
    <w:rsid w:val="006553E2"/>
    <w:rsid w:val="006557C2"/>
    <w:rsid w:val="00655AF0"/>
    <w:rsid w:val="00655C2E"/>
    <w:rsid w:val="00655CC9"/>
    <w:rsid w:val="00655D0C"/>
    <w:rsid w:val="00656561"/>
    <w:rsid w:val="00656C5F"/>
    <w:rsid w:val="00657126"/>
    <w:rsid w:val="00657127"/>
    <w:rsid w:val="00657B36"/>
    <w:rsid w:val="00657DB6"/>
    <w:rsid w:val="00660454"/>
    <w:rsid w:val="006606AA"/>
    <w:rsid w:val="00660727"/>
    <w:rsid w:val="006608CF"/>
    <w:rsid w:val="00660AF9"/>
    <w:rsid w:val="00660F09"/>
    <w:rsid w:val="00661261"/>
    <w:rsid w:val="00661579"/>
    <w:rsid w:val="0066168F"/>
    <w:rsid w:val="006619FD"/>
    <w:rsid w:val="00661D1C"/>
    <w:rsid w:val="00661DE7"/>
    <w:rsid w:val="00661E80"/>
    <w:rsid w:val="0066214B"/>
    <w:rsid w:val="00662166"/>
    <w:rsid w:val="0066227F"/>
    <w:rsid w:val="006626E4"/>
    <w:rsid w:val="00662A3B"/>
    <w:rsid w:val="00662A53"/>
    <w:rsid w:val="00662BB8"/>
    <w:rsid w:val="00663116"/>
    <w:rsid w:val="00663477"/>
    <w:rsid w:val="0066407A"/>
    <w:rsid w:val="006644A2"/>
    <w:rsid w:val="00664618"/>
    <w:rsid w:val="00664948"/>
    <w:rsid w:val="00664A0C"/>
    <w:rsid w:val="00664FD1"/>
    <w:rsid w:val="006650A6"/>
    <w:rsid w:val="00665179"/>
    <w:rsid w:val="0066525D"/>
    <w:rsid w:val="006657A0"/>
    <w:rsid w:val="00665AD0"/>
    <w:rsid w:val="00665C2A"/>
    <w:rsid w:val="00666286"/>
    <w:rsid w:val="00666777"/>
    <w:rsid w:val="00666F9E"/>
    <w:rsid w:val="00667361"/>
    <w:rsid w:val="00667482"/>
    <w:rsid w:val="006677FE"/>
    <w:rsid w:val="00667904"/>
    <w:rsid w:val="0067002D"/>
    <w:rsid w:val="00670525"/>
    <w:rsid w:val="006705BD"/>
    <w:rsid w:val="00670C08"/>
    <w:rsid w:val="00671824"/>
    <w:rsid w:val="00671A4F"/>
    <w:rsid w:val="00672186"/>
    <w:rsid w:val="006722B0"/>
    <w:rsid w:val="00672447"/>
    <w:rsid w:val="00672A82"/>
    <w:rsid w:val="00672D16"/>
    <w:rsid w:val="00673001"/>
    <w:rsid w:val="006732C6"/>
    <w:rsid w:val="006734CD"/>
    <w:rsid w:val="0067378A"/>
    <w:rsid w:val="00673CA8"/>
    <w:rsid w:val="0067412B"/>
    <w:rsid w:val="006743F5"/>
    <w:rsid w:val="006744CC"/>
    <w:rsid w:val="00674584"/>
    <w:rsid w:val="00674C10"/>
    <w:rsid w:val="006755E5"/>
    <w:rsid w:val="0067565F"/>
    <w:rsid w:val="00675F14"/>
    <w:rsid w:val="0067607E"/>
    <w:rsid w:val="006760BC"/>
    <w:rsid w:val="0067660A"/>
    <w:rsid w:val="00676774"/>
    <w:rsid w:val="00676860"/>
    <w:rsid w:val="00676B3F"/>
    <w:rsid w:val="006773E1"/>
    <w:rsid w:val="0067745C"/>
    <w:rsid w:val="0067766E"/>
    <w:rsid w:val="00677E78"/>
    <w:rsid w:val="0068028A"/>
    <w:rsid w:val="006805B8"/>
    <w:rsid w:val="00681694"/>
    <w:rsid w:val="0068173C"/>
    <w:rsid w:val="0068189B"/>
    <w:rsid w:val="00681E2D"/>
    <w:rsid w:val="00681EB5"/>
    <w:rsid w:val="006823AD"/>
    <w:rsid w:val="00682A5A"/>
    <w:rsid w:val="006830F3"/>
    <w:rsid w:val="00683359"/>
    <w:rsid w:val="0068350A"/>
    <w:rsid w:val="00683AB9"/>
    <w:rsid w:val="00683CE2"/>
    <w:rsid w:val="00684137"/>
    <w:rsid w:val="006844BB"/>
    <w:rsid w:val="0068461F"/>
    <w:rsid w:val="00684EF5"/>
    <w:rsid w:val="00685140"/>
    <w:rsid w:val="00685D8D"/>
    <w:rsid w:val="00685DB6"/>
    <w:rsid w:val="00686247"/>
    <w:rsid w:val="00686302"/>
    <w:rsid w:val="006863C5"/>
    <w:rsid w:val="00687106"/>
    <w:rsid w:val="006873F6"/>
    <w:rsid w:val="006876E2"/>
    <w:rsid w:val="00687C72"/>
    <w:rsid w:val="0069040E"/>
    <w:rsid w:val="0069066E"/>
    <w:rsid w:val="006907D5"/>
    <w:rsid w:val="00690B0B"/>
    <w:rsid w:val="00690FEE"/>
    <w:rsid w:val="0069111F"/>
    <w:rsid w:val="006914F3"/>
    <w:rsid w:val="006918F1"/>
    <w:rsid w:val="0069265B"/>
    <w:rsid w:val="00692C39"/>
    <w:rsid w:val="00692ED4"/>
    <w:rsid w:val="00693109"/>
    <w:rsid w:val="006937BC"/>
    <w:rsid w:val="00693CA3"/>
    <w:rsid w:val="00693EB9"/>
    <w:rsid w:val="006945FF"/>
    <w:rsid w:val="00694811"/>
    <w:rsid w:val="006948DE"/>
    <w:rsid w:val="00694D77"/>
    <w:rsid w:val="0069531E"/>
    <w:rsid w:val="006956D4"/>
    <w:rsid w:val="006956E1"/>
    <w:rsid w:val="00695731"/>
    <w:rsid w:val="00695928"/>
    <w:rsid w:val="00695BAF"/>
    <w:rsid w:val="00695BF5"/>
    <w:rsid w:val="00695DDE"/>
    <w:rsid w:val="00695EE2"/>
    <w:rsid w:val="00695FAA"/>
    <w:rsid w:val="00696330"/>
    <w:rsid w:val="006963D0"/>
    <w:rsid w:val="00696594"/>
    <w:rsid w:val="00696C06"/>
    <w:rsid w:val="00696F8D"/>
    <w:rsid w:val="0069723C"/>
    <w:rsid w:val="006972D3"/>
    <w:rsid w:val="006972F1"/>
    <w:rsid w:val="0069761E"/>
    <w:rsid w:val="00697AEE"/>
    <w:rsid w:val="00697D1A"/>
    <w:rsid w:val="00697D5F"/>
    <w:rsid w:val="00697F8E"/>
    <w:rsid w:val="006A03A4"/>
    <w:rsid w:val="006A03A9"/>
    <w:rsid w:val="006A03AC"/>
    <w:rsid w:val="006A064A"/>
    <w:rsid w:val="006A0875"/>
    <w:rsid w:val="006A13EB"/>
    <w:rsid w:val="006A1828"/>
    <w:rsid w:val="006A1A69"/>
    <w:rsid w:val="006A1FF0"/>
    <w:rsid w:val="006A28F3"/>
    <w:rsid w:val="006A2D78"/>
    <w:rsid w:val="006A3576"/>
    <w:rsid w:val="006A3C25"/>
    <w:rsid w:val="006A3F0F"/>
    <w:rsid w:val="006A433F"/>
    <w:rsid w:val="006A465E"/>
    <w:rsid w:val="006A4ED6"/>
    <w:rsid w:val="006A5313"/>
    <w:rsid w:val="006A55B2"/>
    <w:rsid w:val="006A5814"/>
    <w:rsid w:val="006A5D71"/>
    <w:rsid w:val="006A5F72"/>
    <w:rsid w:val="006A61BE"/>
    <w:rsid w:val="006A6907"/>
    <w:rsid w:val="006A6B9A"/>
    <w:rsid w:val="006A6D61"/>
    <w:rsid w:val="006A6FE4"/>
    <w:rsid w:val="006A717D"/>
    <w:rsid w:val="006A74E9"/>
    <w:rsid w:val="006A788D"/>
    <w:rsid w:val="006A7BD7"/>
    <w:rsid w:val="006A7DF2"/>
    <w:rsid w:val="006B0074"/>
    <w:rsid w:val="006B0450"/>
    <w:rsid w:val="006B04DB"/>
    <w:rsid w:val="006B0A4F"/>
    <w:rsid w:val="006B0D16"/>
    <w:rsid w:val="006B0DFF"/>
    <w:rsid w:val="006B13EB"/>
    <w:rsid w:val="006B1915"/>
    <w:rsid w:val="006B1B17"/>
    <w:rsid w:val="006B20D9"/>
    <w:rsid w:val="006B248E"/>
    <w:rsid w:val="006B262D"/>
    <w:rsid w:val="006B27C9"/>
    <w:rsid w:val="006B2A0F"/>
    <w:rsid w:val="006B2D6C"/>
    <w:rsid w:val="006B2FAD"/>
    <w:rsid w:val="006B37A0"/>
    <w:rsid w:val="006B3C28"/>
    <w:rsid w:val="006B3FC9"/>
    <w:rsid w:val="006B40C1"/>
    <w:rsid w:val="006B4155"/>
    <w:rsid w:val="006B4537"/>
    <w:rsid w:val="006B4670"/>
    <w:rsid w:val="006B469C"/>
    <w:rsid w:val="006B476E"/>
    <w:rsid w:val="006B4A76"/>
    <w:rsid w:val="006B4EFC"/>
    <w:rsid w:val="006B519B"/>
    <w:rsid w:val="006B52E7"/>
    <w:rsid w:val="006B5611"/>
    <w:rsid w:val="006B590A"/>
    <w:rsid w:val="006B5C3B"/>
    <w:rsid w:val="006B5E47"/>
    <w:rsid w:val="006B5ECD"/>
    <w:rsid w:val="006B6197"/>
    <w:rsid w:val="006B6340"/>
    <w:rsid w:val="006B64B0"/>
    <w:rsid w:val="006B696D"/>
    <w:rsid w:val="006B6B82"/>
    <w:rsid w:val="006B6BC7"/>
    <w:rsid w:val="006B6C7E"/>
    <w:rsid w:val="006B7A7B"/>
    <w:rsid w:val="006B7AA5"/>
    <w:rsid w:val="006B7AAE"/>
    <w:rsid w:val="006B7C8A"/>
    <w:rsid w:val="006B7DCE"/>
    <w:rsid w:val="006B7FA3"/>
    <w:rsid w:val="006C0016"/>
    <w:rsid w:val="006C0024"/>
    <w:rsid w:val="006C002A"/>
    <w:rsid w:val="006C06A4"/>
    <w:rsid w:val="006C0851"/>
    <w:rsid w:val="006C08E4"/>
    <w:rsid w:val="006C0BD6"/>
    <w:rsid w:val="006C0DE1"/>
    <w:rsid w:val="006C135F"/>
    <w:rsid w:val="006C148F"/>
    <w:rsid w:val="006C14F1"/>
    <w:rsid w:val="006C2007"/>
    <w:rsid w:val="006C2265"/>
    <w:rsid w:val="006C26E1"/>
    <w:rsid w:val="006C2A5F"/>
    <w:rsid w:val="006C2FFA"/>
    <w:rsid w:val="006C3878"/>
    <w:rsid w:val="006C3890"/>
    <w:rsid w:val="006C3D19"/>
    <w:rsid w:val="006C4623"/>
    <w:rsid w:val="006C4764"/>
    <w:rsid w:val="006C4FF1"/>
    <w:rsid w:val="006C549F"/>
    <w:rsid w:val="006C587D"/>
    <w:rsid w:val="006C5B34"/>
    <w:rsid w:val="006C5CB4"/>
    <w:rsid w:val="006C63B0"/>
    <w:rsid w:val="006C641A"/>
    <w:rsid w:val="006C64DA"/>
    <w:rsid w:val="006C6B6E"/>
    <w:rsid w:val="006D0012"/>
    <w:rsid w:val="006D06DB"/>
    <w:rsid w:val="006D0F1D"/>
    <w:rsid w:val="006D16C9"/>
    <w:rsid w:val="006D2BB6"/>
    <w:rsid w:val="006D2F8E"/>
    <w:rsid w:val="006D377C"/>
    <w:rsid w:val="006D38E5"/>
    <w:rsid w:val="006D3E62"/>
    <w:rsid w:val="006D3FA5"/>
    <w:rsid w:val="006D455A"/>
    <w:rsid w:val="006D5388"/>
    <w:rsid w:val="006D55A5"/>
    <w:rsid w:val="006D574D"/>
    <w:rsid w:val="006D57EF"/>
    <w:rsid w:val="006D6067"/>
    <w:rsid w:val="006D6421"/>
    <w:rsid w:val="006D659B"/>
    <w:rsid w:val="006D65D0"/>
    <w:rsid w:val="006D669C"/>
    <w:rsid w:val="006D6992"/>
    <w:rsid w:val="006D6FE2"/>
    <w:rsid w:val="006D7A60"/>
    <w:rsid w:val="006D7C45"/>
    <w:rsid w:val="006D7FDD"/>
    <w:rsid w:val="006E021D"/>
    <w:rsid w:val="006E04A8"/>
    <w:rsid w:val="006E0BCF"/>
    <w:rsid w:val="006E0CB9"/>
    <w:rsid w:val="006E0D78"/>
    <w:rsid w:val="006E0EB6"/>
    <w:rsid w:val="006E1047"/>
    <w:rsid w:val="006E1210"/>
    <w:rsid w:val="006E152C"/>
    <w:rsid w:val="006E15AC"/>
    <w:rsid w:val="006E163F"/>
    <w:rsid w:val="006E16FF"/>
    <w:rsid w:val="006E19D6"/>
    <w:rsid w:val="006E1B95"/>
    <w:rsid w:val="006E1F21"/>
    <w:rsid w:val="006E2311"/>
    <w:rsid w:val="006E2496"/>
    <w:rsid w:val="006E277E"/>
    <w:rsid w:val="006E2A21"/>
    <w:rsid w:val="006E2D55"/>
    <w:rsid w:val="006E2EA3"/>
    <w:rsid w:val="006E328F"/>
    <w:rsid w:val="006E34C0"/>
    <w:rsid w:val="006E3562"/>
    <w:rsid w:val="006E3820"/>
    <w:rsid w:val="006E3FC4"/>
    <w:rsid w:val="006E4178"/>
    <w:rsid w:val="006E429A"/>
    <w:rsid w:val="006E4401"/>
    <w:rsid w:val="006E4617"/>
    <w:rsid w:val="006E49C8"/>
    <w:rsid w:val="006E4D5F"/>
    <w:rsid w:val="006E505D"/>
    <w:rsid w:val="006E50E6"/>
    <w:rsid w:val="006E54C5"/>
    <w:rsid w:val="006E5AF0"/>
    <w:rsid w:val="006E5EA8"/>
    <w:rsid w:val="006E5ED1"/>
    <w:rsid w:val="006E60B9"/>
    <w:rsid w:val="006E60D0"/>
    <w:rsid w:val="006E6397"/>
    <w:rsid w:val="006E67C4"/>
    <w:rsid w:val="006E6A0B"/>
    <w:rsid w:val="006E6B4B"/>
    <w:rsid w:val="006E6E33"/>
    <w:rsid w:val="006E700F"/>
    <w:rsid w:val="006E7140"/>
    <w:rsid w:val="006E77E8"/>
    <w:rsid w:val="006E78B9"/>
    <w:rsid w:val="006E79F0"/>
    <w:rsid w:val="006E7CCB"/>
    <w:rsid w:val="006E7E2E"/>
    <w:rsid w:val="006F01B1"/>
    <w:rsid w:val="006F04C3"/>
    <w:rsid w:val="006F065C"/>
    <w:rsid w:val="006F075C"/>
    <w:rsid w:val="006F08DA"/>
    <w:rsid w:val="006F1283"/>
    <w:rsid w:val="006F138C"/>
    <w:rsid w:val="006F1538"/>
    <w:rsid w:val="006F162C"/>
    <w:rsid w:val="006F1929"/>
    <w:rsid w:val="006F1989"/>
    <w:rsid w:val="006F1A58"/>
    <w:rsid w:val="006F1C26"/>
    <w:rsid w:val="006F24FD"/>
    <w:rsid w:val="006F258C"/>
    <w:rsid w:val="006F2687"/>
    <w:rsid w:val="006F2CF7"/>
    <w:rsid w:val="006F2E70"/>
    <w:rsid w:val="006F2F03"/>
    <w:rsid w:val="006F305F"/>
    <w:rsid w:val="006F36A0"/>
    <w:rsid w:val="006F3B9A"/>
    <w:rsid w:val="006F3C47"/>
    <w:rsid w:val="006F4227"/>
    <w:rsid w:val="006F4365"/>
    <w:rsid w:val="006F459D"/>
    <w:rsid w:val="006F4686"/>
    <w:rsid w:val="006F4E75"/>
    <w:rsid w:val="006F5623"/>
    <w:rsid w:val="006F5683"/>
    <w:rsid w:val="006F5B5F"/>
    <w:rsid w:val="006F5C3F"/>
    <w:rsid w:val="006F5CA1"/>
    <w:rsid w:val="006F5E63"/>
    <w:rsid w:val="006F6569"/>
    <w:rsid w:val="006F669F"/>
    <w:rsid w:val="006F6931"/>
    <w:rsid w:val="006F69D8"/>
    <w:rsid w:val="006F6A37"/>
    <w:rsid w:val="006F7156"/>
    <w:rsid w:val="006F729A"/>
    <w:rsid w:val="006F7CB7"/>
    <w:rsid w:val="006F7F1B"/>
    <w:rsid w:val="00700393"/>
    <w:rsid w:val="00700394"/>
    <w:rsid w:val="00700446"/>
    <w:rsid w:val="007005FE"/>
    <w:rsid w:val="00700A27"/>
    <w:rsid w:val="00700BCE"/>
    <w:rsid w:val="007018D7"/>
    <w:rsid w:val="00701DA9"/>
    <w:rsid w:val="00702535"/>
    <w:rsid w:val="00702542"/>
    <w:rsid w:val="007025E4"/>
    <w:rsid w:val="00702BE6"/>
    <w:rsid w:val="007034F4"/>
    <w:rsid w:val="00703668"/>
    <w:rsid w:val="007036F8"/>
    <w:rsid w:val="00703AB2"/>
    <w:rsid w:val="00704018"/>
    <w:rsid w:val="0070413A"/>
    <w:rsid w:val="007041C8"/>
    <w:rsid w:val="0070423B"/>
    <w:rsid w:val="0070435D"/>
    <w:rsid w:val="00704447"/>
    <w:rsid w:val="007046A6"/>
    <w:rsid w:val="00704B0B"/>
    <w:rsid w:val="00704B5C"/>
    <w:rsid w:val="00704CEC"/>
    <w:rsid w:val="0070513A"/>
    <w:rsid w:val="00705415"/>
    <w:rsid w:val="00705850"/>
    <w:rsid w:val="00706A35"/>
    <w:rsid w:val="00706AB3"/>
    <w:rsid w:val="00706BAD"/>
    <w:rsid w:val="00707184"/>
    <w:rsid w:val="007071FC"/>
    <w:rsid w:val="00707294"/>
    <w:rsid w:val="007077E0"/>
    <w:rsid w:val="007079EF"/>
    <w:rsid w:val="00707B0B"/>
    <w:rsid w:val="00707B9A"/>
    <w:rsid w:val="00707C25"/>
    <w:rsid w:val="00707CE1"/>
    <w:rsid w:val="00707FC9"/>
    <w:rsid w:val="0071000F"/>
    <w:rsid w:val="007100E2"/>
    <w:rsid w:val="007105AE"/>
    <w:rsid w:val="00710832"/>
    <w:rsid w:val="00710844"/>
    <w:rsid w:val="007108D1"/>
    <w:rsid w:val="00710D77"/>
    <w:rsid w:val="00711197"/>
    <w:rsid w:val="00711470"/>
    <w:rsid w:val="00711689"/>
    <w:rsid w:val="007118C1"/>
    <w:rsid w:val="00711905"/>
    <w:rsid w:val="007119D8"/>
    <w:rsid w:val="00711A18"/>
    <w:rsid w:val="00711B4D"/>
    <w:rsid w:val="0071213B"/>
    <w:rsid w:val="007122D0"/>
    <w:rsid w:val="00712431"/>
    <w:rsid w:val="00712E0D"/>
    <w:rsid w:val="007136B7"/>
    <w:rsid w:val="00713830"/>
    <w:rsid w:val="0071395E"/>
    <w:rsid w:val="00713C52"/>
    <w:rsid w:val="00713EF0"/>
    <w:rsid w:val="00714078"/>
    <w:rsid w:val="007140CB"/>
    <w:rsid w:val="00714286"/>
    <w:rsid w:val="007143E4"/>
    <w:rsid w:val="00714551"/>
    <w:rsid w:val="00714B88"/>
    <w:rsid w:val="00715068"/>
    <w:rsid w:val="00715135"/>
    <w:rsid w:val="00715379"/>
    <w:rsid w:val="00715384"/>
    <w:rsid w:val="007154A4"/>
    <w:rsid w:val="00716216"/>
    <w:rsid w:val="00716257"/>
    <w:rsid w:val="0071637F"/>
    <w:rsid w:val="007165A0"/>
    <w:rsid w:val="0071666F"/>
    <w:rsid w:val="00716A6F"/>
    <w:rsid w:val="00716B51"/>
    <w:rsid w:val="00716EBD"/>
    <w:rsid w:val="007172B4"/>
    <w:rsid w:val="007176B3"/>
    <w:rsid w:val="00720159"/>
    <w:rsid w:val="007201B1"/>
    <w:rsid w:val="00720277"/>
    <w:rsid w:val="00720876"/>
    <w:rsid w:val="007208E5"/>
    <w:rsid w:val="00720C09"/>
    <w:rsid w:val="00720D82"/>
    <w:rsid w:val="00720DB7"/>
    <w:rsid w:val="007212BE"/>
    <w:rsid w:val="00721CDA"/>
    <w:rsid w:val="00721F54"/>
    <w:rsid w:val="00722B87"/>
    <w:rsid w:val="00723249"/>
    <w:rsid w:val="00723350"/>
    <w:rsid w:val="007236AE"/>
    <w:rsid w:val="00723EB3"/>
    <w:rsid w:val="007242CA"/>
    <w:rsid w:val="0072464B"/>
    <w:rsid w:val="00724779"/>
    <w:rsid w:val="00724983"/>
    <w:rsid w:val="00724FCA"/>
    <w:rsid w:val="00725F55"/>
    <w:rsid w:val="00726515"/>
    <w:rsid w:val="00726CA1"/>
    <w:rsid w:val="00726DDC"/>
    <w:rsid w:val="00727607"/>
    <w:rsid w:val="0072772F"/>
    <w:rsid w:val="00727D38"/>
    <w:rsid w:val="00727D8E"/>
    <w:rsid w:val="007301DF"/>
    <w:rsid w:val="00730637"/>
    <w:rsid w:val="00730894"/>
    <w:rsid w:val="00730911"/>
    <w:rsid w:val="00730C7A"/>
    <w:rsid w:val="0073118F"/>
    <w:rsid w:val="00731478"/>
    <w:rsid w:val="00731674"/>
    <w:rsid w:val="00731C5A"/>
    <w:rsid w:val="00731F25"/>
    <w:rsid w:val="00731FFE"/>
    <w:rsid w:val="00732351"/>
    <w:rsid w:val="00732567"/>
    <w:rsid w:val="00732A42"/>
    <w:rsid w:val="0073300B"/>
    <w:rsid w:val="007330A7"/>
    <w:rsid w:val="0073354A"/>
    <w:rsid w:val="0073359A"/>
    <w:rsid w:val="00733941"/>
    <w:rsid w:val="00733F01"/>
    <w:rsid w:val="00734011"/>
    <w:rsid w:val="00734573"/>
    <w:rsid w:val="00734EB2"/>
    <w:rsid w:val="007356AA"/>
    <w:rsid w:val="0073591D"/>
    <w:rsid w:val="00735E3B"/>
    <w:rsid w:val="00737362"/>
    <w:rsid w:val="0073743B"/>
    <w:rsid w:val="00737543"/>
    <w:rsid w:val="00737D4E"/>
    <w:rsid w:val="007400F6"/>
    <w:rsid w:val="00740369"/>
    <w:rsid w:val="0074042B"/>
    <w:rsid w:val="007405FD"/>
    <w:rsid w:val="00740640"/>
    <w:rsid w:val="00740A0B"/>
    <w:rsid w:val="00740F40"/>
    <w:rsid w:val="00740F4B"/>
    <w:rsid w:val="00741176"/>
    <w:rsid w:val="007415D5"/>
    <w:rsid w:val="007416A8"/>
    <w:rsid w:val="007418FE"/>
    <w:rsid w:val="00742565"/>
    <w:rsid w:val="007427A1"/>
    <w:rsid w:val="007428AF"/>
    <w:rsid w:val="00742E41"/>
    <w:rsid w:val="00742FAB"/>
    <w:rsid w:val="00743AF0"/>
    <w:rsid w:val="00743EC4"/>
    <w:rsid w:val="00744493"/>
    <w:rsid w:val="00744555"/>
    <w:rsid w:val="0074468B"/>
    <w:rsid w:val="007448D6"/>
    <w:rsid w:val="007449D9"/>
    <w:rsid w:val="00744C31"/>
    <w:rsid w:val="00744E75"/>
    <w:rsid w:val="0074552B"/>
    <w:rsid w:val="00745565"/>
    <w:rsid w:val="00745843"/>
    <w:rsid w:val="007458B2"/>
    <w:rsid w:val="00745A51"/>
    <w:rsid w:val="00745E07"/>
    <w:rsid w:val="0074615F"/>
    <w:rsid w:val="007466E7"/>
    <w:rsid w:val="0074685C"/>
    <w:rsid w:val="00746974"/>
    <w:rsid w:val="00746E1B"/>
    <w:rsid w:val="00746FEA"/>
    <w:rsid w:val="0074751E"/>
    <w:rsid w:val="00747688"/>
    <w:rsid w:val="00747962"/>
    <w:rsid w:val="00747C9D"/>
    <w:rsid w:val="0075008B"/>
    <w:rsid w:val="00750445"/>
    <w:rsid w:val="00750999"/>
    <w:rsid w:val="00751241"/>
    <w:rsid w:val="0075139C"/>
    <w:rsid w:val="007513FC"/>
    <w:rsid w:val="007514CB"/>
    <w:rsid w:val="0075151D"/>
    <w:rsid w:val="0075199B"/>
    <w:rsid w:val="00751A06"/>
    <w:rsid w:val="00751D2F"/>
    <w:rsid w:val="00752019"/>
    <w:rsid w:val="0075212A"/>
    <w:rsid w:val="00752C99"/>
    <w:rsid w:val="00753141"/>
    <w:rsid w:val="007531F1"/>
    <w:rsid w:val="0075378B"/>
    <w:rsid w:val="00753B09"/>
    <w:rsid w:val="00753F70"/>
    <w:rsid w:val="0075405E"/>
    <w:rsid w:val="0075437E"/>
    <w:rsid w:val="00754531"/>
    <w:rsid w:val="0075460A"/>
    <w:rsid w:val="0075498D"/>
    <w:rsid w:val="00754990"/>
    <w:rsid w:val="00754CD7"/>
    <w:rsid w:val="00754E01"/>
    <w:rsid w:val="00754F1D"/>
    <w:rsid w:val="00755009"/>
    <w:rsid w:val="007553D8"/>
    <w:rsid w:val="00755618"/>
    <w:rsid w:val="00755916"/>
    <w:rsid w:val="00755C3E"/>
    <w:rsid w:val="00755D76"/>
    <w:rsid w:val="00756166"/>
    <w:rsid w:val="0075630F"/>
    <w:rsid w:val="007563A4"/>
    <w:rsid w:val="0075658B"/>
    <w:rsid w:val="007566AA"/>
    <w:rsid w:val="00756824"/>
    <w:rsid w:val="00756833"/>
    <w:rsid w:val="007569E5"/>
    <w:rsid w:val="00756E1F"/>
    <w:rsid w:val="00756F59"/>
    <w:rsid w:val="0075747D"/>
    <w:rsid w:val="007574B0"/>
    <w:rsid w:val="00757561"/>
    <w:rsid w:val="00760B71"/>
    <w:rsid w:val="00761CAB"/>
    <w:rsid w:val="00761D8C"/>
    <w:rsid w:val="007620EF"/>
    <w:rsid w:val="007627F5"/>
    <w:rsid w:val="0076284E"/>
    <w:rsid w:val="00762DA2"/>
    <w:rsid w:val="00762E16"/>
    <w:rsid w:val="007631D0"/>
    <w:rsid w:val="007638C3"/>
    <w:rsid w:val="007639CA"/>
    <w:rsid w:val="007639DF"/>
    <w:rsid w:val="00764329"/>
    <w:rsid w:val="007646D2"/>
    <w:rsid w:val="007648E9"/>
    <w:rsid w:val="00764A44"/>
    <w:rsid w:val="00764BF3"/>
    <w:rsid w:val="00764CE9"/>
    <w:rsid w:val="00765660"/>
    <w:rsid w:val="00765D03"/>
    <w:rsid w:val="00765D44"/>
    <w:rsid w:val="00765D55"/>
    <w:rsid w:val="00765E5B"/>
    <w:rsid w:val="00765F50"/>
    <w:rsid w:val="00766014"/>
    <w:rsid w:val="0076601B"/>
    <w:rsid w:val="00766606"/>
    <w:rsid w:val="00766CCB"/>
    <w:rsid w:val="00766FAB"/>
    <w:rsid w:val="00766FF1"/>
    <w:rsid w:val="0076720F"/>
    <w:rsid w:val="0076778B"/>
    <w:rsid w:val="00767A52"/>
    <w:rsid w:val="00767B5B"/>
    <w:rsid w:val="00767E14"/>
    <w:rsid w:val="00767F87"/>
    <w:rsid w:val="00770188"/>
    <w:rsid w:val="00770F71"/>
    <w:rsid w:val="00770FD1"/>
    <w:rsid w:val="00771454"/>
    <w:rsid w:val="007716BF"/>
    <w:rsid w:val="00771756"/>
    <w:rsid w:val="007717EA"/>
    <w:rsid w:val="007724DF"/>
    <w:rsid w:val="007726C5"/>
    <w:rsid w:val="00772B77"/>
    <w:rsid w:val="00772E67"/>
    <w:rsid w:val="007732C9"/>
    <w:rsid w:val="007733A7"/>
    <w:rsid w:val="0077352B"/>
    <w:rsid w:val="00773DFA"/>
    <w:rsid w:val="00773E87"/>
    <w:rsid w:val="00773F7B"/>
    <w:rsid w:val="0077418B"/>
    <w:rsid w:val="007743DB"/>
    <w:rsid w:val="0077481C"/>
    <w:rsid w:val="007748EC"/>
    <w:rsid w:val="00775042"/>
    <w:rsid w:val="00775A1A"/>
    <w:rsid w:val="00775A26"/>
    <w:rsid w:val="00776092"/>
    <w:rsid w:val="007761EB"/>
    <w:rsid w:val="00776201"/>
    <w:rsid w:val="00776237"/>
    <w:rsid w:val="007762B4"/>
    <w:rsid w:val="0077655F"/>
    <w:rsid w:val="00776777"/>
    <w:rsid w:val="0077691B"/>
    <w:rsid w:val="007769A7"/>
    <w:rsid w:val="007771B1"/>
    <w:rsid w:val="0077738B"/>
    <w:rsid w:val="007774C4"/>
    <w:rsid w:val="007777E1"/>
    <w:rsid w:val="00777842"/>
    <w:rsid w:val="00777D5A"/>
    <w:rsid w:val="00780685"/>
    <w:rsid w:val="00780A9C"/>
    <w:rsid w:val="00780BDD"/>
    <w:rsid w:val="00780DEE"/>
    <w:rsid w:val="00780FD4"/>
    <w:rsid w:val="00781376"/>
    <w:rsid w:val="00781691"/>
    <w:rsid w:val="007816A6"/>
    <w:rsid w:val="0078172A"/>
    <w:rsid w:val="00781B83"/>
    <w:rsid w:val="00781CDC"/>
    <w:rsid w:val="00781E39"/>
    <w:rsid w:val="007822AD"/>
    <w:rsid w:val="00782BDF"/>
    <w:rsid w:val="00782FFB"/>
    <w:rsid w:val="00783178"/>
    <w:rsid w:val="0078331F"/>
    <w:rsid w:val="0078351D"/>
    <w:rsid w:val="007835FD"/>
    <w:rsid w:val="00783607"/>
    <w:rsid w:val="00783896"/>
    <w:rsid w:val="007839F9"/>
    <w:rsid w:val="00783C0F"/>
    <w:rsid w:val="00783C3E"/>
    <w:rsid w:val="00783DF7"/>
    <w:rsid w:val="007840E2"/>
    <w:rsid w:val="007843B4"/>
    <w:rsid w:val="00784773"/>
    <w:rsid w:val="00784A69"/>
    <w:rsid w:val="00784E8E"/>
    <w:rsid w:val="0078502D"/>
    <w:rsid w:val="0078510A"/>
    <w:rsid w:val="0078518F"/>
    <w:rsid w:val="0078589C"/>
    <w:rsid w:val="00785A42"/>
    <w:rsid w:val="00785A74"/>
    <w:rsid w:val="00785D52"/>
    <w:rsid w:val="0078631E"/>
    <w:rsid w:val="007864A3"/>
    <w:rsid w:val="00786B89"/>
    <w:rsid w:val="00786D70"/>
    <w:rsid w:val="00786E58"/>
    <w:rsid w:val="00787189"/>
    <w:rsid w:val="007875E2"/>
    <w:rsid w:val="007877DE"/>
    <w:rsid w:val="00787A5D"/>
    <w:rsid w:val="00787B32"/>
    <w:rsid w:val="0079023C"/>
    <w:rsid w:val="0079057F"/>
    <w:rsid w:val="0079066C"/>
    <w:rsid w:val="00790F71"/>
    <w:rsid w:val="00791280"/>
    <w:rsid w:val="007913A7"/>
    <w:rsid w:val="007914F7"/>
    <w:rsid w:val="00791EED"/>
    <w:rsid w:val="0079295F"/>
    <w:rsid w:val="00792A81"/>
    <w:rsid w:val="00792AC3"/>
    <w:rsid w:val="00792AD6"/>
    <w:rsid w:val="00792F9D"/>
    <w:rsid w:val="00793AC3"/>
    <w:rsid w:val="00794001"/>
    <w:rsid w:val="007947E1"/>
    <w:rsid w:val="00794BA2"/>
    <w:rsid w:val="00794D12"/>
    <w:rsid w:val="00794FDB"/>
    <w:rsid w:val="007955E2"/>
    <w:rsid w:val="00795607"/>
    <w:rsid w:val="007956AE"/>
    <w:rsid w:val="00795AB3"/>
    <w:rsid w:val="00795AEA"/>
    <w:rsid w:val="00795B32"/>
    <w:rsid w:val="00795BB2"/>
    <w:rsid w:val="00796207"/>
    <w:rsid w:val="0079668A"/>
    <w:rsid w:val="0079670B"/>
    <w:rsid w:val="00797213"/>
    <w:rsid w:val="0079772E"/>
    <w:rsid w:val="00797789"/>
    <w:rsid w:val="00797CDE"/>
    <w:rsid w:val="007A0085"/>
    <w:rsid w:val="007A0392"/>
    <w:rsid w:val="007A04F4"/>
    <w:rsid w:val="007A0B02"/>
    <w:rsid w:val="007A0FF0"/>
    <w:rsid w:val="007A1C6E"/>
    <w:rsid w:val="007A1DE6"/>
    <w:rsid w:val="007A20BD"/>
    <w:rsid w:val="007A21E3"/>
    <w:rsid w:val="007A22D9"/>
    <w:rsid w:val="007A2341"/>
    <w:rsid w:val="007A2B96"/>
    <w:rsid w:val="007A315D"/>
    <w:rsid w:val="007A31EC"/>
    <w:rsid w:val="007A34D4"/>
    <w:rsid w:val="007A3C14"/>
    <w:rsid w:val="007A3C29"/>
    <w:rsid w:val="007A40FA"/>
    <w:rsid w:val="007A490C"/>
    <w:rsid w:val="007A4A4E"/>
    <w:rsid w:val="007A4DD5"/>
    <w:rsid w:val="007A50B8"/>
    <w:rsid w:val="007A5114"/>
    <w:rsid w:val="007A5173"/>
    <w:rsid w:val="007A60BB"/>
    <w:rsid w:val="007A6124"/>
    <w:rsid w:val="007A615D"/>
    <w:rsid w:val="007A61A1"/>
    <w:rsid w:val="007A66BC"/>
    <w:rsid w:val="007A66F4"/>
    <w:rsid w:val="007A6D11"/>
    <w:rsid w:val="007A6EF7"/>
    <w:rsid w:val="007A71CD"/>
    <w:rsid w:val="007A73DC"/>
    <w:rsid w:val="007A7436"/>
    <w:rsid w:val="007A7960"/>
    <w:rsid w:val="007A7DD8"/>
    <w:rsid w:val="007B0448"/>
    <w:rsid w:val="007B0482"/>
    <w:rsid w:val="007B0527"/>
    <w:rsid w:val="007B05BF"/>
    <w:rsid w:val="007B094F"/>
    <w:rsid w:val="007B12FA"/>
    <w:rsid w:val="007B135A"/>
    <w:rsid w:val="007B139D"/>
    <w:rsid w:val="007B162D"/>
    <w:rsid w:val="007B16A5"/>
    <w:rsid w:val="007B1A8F"/>
    <w:rsid w:val="007B1DC8"/>
    <w:rsid w:val="007B2145"/>
    <w:rsid w:val="007B25A2"/>
    <w:rsid w:val="007B2812"/>
    <w:rsid w:val="007B2BF6"/>
    <w:rsid w:val="007B2C4F"/>
    <w:rsid w:val="007B2FEE"/>
    <w:rsid w:val="007B32E8"/>
    <w:rsid w:val="007B3675"/>
    <w:rsid w:val="007B378B"/>
    <w:rsid w:val="007B3B3C"/>
    <w:rsid w:val="007B3BE6"/>
    <w:rsid w:val="007B3F87"/>
    <w:rsid w:val="007B4144"/>
    <w:rsid w:val="007B41F6"/>
    <w:rsid w:val="007B4370"/>
    <w:rsid w:val="007B43AD"/>
    <w:rsid w:val="007B4A8C"/>
    <w:rsid w:val="007B4B4F"/>
    <w:rsid w:val="007B4C2F"/>
    <w:rsid w:val="007B5518"/>
    <w:rsid w:val="007B5729"/>
    <w:rsid w:val="007B592B"/>
    <w:rsid w:val="007B5C5E"/>
    <w:rsid w:val="007B631E"/>
    <w:rsid w:val="007B6363"/>
    <w:rsid w:val="007B67D6"/>
    <w:rsid w:val="007B6A3B"/>
    <w:rsid w:val="007B6D02"/>
    <w:rsid w:val="007B6E94"/>
    <w:rsid w:val="007B7366"/>
    <w:rsid w:val="007B74BB"/>
    <w:rsid w:val="007B74E0"/>
    <w:rsid w:val="007B7B13"/>
    <w:rsid w:val="007B7BCB"/>
    <w:rsid w:val="007B7EDF"/>
    <w:rsid w:val="007C0437"/>
    <w:rsid w:val="007C0E29"/>
    <w:rsid w:val="007C0F1E"/>
    <w:rsid w:val="007C1130"/>
    <w:rsid w:val="007C1643"/>
    <w:rsid w:val="007C1751"/>
    <w:rsid w:val="007C1B18"/>
    <w:rsid w:val="007C1C3D"/>
    <w:rsid w:val="007C28FD"/>
    <w:rsid w:val="007C2CDD"/>
    <w:rsid w:val="007C2DBB"/>
    <w:rsid w:val="007C2ED7"/>
    <w:rsid w:val="007C2FCB"/>
    <w:rsid w:val="007C3241"/>
    <w:rsid w:val="007C33AB"/>
    <w:rsid w:val="007C33AD"/>
    <w:rsid w:val="007C354F"/>
    <w:rsid w:val="007C3682"/>
    <w:rsid w:val="007C36B2"/>
    <w:rsid w:val="007C3716"/>
    <w:rsid w:val="007C37CF"/>
    <w:rsid w:val="007C3A98"/>
    <w:rsid w:val="007C4243"/>
    <w:rsid w:val="007C435B"/>
    <w:rsid w:val="007C483C"/>
    <w:rsid w:val="007C4938"/>
    <w:rsid w:val="007C49AB"/>
    <w:rsid w:val="007C4BBB"/>
    <w:rsid w:val="007C4C79"/>
    <w:rsid w:val="007C4F0E"/>
    <w:rsid w:val="007C5163"/>
    <w:rsid w:val="007C56B1"/>
    <w:rsid w:val="007C5F86"/>
    <w:rsid w:val="007C6003"/>
    <w:rsid w:val="007C6B7C"/>
    <w:rsid w:val="007C6DDD"/>
    <w:rsid w:val="007C735F"/>
    <w:rsid w:val="007C75DB"/>
    <w:rsid w:val="007C76DA"/>
    <w:rsid w:val="007C7922"/>
    <w:rsid w:val="007C7978"/>
    <w:rsid w:val="007C79DF"/>
    <w:rsid w:val="007C7B63"/>
    <w:rsid w:val="007D01C4"/>
    <w:rsid w:val="007D0235"/>
    <w:rsid w:val="007D02A1"/>
    <w:rsid w:val="007D0B01"/>
    <w:rsid w:val="007D0BE2"/>
    <w:rsid w:val="007D0DE3"/>
    <w:rsid w:val="007D0EE3"/>
    <w:rsid w:val="007D1024"/>
    <w:rsid w:val="007D127C"/>
    <w:rsid w:val="007D139F"/>
    <w:rsid w:val="007D1918"/>
    <w:rsid w:val="007D1A1E"/>
    <w:rsid w:val="007D1CA4"/>
    <w:rsid w:val="007D24A5"/>
    <w:rsid w:val="007D2548"/>
    <w:rsid w:val="007D255B"/>
    <w:rsid w:val="007D2B25"/>
    <w:rsid w:val="007D2D76"/>
    <w:rsid w:val="007D31C6"/>
    <w:rsid w:val="007D3563"/>
    <w:rsid w:val="007D3AD9"/>
    <w:rsid w:val="007D3D35"/>
    <w:rsid w:val="007D4948"/>
    <w:rsid w:val="007D4B81"/>
    <w:rsid w:val="007D4CD2"/>
    <w:rsid w:val="007D568C"/>
    <w:rsid w:val="007D61D3"/>
    <w:rsid w:val="007D661A"/>
    <w:rsid w:val="007D6FFC"/>
    <w:rsid w:val="007D71D8"/>
    <w:rsid w:val="007D746C"/>
    <w:rsid w:val="007D763E"/>
    <w:rsid w:val="007D77DC"/>
    <w:rsid w:val="007D7A19"/>
    <w:rsid w:val="007E012C"/>
    <w:rsid w:val="007E0648"/>
    <w:rsid w:val="007E0E0D"/>
    <w:rsid w:val="007E0F24"/>
    <w:rsid w:val="007E104E"/>
    <w:rsid w:val="007E1130"/>
    <w:rsid w:val="007E1292"/>
    <w:rsid w:val="007E153C"/>
    <w:rsid w:val="007E19B5"/>
    <w:rsid w:val="007E1C8D"/>
    <w:rsid w:val="007E2268"/>
    <w:rsid w:val="007E25E5"/>
    <w:rsid w:val="007E2709"/>
    <w:rsid w:val="007E28C5"/>
    <w:rsid w:val="007E28D9"/>
    <w:rsid w:val="007E2951"/>
    <w:rsid w:val="007E2E38"/>
    <w:rsid w:val="007E2E46"/>
    <w:rsid w:val="007E3046"/>
    <w:rsid w:val="007E3168"/>
    <w:rsid w:val="007E3688"/>
    <w:rsid w:val="007E3D35"/>
    <w:rsid w:val="007E41E7"/>
    <w:rsid w:val="007E41F6"/>
    <w:rsid w:val="007E44F7"/>
    <w:rsid w:val="007E475F"/>
    <w:rsid w:val="007E4A02"/>
    <w:rsid w:val="007E4CAD"/>
    <w:rsid w:val="007E5044"/>
    <w:rsid w:val="007E510D"/>
    <w:rsid w:val="007E5398"/>
    <w:rsid w:val="007E55E7"/>
    <w:rsid w:val="007E5B5C"/>
    <w:rsid w:val="007E5F88"/>
    <w:rsid w:val="007E6554"/>
    <w:rsid w:val="007E6768"/>
    <w:rsid w:val="007E745E"/>
    <w:rsid w:val="007E7679"/>
    <w:rsid w:val="007E78A7"/>
    <w:rsid w:val="007F0106"/>
    <w:rsid w:val="007F0650"/>
    <w:rsid w:val="007F074A"/>
    <w:rsid w:val="007F08A3"/>
    <w:rsid w:val="007F0CE2"/>
    <w:rsid w:val="007F0E67"/>
    <w:rsid w:val="007F0F8E"/>
    <w:rsid w:val="007F13BF"/>
    <w:rsid w:val="007F1416"/>
    <w:rsid w:val="007F1445"/>
    <w:rsid w:val="007F1524"/>
    <w:rsid w:val="007F1890"/>
    <w:rsid w:val="007F1DB1"/>
    <w:rsid w:val="007F1E89"/>
    <w:rsid w:val="007F2221"/>
    <w:rsid w:val="007F25A2"/>
    <w:rsid w:val="007F26F8"/>
    <w:rsid w:val="007F28F0"/>
    <w:rsid w:val="007F33F1"/>
    <w:rsid w:val="007F361A"/>
    <w:rsid w:val="007F3B52"/>
    <w:rsid w:val="007F3B75"/>
    <w:rsid w:val="007F452A"/>
    <w:rsid w:val="007F471E"/>
    <w:rsid w:val="007F48CE"/>
    <w:rsid w:val="007F4CDE"/>
    <w:rsid w:val="007F4FCD"/>
    <w:rsid w:val="007F510F"/>
    <w:rsid w:val="007F51C5"/>
    <w:rsid w:val="007F523A"/>
    <w:rsid w:val="007F5411"/>
    <w:rsid w:val="007F5901"/>
    <w:rsid w:val="007F5DFD"/>
    <w:rsid w:val="007F5FCD"/>
    <w:rsid w:val="007F6056"/>
    <w:rsid w:val="007F6DD2"/>
    <w:rsid w:val="007F6E1D"/>
    <w:rsid w:val="007F6EF6"/>
    <w:rsid w:val="007F7181"/>
    <w:rsid w:val="007F739E"/>
    <w:rsid w:val="007F740E"/>
    <w:rsid w:val="007F7930"/>
    <w:rsid w:val="007F7B4C"/>
    <w:rsid w:val="007F7BEC"/>
    <w:rsid w:val="007F7DCE"/>
    <w:rsid w:val="008001D1"/>
    <w:rsid w:val="0080059D"/>
    <w:rsid w:val="008006A6"/>
    <w:rsid w:val="008007A7"/>
    <w:rsid w:val="00800950"/>
    <w:rsid w:val="00800BFA"/>
    <w:rsid w:val="0080150F"/>
    <w:rsid w:val="00801B4E"/>
    <w:rsid w:val="00801C9E"/>
    <w:rsid w:val="00801EAC"/>
    <w:rsid w:val="00802162"/>
    <w:rsid w:val="00802348"/>
    <w:rsid w:val="0080283B"/>
    <w:rsid w:val="00802AC3"/>
    <w:rsid w:val="00802BE7"/>
    <w:rsid w:val="00802CD8"/>
    <w:rsid w:val="00803192"/>
    <w:rsid w:val="0080378E"/>
    <w:rsid w:val="00803B2B"/>
    <w:rsid w:val="008044F8"/>
    <w:rsid w:val="00805170"/>
    <w:rsid w:val="00805277"/>
    <w:rsid w:val="0080543C"/>
    <w:rsid w:val="00805633"/>
    <w:rsid w:val="00805DDF"/>
    <w:rsid w:val="00805F35"/>
    <w:rsid w:val="0080609E"/>
    <w:rsid w:val="00806305"/>
    <w:rsid w:val="0080679A"/>
    <w:rsid w:val="008069B7"/>
    <w:rsid w:val="00806A36"/>
    <w:rsid w:val="00806D42"/>
    <w:rsid w:val="008070B3"/>
    <w:rsid w:val="008070F0"/>
    <w:rsid w:val="0080720A"/>
    <w:rsid w:val="00807246"/>
    <w:rsid w:val="00807665"/>
    <w:rsid w:val="00807B7B"/>
    <w:rsid w:val="00810163"/>
    <w:rsid w:val="0081021B"/>
    <w:rsid w:val="00810326"/>
    <w:rsid w:val="0081074A"/>
    <w:rsid w:val="00810812"/>
    <w:rsid w:val="00810ECD"/>
    <w:rsid w:val="00811620"/>
    <w:rsid w:val="00811C94"/>
    <w:rsid w:val="00811E54"/>
    <w:rsid w:val="008120C8"/>
    <w:rsid w:val="00812226"/>
    <w:rsid w:val="00812C60"/>
    <w:rsid w:val="00812F17"/>
    <w:rsid w:val="008131CF"/>
    <w:rsid w:val="00813420"/>
    <w:rsid w:val="00813608"/>
    <w:rsid w:val="00813831"/>
    <w:rsid w:val="0081386F"/>
    <w:rsid w:val="00813CFD"/>
    <w:rsid w:val="00813DA4"/>
    <w:rsid w:val="00813DAE"/>
    <w:rsid w:val="008144C7"/>
    <w:rsid w:val="00814536"/>
    <w:rsid w:val="0081469B"/>
    <w:rsid w:val="00814E42"/>
    <w:rsid w:val="00815579"/>
    <w:rsid w:val="0081586A"/>
    <w:rsid w:val="008159B0"/>
    <w:rsid w:val="00815BBB"/>
    <w:rsid w:val="00816291"/>
    <w:rsid w:val="00816750"/>
    <w:rsid w:val="00816893"/>
    <w:rsid w:val="00816943"/>
    <w:rsid w:val="00816A21"/>
    <w:rsid w:val="008170B6"/>
    <w:rsid w:val="00817790"/>
    <w:rsid w:val="008201FA"/>
    <w:rsid w:val="008202EB"/>
    <w:rsid w:val="008209D1"/>
    <w:rsid w:val="00820C28"/>
    <w:rsid w:val="00821574"/>
    <w:rsid w:val="008216D5"/>
    <w:rsid w:val="0082190D"/>
    <w:rsid w:val="00821BBC"/>
    <w:rsid w:val="008220B1"/>
    <w:rsid w:val="008226EB"/>
    <w:rsid w:val="00822AA7"/>
    <w:rsid w:val="00823195"/>
    <w:rsid w:val="0082361C"/>
    <w:rsid w:val="00823922"/>
    <w:rsid w:val="00823C17"/>
    <w:rsid w:val="00823D71"/>
    <w:rsid w:val="00823F8E"/>
    <w:rsid w:val="008245C2"/>
    <w:rsid w:val="008245E5"/>
    <w:rsid w:val="00824DBA"/>
    <w:rsid w:val="00825028"/>
    <w:rsid w:val="0082507B"/>
    <w:rsid w:val="008250B0"/>
    <w:rsid w:val="00826020"/>
    <w:rsid w:val="00826259"/>
    <w:rsid w:val="00826C78"/>
    <w:rsid w:val="0082741F"/>
    <w:rsid w:val="008275A1"/>
    <w:rsid w:val="008275B4"/>
    <w:rsid w:val="008275E9"/>
    <w:rsid w:val="00827FB0"/>
    <w:rsid w:val="00830F13"/>
    <w:rsid w:val="00830F16"/>
    <w:rsid w:val="008317EB"/>
    <w:rsid w:val="008318A2"/>
    <w:rsid w:val="008318C0"/>
    <w:rsid w:val="00831DE1"/>
    <w:rsid w:val="00832250"/>
    <w:rsid w:val="00832450"/>
    <w:rsid w:val="00832BC9"/>
    <w:rsid w:val="00832C0F"/>
    <w:rsid w:val="0083328D"/>
    <w:rsid w:val="00833627"/>
    <w:rsid w:val="00833C6B"/>
    <w:rsid w:val="008340E9"/>
    <w:rsid w:val="008344DE"/>
    <w:rsid w:val="008344F3"/>
    <w:rsid w:val="0083477B"/>
    <w:rsid w:val="00834837"/>
    <w:rsid w:val="00834D75"/>
    <w:rsid w:val="00835007"/>
    <w:rsid w:val="0083564D"/>
    <w:rsid w:val="00835CE6"/>
    <w:rsid w:val="008361AE"/>
    <w:rsid w:val="0083667E"/>
    <w:rsid w:val="0083696F"/>
    <w:rsid w:val="00836F97"/>
    <w:rsid w:val="00837530"/>
    <w:rsid w:val="00837532"/>
    <w:rsid w:val="00837E1C"/>
    <w:rsid w:val="008401DC"/>
    <w:rsid w:val="008402B3"/>
    <w:rsid w:val="008402CF"/>
    <w:rsid w:val="00840347"/>
    <w:rsid w:val="008405D8"/>
    <w:rsid w:val="00840D7E"/>
    <w:rsid w:val="00840E66"/>
    <w:rsid w:val="0084117C"/>
    <w:rsid w:val="00841746"/>
    <w:rsid w:val="00841BEA"/>
    <w:rsid w:val="00841D0C"/>
    <w:rsid w:val="00841D97"/>
    <w:rsid w:val="00841E38"/>
    <w:rsid w:val="00841F0D"/>
    <w:rsid w:val="00842430"/>
    <w:rsid w:val="008425A2"/>
    <w:rsid w:val="008425FC"/>
    <w:rsid w:val="00842655"/>
    <w:rsid w:val="00842707"/>
    <w:rsid w:val="008427B7"/>
    <w:rsid w:val="008428ED"/>
    <w:rsid w:val="00842971"/>
    <w:rsid w:val="00842989"/>
    <w:rsid w:val="00842BF3"/>
    <w:rsid w:val="00842C07"/>
    <w:rsid w:val="008431E2"/>
    <w:rsid w:val="008435BC"/>
    <w:rsid w:val="008435C1"/>
    <w:rsid w:val="00843713"/>
    <w:rsid w:val="0084383F"/>
    <w:rsid w:val="008438D3"/>
    <w:rsid w:val="008438DC"/>
    <w:rsid w:val="008449BD"/>
    <w:rsid w:val="00844B7C"/>
    <w:rsid w:val="00844E8D"/>
    <w:rsid w:val="0084518B"/>
    <w:rsid w:val="00845418"/>
    <w:rsid w:val="00845729"/>
    <w:rsid w:val="00845ACA"/>
    <w:rsid w:val="008463F5"/>
    <w:rsid w:val="008467FE"/>
    <w:rsid w:val="00847142"/>
    <w:rsid w:val="008476FA"/>
    <w:rsid w:val="00847875"/>
    <w:rsid w:val="0084789B"/>
    <w:rsid w:val="00847E30"/>
    <w:rsid w:val="00847ECA"/>
    <w:rsid w:val="008501C0"/>
    <w:rsid w:val="008501CC"/>
    <w:rsid w:val="0085086C"/>
    <w:rsid w:val="00850B7F"/>
    <w:rsid w:val="00850E3A"/>
    <w:rsid w:val="00851159"/>
    <w:rsid w:val="00851862"/>
    <w:rsid w:val="00852460"/>
    <w:rsid w:val="008524A6"/>
    <w:rsid w:val="0085259E"/>
    <w:rsid w:val="008525A8"/>
    <w:rsid w:val="008525F7"/>
    <w:rsid w:val="00852C78"/>
    <w:rsid w:val="00852FF0"/>
    <w:rsid w:val="00853419"/>
    <w:rsid w:val="00853716"/>
    <w:rsid w:val="0085373B"/>
    <w:rsid w:val="00853D47"/>
    <w:rsid w:val="00854165"/>
    <w:rsid w:val="0085444E"/>
    <w:rsid w:val="008547B2"/>
    <w:rsid w:val="00854E2C"/>
    <w:rsid w:val="00854E8A"/>
    <w:rsid w:val="008551B6"/>
    <w:rsid w:val="00855414"/>
    <w:rsid w:val="008555C1"/>
    <w:rsid w:val="0085564D"/>
    <w:rsid w:val="00855ADC"/>
    <w:rsid w:val="00855E6A"/>
    <w:rsid w:val="00855E6E"/>
    <w:rsid w:val="00855F2D"/>
    <w:rsid w:val="00855FAC"/>
    <w:rsid w:val="00856764"/>
    <w:rsid w:val="008568DF"/>
    <w:rsid w:val="00856C1F"/>
    <w:rsid w:val="00856F56"/>
    <w:rsid w:val="008571EC"/>
    <w:rsid w:val="008572FD"/>
    <w:rsid w:val="008575D7"/>
    <w:rsid w:val="008576AE"/>
    <w:rsid w:val="00857A60"/>
    <w:rsid w:val="00857AC1"/>
    <w:rsid w:val="00857CA7"/>
    <w:rsid w:val="00857EB9"/>
    <w:rsid w:val="008602E9"/>
    <w:rsid w:val="00860321"/>
    <w:rsid w:val="008604FF"/>
    <w:rsid w:val="008605E1"/>
    <w:rsid w:val="00860E40"/>
    <w:rsid w:val="00860F04"/>
    <w:rsid w:val="008614CF"/>
    <w:rsid w:val="008618E3"/>
    <w:rsid w:val="008619AC"/>
    <w:rsid w:val="00861C76"/>
    <w:rsid w:val="00862425"/>
    <w:rsid w:val="008624F3"/>
    <w:rsid w:val="008627FB"/>
    <w:rsid w:val="00862A16"/>
    <w:rsid w:val="00862A56"/>
    <w:rsid w:val="00862F0E"/>
    <w:rsid w:val="00863AD3"/>
    <w:rsid w:val="00864659"/>
    <w:rsid w:val="0086498D"/>
    <w:rsid w:val="008649D0"/>
    <w:rsid w:val="008649D5"/>
    <w:rsid w:val="00864B08"/>
    <w:rsid w:val="0086589E"/>
    <w:rsid w:val="0086593E"/>
    <w:rsid w:val="008660C7"/>
    <w:rsid w:val="008663C0"/>
    <w:rsid w:val="0086663B"/>
    <w:rsid w:val="00866677"/>
    <w:rsid w:val="00866FFE"/>
    <w:rsid w:val="00867543"/>
    <w:rsid w:val="008679B2"/>
    <w:rsid w:val="00867B01"/>
    <w:rsid w:val="00867D15"/>
    <w:rsid w:val="00867F7A"/>
    <w:rsid w:val="0087034F"/>
    <w:rsid w:val="00870390"/>
    <w:rsid w:val="00870577"/>
    <w:rsid w:val="0087070E"/>
    <w:rsid w:val="00870D03"/>
    <w:rsid w:val="00870E07"/>
    <w:rsid w:val="00871091"/>
    <w:rsid w:val="008712E3"/>
    <w:rsid w:val="00871374"/>
    <w:rsid w:val="008713DF"/>
    <w:rsid w:val="00871674"/>
    <w:rsid w:val="008716A6"/>
    <w:rsid w:val="008716BD"/>
    <w:rsid w:val="00871988"/>
    <w:rsid w:val="00871AB1"/>
    <w:rsid w:val="00871D20"/>
    <w:rsid w:val="00871E5E"/>
    <w:rsid w:val="00871F1D"/>
    <w:rsid w:val="00871F61"/>
    <w:rsid w:val="008728FC"/>
    <w:rsid w:val="00872CD8"/>
    <w:rsid w:val="00872D78"/>
    <w:rsid w:val="00872DD1"/>
    <w:rsid w:val="008730B1"/>
    <w:rsid w:val="00873267"/>
    <w:rsid w:val="00873463"/>
    <w:rsid w:val="008735F5"/>
    <w:rsid w:val="00873AFA"/>
    <w:rsid w:val="00873C70"/>
    <w:rsid w:val="00873DE9"/>
    <w:rsid w:val="008740DD"/>
    <w:rsid w:val="008746FF"/>
    <w:rsid w:val="008747C1"/>
    <w:rsid w:val="00874CED"/>
    <w:rsid w:val="0087517A"/>
    <w:rsid w:val="00875271"/>
    <w:rsid w:val="0087555E"/>
    <w:rsid w:val="008757DF"/>
    <w:rsid w:val="00875D09"/>
    <w:rsid w:val="0087607F"/>
    <w:rsid w:val="008760B9"/>
    <w:rsid w:val="00876E57"/>
    <w:rsid w:val="00877700"/>
    <w:rsid w:val="008778A4"/>
    <w:rsid w:val="00877B9E"/>
    <w:rsid w:val="0088065E"/>
    <w:rsid w:val="008806FF"/>
    <w:rsid w:val="00880A12"/>
    <w:rsid w:val="00881344"/>
    <w:rsid w:val="00881472"/>
    <w:rsid w:val="008816E0"/>
    <w:rsid w:val="0088177E"/>
    <w:rsid w:val="00881DFB"/>
    <w:rsid w:val="00882446"/>
    <w:rsid w:val="008825AA"/>
    <w:rsid w:val="00883066"/>
    <w:rsid w:val="00883330"/>
    <w:rsid w:val="00883B42"/>
    <w:rsid w:val="00884084"/>
    <w:rsid w:val="00884621"/>
    <w:rsid w:val="00884A02"/>
    <w:rsid w:val="00884BF0"/>
    <w:rsid w:val="00884C4C"/>
    <w:rsid w:val="00884CE3"/>
    <w:rsid w:val="00884EA1"/>
    <w:rsid w:val="00885661"/>
    <w:rsid w:val="00885907"/>
    <w:rsid w:val="00885C63"/>
    <w:rsid w:val="00885D1A"/>
    <w:rsid w:val="00885DD1"/>
    <w:rsid w:val="00886108"/>
    <w:rsid w:val="0088661A"/>
    <w:rsid w:val="008866BC"/>
    <w:rsid w:val="008866C4"/>
    <w:rsid w:val="00886935"/>
    <w:rsid w:val="0088698C"/>
    <w:rsid w:val="008869C6"/>
    <w:rsid w:val="00886EBB"/>
    <w:rsid w:val="0088742A"/>
    <w:rsid w:val="008878E3"/>
    <w:rsid w:val="00887DB9"/>
    <w:rsid w:val="00887F9B"/>
    <w:rsid w:val="00890725"/>
    <w:rsid w:val="00890B35"/>
    <w:rsid w:val="00890D2F"/>
    <w:rsid w:val="00890ED2"/>
    <w:rsid w:val="00890EDC"/>
    <w:rsid w:val="008911D3"/>
    <w:rsid w:val="008916E3"/>
    <w:rsid w:val="008918AA"/>
    <w:rsid w:val="00891BF9"/>
    <w:rsid w:val="00891CBD"/>
    <w:rsid w:val="00892356"/>
    <w:rsid w:val="008924B1"/>
    <w:rsid w:val="008928B3"/>
    <w:rsid w:val="0089337B"/>
    <w:rsid w:val="00893582"/>
    <w:rsid w:val="00893ED8"/>
    <w:rsid w:val="00893F9B"/>
    <w:rsid w:val="00894111"/>
    <w:rsid w:val="00894583"/>
    <w:rsid w:val="008945D1"/>
    <w:rsid w:val="008945E8"/>
    <w:rsid w:val="00894612"/>
    <w:rsid w:val="00894A7B"/>
    <w:rsid w:val="00894AE4"/>
    <w:rsid w:val="00894C0A"/>
    <w:rsid w:val="00894D2B"/>
    <w:rsid w:val="00894E83"/>
    <w:rsid w:val="00894E9A"/>
    <w:rsid w:val="00894F8D"/>
    <w:rsid w:val="00894FB1"/>
    <w:rsid w:val="00894FE6"/>
    <w:rsid w:val="0089502D"/>
    <w:rsid w:val="0089638A"/>
    <w:rsid w:val="008963FC"/>
    <w:rsid w:val="008964B0"/>
    <w:rsid w:val="00896D37"/>
    <w:rsid w:val="00896D5F"/>
    <w:rsid w:val="00896D68"/>
    <w:rsid w:val="00897698"/>
    <w:rsid w:val="00897729"/>
    <w:rsid w:val="0089783C"/>
    <w:rsid w:val="00897DD9"/>
    <w:rsid w:val="008A0043"/>
    <w:rsid w:val="008A0448"/>
    <w:rsid w:val="008A04E4"/>
    <w:rsid w:val="008A05AB"/>
    <w:rsid w:val="008A0857"/>
    <w:rsid w:val="008A0A9F"/>
    <w:rsid w:val="008A0C03"/>
    <w:rsid w:val="008A0DAE"/>
    <w:rsid w:val="008A0DFB"/>
    <w:rsid w:val="008A10F8"/>
    <w:rsid w:val="008A11C5"/>
    <w:rsid w:val="008A19AB"/>
    <w:rsid w:val="008A1CBC"/>
    <w:rsid w:val="008A2042"/>
    <w:rsid w:val="008A218F"/>
    <w:rsid w:val="008A2675"/>
    <w:rsid w:val="008A2BC9"/>
    <w:rsid w:val="008A2F20"/>
    <w:rsid w:val="008A31CB"/>
    <w:rsid w:val="008A369C"/>
    <w:rsid w:val="008A387C"/>
    <w:rsid w:val="008A39F1"/>
    <w:rsid w:val="008A3C61"/>
    <w:rsid w:val="008A3FCE"/>
    <w:rsid w:val="008A4272"/>
    <w:rsid w:val="008A42D3"/>
    <w:rsid w:val="008A46A4"/>
    <w:rsid w:val="008A4C08"/>
    <w:rsid w:val="008A4EC7"/>
    <w:rsid w:val="008A555F"/>
    <w:rsid w:val="008A58AA"/>
    <w:rsid w:val="008A6055"/>
    <w:rsid w:val="008A6152"/>
    <w:rsid w:val="008A63B6"/>
    <w:rsid w:val="008A675E"/>
    <w:rsid w:val="008A689B"/>
    <w:rsid w:val="008A6D0E"/>
    <w:rsid w:val="008A6DB2"/>
    <w:rsid w:val="008A7177"/>
    <w:rsid w:val="008A74FD"/>
    <w:rsid w:val="008A752B"/>
    <w:rsid w:val="008A7AFB"/>
    <w:rsid w:val="008B064D"/>
    <w:rsid w:val="008B128C"/>
    <w:rsid w:val="008B1441"/>
    <w:rsid w:val="008B19B9"/>
    <w:rsid w:val="008B1C31"/>
    <w:rsid w:val="008B1E69"/>
    <w:rsid w:val="008B27F3"/>
    <w:rsid w:val="008B2875"/>
    <w:rsid w:val="008B3469"/>
    <w:rsid w:val="008B35DC"/>
    <w:rsid w:val="008B3C83"/>
    <w:rsid w:val="008B3D53"/>
    <w:rsid w:val="008B4586"/>
    <w:rsid w:val="008B4725"/>
    <w:rsid w:val="008B4994"/>
    <w:rsid w:val="008B4F56"/>
    <w:rsid w:val="008B5855"/>
    <w:rsid w:val="008B5BEE"/>
    <w:rsid w:val="008B5C5B"/>
    <w:rsid w:val="008B6116"/>
    <w:rsid w:val="008B6700"/>
    <w:rsid w:val="008B6A65"/>
    <w:rsid w:val="008B6E35"/>
    <w:rsid w:val="008B6EBE"/>
    <w:rsid w:val="008B7913"/>
    <w:rsid w:val="008B7D94"/>
    <w:rsid w:val="008C02A9"/>
    <w:rsid w:val="008C07FC"/>
    <w:rsid w:val="008C08B5"/>
    <w:rsid w:val="008C0B48"/>
    <w:rsid w:val="008C0D07"/>
    <w:rsid w:val="008C1957"/>
    <w:rsid w:val="008C1D3A"/>
    <w:rsid w:val="008C2178"/>
    <w:rsid w:val="008C22D5"/>
    <w:rsid w:val="008C28FC"/>
    <w:rsid w:val="008C29E6"/>
    <w:rsid w:val="008C2CCD"/>
    <w:rsid w:val="008C3211"/>
    <w:rsid w:val="008C39B8"/>
    <w:rsid w:val="008C3BEC"/>
    <w:rsid w:val="008C3EB2"/>
    <w:rsid w:val="008C4120"/>
    <w:rsid w:val="008C4345"/>
    <w:rsid w:val="008C486F"/>
    <w:rsid w:val="008C4B70"/>
    <w:rsid w:val="008C4B97"/>
    <w:rsid w:val="008C4CC5"/>
    <w:rsid w:val="008C5204"/>
    <w:rsid w:val="008C5B06"/>
    <w:rsid w:val="008C5E5E"/>
    <w:rsid w:val="008C67ED"/>
    <w:rsid w:val="008C7152"/>
    <w:rsid w:val="008C7346"/>
    <w:rsid w:val="008C73BD"/>
    <w:rsid w:val="008C7695"/>
    <w:rsid w:val="008C76A6"/>
    <w:rsid w:val="008C774D"/>
    <w:rsid w:val="008C7897"/>
    <w:rsid w:val="008C796F"/>
    <w:rsid w:val="008C7C39"/>
    <w:rsid w:val="008C7F58"/>
    <w:rsid w:val="008D0055"/>
    <w:rsid w:val="008D012E"/>
    <w:rsid w:val="008D0D22"/>
    <w:rsid w:val="008D0D2A"/>
    <w:rsid w:val="008D0D70"/>
    <w:rsid w:val="008D0F60"/>
    <w:rsid w:val="008D157B"/>
    <w:rsid w:val="008D17F0"/>
    <w:rsid w:val="008D18E7"/>
    <w:rsid w:val="008D1C8F"/>
    <w:rsid w:val="008D23CC"/>
    <w:rsid w:val="008D2CF5"/>
    <w:rsid w:val="008D32D6"/>
    <w:rsid w:val="008D37C8"/>
    <w:rsid w:val="008D3C50"/>
    <w:rsid w:val="008D3ED9"/>
    <w:rsid w:val="008D403E"/>
    <w:rsid w:val="008D4136"/>
    <w:rsid w:val="008D42C5"/>
    <w:rsid w:val="008D4376"/>
    <w:rsid w:val="008D47E9"/>
    <w:rsid w:val="008D48BE"/>
    <w:rsid w:val="008D4D6E"/>
    <w:rsid w:val="008D5C96"/>
    <w:rsid w:val="008D5FF0"/>
    <w:rsid w:val="008D619E"/>
    <w:rsid w:val="008D6551"/>
    <w:rsid w:val="008D6611"/>
    <w:rsid w:val="008D66D1"/>
    <w:rsid w:val="008D69E9"/>
    <w:rsid w:val="008D70E7"/>
    <w:rsid w:val="008D77A9"/>
    <w:rsid w:val="008D77C9"/>
    <w:rsid w:val="008D78EB"/>
    <w:rsid w:val="008D7AF4"/>
    <w:rsid w:val="008D7BA8"/>
    <w:rsid w:val="008D7C3B"/>
    <w:rsid w:val="008E027F"/>
    <w:rsid w:val="008E051E"/>
    <w:rsid w:val="008E0528"/>
    <w:rsid w:val="008E0588"/>
    <w:rsid w:val="008E076D"/>
    <w:rsid w:val="008E1113"/>
    <w:rsid w:val="008E188F"/>
    <w:rsid w:val="008E1A3D"/>
    <w:rsid w:val="008E20FB"/>
    <w:rsid w:val="008E22DE"/>
    <w:rsid w:val="008E25C6"/>
    <w:rsid w:val="008E2631"/>
    <w:rsid w:val="008E2C95"/>
    <w:rsid w:val="008E2E85"/>
    <w:rsid w:val="008E357B"/>
    <w:rsid w:val="008E3634"/>
    <w:rsid w:val="008E39A1"/>
    <w:rsid w:val="008E3C93"/>
    <w:rsid w:val="008E3D7E"/>
    <w:rsid w:val="008E3EEA"/>
    <w:rsid w:val="008E4208"/>
    <w:rsid w:val="008E4673"/>
    <w:rsid w:val="008E4A53"/>
    <w:rsid w:val="008E5884"/>
    <w:rsid w:val="008E5D4D"/>
    <w:rsid w:val="008E634E"/>
    <w:rsid w:val="008E6941"/>
    <w:rsid w:val="008E6D91"/>
    <w:rsid w:val="008E6DA4"/>
    <w:rsid w:val="008E6EA3"/>
    <w:rsid w:val="008E7822"/>
    <w:rsid w:val="008E7A21"/>
    <w:rsid w:val="008E7D93"/>
    <w:rsid w:val="008E7DD1"/>
    <w:rsid w:val="008F0170"/>
    <w:rsid w:val="008F0582"/>
    <w:rsid w:val="008F0603"/>
    <w:rsid w:val="008F0739"/>
    <w:rsid w:val="008F087B"/>
    <w:rsid w:val="008F08D8"/>
    <w:rsid w:val="008F1171"/>
    <w:rsid w:val="008F137D"/>
    <w:rsid w:val="008F183A"/>
    <w:rsid w:val="008F187B"/>
    <w:rsid w:val="008F1D1C"/>
    <w:rsid w:val="008F1F82"/>
    <w:rsid w:val="008F1FFC"/>
    <w:rsid w:val="008F23B2"/>
    <w:rsid w:val="008F2BF2"/>
    <w:rsid w:val="008F2C18"/>
    <w:rsid w:val="008F3030"/>
    <w:rsid w:val="008F34BA"/>
    <w:rsid w:val="008F365F"/>
    <w:rsid w:val="008F3819"/>
    <w:rsid w:val="008F38D3"/>
    <w:rsid w:val="008F3D0C"/>
    <w:rsid w:val="008F4DDD"/>
    <w:rsid w:val="008F53B5"/>
    <w:rsid w:val="008F580C"/>
    <w:rsid w:val="008F59A8"/>
    <w:rsid w:val="008F5A0C"/>
    <w:rsid w:val="008F5DC3"/>
    <w:rsid w:val="008F6137"/>
    <w:rsid w:val="008F629D"/>
    <w:rsid w:val="008F63DB"/>
    <w:rsid w:val="008F64F5"/>
    <w:rsid w:val="008F6732"/>
    <w:rsid w:val="008F6840"/>
    <w:rsid w:val="008F6C03"/>
    <w:rsid w:val="008F7067"/>
    <w:rsid w:val="008F72B5"/>
    <w:rsid w:val="008F734B"/>
    <w:rsid w:val="008F76B2"/>
    <w:rsid w:val="008F7C28"/>
    <w:rsid w:val="0090004B"/>
    <w:rsid w:val="00900077"/>
    <w:rsid w:val="00900432"/>
    <w:rsid w:val="00900479"/>
    <w:rsid w:val="0090047B"/>
    <w:rsid w:val="00900ED8"/>
    <w:rsid w:val="00901348"/>
    <w:rsid w:val="0090153B"/>
    <w:rsid w:val="009026BC"/>
    <w:rsid w:val="00902CE0"/>
    <w:rsid w:val="00902D07"/>
    <w:rsid w:val="00902EAE"/>
    <w:rsid w:val="00903492"/>
    <w:rsid w:val="00903645"/>
    <w:rsid w:val="009039EC"/>
    <w:rsid w:val="00903E45"/>
    <w:rsid w:val="009044CC"/>
    <w:rsid w:val="00904757"/>
    <w:rsid w:val="009047DF"/>
    <w:rsid w:val="0090559D"/>
    <w:rsid w:val="009057F7"/>
    <w:rsid w:val="0090597B"/>
    <w:rsid w:val="009059F8"/>
    <w:rsid w:val="00905BBB"/>
    <w:rsid w:val="00905D0F"/>
    <w:rsid w:val="009060A3"/>
    <w:rsid w:val="009062EA"/>
    <w:rsid w:val="009065D7"/>
    <w:rsid w:val="009068E0"/>
    <w:rsid w:val="00906B04"/>
    <w:rsid w:val="00907586"/>
    <w:rsid w:val="00907B2B"/>
    <w:rsid w:val="00907C6E"/>
    <w:rsid w:val="00907D32"/>
    <w:rsid w:val="00907D7A"/>
    <w:rsid w:val="00907E5B"/>
    <w:rsid w:val="00907E6F"/>
    <w:rsid w:val="0091036E"/>
    <w:rsid w:val="00910458"/>
    <w:rsid w:val="009107AD"/>
    <w:rsid w:val="00911631"/>
    <w:rsid w:val="00911A6B"/>
    <w:rsid w:val="00911D4E"/>
    <w:rsid w:val="009125F6"/>
    <w:rsid w:val="00912619"/>
    <w:rsid w:val="00912A72"/>
    <w:rsid w:val="00913620"/>
    <w:rsid w:val="0091392E"/>
    <w:rsid w:val="00914C6D"/>
    <w:rsid w:val="00914D0F"/>
    <w:rsid w:val="00914EE5"/>
    <w:rsid w:val="00915102"/>
    <w:rsid w:val="009155B0"/>
    <w:rsid w:val="009156A4"/>
    <w:rsid w:val="00915890"/>
    <w:rsid w:val="009165F1"/>
    <w:rsid w:val="0091728B"/>
    <w:rsid w:val="00917C28"/>
    <w:rsid w:val="00917DE9"/>
    <w:rsid w:val="00920452"/>
    <w:rsid w:val="0092050E"/>
    <w:rsid w:val="00920974"/>
    <w:rsid w:val="00920FC9"/>
    <w:rsid w:val="00921632"/>
    <w:rsid w:val="009217F8"/>
    <w:rsid w:val="009218DF"/>
    <w:rsid w:val="00921FFD"/>
    <w:rsid w:val="00922326"/>
    <w:rsid w:val="009223B4"/>
    <w:rsid w:val="009224E1"/>
    <w:rsid w:val="009224FC"/>
    <w:rsid w:val="00922B1B"/>
    <w:rsid w:val="00922B51"/>
    <w:rsid w:val="00923234"/>
    <w:rsid w:val="0092378F"/>
    <w:rsid w:val="009237BA"/>
    <w:rsid w:val="00923847"/>
    <w:rsid w:val="00924076"/>
    <w:rsid w:val="0092410F"/>
    <w:rsid w:val="0092416A"/>
    <w:rsid w:val="00924562"/>
    <w:rsid w:val="0092494A"/>
    <w:rsid w:val="00924D0F"/>
    <w:rsid w:val="00924D47"/>
    <w:rsid w:val="00925333"/>
    <w:rsid w:val="0092555D"/>
    <w:rsid w:val="00925608"/>
    <w:rsid w:val="00925928"/>
    <w:rsid w:val="0092594B"/>
    <w:rsid w:val="0092595C"/>
    <w:rsid w:val="009259DB"/>
    <w:rsid w:val="00925B5F"/>
    <w:rsid w:val="00925C4B"/>
    <w:rsid w:val="009260E1"/>
    <w:rsid w:val="009262BB"/>
    <w:rsid w:val="00926418"/>
    <w:rsid w:val="0092648A"/>
    <w:rsid w:val="00926E97"/>
    <w:rsid w:val="00926EAB"/>
    <w:rsid w:val="00927166"/>
    <w:rsid w:val="009279A3"/>
    <w:rsid w:val="00927D8B"/>
    <w:rsid w:val="00927EBA"/>
    <w:rsid w:val="009303B3"/>
    <w:rsid w:val="0093078D"/>
    <w:rsid w:val="009309BB"/>
    <w:rsid w:val="00930A95"/>
    <w:rsid w:val="00930B6E"/>
    <w:rsid w:val="00931165"/>
    <w:rsid w:val="0093135D"/>
    <w:rsid w:val="00931929"/>
    <w:rsid w:val="009319BE"/>
    <w:rsid w:val="00931A77"/>
    <w:rsid w:val="00931A98"/>
    <w:rsid w:val="00931DEB"/>
    <w:rsid w:val="00931FBD"/>
    <w:rsid w:val="00932174"/>
    <w:rsid w:val="00932428"/>
    <w:rsid w:val="00932536"/>
    <w:rsid w:val="009326E5"/>
    <w:rsid w:val="0093291D"/>
    <w:rsid w:val="009329AA"/>
    <w:rsid w:val="00932D37"/>
    <w:rsid w:val="00932D67"/>
    <w:rsid w:val="00933170"/>
    <w:rsid w:val="0093324D"/>
    <w:rsid w:val="00933649"/>
    <w:rsid w:val="0093381F"/>
    <w:rsid w:val="00933B1E"/>
    <w:rsid w:val="00933C1E"/>
    <w:rsid w:val="0093407D"/>
    <w:rsid w:val="009340A5"/>
    <w:rsid w:val="0093426A"/>
    <w:rsid w:val="00934434"/>
    <w:rsid w:val="009344FF"/>
    <w:rsid w:val="00934E3A"/>
    <w:rsid w:val="009355AB"/>
    <w:rsid w:val="00935624"/>
    <w:rsid w:val="00935729"/>
    <w:rsid w:val="00935857"/>
    <w:rsid w:val="00935A20"/>
    <w:rsid w:val="00935B41"/>
    <w:rsid w:val="00935C4A"/>
    <w:rsid w:val="00935CEF"/>
    <w:rsid w:val="00935D43"/>
    <w:rsid w:val="00936513"/>
    <w:rsid w:val="00936C20"/>
    <w:rsid w:val="00936DF0"/>
    <w:rsid w:val="00937034"/>
    <w:rsid w:val="009375FC"/>
    <w:rsid w:val="00937640"/>
    <w:rsid w:val="009377F7"/>
    <w:rsid w:val="0094055E"/>
    <w:rsid w:val="009407D0"/>
    <w:rsid w:val="00940C9E"/>
    <w:rsid w:val="00940CD6"/>
    <w:rsid w:val="00940EDE"/>
    <w:rsid w:val="0094126F"/>
    <w:rsid w:val="00941750"/>
    <w:rsid w:val="00941BA9"/>
    <w:rsid w:val="00941D18"/>
    <w:rsid w:val="00941F81"/>
    <w:rsid w:val="009425EF"/>
    <w:rsid w:val="00942701"/>
    <w:rsid w:val="00942F31"/>
    <w:rsid w:val="0094318D"/>
    <w:rsid w:val="009431D8"/>
    <w:rsid w:val="009433DA"/>
    <w:rsid w:val="009433DC"/>
    <w:rsid w:val="009435DC"/>
    <w:rsid w:val="00943B6C"/>
    <w:rsid w:val="00943C39"/>
    <w:rsid w:val="00943D76"/>
    <w:rsid w:val="00943E45"/>
    <w:rsid w:val="00943FD8"/>
    <w:rsid w:val="00944447"/>
    <w:rsid w:val="009448D7"/>
    <w:rsid w:val="00944E6D"/>
    <w:rsid w:val="00945004"/>
    <w:rsid w:val="009455E7"/>
    <w:rsid w:val="0094572E"/>
    <w:rsid w:val="00945861"/>
    <w:rsid w:val="00945DB8"/>
    <w:rsid w:val="00945F53"/>
    <w:rsid w:val="00945FA3"/>
    <w:rsid w:val="00946212"/>
    <w:rsid w:val="0094657B"/>
    <w:rsid w:val="00946871"/>
    <w:rsid w:val="00946B12"/>
    <w:rsid w:val="0094715E"/>
    <w:rsid w:val="009471CF"/>
    <w:rsid w:val="0094721E"/>
    <w:rsid w:val="009473E3"/>
    <w:rsid w:val="0094756B"/>
    <w:rsid w:val="0094758F"/>
    <w:rsid w:val="0094782E"/>
    <w:rsid w:val="00947C4C"/>
    <w:rsid w:val="0095003D"/>
    <w:rsid w:val="009500E4"/>
    <w:rsid w:val="00950556"/>
    <w:rsid w:val="009507A5"/>
    <w:rsid w:val="00950828"/>
    <w:rsid w:val="009510E8"/>
    <w:rsid w:val="0095124C"/>
    <w:rsid w:val="00951458"/>
    <w:rsid w:val="009514DD"/>
    <w:rsid w:val="009517A5"/>
    <w:rsid w:val="0095189F"/>
    <w:rsid w:val="00951A10"/>
    <w:rsid w:val="00951DC0"/>
    <w:rsid w:val="00951FC7"/>
    <w:rsid w:val="0095203C"/>
    <w:rsid w:val="0095258C"/>
    <w:rsid w:val="00952624"/>
    <w:rsid w:val="009526E8"/>
    <w:rsid w:val="00952C44"/>
    <w:rsid w:val="00952F14"/>
    <w:rsid w:val="0095338E"/>
    <w:rsid w:val="0095400C"/>
    <w:rsid w:val="0095412E"/>
    <w:rsid w:val="00954383"/>
    <w:rsid w:val="009545FC"/>
    <w:rsid w:val="00954627"/>
    <w:rsid w:val="00954702"/>
    <w:rsid w:val="00954D79"/>
    <w:rsid w:val="00954F27"/>
    <w:rsid w:val="00955021"/>
    <w:rsid w:val="00956A6B"/>
    <w:rsid w:val="00956C1B"/>
    <w:rsid w:val="00956D42"/>
    <w:rsid w:val="00956E2D"/>
    <w:rsid w:val="0095719C"/>
    <w:rsid w:val="009573F8"/>
    <w:rsid w:val="00957422"/>
    <w:rsid w:val="00957443"/>
    <w:rsid w:val="00957782"/>
    <w:rsid w:val="00957817"/>
    <w:rsid w:val="00957A48"/>
    <w:rsid w:val="00957F85"/>
    <w:rsid w:val="00957FC8"/>
    <w:rsid w:val="0096095E"/>
    <w:rsid w:val="0096097E"/>
    <w:rsid w:val="00960CE1"/>
    <w:rsid w:val="0096125F"/>
    <w:rsid w:val="009613B1"/>
    <w:rsid w:val="0096196A"/>
    <w:rsid w:val="00961D54"/>
    <w:rsid w:val="00962174"/>
    <w:rsid w:val="009626ED"/>
    <w:rsid w:val="00962983"/>
    <w:rsid w:val="00962BD7"/>
    <w:rsid w:val="00962D04"/>
    <w:rsid w:val="00962D77"/>
    <w:rsid w:val="00963467"/>
    <w:rsid w:val="00963727"/>
    <w:rsid w:val="009639EA"/>
    <w:rsid w:val="00963A34"/>
    <w:rsid w:val="00963B2D"/>
    <w:rsid w:val="00963BFB"/>
    <w:rsid w:val="00964328"/>
    <w:rsid w:val="009644E9"/>
    <w:rsid w:val="009644F6"/>
    <w:rsid w:val="009648F3"/>
    <w:rsid w:val="00964A23"/>
    <w:rsid w:val="0096510D"/>
    <w:rsid w:val="009651D0"/>
    <w:rsid w:val="009655B6"/>
    <w:rsid w:val="00965B8C"/>
    <w:rsid w:val="00966A87"/>
    <w:rsid w:val="009674C5"/>
    <w:rsid w:val="00967B22"/>
    <w:rsid w:val="00967B4C"/>
    <w:rsid w:val="00970750"/>
    <w:rsid w:val="00970E86"/>
    <w:rsid w:val="00971036"/>
    <w:rsid w:val="00971156"/>
    <w:rsid w:val="00971288"/>
    <w:rsid w:val="00971318"/>
    <w:rsid w:val="00971FD6"/>
    <w:rsid w:val="00972696"/>
    <w:rsid w:val="00972C18"/>
    <w:rsid w:val="00972E99"/>
    <w:rsid w:val="00973172"/>
    <w:rsid w:val="00973235"/>
    <w:rsid w:val="0097324D"/>
    <w:rsid w:val="009735B1"/>
    <w:rsid w:val="0097383C"/>
    <w:rsid w:val="0097408F"/>
    <w:rsid w:val="0097461F"/>
    <w:rsid w:val="009746A5"/>
    <w:rsid w:val="009747A1"/>
    <w:rsid w:val="00974DDE"/>
    <w:rsid w:val="00975056"/>
    <w:rsid w:val="009752F1"/>
    <w:rsid w:val="0097600A"/>
    <w:rsid w:val="009761A3"/>
    <w:rsid w:val="0097693B"/>
    <w:rsid w:val="00976D2D"/>
    <w:rsid w:val="0097763E"/>
    <w:rsid w:val="009776DC"/>
    <w:rsid w:val="00977A6D"/>
    <w:rsid w:val="009801FC"/>
    <w:rsid w:val="009805D7"/>
    <w:rsid w:val="009807C8"/>
    <w:rsid w:val="00980B59"/>
    <w:rsid w:val="00980F11"/>
    <w:rsid w:val="00980FCC"/>
    <w:rsid w:val="0098123D"/>
    <w:rsid w:val="009817A8"/>
    <w:rsid w:val="00982602"/>
    <w:rsid w:val="00982D93"/>
    <w:rsid w:val="0098313F"/>
    <w:rsid w:val="00983211"/>
    <w:rsid w:val="0098358A"/>
    <w:rsid w:val="0098394C"/>
    <w:rsid w:val="00983AEB"/>
    <w:rsid w:val="00984110"/>
    <w:rsid w:val="0098428B"/>
    <w:rsid w:val="00984380"/>
    <w:rsid w:val="00984575"/>
    <w:rsid w:val="0098482A"/>
    <w:rsid w:val="009852B0"/>
    <w:rsid w:val="00985364"/>
    <w:rsid w:val="00985494"/>
    <w:rsid w:val="00985BB5"/>
    <w:rsid w:val="00985BFB"/>
    <w:rsid w:val="00985C23"/>
    <w:rsid w:val="00985EBB"/>
    <w:rsid w:val="00985F8E"/>
    <w:rsid w:val="00985F8F"/>
    <w:rsid w:val="00986010"/>
    <w:rsid w:val="0098603D"/>
    <w:rsid w:val="0098627B"/>
    <w:rsid w:val="00986342"/>
    <w:rsid w:val="00986B0D"/>
    <w:rsid w:val="00986B15"/>
    <w:rsid w:val="00986DE6"/>
    <w:rsid w:val="00986E02"/>
    <w:rsid w:val="0098702F"/>
    <w:rsid w:val="0098796F"/>
    <w:rsid w:val="00987BC6"/>
    <w:rsid w:val="00987CAE"/>
    <w:rsid w:val="00987F06"/>
    <w:rsid w:val="009900AC"/>
    <w:rsid w:val="00990249"/>
    <w:rsid w:val="00990271"/>
    <w:rsid w:val="0099058F"/>
    <w:rsid w:val="00990904"/>
    <w:rsid w:val="00990DD4"/>
    <w:rsid w:val="0099140C"/>
    <w:rsid w:val="009914A7"/>
    <w:rsid w:val="00991544"/>
    <w:rsid w:val="00991852"/>
    <w:rsid w:val="00991945"/>
    <w:rsid w:val="00991A6E"/>
    <w:rsid w:val="00991AD5"/>
    <w:rsid w:val="00991EB1"/>
    <w:rsid w:val="00991ED7"/>
    <w:rsid w:val="009921BD"/>
    <w:rsid w:val="009925BC"/>
    <w:rsid w:val="0099269E"/>
    <w:rsid w:val="009926BF"/>
    <w:rsid w:val="009929BE"/>
    <w:rsid w:val="009929E8"/>
    <w:rsid w:val="00993347"/>
    <w:rsid w:val="009934D2"/>
    <w:rsid w:val="009938C4"/>
    <w:rsid w:val="00993D42"/>
    <w:rsid w:val="0099413B"/>
    <w:rsid w:val="00994296"/>
    <w:rsid w:val="00994562"/>
    <w:rsid w:val="00994C8F"/>
    <w:rsid w:val="00995028"/>
    <w:rsid w:val="0099566C"/>
    <w:rsid w:val="00995E14"/>
    <w:rsid w:val="0099614D"/>
    <w:rsid w:val="009961D3"/>
    <w:rsid w:val="00996503"/>
    <w:rsid w:val="009967DE"/>
    <w:rsid w:val="009970BF"/>
    <w:rsid w:val="009978AE"/>
    <w:rsid w:val="009979D1"/>
    <w:rsid w:val="00997EF7"/>
    <w:rsid w:val="009A05BD"/>
    <w:rsid w:val="009A05C1"/>
    <w:rsid w:val="009A0C00"/>
    <w:rsid w:val="009A12FE"/>
    <w:rsid w:val="009A166D"/>
    <w:rsid w:val="009A177D"/>
    <w:rsid w:val="009A19DA"/>
    <w:rsid w:val="009A20B1"/>
    <w:rsid w:val="009A22BD"/>
    <w:rsid w:val="009A2506"/>
    <w:rsid w:val="009A2D0D"/>
    <w:rsid w:val="009A2D65"/>
    <w:rsid w:val="009A3234"/>
    <w:rsid w:val="009A33C7"/>
    <w:rsid w:val="009A3655"/>
    <w:rsid w:val="009A3731"/>
    <w:rsid w:val="009A3B45"/>
    <w:rsid w:val="009A43F1"/>
    <w:rsid w:val="009A4845"/>
    <w:rsid w:val="009A4C72"/>
    <w:rsid w:val="009A4CB7"/>
    <w:rsid w:val="009A4D6B"/>
    <w:rsid w:val="009A4FDD"/>
    <w:rsid w:val="009A50B1"/>
    <w:rsid w:val="009A5857"/>
    <w:rsid w:val="009A5B4F"/>
    <w:rsid w:val="009A5FA0"/>
    <w:rsid w:val="009A62C0"/>
    <w:rsid w:val="009A658C"/>
    <w:rsid w:val="009A680B"/>
    <w:rsid w:val="009A6B8D"/>
    <w:rsid w:val="009A6D45"/>
    <w:rsid w:val="009A6D55"/>
    <w:rsid w:val="009A6EF7"/>
    <w:rsid w:val="009A6F9B"/>
    <w:rsid w:val="009A7074"/>
    <w:rsid w:val="009A733C"/>
    <w:rsid w:val="009A76F8"/>
    <w:rsid w:val="009A7AA9"/>
    <w:rsid w:val="009A7EC7"/>
    <w:rsid w:val="009B011B"/>
    <w:rsid w:val="009B06D6"/>
    <w:rsid w:val="009B075E"/>
    <w:rsid w:val="009B0AAB"/>
    <w:rsid w:val="009B0CA6"/>
    <w:rsid w:val="009B0E13"/>
    <w:rsid w:val="009B1079"/>
    <w:rsid w:val="009B12F1"/>
    <w:rsid w:val="009B1313"/>
    <w:rsid w:val="009B19FF"/>
    <w:rsid w:val="009B1D08"/>
    <w:rsid w:val="009B1D79"/>
    <w:rsid w:val="009B1E8B"/>
    <w:rsid w:val="009B1F45"/>
    <w:rsid w:val="009B2072"/>
    <w:rsid w:val="009B273A"/>
    <w:rsid w:val="009B2DF0"/>
    <w:rsid w:val="009B2F12"/>
    <w:rsid w:val="009B32A7"/>
    <w:rsid w:val="009B33E0"/>
    <w:rsid w:val="009B351E"/>
    <w:rsid w:val="009B35B0"/>
    <w:rsid w:val="009B35ED"/>
    <w:rsid w:val="009B36DD"/>
    <w:rsid w:val="009B3948"/>
    <w:rsid w:val="009B3A93"/>
    <w:rsid w:val="009B4E03"/>
    <w:rsid w:val="009B5175"/>
    <w:rsid w:val="009B52AF"/>
    <w:rsid w:val="009B52D6"/>
    <w:rsid w:val="009B558E"/>
    <w:rsid w:val="009B60BE"/>
    <w:rsid w:val="009B6291"/>
    <w:rsid w:val="009B62F5"/>
    <w:rsid w:val="009B6306"/>
    <w:rsid w:val="009B6CBC"/>
    <w:rsid w:val="009B6D4A"/>
    <w:rsid w:val="009B70AD"/>
    <w:rsid w:val="009B73DC"/>
    <w:rsid w:val="009B7DCC"/>
    <w:rsid w:val="009B7F96"/>
    <w:rsid w:val="009C0122"/>
    <w:rsid w:val="009C083B"/>
    <w:rsid w:val="009C0A89"/>
    <w:rsid w:val="009C0B3B"/>
    <w:rsid w:val="009C0F0D"/>
    <w:rsid w:val="009C1087"/>
    <w:rsid w:val="009C1556"/>
    <w:rsid w:val="009C1793"/>
    <w:rsid w:val="009C18D2"/>
    <w:rsid w:val="009C2205"/>
    <w:rsid w:val="009C244C"/>
    <w:rsid w:val="009C293E"/>
    <w:rsid w:val="009C2C7B"/>
    <w:rsid w:val="009C2DAA"/>
    <w:rsid w:val="009C3433"/>
    <w:rsid w:val="009C3A15"/>
    <w:rsid w:val="009C3DE2"/>
    <w:rsid w:val="009C3EBD"/>
    <w:rsid w:val="009C420B"/>
    <w:rsid w:val="009C48ED"/>
    <w:rsid w:val="009C4A78"/>
    <w:rsid w:val="009C4B21"/>
    <w:rsid w:val="009C5062"/>
    <w:rsid w:val="009C57E8"/>
    <w:rsid w:val="009C5B44"/>
    <w:rsid w:val="009C6134"/>
    <w:rsid w:val="009C652D"/>
    <w:rsid w:val="009C6701"/>
    <w:rsid w:val="009C6856"/>
    <w:rsid w:val="009C6926"/>
    <w:rsid w:val="009C69CC"/>
    <w:rsid w:val="009C6A40"/>
    <w:rsid w:val="009C6C3E"/>
    <w:rsid w:val="009C7100"/>
    <w:rsid w:val="009C73FC"/>
    <w:rsid w:val="009C78B9"/>
    <w:rsid w:val="009D01BE"/>
    <w:rsid w:val="009D0A30"/>
    <w:rsid w:val="009D0E57"/>
    <w:rsid w:val="009D11F0"/>
    <w:rsid w:val="009D1981"/>
    <w:rsid w:val="009D1A84"/>
    <w:rsid w:val="009D1E13"/>
    <w:rsid w:val="009D1FAC"/>
    <w:rsid w:val="009D2046"/>
    <w:rsid w:val="009D2399"/>
    <w:rsid w:val="009D27E1"/>
    <w:rsid w:val="009D31C7"/>
    <w:rsid w:val="009D3939"/>
    <w:rsid w:val="009D395A"/>
    <w:rsid w:val="009D39D4"/>
    <w:rsid w:val="009D3B7E"/>
    <w:rsid w:val="009D3CCB"/>
    <w:rsid w:val="009D3FA2"/>
    <w:rsid w:val="009D4044"/>
    <w:rsid w:val="009D44E4"/>
    <w:rsid w:val="009D4699"/>
    <w:rsid w:val="009D4A35"/>
    <w:rsid w:val="009D4CBB"/>
    <w:rsid w:val="009D5706"/>
    <w:rsid w:val="009D57A2"/>
    <w:rsid w:val="009D5A61"/>
    <w:rsid w:val="009D5ADB"/>
    <w:rsid w:val="009D5B97"/>
    <w:rsid w:val="009D5BE2"/>
    <w:rsid w:val="009D6349"/>
    <w:rsid w:val="009D69B6"/>
    <w:rsid w:val="009D6AD8"/>
    <w:rsid w:val="009D6C0B"/>
    <w:rsid w:val="009D6DDB"/>
    <w:rsid w:val="009D7065"/>
    <w:rsid w:val="009D7096"/>
    <w:rsid w:val="009D7874"/>
    <w:rsid w:val="009D78B4"/>
    <w:rsid w:val="009E0181"/>
    <w:rsid w:val="009E0218"/>
    <w:rsid w:val="009E059F"/>
    <w:rsid w:val="009E08E4"/>
    <w:rsid w:val="009E0DE4"/>
    <w:rsid w:val="009E132F"/>
    <w:rsid w:val="009E1773"/>
    <w:rsid w:val="009E199D"/>
    <w:rsid w:val="009E1A38"/>
    <w:rsid w:val="009E1AAB"/>
    <w:rsid w:val="009E1E1D"/>
    <w:rsid w:val="009E22E5"/>
    <w:rsid w:val="009E244F"/>
    <w:rsid w:val="009E2C4B"/>
    <w:rsid w:val="009E36BD"/>
    <w:rsid w:val="009E3B9D"/>
    <w:rsid w:val="009E3BBF"/>
    <w:rsid w:val="009E3D15"/>
    <w:rsid w:val="009E3D6E"/>
    <w:rsid w:val="009E4159"/>
    <w:rsid w:val="009E46A8"/>
    <w:rsid w:val="009E4B50"/>
    <w:rsid w:val="009E4C64"/>
    <w:rsid w:val="009E5227"/>
    <w:rsid w:val="009E5659"/>
    <w:rsid w:val="009E5C5B"/>
    <w:rsid w:val="009E6283"/>
    <w:rsid w:val="009E64F0"/>
    <w:rsid w:val="009E677A"/>
    <w:rsid w:val="009E6851"/>
    <w:rsid w:val="009E6E63"/>
    <w:rsid w:val="009E745F"/>
    <w:rsid w:val="009E7661"/>
    <w:rsid w:val="009E7E98"/>
    <w:rsid w:val="009F02F7"/>
    <w:rsid w:val="009F08F1"/>
    <w:rsid w:val="009F08F9"/>
    <w:rsid w:val="009F1156"/>
    <w:rsid w:val="009F115A"/>
    <w:rsid w:val="009F138D"/>
    <w:rsid w:val="009F16E2"/>
    <w:rsid w:val="009F176A"/>
    <w:rsid w:val="009F21F6"/>
    <w:rsid w:val="009F2370"/>
    <w:rsid w:val="009F2D7A"/>
    <w:rsid w:val="009F2DEE"/>
    <w:rsid w:val="009F311E"/>
    <w:rsid w:val="009F370A"/>
    <w:rsid w:val="009F38E5"/>
    <w:rsid w:val="009F3992"/>
    <w:rsid w:val="009F3D3D"/>
    <w:rsid w:val="009F44C5"/>
    <w:rsid w:val="009F521F"/>
    <w:rsid w:val="009F5431"/>
    <w:rsid w:val="009F58F6"/>
    <w:rsid w:val="009F5D23"/>
    <w:rsid w:val="009F5F6F"/>
    <w:rsid w:val="009F62A7"/>
    <w:rsid w:val="009F64DE"/>
    <w:rsid w:val="009F6635"/>
    <w:rsid w:val="009F66D8"/>
    <w:rsid w:val="009F67A0"/>
    <w:rsid w:val="009F6AB1"/>
    <w:rsid w:val="009F6C45"/>
    <w:rsid w:val="009F6E93"/>
    <w:rsid w:val="009F7373"/>
    <w:rsid w:val="009F7411"/>
    <w:rsid w:val="009F7466"/>
    <w:rsid w:val="009F789B"/>
    <w:rsid w:val="009F795D"/>
    <w:rsid w:val="009F79F8"/>
    <w:rsid w:val="00A000B3"/>
    <w:rsid w:val="00A00492"/>
    <w:rsid w:val="00A00522"/>
    <w:rsid w:val="00A00B1F"/>
    <w:rsid w:val="00A00E11"/>
    <w:rsid w:val="00A00FB5"/>
    <w:rsid w:val="00A01213"/>
    <w:rsid w:val="00A014B0"/>
    <w:rsid w:val="00A01F01"/>
    <w:rsid w:val="00A022FB"/>
    <w:rsid w:val="00A023FD"/>
    <w:rsid w:val="00A0246E"/>
    <w:rsid w:val="00A027AD"/>
    <w:rsid w:val="00A02E39"/>
    <w:rsid w:val="00A0302C"/>
    <w:rsid w:val="00A03095"/>
    <w:rsid w:val="00A032E9"/>
    <w:rsid w:val="00A03EF1"/>
    <w:rsid w:val="00A048E4"/>
    <w:rsid w:val="00A04D8C"/>
    <w:rsid w:val="00A0555D"/>
    <w:rsid w:val="00A05A8D"/>
    <w:rsid w:val="00A05A9C"/>
    <w:rsid w:val="00A05ABF"/>
    <w:rsid w:val="00A06076"/>
    <w:rsid w:val="00A0669B"/>
    <w:rsid w:val="00A06A2C"/>
    <w:rsid w:val="00A06BEC"/>
    <w:rsid w:val="00A07183"/>
    <w:rsid w:val="00A076EE"/>
    <w:rsid w:val="00A077E3"/>
    <w:rsid w:val="00A07D37"/>
    <w:rsid w:val="00A102E6"/>
    <w:rsid w:val="00A105E1"/>
    <w:rsid w:val="00A108F1"/>
    <w:rsid w:val="00A109E8"/>
    <w:rsid w:val="00A10A0F"/>
    <w:rsid w:val="00A10BEA"/>
    <w:rsid w:val="00A10C3A"/>
    <w:rsid w:val="00A10D06"/>
    <w:rsid w:val="00A10E9F"/>
    <w:rsid w:val="00A10FDF"/>
    <w:rsid w:val="00A114ED"/>
    <w:rsid w:val="00A1162A"/>
    <w:rsid w:val="00A117EF"/>
    <w:rsid w:val="00A11A9B"/>
    <w:rsid w:val="00A11AD6"/>
    <w:rsid w:val="00A11D3C"/>
    <w:rsid w:val="00A11E56"/>
    <w:rsid w:val="00A11ECD"/>
    <w:rsid w:val="00A12311"/>
    <w:rsid w:val="00A124D1"/>
    <w:rsid w:val="00A127AA"/>
    <w:rsid w:val="00A128A2"/>
    <w:rsid w:val="00A12A46"/>
    <w:rsid w:val="00A12E71"/>
    <w:rsid w:val="00A13197"/>
    <w:rsid w:val="00A13410"/>
    <w:rsid w:val="00A134DA"/>
    <w:rsid w:val="00A135D9"/>
    <w:rsid w:val="00A1377D"/>
    <w:rsid w:val="00A13AE4"/>
    <w:rsid w:val="00A14007"/>
    <w:rsid w:val="00A14C5F"/>
    <w:rsid w:val="00A14C6E"/>
    <w:rsid w:val="00A14D65"/>
    <w:rsid w:val="00A14F24"/>
    <w:rsid w:val="00A1506F"/>
    <w:rsid w:val="00A155B7"/>
    <w:rsid w:val="00A158A7"/>
    <w:rsid w:val="00A15B24"/>
    <w:rsid w:val="00A15B43"/>
    <w:rsid w:val="00A15BAF"/>
    <w:rsid w:val="00A15C79"/>
    <w:rsid w:val="00A15FC1"/>
    <w:rsid w:val="00A16316"/>
    <w:rsid w:val="00A16851"/>
    <w:rsid w:val="00A1694E"/>
    <w:rsid w:val="00A16959"/>
    <w:rsid w:val="00A16ABE"/>
    <w:rsid w:val="00A16CDA"/>
    <w:rsid w:val="00A17191"/>
    <w:rsid w:val="00A17662"/>
    <w:rsid w:val="00A176F1"/>
    <w:rsid w:val="00A177D3"/>
    <w:rsid w:val="00A17A30"/>
    <w:rsid w:val="00A17CB0"/>
    <w:rsid w:val="00A20790"/>
    <w:rsid w:val="00A20892"/>
    <w:rsid w:val="00A20D15"/>
    <w:rsid w:val="00A20F9C"/>
    <w:rsid w:val="00A216C4"/>
    <w:rsid w:val="00A21826"/>
    <w:rsid w:val="00A225F8"/>
    <w:rsid w:val="00A23645"/>
    <w:rsid w:val="00A24624"/>
    <w:rsid w:val="00A24750"/>
    <w:rsid w:val="00A24782"/>
    <w:rsid w:val="00A24790"/>
    <w:rsid w:val="00A24A9D"/>
    <w:rsid w:val="00A24CB6"/>
    <w:rsid w:val="00A2532C"/>
    <w:rsid w:val="00A25AB2"/>
    <w:rsid w:val="00A25F85"/>
    <w:rsid w:val="00A262AF"/>
    <w:rsid w:val="00A263EA"/>
    <w:rsid w:val="00A27383"/>
    <w:rsid w:val="00A277E4"/>
    <w:rsid w:val="00A27876"/>
    <w:rsid w:val="00A27881"/>
    <w:rsid w:val="00A27E81"/>
    <w:rsid w:val="00A27FE7"/>
    <w:rsid w:val="00A305AA"/>
    <w:rsid w:val="00A308C5"/>
    <w:rsid w:val="00A30BA0"/>
    <w:rsid w:val="00A314EE"/>
    <w:rsid w:val="00A31511"/>
    <w:rsid w:val="00A318A7"/>
    <w:rsid w:val="00A31D1F"/>
    <w:rsid w:val="00A31E69"/>
    <w:rsid w:val="00A31E6F"/>
    <w:rsid w:val="00A31EEE"/>
    <w:rsid w:val="00A32593"/>
    <w:rsid w:val="00A329EC"/>
    <w:rsid w:val="00A32C4C"/>
    <w:rsid w:val="00A33FDC"/>
    <w:rsid w:val="00A34B92"/>
    <w:rsid w:val="00A34EF9"/>
    <w:rsid w:val="00A35399"/>
    <w:rsid w:val="00A35E1C"/>
    <w:rsid w:val="00A35FED"/>
    <w:rsid w:val="00A36EB9"/>
    <w:rsid w:val="00A37083"/>
    <w:rsid w:val="00A37591"/>
    <w:rsid w:val="00A375FE"/>
    <w:rsid w:val="00A37AFF"/>
    <w:rsid w:val="00A37C4B"/>
    <w:rsid w:val="00A37FFA"/>
    <w:rsid w:val="00A40011"/>
    <w:rsid w:val="00A40846"/>
    <w:rsid w:val="00A40A1B"/>
    <w:rsid w:val="00A40B96"/>
    <w:rsid w:val="00A40F4F"/>
    <w:rsid w:val="00A4198A"/>
    <w:rsid w:val="00A41B39"/>
    <w:rsid w:val="00A41DD2"/>
    <w:rsid w:val="00A41EA0"/>
    <w:rsid w:val="00A42013"/>
    <w:rsid w:val="00A4241F"/>
    <w:rsid w:val="00A4253B"/>
    <w:rsid w:val="00A4253D"/>
    <w:rsid w:val="00A42630"/>
    <w:rsid w:val="00A42B64"/>
    <w:rsid w:val="00A42C0C"/>
    <w:rsid w:val="00A43630"/>
    <w:rsid w:val="00A436AC"/>
    <w:rsid w:val="00A442E7"/>
    <w:rsid w:val="00A443E2"/>
    <w:rsid w:val="00A446C7"/>
    <w:rsid w:val="00A447C1"/>
    <w:rsid w:val="00A447D3"/>
    <w:rsid w:val="00A44A44"/>
    <w:rsid w:val="00A452B0"/>
    <w:rsid w:val="00A45316"/>
    <w:rsid w:val="00A45CC1"/>
    <w:rsid w:val="00A45D02"/>
    <w:rsid w:val="00A4727A"/>
    <w:rsid w:val="00A47352"/>
    <w:rsid w:val="00A47497"/>
    <w:rsid w:val="00A4798B"/>
    <w:rsid w:val="00A50050"/>
    <w:rsid w:val="00A504E6"/>
    <w:rsid w:val="00A5054E"/>
    <w:rsid w:val="00A50DBA"/>
    <w:rsid w:val="00A50DEE"/>
    <w:rsid w:val="00A510A1"/>
    <w:rsid w:val="00A514E5"/>
    <w:rsid w:val="00A517F7"/>
    <w:rsid w:val="00A51898"/>
    <w:rsid w:val="00A51B30"/>
    <w:rsid w:val="00A51D3A"/>
    <w:rsid w:val="00A527E5"/>
    <w:rsid w:val="00A52965"/>
    <w:rsid w:val="00A529B5"/>
    <w:rsid w:val="00A52DA6"/>
    <w:rsid w:val="00A5373C"/>
    <w:rsid w:val="00A537E0"/>
    <w:rsid w:val="00A53839"/>
    <w:rsid w:val="00A5391C"/>
    <w:rsid w:val="00A53949"/>
    <w:rsid w:val="00A53AFE"/>
    <w:rsid w:val="00A53B78"/>
    <w:rsid w:val="00A53E7C"/>
    <w:rsid w:val="00A54185"/>
    <w:rsid w:val="00A54935"/>
    <w:rsid w:val="00A56176"/>
    <w:rsid w:val="00A56962"/>
    <w:rsid w:val="00A569D8"/>
    <w:rsid w:val="00A56B48"/>
    <w:rsid w:val="00A56D77"/>
    <w:rsid w:val="00A56EE2"/>
    <w:rsid w:val="00A57081"/>
    <w:rsid w:val="00A570FC"/>
    <w:rsid w:val="00A572AC"/>
    <w:rsid w:val="00A60497"/>
    <w:rsid w:val="00A60C14"/>
    <w:rsid w:val="00A60C48"/>
    <w:rsid w:val="00A60DF4"/>
    <w:rsid w:val="00A613A4"/>
    <w:rsid w:val="00A617FD"/>
    <w:rsid w:val="00A61D6F"/>
    <w:rsid w:val="00A61E89"/>
    <w:rsid w:val="00A62775"/>
    <w:rsid w:val="00A62E7B"/>
    <w:rsid w:val="00A63295"/>
    <w:rsid w:val="00A63548"/>
    <w:rsid w:val="00A63948"/>
    <w:rsid w:val="00A639AA"/>
    <w:rsid w:val="00A63A56"/>
    <w:rsid w:val="00A63A5D"/>
    <w:rsid w:val="00A6400C"/>
    <w:rsid w:val="00A64100"/>
    <w:rsid w:val="00A642C3"/>
    <w:rsid w:val="00A65152"/>
    <w:rsid w:val="00A651A1"/>
    <w:rsid w:val="00A6596E"/>
    <w:rsid w:val="00A65AB4"/>
    <w:rsid w:val="00A65B80"/>
    <w:rsid w:val="00A65D65"/>
    <w:rsid w:val="00A65D8F"/>
    <w:rsid w:val="00A65E2E"/>
    <w:rsid w:val="00A65EF0"/>
    <w:rsid w:val="00A65F08"/>
    <w:rsid w:val="00A662A0"/>
    <w:rsid w:val="00A66594"/>
    <w:rsid w:val="00A66769"/>
    <w:rsid w:val="00A66C8E"/>
    <w:rsid w:val="00A66E6B"/>
    <w:rsid w:val="00A66F42"/>
    <w:rsid w:val="00A67016"/>
    <w:rsid w:val="00A6709C"/>
    <w:rsid w:val="00A67204"/>
    <w:rsid w:val="00A672BA"/>
    <w:rsid w:val="00A676EA"/>
    <w:rsid w:val="00A67936"/>
    <w:rsid w:val="00A67943"/>
    <w:rsid w:val="00A67C74"/>
    <w:rsid w:val="00A7018F"/>
    <w:rsid w:val="00A703B0"/>
    <w:rsid w:val="00A70403"/>
    <w:rsid w:val="00A7047B"/>
    <w:rsid w:val="00A70555"/>
    <w:rsid w:val="00A71307"/>
    <w:rsid w:val="00A7167D"/>
    <w:rsid w:val="00A71CB8"/>
    <w:rsid w:val="00A71D67"/>
    <w:rsid w:val="00A71EF1"/>
    <w:rsid w:val="00A720BC"/>
    <w:rsid w:val="00A721DB"/>
    <w:rsid w:val="00A7233E"/>
    <w:rsid w:val="00A723E4"/>
    <w:rsid w:val="00A723EF"/>
    <w:rsid w:val="00A726BF"/>
    <w:rsid w:val="00A72CBA"/>
    <w:rsid w:val="00A73057"/>
    <w:rsid w:val="00A73102"/>
    <w:rsid w:val="00A7319B"/>
    <w:rsid w:val="00A733C9"/>
    <w:rsid w:val="00A73401"/>
    <w:rsid w:val="00A7359A"/>
    <w:rsid w:val="00A73C3F"/>
    <w:rsid w:val="00A74304"/>
    <w:rsid w:val="00A74400"/>
    <w:rsid w:val="00A7463D"/>
    <w:rsid w:val="00A7488D"/>
    <w:rsid w:val="00A74EA8"/>
    <w:rsid w:val="00A75007"/>
    <w:rsid w:val="00A75133"/>
    <w:rsid w:val="00A752FB"/>
    <w:rsid w:val="00A75571"/>
    <w:rsid w:val="00A756FC"/>
    <w:rsid w:val="00A757DD"/>
    <w:rsid w:val="00A75831"/>
    <w:rsid w:val="00A75968"/>
    <w:rsid w:val="00A76018"/>
    <w:rsid w:val="00A7623E"/>
    <w:rsid w:val="00A7633F"/>
    <w:rsid w:val="00A76C12"/>
    <w:rsid w:val="00A76F5E"/>
    <w:rsid w:val="00A770E6"/>
    <w:rsid w:val="00A77189"/>
    <w:rsid w:val="00A7746C"/>
    <w:rsid w:val="00A7755C"/>
    <w:rsid w:val="00A80147"/>
    <w:rsid w:val="00A80247"/>
    <w:rsid w:val="00A80931"/>
    <w:rsid w:val="00A80AA9"/>
    <w:rsid w:val="00A812D4"/>
    <w:rsid w:val="00A81C88"/>
    <w:rsid w:val="00A81E0C"/>
    <w:rsid w:val="00A81FA9"/>
    <w:rsid w:val="00A8259F"/>
    <w:rsid w:val="00A82FB7"/>
    <w:rsid w:val="00A83032"/>
    <w:rsid w:val="00A83135"/>
    <w:rsid w:val="00A83472"/>
    <w:rsid w:val="00A8360A"/>
    <w:rsid w:val="00A83818"/>
    <w:rsid w:val="00A83BDD"/>
    <w:rsid w:val="00A83F87"/>
    <w:rsid w:val="00A83FA6"/>
    <w:rsid w:val="00A842C4"/>
    <w:rsid w:val="00A84685"/>
    <w:rsid w:val="00A84DE1"/>
    <w:rsid w:val="00A84E0F"/>
    <w:rsid w:val="00A84ED3"/>
    <w:rsid w:val="00A85576"/>
    <w:rsid w:val="00A855CF"/>
    <w:rsid w:val="00A858D1"/>
    <w:rsid w:val="00A85B45"/>
    <w:rsid w:val="00A85F12"/>
    <w:rsid w:val="00A85F6C"/>
    <w:rsid w:val="00A8604F"/>
    <w:rsid w:val="00A8608A"/>
    <w:rsid w:val="00A869E6"/>
    <w:rsid w:val="00A870E3"/>
    <w:rsid w:val="00A87209"/>
    <w:rsid w:val="00A8751F"/>
    <w:rsid w:val="00A877EF"/>
    <w:rsid w:val="00A87881"/>
    <w:rsid w:val="00A87A8D"/>
    <w:rsid w:val="00A87C93"/>
    <w:rsid w:val="00A87F67"/>
    <w:rsid w:val="00A9012C"/>
    <w:rsid w:val="00A9066C"/>
    <w:rsid w:val="00A907AA"/>
    <w:rsid w:val="00A90ADB"/>
    <w:rsid w:val="00A90B8D"/>
    <w:rsid w:val="00A90DED"/>
    <w:rsid w:val="00A912A9"/>
    <w:rsid w:val="00A91528"/>
    <w:rsid w:val="00A91B0E"/>
    <w:rsid w:val="00A91D93"/>
    <w:rsid w:val="00A91DAD"/>
    <w:rsid w:val="00A91F01"/>
    <w:rsid w:val="00A92016"/>
    <w:rsid w:val="00A923D3"/>
    <w:rsid w:val="00A932D0"/>
    <w:rsid w:val="00A9337A"/>
    <w:rsid w:val="00A93469"/>
    <w:rsid w:val="00A93800"/>
    <w:rsid w:val="00A93EB6"/>
    <w:rsid w:val="00A942D2"/>
    <w:rsid w:val="00A94582"/>
    <w:rsid w:val="00A94775"/>
    <w:rsid w:val="00A947D1"/>
    <w:rsid w:val="00A94883"/>
    <w:rsid w:val="00A94CD7"/>
    <w:rsid w:val="00A95177"/>
    <w:rsid w:val="00A95C29"/>
    <w:rsid w:val="00A96029"/>
    <w:rsid w:val="00A96099"/>
    <w:rsid w:val="00A96134"/>
    <w:rsid w:val="00A963E8"/>
    <w:rsid w:val="00A9651B"/>
    <w:rsid w:val="00A96583"/>
    <w:rsid w:val="00A96E6C"/>
    <w:rsid w:val="00A96EA1"/>
    <w:rsid w:val="00A9759C"/>
    <w:rsid w:val="00A97725"/>
    <w:rsid w:val="00A97908"/>
    <w:rsid w:val="00A979E5"/>
    <w:rsid w:val="00A97A93"/>
    <w:rsid w:val="00AA039D"/>
    <w:rsid w:val="00AA100F"/>
    <w:rsid w:val="00AA147B"/>
    <w:rsid w:val="00AA18C0"/>
    <w:rsid w:val="00AA19F2"/>
    <w:rsid w:val="00AA1A63"/>
    <w:rsid w:val="00AA1DD4"/>
    <w:rsid w:val="00AA275D"/>
    <w:rsid w:val="00AA29A0"/>
    <w:rsid w:val="00AA2C7A"/>
    <w:rsid w:val="00AA2E2F"/>
    <w:rsid w:val="00AA3139"/>
    <w:rsid w:val="00AA3564"/>
    <w:rsid w:val="00AA3950"/>
    <w:rsid w:val="00AA3963"/>
    <w:rsid w:val="00AA3A3B"/>
    <w:rsid w:val="00AA3C71"/>
    <w:rsid w:val="00AA42BE"/>
    <w:rsid w:val="00AA4709"/>
    <w:rsid w:val="00AA4C97"/>
    <w:rsid w:val="00AA5BEF"/>
    <w:rsid w:val="00AA5D21"/>
    <w:rsid w:val="00AA6011"/>
    <w:rsid w:val="00AA6647"/>
    <w:rsid w:val="00AA6894"/>
    <w:rsid w:val="00AA69E5"/>
    <w:rsid w:val="00AA6AD9"/>
    <w:rsid w:val="00AA6E48"/>
    <w:rsid w:val="00AA708D"/>
    <w:rsid w:val="00AA7DAD"/>
    <w:rsid w:val="00AA7ECC"/>
    <w:rsid w:val="00AB04A6"/>
    <w:rsid w:val="00AB06E2"/>
    <w:rsid w:val="00AB0757"/>
    <w:rsid w:val="00AB08E9"/>
    <w:rsid w:val="00AB0D12"/>
    <w:rsid w:val="00AB0DDF"/>
    <w:rsid w:val="00AB11A7"/>
    <w:rsid w:val="00AB13D9"/>
    <w:rsid w:val="00AB1406"/>
    <w:rsid w:val="00AB1414"/>
    <w:rsid w:val="00AB1CF4"/>
    <w:rsid w:val="00AB1E67"/>
    <w:rsid w:val="00AB2401"/>
    <w:rsid w:val="00AB2696"/>
    <w:rsid w:val="00AB2776"/>
    <w:rsid w:val="00AB27D8"/>
    <w:rsid w:val="00AB2926"/>
    <w:rsid w:val="00AB2A91"/>
    <w:rsid w:val="00AB2E23"/>
    <w:rsid w:val="00AB2F38"/>
    <w:rsid w:val="00AB3315"/>
    <w:rsid w:val="00AB3795"/>
    <w:rsid w:val="00AB3803"/>
    <w:rsid w:val="00AB3883"/>
    <w:rsid w:val="00AB39CB"/>
    <w:rsid w:val="00AB3CB2"/>
    <w:rsid w:val="00AB3F76"/>
    <w:rsid w:val="00AB3F83"/>
    <w:rsid w:val="00AB40B0"/>
    <w:rsid w:val="00AB40C6"/>
    <w:rsid w:val="00AB4900"/>
    <w:rsid w:val="00AB4B86"/>
    <w:rsid w:val="00AB4D16"/>
    <w:rsid w:val="00AB5797"/>
    <w:rsid w:val="00AB58A3"/>
    <w:rsid w:val="00AB59A0"/>
    <w:rsid w:val="00AB6183"/>
    <w:rsid w:val="00AB68D3"/>
    <w:rsid w:val="00AB6B67"/>
    <w:rsid w:val="00AB74D8"/>
    <w:rsid w:val="00AB760F"/>
    <w:rsid w:val="00AB76B6"/>
    <w:rsid w:val="00AB7CFF"/>
    <w:rsid w:val="00AC05EA"/>
    <w:rsid w:val="00AC06A8"/>
    <w:rsid w:val="00AC0B8C"/>
    <w:rsid w:val="00AC0D6A"/>
    <w:rsid w:val="00AC0E85"/>
    <w:rsid w:val="00AC0FD0"/>
    <w:rsid w:val="00AC1300"/>
    <w:rsid w:val="00AC1335"/>
    <w:rsid w:val="00AC17F3"/>
    <w:rsid w:val="00AC186A"/>
    <w:rsid w:val="00AC1A19"/>
    <w:rsid w:val="00AC2179"/>
    <w:rsid w:val="00AC23A1"/>
    <w:rsid w:val="00AC25A1"/>
    <w:rsid w:val="00AC26DE"/>
    <w:rsid w:val="00AC2842"/>
    <w:rsid w:val="00AC28C7"/>
    <w:rsid w:val="00AC2D4B"/>
    <w:rsid w:val="00AC3933"/>
    <w:rsid w:val="00AC3B99"/>
    <w:rsid w:val="00AC3BA7"/>
    <w:rsid w:val="00AC3BF3"/>
    <w:rsid w:val="00AC3F54"/>
    <w:rsid w:val="00AC4410"/>
    <w:rsid w:val="00AC448A"/>
    <w:rsid w:val="00AC4581"/>
    <w:rsid w:val="00AC4811"/>
    <w:rsid w:val="00AC4B92"/>
    <w:rsid w:val="00AC519E"/>
    <w:rsid w:val="00AC5759"/>
    <w:rsid w:val="00AC5ACE"/>
    <w:rsid w:val="00AC5F58"/>
    <w:rsid w:val="00AC5FBA"/>
    <w:rsid w:val="00AC5FE4"/>
    <w:rsid w:val="00AC6012"/>
    <w:rsid w:val="00AC632B"/>
    <w:rsid w:val="00AC6678"/>
    <w:rsid w:val="00AC688F"/>
    <w:rsid w:val="00AC6B31"/>
    <w:rsid w:val="00AC6C1A"/>
    <w:rsid w:val="00AC6DAE"/>
    <w:rsid w:val="00AC6EB9"/>
    <w:rsid w:val="00AC707E"/>
    <w:rsid w:val="00AC7210"/>
    <w:rsid w:val="00AC73FB"/>
    <w:rsid w:val="00AC7659"/>
    <w:rsid w:val="00AC7915"/>
    <w:rsid w:val="00AC7BF4"/>
    <w:rsid w:val="00AD01FA"/>
    <w:rsid w:val="00AD05F3"/>
    <w:rsid w:val="00AD06B1"/>
    <w:rsid w:val="00AD0895"/>
    <w:rsid w:val="00AD0B11"/>
    <w:rsid w:val="00AD0F4D"/>
    <w:rsid w:val="00AD125B"/>
    <w:rsid w:val="00AD1654"/>
    <w:rsid w:val="00AD1BCF"/>
    <w:rsid w:val="00AD1E81"/>
    <w:rsid w:val="00AD210A"/>
    <w:rsid w:val="00AD265C"/>
    <w:rsid w:val="00AD287A"/>
    <w:rsid w:val="00AD2A88"/>
    <w:rsid w:val="00AD2DB5"/>
    <w:rsid w:val="00AD3232"/>
    <w:rsid w:val="00AD3447"/>
    <w:rsid w:val="00AD37D1"/>
    <w:rsid w:val="00AD38A5"/>
    <w:rsid w:val="00AD3BB6"/>
    <w:rsid w:val="00AD3C72"/>
    <w:rsid w:val="00AD3F15"/>
    <w:rsid w:val="00AD4244"/>
    <w:rsid w:val="00AD42C9"/>
    <w:rsid w:val="00AD4771"/>
    <w:rsid w:val="00AD4805"/>
    <w:rsid w:val="00AD4851"/>
    <w:rsid w:val="00AD4D44"/>
    <w:rsid w:val="00AD54FD"/>
    <w:rsid w:val="00AD5504"/>
    <w:rsid w:val="00AD57B8"/>
    <w:rsid w:val="00AD5924"/>
    <w:rsid w:val="00AD5B03"/>
    <w:rsid w:val="00AD5CC0"/>
    <w:rsid w:val="00AD5DC1"/>
    <w:rsid w:val="00AD5E01"/>
    <w:rsid w:val="00AD602F"/>
    <w:rsid w:val="00AD633F"/>
    <w:rsid w:val="00AD67D1"/>
    <w:rsid w:val="00AD6DD4"/>
    <w:rsid w:val="00AD7052"/>
    <w:rsid w:val="00AD7227"/>
    <w:rsid w:val="00AD7494"/>
    <w:rsid w:val="00AD75CC"/>
    <w:rsid w:val="00AD7CC0"/>
    <w:rsid w:val="00AE077E"/>
    <w:rsid w:val="00AE0976"/>
    <w:rsid w:val="00AE0A8A"/>
    <w:rsid w:val="00AE0D26"/>
    <w:rsid w:val="00AE0FEC"/>
    <w:rsid w:val="00AE10FF"/>
    <w:rsid w:val="00AE1CBE"/>
    <w:rsid w:val="00AE290C"/>
    <w:rsid w:val="00AE2A59"/>
    <w:rsid w:val="00AE2F26"/>
    <w:rsid w:val="00AE327D"/>
    <w:rsid w:val="00AE32DD"/>
    <w:rsid w:val="00AE35D8"/>
    <w:rsid w:val="00AE37BE"/>
    <w:rsid w:val="00AE387A"/>
    <w:rsid w:val="00AE39BB"/>
    <w:rsid w:val="00AE3B48"/>
    <w:rsid w:val="00AE3EBC"/>
    <w:rsid w:val="00AE3F7D"/>
    <w:rsid w:val="00AE400E"/>
    <w:rsid w:val="00AE40EE"/>
    <w:rsid w:val="00AE4291"/>
    <w:rsid w:val="00AE4408"/>
    <w:rsid w:val="00AE46B1"/>
    <w:rsid w:val="00AE4F65"/>
    <w:rsid w:val="00AE5075"/>
    <w:rsid w:val="00AE559D"/>
    <w:rsid w:val="00AE587B"/>
    <w:rsid w:val="00AE5AB5"/>
    <w:rsid w:val="00AE5AF0"/>
    <w:rsid w:val="00AE5E64"/>
    <w:rsid w:val="00AE64EC"/>
    <w:rsid w:val="00AE6774"/>
    <w:rsid w:val="00AE67DF"/>
    <w:rsid w:val="00AE6F2F"/>
    <w:rsid w:val="00AE6FD9"/>
    <w:rsid w:val="00AE70DC"/>
    <w:rsid w:val="00AE70F9"/>
    <w:rsid w:val="00AE7127"/>
    <w:rsid w:val="00AE718E"/>
    <w:rsid w:val="00AE7190"/>
    <w:rsid w:val="00AE7587"/>
    <w:rsid w:val="00AE77EA"/>
    <w:rsid w:val="00AE7A7D"/>
    <w:rsid w:val="00AE7A83"/>
    <w:rsid w:val="00AF002A"/>
    <w:rsid w:val="00AF068B"/>
    <w:rsid w:val="00AF06B8"/>
    <w:rsid w:val="00AF0AC4"/>
    <w:rsid w:val="00AF1357"/>
    <w:rsid w:val="00AF13A7"/>
    <w:rsid w:val="00AF16F1"/>
    <w:rsid w:val="00AF176E"/>
    <w:rsid w:val="00AF19DB"/>
    <w:rsid w:val="00AF1EC2"/>
    <w:rsid w:val="00AF2017"/>
    <w:rsid w:val="00AF22D4"/>
    <w:rsid w:val="00AF22DE"/>
    <w:rsid w:val="00AF310A"/>
    <w:rsid w:val="00AF3A71"/>
    <w:rsid w:val="00AF3B22"/>
    <w:rsid w:val="00AF3CBA"/>
    <w:rsid w:val="00AF3DAB"/>
    <w:rsid w:val="00AF400B"/>
    <w:rsid w:val="00AF4631"/>
    <w:rsid w:val="00AF4695"/>
    <w:rsid w:val="00AF4949"/>
    <w:rsid w:val="00AF4A07"/>
    <w:rsid w:val="00AF4F99"/>
    <w:rsid w:val="00AF5012"/>
    <w:rsid w:val="00AF53AA"/>
    <w:rsid w:val="00AF54FC"/>
    <w:rsid w:val="00AF59E6"/>
    <w:rsid w:val="00AF5B46"/>
    <w:rsid w:val="00AF5F7B"/>
    <w:rsid w:val="00AF640D"/>
    <w:rsid w:val="00AF676D"/>
    <w:rsid w:val="00AF6ABE"/>
    <w:rsid w:val="00AF6B60"/>
    <w:rsid w:val="00AF6DAB"/>
    <w:rsid w:val="00AF6E39"/>
    <w:rsid w:val="00AF6EA1"/>
    <w:rsid w:val="00AF6FAD"/>
    <w:rsid w:val="00AF70BD"/>
    <w:rsid w:val="00AF72D8"/>
    <w:rsid w:val="00AF7468"/>
    <w:rsid w:val="00AF74A3"/>
    <w:rsid w:val="00AF7A01"/>
    <w:rsid w:val="00AF7D8B"/>
    <w:rsid w:val="00B00586"/>
    <w:rsid w:val="00B0080A"/>
    <w:rsid w:val="00B00844"/>
    <w:rsid w:val="00B009D1"/>
    <w:rsid w:val="00B00CFF"/>
    <w:rsid w:val="00B00E10"/>
    <w:rsid w:val="00B01390"/>
    <w:rsid w:val="00B0153B"/>
    <w:rsid w:val="00B015A0"/>
    <w:rsid w:val="00B01611"/>
    <w:rsid w:val="00B01B95"/>
    <w:rsid w:val="00B01C16"/>
    <w:rsid w:val="00B01E6F"/>
    <w:rsid w:val="00B023C3"/>
    <w:rsid w:val="00B02444"/>
    <w:rsid w:val="00B02575"/>
    <w:rsid w:val="00B02932"/>
    <w:rsid w:val="00B02AE1"/>
    <w:rsid w:val="00B02D83"/>
    <w:rsid w:val="00B02F34"/>
    <w:rsid w:val="00B034E2"/>
    <w:rsid w:val="00B039FA"/>
    <w:rsid w:val="00B03F33"/>
    <w:rsid w:val="00B0422C"/>
    <w:rsid w:val="00B05D1F"/>
    <w:rsid w:val="00B05D32"/>
    <w:rsid w:val="00B05F63"/>
    <w:rsid w:val="00B062FF"/>
    <w:rsid w:val="00B069E0"/>
    <w:rsid w:val="00B06A19"/>
    <w:rsid w:val="00B06CC8"/>
    <w:rsid w:val="00B070B5"/>
    <w:rsid w:val="00B070C5"/>
    <w:rsid w:val="00B07163"/>
    <w:rsid w:val="00B07373"/>
    <w:rsid w:val="00B07F50"/>
    <w:rsid w:val="00B10A9B"/>
    <w:rsid w:val="00B10B68"/>
    <w:rsid w:val="00B113A9"/>
    <w:rsid w:val="00B11541"/>
    <w:rsid w:val="00B11F22"/>
    <w:rsid w:val="00B120E3"/>
    <w:rsid w:val="00B122A4"/>
    <w:rsid w:val="00B12B18"/>
    <w:rsid w:val="00B12FFF"/>
    <w:rsid w:val="00B130A6"/>
    <w:rsid w:val="00B13715"/>
    <w:rsid w:val="00B138D7"/>
    <w:rsid w:val="00B13970"/>
    <w:rsid w:val="00B141B8"/>
    <w:rsid w:val="00B141EB"/>
    <w:rsid w:val="00B14A23"/>
    <w:rsid w:val="00B14B46"/>
    <w:rsid w:val="00B14E6C"/>
    <w:rsid w:val="00B14FB3"/>
    <w:rsid w:val="00B150AE"/>
    <w:rsid w:val="00B15175"/>
    <w:rsid w:val="00B1562B"/>
    <w:rsid w:val="00B15653"/>
    <w:rsid w:val="00B1568F"/>
    <w:rsid w:val="00B15B89"/>
    <w:rsid w:val="00B161A6"/>
    <w:rsid w:val="00B1633E"/>
    <w:rsid w:val="00B16A17"/>
    <w:rsid w:val="00B16B96"/>
    <w:rsid w:val="00B17A1D"/>
    <w:rsid w:val="00B17E43"/>
    <w:rsid w:val="00B20301"/>
    <w:rsid w:val="00B204D4"/>
    <w:rsid w:val="00B2060C"/>
    <w:rsid w:val="00B206F4"/>
    <w:rsid w:val="00B2070A"/>
    <w:rsid w:val="00B207B8"/>
    <w:rsid w:val="00B209A3"/>
    <w:rsid w:val="00B20BEC"/>
    <w:rsid w:val="00B20DCF"/>
    <w:rsid w:val="00B214CD"/>
    <w:rsid w:val="00B21CED"/>
    <w:rsid w:val="00B21FF7"/>
    <w:rsid w:val="00B225CC"/>
    <w:rsid w:val="00B234C8"/>
    <w:rsid w:val="00B23880"/>
    <w:rsid w:val="00B23883"/>
    <w:rsid w:val="00B23A3F"/>
    <w:rsid w:val="00B23B63"/>
    <w:rsid w:val="00B23C6C"/>
    <w:rsid w:val="00B246CF"/>
    <w:rsid w:val="00B246E5"/>
    <w:rsid w:val="00B25032"/>
    <w:rsid w:val="00B2508F"/>
    <w:rsid w:val="00B25C5E"/>
    <w:rsid w:val="00B2613F"/>
    <w:rsid w:val="00B263E3"/>
    <w:rsid w:val="00B26987"/>
    <w:rsid w:val="00B269DF"/>
    <w:rsid w:val="00B27757"/>
    <w:rsid w:val="00B27B1A"/>
    <w:rsid w:val="00B27B7C"/>
    <w:rsid w:val="00B27C71"/>
    <w:rsid w:val="00B27C78"/>
    <w:rsid w:val="00B27DB2"/>
    <w:rsid w:val="00B27DDB"/>
    <w:rsid w:val="00B312E0"/>
    <w:rsid w:val="00B3131F"/>
    <w:rsid w:val="00B313E2"/>
    <w:rsid w:val="00B31885"/>
    <w:rsid w:val="00B31B2B"/>
    <w:rsid w:val="00B31D55"/>
    <w:rsid w:val="00B31E21"/>
    <w:rsid w:val="00B31FEF"/>
    <w:rsid w:val="00B320A1"/>
    <w:rsid w:val="00B322B5"/>
    <w:rsid w:val="00B327D5"/>
    <w:rsid w:val="00B32846"/>
    <w:rsid w:val="00B328EB"/>
    <w:rsid w:val="00B3377F"/>
    <w:rsid w:val="00B337A6"/>
    <w:rsid w:val="00B337FA"/>
    <w:rsid w:val="00B33B17"/>
    <w:rsid w:val="00B34747"/>
    <w:rsid w:val="00B3479B"/>
    <w:rsid w:val="00B34B3A"/>
    <w:rsid w:val="00B34CC7"/>
    <w:rsid w:val="00B3532B"/>
    <w:rsid w:val="00B357E2"/>
    <w:rsid w:val="00B358C3"/>
    <w:rsid w:val="00B35D2D"/>
    <w:rsid w:val="00B35D30"/>
    <w:rsid w:val="00B36D39"/>
    <w:rsid w:val="00B36DA7"/>
    <w:rsid w:val="00B370C9"/>
    <w:rsid w:val="00B37247"/>
    <w:rsid w:val="00B372AC"/>
    <w:rsid w:val="00B3749A"/>
    <w:rsid w:val="00B379BD"/>
    <w:rsid w:val="00B37A75"/>
    <w:rsid w:val="00B37B25"/>
    <w:rsid w:val="00B37D42"/>
    <w:rsid w:val="00B40206"/>
    <w:rsid w:val="00B40233"/>
    <w:rsid w:val="00B4027D"/>
    <w:rsid w:val="00B4042E"/>
    <w:rsid w:val="00B40710"/>
    <w:rsid w:val="00B40879"/>
    <w:rsid w:val="00B4093F"/>
    <w:rsid w:val="00B40EEE"/>
    <w:rsid w:val="00B41264"/>
    <w:rsid w:val="00B417E9"/>
    <w:rsid w:val="00B4181E"/>
    <w:rsid w:val="00B41DF8"/>
    <w:rsid w:val="00B41F07"/>
    <w:rsid w:val="00B420D5"/>
    <w:rsid w:val="00B42238"/>
    <w:rsid w:val="00B42345"/>
    <w:rsid w:val="00B42482"/>
    <w:rsid w:val="00B42638"/>
    <w:rsid w:val="00B426FF"/>
    <w:rsid w:val="00B42AF2"/>
    <w:rsid w:val="00B42C05"/>
    <w:rsid w:val="00B42F05"/>
    <w:rsid w:val="00B431B0"/>
    <w:rsid w:val="00B4320A"/>
    <w:rsid w:val="00B435E9"/>
    <w:rsid w:val="00B43BD7"/>
    <w:rsid w:val="00B4437A"/>
    <w:rsid w:val="00B44491"/>
    <w:rsid w:val="00B445A7"/>
    <w:rsid w:val="00B447BF"/>
    <w:rsid w:val="00B44991"/>
    <w:rsid w:val="00B44F3C"/>
    <w:rsid w:val="00B45265"/>
    <w:rsid w:val="00B455F0"/>
    <w:rsid w:val="00B45C63"/>
    <w:rsid w:val="00B4672E"/>
    <w:rsid w:val="00B468D4"/>
    <w:rsid w:val="00B468F4"/>
    <w:rsid w:val="00B46BA7"/>
    <w:rsid w:val="00B46BD6"/>
    <w:rsid w:val="00B47107"/>
    <w:rsid w:val="00B476E6"/>
    <w:rsid w:val="00B4779E"/>
    <w:rsid w:val="00B479B0"/>
    <w:rsid w:val="00B47FC5"/>
    <w:rsid w:val="00B500AA"/>
    <w:rsid w:val="00B506CA"/>
    <w:rsid w:val="00B50732"/>
    <w:rsid w:val="00B5097F"/>
    <w:rsid w:val="00B50A0E"/>
    <w:rsid w:val="00B5114E"/>
    <w:rsid w:val="00B514F1"/>
    <w:rsid w:val="00B518A1"/>
    <w:rsid w:val="00B51BBA"/>
    <w:rsid w:val="00B51BC1"/>
    <w:rsid w:val="00B51D07"/>
    <w:rsid w:val="00B521A5"/>
    <w:rsid w:val="00B5230E"/>
    <w:rsid w:val="00B52997"/>
    <w:rsid w:val="00B52C5D"/>
    <w:rsid w:val="00B52DA8"/>
    <w:rsid w:val="00B534E0"/>
    <w:rsid w:val="00B536AA"/>
    <w:rsid w:val="00B538D3"/>
    <w:rsid w:val="00B53DD6"/>
    <w:rsid w:val="00B5410C"/>
    <w:rsid w:val="00B5411D"/>
    <w:rsid w:val="00B541E7"/>
    <w:rsid w:val="00B550B8"/>
    <w:rsid w:val="00B55BB8"/>
    <w:rsid w:val="00B55CDA"/>
    <w:rsid w:val="00B55DBC"/>
    <w:rsid w:val="00B55FAD"/>
    <w:rsid w:val="00B560D5"/>
    <w:rsid w:val="00B5610F"/>
    <w:rsid w:val="00B56288"/>
    <w:rsid w:val="00B5630F"/>
    <w:rsid w:val="00B5645E"/>
    <w:rsid w:val="00B568B4"/>
    <w:rsid w:val="00B56B5D"/>
    <w:rsid w:val="00B573CB"/>
    <w:rsid w:val="00B57731"/>
    <w:rsid w:val="00B600D1"/>
    <w:rsid w:val="00B60116"/>
    <w:rsid w:val="00B604F8"/>
    <w:rsid w:val="00B605B1"/>
    <w:rsid w:val="00B610BD"/>
    <w:rsid w:val="00B6183B"/>
    <w:rsid w:val="00B618D9"/>
    <w:rsid w:val="00B6223C"/>
    <w:rsid w:val="00B622F6"/>
    <w:rsid w:val="00B6237C"/>
    <w:rsid w:val="00B62EB7"/>
    <w:rsid w:val="00B630C4"/>
    <w:rsid w:val="00B6329D"/>
    <w:rsid w:val="00B6355A"/>
    <w:rsid w:val="00B639BA"/>
    <w:rsid w:val="00B64501"/>
    <w:rsid w:val="00B64578"/>
    <w:rsid w:val="00B64880"/>
    <w:rsid w:val="00B6489A"/>
    <w:rsid w:val="00B64C00"/>
    <w:rsid w:val="00B64FDC"/>
    <w:rsid w:val="00B65818"/>
    <w:rsid w:val="00B661D5"/>
    <w:rsid w:val="00B6657B"/>
    <w:rsid w:val="00B669A8"/>
    <w:rsid w:val="00B66BAB"/>
    <w:rsid w:val="00B66DDE"/>
    <w:rsid w:val="00B670FC"/>
    <w:rsid w:val="00B671C2"/>
    <w:rsid w:val="00B67236"/>
    <w:rsid w:val="00B67349"/>
    <w:rsid w:val="00B6743B"/>
    <w:rsid w:val="00B676A2"/>
    <w:rsid w:val="00B67B46"/>
    <w:rsid w:val="00B67D34"/>
    <w:rsid w:val="00B70158"/>
    <w:rsid w:val="00B7020A"/>
    <w:rsid w:val="00B707DF"/>
    <w:rsid w:val="00B7118C"/>
    <w:rsid w:val="00B71A2C"/>
    <w:rsid w:val="00B71CEC"/>
    <w:rsid w:val="00B71E44"/>
    <w:rsid w:val="00B71F7E"/>
    <w:rsid w:val="00B71FE7"/>
    <w:rsid w:val="00B7206C"/>
    <w:rsid w:val="00B7256B"/>
    <w:rsid w:val="00B72722"/>
    <w:rsid w:val="00B73437"/>
    <w:rsid w:val="00B73846"/>
    <w:rsid w:val="00B73C77"/>
    <w:rsid w:val="00B74666"/>
    <w:rsid w:val="00B748B7"/>
    <w:rsid w:val="00B750C1"/>
    <w:rsid w:val="00B751C7"/>
    <w:rsid w:val="00B7545D"/>
    <w:rsid w:val="00B755D7"/>
    <w:rsid w:val="00B756BD"/>
    <w:rsid w:val="00B7634F"/>
    <w:rsid w:val="00B767BE"/>
    <w:rsid w:val="00B768AD"/>
    <w:rsid w:val="00B76959"/>
    <w:rsid w:val="00B7748A"/>
    <w:rsid w:val="00B77517"/>
    <w:rsid w:val="00B77931"/>
    <w:rsid w:val="00B7795C"/>
    <w:rsid w:val="00B77C85"/>
    <w:rsid w:val="00B77EC6"/>
    <w:rsid w:val="00B77F79"/>
    <w:rsid w:val="00B80256"/>
    <w:rsid w:val="00B8025C"/>
    <w:rsid w:val="00B80276"/>
    <w:rsid w:val="00B80425"/>
    <w:rsid w:val="00B806B0"/>
    <w:rsid w:val="00B80877"/>
    <w:rsid w:val="00B808CC"/>
    <w:rsid w:val="00B80B70"/>
    <w:rsid w:val="00B810C6"/>
    <w:rsid w:val="00B8151E"/>
    <w:rsid w:val="00B820A1"/>
    <w:rsid w:val="00B8261B"/>
    <w:rsid w:val="00B82EBE"/>
    <w:rsid w:val="00B82F4E"/>
    <w:rsid w:val="00B8355D"/>
    <w:rsid w:val="00B835A7"/>
    <w:rsid w:val="00B83957"/>
    <w:rsid w:val="00B83B0F"/>
    <w:rsid w:val="00B83E15"/>
    <w:rsid w:val="00B83E67"/>
    <w:rsid w:val="00B84671"/>
    <w:rsid w:val="00B84788"/>
    <w:rsid w:val="00B84BE7"/>
    <w:rsid w:val="00B84CA0"/>
    <w:rsid w:val="00B8503A"/>
    <w:rsid w:val="00B8520F"/>
    <w:rsid w:val="00B8534F"/>
    <w:rsid w:val="00B85443"/>
    <w:rsid w:val="00B85698"/>
    <w:rsid w:val="00B85ACF"/>
    <w:rsid w:val="00B85C88"/>
    <w:rsid w:val="00B85D55"/>
    <w:rsid w:val="00B85E53"/>
    <w:rsid w:val="00B85F2C"/>
    <w:rsid w:val="00B8623F"/>
    <w:rsid w:val="00B86553"/>
    <w:rsid w:val="00B865E7"/>
    <w:rsid w:val="00B86606"/>
    <w:rsid w:val="00B869A8"/>
    <w:rsid w:val="00B86B12"/>
    <w:rsid w:val="00B86EB6"/>
    <w:rsid w:val="00B86F66"/>
    <w:rsid w:val="00B874BC"/>
    <w:rsid w:val="00B876F1"/>
    <w:rsid w:val="00B876F7"/>
    <w:rsid w:val="00B87B2B"/>
    <w:rsid w:val="00B90041"/>
    <w:rsid w:val="00B901AB"/>
    <w:rsid w:val="00B90483"/>
    <w:rsid w:val="00B908D8"/>
    <w:rsid w:val="00B9102E"/>
    <w:rsid w:val="00B91198"/>
    <w:rsid w:val="00B913FF"/>
    <w:rsid w:val="00B91507"/>
    <w:rsid w:val="00B915CB"/>
    <w:rsid w:val="00B91704"/>
    <w:rsid w:val="00B917FE"/>
    <w:rsid w:val="00B91C2F"/>
    <w:rsid w:val="00B91D9A"/>
    <w:rsid w:val="00B91E15"/>
    <w:rsid w:val="00B91FB1"/>
    <w:rsid w:val="00B92038"/>
    <w:rsid w:val="00B9227C"/>
    <w:rsid w:val="00B92548"/>
    <w:rsid w:val="00B92784"/>
    <w:rsid w:val="00B92EE6"/>
    <w:rsid w:val="00B9311C"/>
    <w:rsid w:val="00B93674"/>
    <w:rsid w:val="00B93854"/>
    <w:rsid w:val="00B939F0"/>
    <w:rsid w:val="00B93B4D"/>
    <w:rsid w:val="00B94441"/>
    <w:rsid w:val="00B947B6"/>
    <w:rsid w:val="00B94BCD"/>
    <w:rsid w:val="00B94BE3"/>
    <w:rsid w:val="00B94CBB"/>
    <w:rsid w:val="00B94FB3"/>
    <w:rsid w:val="00B9506E"/>
    <w:rsid w:val="00B952CB"/>
    <w:rsid w:val="00B95602"/>
    <w:rsid w:val="00B96C9E"/>
    <w:rsid w:val="00B96DB8"/>
    <w:rsid w:val="00B970BA"/>
    <w:rsid w:val="00B974D5"/>
    <w:rsid w:val="00B978FE"/>
    <w:rsid w:val="00B97CC7"/>
    <w:rsid w:val="00B97F1C"/>
    <w:rsid w:val="00B97FCB"/>
    <w:rsid w:val="00BA0004"/>
    <w:rsid w:val="00BA01BE"/>
    <w:rsid w:val="00BA0A30"/>
    <w:rsid w:val="00BA0CBC"/>
    <w:rsid w:val="00BA0D99"/>
    <w:rsid w:val="00BA0FA6"/>
    <w:rsid w:val="00BA13FE"/>
    <w:rsid w:val="00BA14F6"/>
    <w:rsid w:val="00BA1EB8"/>
    <w:rsid w:val="00BA21FD"/>
    <w:rsid w:val="00BA22B8"/>
    <w:rsid w:val="00BA262F"/>
    <w:rsid w:val="00BA26B7"/>
    <w:rsid w:val="00BA2758"/>
    <w:rsid w:val="00BA2A37"/>
    <w:rsid w:val="00BA2BF4"/>
    <w:rsid w:val="00BA3134"/>
    <w:rsid w:val="00BA3BD9"/>
    <w:rsid w:val="00BA3D9B"/>
    <w:rsid w:val="00BA4863"/>
    <w:rsid w:val="00BA486C"/>
    <w:rsid w:val="00BA4971"/>
    <w:rsid w:val="00BA4A83"/>
    <w:rsid w:val="00BA529E"/>
    <w:rsid w:val="00BA561B"/>
    <w:rsid w:val="00BA5D18"/>
    <w:rsid w:val="00BA5F92"/>
    <w:rsid w:val="00BA63E8"/>
    <w:rsid w:val="00BA652B"/>
    <w:rsid w:val="00BA6A0C"/>
    <w:rsid w:val="00BA6AD8"/>
    <w:rsid w:val="00BA6CE7"/>
    <w:rsid w:val="00BA6D29"/>
    <w:rsid w:val="00BA6F93"/>
    <w:rsid w:val="00BA6FCC"/>
    <w:rsid w:val="00BA75C4"/>
    <w:rsid w:val="00BA78E3"/>
    <w:rsid w:val="00BA7A81"/>
    <w:rsid w:val="00BA7D0A"/>
    <w:rsid w:val="00BA7D2F"/>
    <w:rsid w:val="00BB09F4"/>
    <w:rsid w:val="00BB0C8C"/>
    <w:rsid w:val="00BB0DE8"/>
    <w:rsid w:val="00BB1496"/>
    <w:rsid w:val="00BB14D0"/>
    <w:rsid w:val="00BB1DDB"/>
    <w:rsid w:val="00BB1E16"/>
    <w:rsid w:val="00BB2063"/>
    <w:rsid w:val="00BB2112"/>
    <w:rsid w:val="00BB2128"/>
    <w:rsid w:val="00BB22FE"/>
    <w:rsid w:val="00BB2BE2"/>
    <w:rsid w:val="00BB2F53"/>
    <w:rsid w:val="00BB33FF"/>
    <w:rsid w:val="00BB381C"/>
    <w:rsid w:val="00BB3A85"/>
    <w:rsid w:val="00BB3AAD"/>
    <w:rsid w:val="00BB3E26"/>
    <w:rsid w:val="00BB45F0"/>
    <w:rsid w:val="00BB4630"/>
    <w:rsid w:val="00BB4859"/>
    <w:rsid w:val="00BB48D2"/>
    <w:rsid w:val="00BB49DC"/>
    <w:rsid w:val="00BB4C0D"/>
    <w:rsid w:val="00BB51C2"/>
    <w:rsid w:val="00BB52D9"/>
    <w:rsid w:val="00BB5311"/>
    <w:rsid w:val="00BB5372"/>
    <w:rsid w:val="00BB557E"/>
    <w:rsid w:val="00BB55E4"/>
    <w:rsid w:val="00BB5AFF"/>
    <w:rsid w:val="00BB5C67"/>
    <w:rsid w:val="00BB5CB7"/>
    <w:rsid w:val="00BB5F8C"/>
    <w:rsid w:val="00BB6BDA"/>
    <w:rsid w:val="00BB6E91"/>
    <w:rsid w:val="00BB6EAC"/>
    <w:rsid w:val="00BB71D2"/>
    <w:rsid w:val="00BB7375"/>
    <w:rsid w:val="00BB75F4"/>
    <w:rsid w:val="00BB7A9C"/>
    <w:rsid w:val="00BB7CEB"/>
    <w:rsid w:val="00BC01CC"/>
    <w:rsid w:val="00BC09F3"/>
    <w:rsid w:val="00BC0AA1"/>
    <w:rsid w:val="00BC0C0D"/>
    <w:rsid w:val="00BC1528"/>
    <w:rsid w:val="00BC1CF9"/>
    <w:rsid w:val="00BC2187"/>
    <w:rsid w:val="00BC2208"/>
    <w:rsid w:val="00BC229D"/>
    <w:rsid w:val="00BC2708"/>
    <w:rsid w:val="00BC29CA"/>
    <w:rsid w:val="00BC2E95"/>
    <w:rsid w:val="00BC312C"/>
    <w:rsid w:val="00BC3166"/>
    <w:rsid w:val="00BC33AC"/>
    <w:rsid w:val="00BC3B55"/>
    <w:rsid w:val="00BC4418"/>
    <w:rsid w:val="00BC4575"/>
    <w:rsid w:val="00BC47ED"/>
    <w:rsid w:val="00BC48BD"/>
    <w:rsid w:val="00BC4AED"/>
    <w:rsid w:val="00BC4B4A"/>
    <w:rsid w:val="00BC51B0"/>
    <w:rsid w:val="00BC541D"/>
    <w:rsid w:val="00BC5802"/>
    <w:rsid w:val="00BC5A8B"/>
    <w:rsid w:val="00BC60FF"/>
    <w:rsid w:val="00BC61E6"/>
    <w:rsid w:val="00BC6E38"/>
    <w:rsid w:val="00BC6F33"/>
    <w:rsid w:val="00BC6F5B"/>
    <w:rsid w:val="00BC706A"/>
    <w:rsid w:val="00BC7070"/>
    <w:rsid w:val="00BC743A"/>
    <w:rsid w:val="00BC792C"/>
    <w:rsid w:val="00BD08A5"/>
    <w:rsid w:val="00BD1004"/>
    <w:rsid w:val="00BD1037"/>
    <w:rsid w:val="00BD144C"/>
    <w:rsid w:val="00BD19B7"/>
    <w:rsid w:val="00BD1F6C"/>
    <w:rsid w:val="00BD203A"/>
    <w:rsid w:val="00BD23BF"/>
    <w:rsid w:val="00BD2618"/>
    <w:rsid w:val="00BD29C0"/>
    <w:rsid w:val="00BD29D9"/>
    <w:rsid w:val="00BD2A14"/>
    <w:rsid w:val="00BD31EC"/>
    <w:rsid w:val="00BD3F22"/>
    <w:rsid w:val="00BD42BC"/>
    <w:rsid w:val="00BD486D"/>
    <w:rsid w:val="00BD489C"/>
    <w:rsid w:val="00BD49CE"/>
    <w:rsid w:val="00BD4F73"/>
    <w:rsid w:val="00BD52CD"/>
    <w:rsid w:val="00BD5461"/>
    <w:rsid w:val="00BD5BAD"/>
    <w:rsid w:val="00BD5BC6"/>
    <w:rsid w:val="00BD5E48"/>
    <w:rsid w:val="00BD63B2"/>
    <w:rsid w:val="00BD64CB"/>
    <w:rsid w:val="00BD66B6"/>
    <w:rsid w:val="00BD676F"/>
    <w:rsid w:val="00BD6910"/>
    <w:rsid w:val="00BD6F74"/>
    <w:rsid w:val="00BD71B5"/>
    <w:rsid w:val="00BD7308"/>
    <w:rsid w:val="00BD7612"/>
    <w:rsid w:val="00BD7642"/>
    <w:rsid w:val="00BD7D42"/>
    <w:rsid w:val="00BD7D56"/>
    <w:rsid w:val="00BE043D"/>
    <w:rsid w:val="00BE1323"/>
    <w:rsid w:val="00BE1D21"/>
    <w:rsid w:val="00BE1F37"/>
    <w:rsid w:val="00BE2128"/>
    <w:rsid w:val="00BE2825"/>
    <w:rsid w:val="00BE315E"/>
    <w:rsid w:val="00BE31B3"/>
    <w:rsid w:val="00BE416C"/>
    <w:rsid w:val="00BE4554"/>
    <w:rsid w:val="00BE4784"/>
    <w:rsid w:val="00BE4AB5"/>
    <w:rsid w:val="00BE4D5C"/>
    <w:rsid w:val="00BE4DA7"/>
    <w:rsid w:val="00BE4ECD"/>
    <w:rsid w:val="00BE4FC7"/>
    <w:rsid w:val="00BE5227"/>
    <w:rsid w:val="00BE52B5"/>
    <w:rsid w:val="00BE5377"/>
    <w:rsid w:val="00BE5417"/>
    <w:rsid w:val="00BE54CE"/>
    <w:rsid w:val="00BE6008"/>
    <w:rsid w:val="00BE6AA9"/>
    <w:rsid w:val="00BE6F31"/>
    <w:rsid w:val="00BE7026"/>
    <w:rsid w:val="00BE74F1"/>
    <w:rsid w:val="00BE7541"/>
    <w:rsid w:val="00BE76EE"/>
    <w:rsid w:val="00BE77AD"/>
    <w:rsid w:val="00BE7977"/>
    <w:rsid w:val="00BE7CAA"/>
    <w:rsid w:val="00BE7E6B"/>
    <w:rsid w:val="00BF02AF"/>
    <w:rsid w:val="00BF05D1"/>
    <w:rsid w:val="00BF0967"/>
    <w:rsid w:val="00BF0974"/>
    <w:rsid w:val="00BF09E2"/>
    <w:rsid w:val="00BF0B2C"/>
    <w:rsid w:val="00BF0B33"/>
    <w:rsid w:val="00BF109C"/>
    <w:rsid w:val="00BF1142"/>
    <w:rsid w:val="00BF1371"/>
    <w:rsid w:val="00BF1670"/>
    <w:rsid w:val="00BF1768"/>
    <w:rsid w:val="00BF22B6"/>
    <w:rsid w:val="00BF260E"/>
    <w:rsid w:val="00BF26A8"/>
    <w:rsid w:val="00BF272D"/>
    <w:rsid w:val="00BF2782"/>
    <w:rsid w:val="00BF2B6C"/>
    <w:rsid w:val="00BF2C67"/>
    <w:rsid w:val="00BF319E"/>
    <w:rsid w:val="00BF3BE0"/>
    <w:rsid w:val="00BF3DCB"/>
    <w:rsid w:val="00BF3FD6"/>
    <w:rsid w:val="00BF40F9"/>
    <w:rsid w:val="00BF4322"/>
    <w:rsid w:val="00BF44F4"/>
    <w:rsid w:val="00BF4583"/>
    <w:rsid w:val="00BF4A32"/>
    <w:rsid w:val="00BF4B3F"/>
    <w:rsid w:val="00BF4BF9"/>
    <w:rsid w:val="00BF4D79"/>
    <w:rsid w:val="00BF5208"/>
    <w:rsid w:val="00BF53B4"/>
    <w:rsid w:val="00BF53D5"/>
    <w:rsid w:val="00BF56AA"/>
    <w:rsid w:val="00BF59F8"/>
    <w:rsid w:val="00BF5A18"/>
    <w:rsid w:val="00BF5C8B"/>
    <w:rsid w:val="00BF6424"/>
    <w:rsid w:val="00BF697F"/>
    <w:rsid w:val="00BF69CD"/>
    <w:rsid w:val="00BF6AB2"/>
    <w:rsid w:val="00BF7090"/>
    <w:rsid w:val="00BF7199"/>
    <w:rsid w:val="00BF790B"/>
    <w:rsid w:val="00BF798A"/>
    <w:rsid w:val="00BF79B2"/>
    <w:rsid w:val="00BF7EC9"/>
    <w:rsid w:val="00C0014C"/>
    <w:rsid w:val="00C00B25"/>
    <w:rsid w:val="00C00B3C"/>
    <w:rsid w:val="00C00BF7"/>
    <w:rsid w:val="00C00DC4"/>
    <w:rsid w:val="00C011D6"/>
    <w:rsid w:val="00C01474"/>
    <w:rsid w:val="00C0171C"/>
    <w:rsid w:val="00C017CD"/>
    <w:rsid w:val="00C01AEB"/>
    <w:rsid w:val="00C01C8D"/>
    <w:rsid w:val="00C01DFC"/>
    <w:rsid w:val="00C02355"/>
    <w:rsid w:val="00C02538"/>
    <w:rsid w:val="00C02A74"/>
    <w:rsid w:val="00C02E57"/>
    <w:rsid w:val="00C02F05"/>
    <w:rsid w:val="00C02FCA"/>
    <w:rsid w:val="00C030AD"/>
    <w:rsid w:val="00C03245"/>
    <w:rsid w:val="00C03997"/>
    <w:rsid w:val="00C03D57"/>
    <w:rsid w:val="00C03DCA"/>
    <w:rsid w:val="00C04138"/>
    <w:rsid w:val="00C043AC"/>
    <w:rsid w:val="00C0491B"/>
    <w:rsid w:val="00C04D39"/>
    <w:rsid w:val="00C04E7A"/>
    <w:rsid w:val="00C04EB0"/>
    <w:rsid w:val="00C05345"/>
    <w:rsid w:val="00C06106"/>
    <w:rsid w:val="00C06267"/>
    <w:rsid w:val="00C0689C"/>
    <w:rsid w:val="00C07220"/>
    <w:rsid w:val="00C0727B"/>
    <w:rsid w:val="00C07380"/>
    <w:rsid w:val="00C1088D"/>
    <w:rsid w:val="00C108BE"/>
    <w:rsid w:val="00C109B9"/>
    <w:rsid w:val="00C10EE6"/>
    <w:rsid w:val="00C112A2"/>
    <w:rsid w:val="00C1142E"/>
    <w:rsid w:val="00C11BA3"/>
    <w:rsid w:val="00C11C44"/>
    <w:rsid w:val="00C11CD3"/>
    <w:rsid w:val="00C1287F"/>
    <w:rsid w:val="00C12C44"/>
    <w:rsid w:val="00C12C6A"/>
    <w:rsid w:val="00C12CF0"/>
    <w:rsid w:val="00C12D03"/>
    <w:rsid w:val="00C12DE0"/>
    <w:rsid w:val="00C12E7E"/>
    <w:rsid w:val="00C12FC0"/>
    <w:rsid w:val="00C133FE"/>
    <w:rsid w:val="00C13553"/>
    <w:rsid w:val="00C13FCF"/>
    <w:rsid w:val="00C14119"/>
    <w:rsid w:val="00C141DB"/>
    <w:rsid w:val="00C14672"/>
    <w:rsid w:val="00C147CF"/>
    <w:rsid w:val="00C1505A"/>
    <w:rsid w:val="00C154DF"/>
    <w:rsid w:val="00C155B0"/>
    <w:rsid w:val="00C15A88"/>
    <w:rsid w:val="00C15B40"/>
    <w:rsid w:val="00C162F1"/>
    <w:rsid w:val="00C164B6"/>
    <w:rsid w:val="00C16890"/>
    <w:rsid w:val="00C16F27"/>
    <w:rsid w:val="00C17252"/>
    <w:rsid w:val="00C17646"/>
    <w:rsid w:val="00C17970"/>
    <w:rsid w:val="00C17A56"/>
    <w:rsid w:val="00C17C0B"/>
    <w:rsid w:val="00C17FD7"/>
    <w:rsid w:val="00C20BCA"/>
    <w:rsid w:val="00C20CA0"/>
    <w:rsid w:val="00C20FF8"/>
    <w:rsid w:val="00C225CC"/>
    <w:rsid w:val="00C227AE"/>
    <w:rsid w:val="00C22814"/>
    <w:rsid w:val="00C22863"/>
    <w:rsid w:val="00C22D75"/>
    <w:rsid w:val="00C23795"/>
    <w:rsid w:val="00C23A26"/>
    <w:rsid w:val="00C23C98"/>
    <w:rsid w:val="00C23EBC"/>
    <w:rsid w:val="00C23F0D"/>
    <w:rsid w:val="00C2414A"/>
    <w:rsid w:val="00C241F6"/>
    <w:rsid w:val="00C245A4"/>
    <w:rsid w:val="00C24D62"/>
    <w:rsid w:val="00C25542"/>
    <w:rsid w:val="00C255FA"/>
    <w:rsid w:val="00C25B5B"/>
    <w:rsid w:val="00C26773"/>
    <w:rsid w:val="00C26817"/>
    <w:rsid w:val="00C26E7C"/>
    <w:rsid w:val="00C26F7A"/>
    <w:rsid w:val="00C2752A"/>
    <w:rsid w:val="00C2799F"/>
    <w:rsid w:val="00C279A4"/>
    <w:rsid w:val="00C27E2B"/>
    <w:rsid w:val="00C300D6"/>
    <w:rsid w:val="00C30594"/>
    <w:rsid w:val="00C307B7"/>
    <w:rsid w:val="00C30950"/>
    <w:rsid w:val="00C30D51"/>
    <w:rsid w:val="00C3169B"/>
    <w:rsid w:val="00C31751"/>
    <w:rsid w:val="00C3193F"/>
    <w:rsid w:val="00C31A0E"/>
    <w:rsid w:val="00C31CCB"/>
    <w:rsid w:val="00C3233C"/>
    <w:rsid w:val="00C32461"/>
    <w:rsid w:val="00C324CD"/>
    <w:rsid w:val="00C32B18"/>
    <w:rsid w:val="00C330F2"/>
    <w:rsid w:val="00C33268"/>
    <w:rsid w:val="00C3360E"/>
    <w:rsid w:val="00C33900"/>
    <w:rsid w:val="00C33C19"/>
    <w:rsid w:val="00C33F2C"/>
    <w:rsid w:val="00C34015"/>
    <w:rsid w:val="00C343FA"/>
    <w:rsid w:val="00C3442D"/>
    <w:rsid w:val="00C3445F"/>
    <w:rsid w:val="00C34493"/>
    <w:rsid w:val="00C34740"/>
    <w:rsid w:val="00C34962"/>
    <w:rsid w:val="00C34B0A"/>
    <w:rsid w:val="00C34B5B"/>
    <w:rsid w:val="00C357A2"/>
    <w:rsid w:val="00C35809"/>
    <w:rsid w:val="00C35DF9"/>
    <w:rsid w:val="00C35E6F"/>
    <w:rsid w:val="00C367E4"/>
    <w:rsid w:val="00C36D63"/>
    <w:rsid w:val="00C36EC0"/>
    <w:rsid w:val="00C37F28"/>
    <w:rsid w:val="00C403E1"/>
    <w:rsid w:val="00C40577"/>
    <w:rsid w:val="00C40B33"/>
    <w:rsid w:val="00C40D42"/>
    <w:rsid w:val="00C40E03"/>
    <w:rsid w:val="00C4105D"/>
    <w:rsid w:val="00C41334"/>
    <w:rsid w:val="00C41575"/>
    <w:rsid w:val="00C41965"/>
    <w:rsid w:val="00C41A20"/>
    <w:rsid w:val="00C41B5B"/>
    <w:rsid w:val="00C42217"/>
    <w:rsid w:val="00C422E4"/>
    <w:rsid w:val="00C424D7"/>
    <w:rsid w:val="00C4257E"/>
    <w:rsid w:val="00C42C01"/>
    <w:rsid w:val="00C437BA"/>
    <w:rsid w:val="00C43B99"/>
    <w:rsid w:val="00C43BFF"/>
    <w:rsid w:val="00C43CA5"/>
    <w:rsid w:val="00C43CAE"/>
    <w:rsid w:val="00C43E78"/>
    <w:rsid w:val="00C43F67"/>
    <w:rsid w:val="00C440C8"/>
    <w:rsid w:val="00C44193"/>
    <w:rsid w:val="00C449C5"/>
    <w:rsid w:val="00C44BF4"/>
    <w:rsid w:val="00C44C65"/>
    <w:rsid w:val="00C450C3"/>
    <w:rsid w:val="00C45675"/>
    <w:rsid w:val="00C45880"/>
    <w:rsid w:val="00C4595A"/>
    <w:rsid w:val="00C45F8C"/>
    <w:rsid w:val="00C4624A"/>
    <w:rsid w:val="00C4665C"/>
    <w:rsid w:val="00C46C32"/>
    <w:rsid w:val="00C46DCF"/>
    <w:rsid w:val="00C47764"/>
    <w:rsid w:val="00C479BB"/>
    <w:rsid w:val="00C479EE"/>
    <w:rsid w:val="00C47A37"/>
    <w:rsid w:val="00C47B7F"/>
    <w:rsid w:val="00C47FF2"/>
    <w:rsid w:val="00C47FF3"/>
    <w:rsid w:val="00C5031F"/>
    <w:rsid w:val="00C503B7"/>
    <w:rsid w:val="00C5081C"/>
    <w:rsid w:val="00C50AA3"/>
    <w:rsid w:val="00C50AC9"/>
    <w:rsid w:val="00C50ECF"/>
    <w:rsid w:val="00C50F39"/>
    <w:rsid w:val="00C50FB1"/>
    <w:rsid w:val="00C513B8"/>
    <w:rsid w:val="00C516B5"/>
    <w:rsid w:val="00C521A0"/>
    <w:rsid w:val="00C52393"/>
    <w:rsid w:val="00C523B4"/>
    <w:rsid w:val="00C52ACC"/>
    <w:rsid w:val="00C535E4"/>
    <w:rsid w:val="00C53875"/>
    <w:rsid w:val="00C53B4B"/>
    <w:rsid w:val="00C53B7D"/>
    <w:rsid w:val="00C53E14"/>
    <w:rsid w:val="00C53F20"/>
    <w:rsid w:val="00C540C0"/>
    <w:rsid w:val="00C54716"/>
    <w:rsid w:val="00C547D2"/>
    <w:rsid w:val="00C54CCE"/>
    <w:rsid w:val="00C54FED"/>
    <w:rsid w:val="00C550C1"/>
    <w:rsid w:val="00C5576B"/>
    <w:rsid w:val="00C55EDB"/>
    <w:rsid w:val="00C55EEC"/>
    <w:rsid w:val="00C561A9"/>
    <w:rsid w:val="00C56429"/>
    <w:rsid w:val="00C568A2"/>
    <w:rsid w:val="00C569F8"/>
    <w:rsid w:val="00C56C35"/>
    <w:rsid w:val="00C56D1E"/>
    <w:rsid w:val="00C56E13"/>
    <w:rsid w:val="00C57631"/>
    <w:rsid w:val="00C57B37"/>
    <w:rsid w:val="00C57D50"/>
    <w:rsid w:val="00C57DAC"/>
    <w:rsid w:val="00C603E1"/>
    <w:rsid w:val="00C60657"/>
    <w:rsid w:val="00C607BE"/>
    <w:rsid w:val="00C60CCA"/>
    <w:rsid w:val="00C60E02"/>
    <w:rsid w:val="00C60FE1"/>
    <w:rsid w:val="00C6108C"/>
    <w:rsid w:val="00C617B8"/>
    <w:rsid w:val="00C618E4"/>
    <w:rsid w:val="00C61A11"/>
    <w:rsid w:val="00C61FD6"/>
    <w:rsid w:val="00C62352"/>
    <w:rsid w:val="00C62F05"/>
    <w:rsid w:val="00C63172"/>
    <w:rsid w:val="00C63284"/>
    <w:rsid w:val="00C6358E"/>
    <w:rsid w:val="00C63A55"/>
    <w:rsid w:val="00C641CB"/>
    <w:rsid w:val="00C641D0"/>
    <w:rsid w:val="00C64BE2"/>
    <w:rsid w:val="00C64D21"/>
    <w:rsid w:val="00C65090"/>
    <w:rsid w:val="00C65747"/>
    <w:rsid w:val="00C658AD"/>
    <w:rsid w:val="00C66122"/>
    <w:rsid w:val="00C6613D"/>
    <w:rsid w:val="00C6675B"/>
    <w:rsid w:val="00C669E3"/>
    <w:rsid w:val="00C669E4"/>
    <w:rsid w:val="00C66AA8"/>
    <w:rsid w:val="00C66AAB"/>
    <w:rsid w:val="00C66F18"/>
    <w:rsid w:val="00C676D3"/>
    <w:rsid w:val="00C678B2"/>
    <w:rsid w:val="00C67AD4"/>
    <w:rsid w:val="00C67C08"/>
    <w:rsid w:val="00C67D30"/>
    <w:rsid w:val="00C67E77"/>
    <w:rsid w:val="00C67F97"/>
    <w:rsid w:val="00C70031"/>
    <w:rsid w:val="00C7006C"/>
    <w:rsid w:val="00C70167"/>
    <w:rsid w:val="00C702B6"/>
    <w:rsid w:val="00C70531"/>
    <w:rsid w:val="00C70756"/>
    <w:rsid w:val="00C707E1"/>
    <w:rsid w:val="00C70C3C"/>
    <w:rsid w:val="00C70DA2"/>
    <w:rsid w:val="00C70E65"/>
    <w:rsid w:val="00C71381"/>
    <w:rsid w:val="00C7139A"/>
    <w:rsid w:val="00C7167E"/>
    <w:rsid w:val="00C71919"/>
    <w:rsid w:val="00C71A00"/>
    <w:rsid w:val="00C71B07"/>
    <w:rsid w:val="00C72104"/>
    <w:rsid w:val="00C7214E"/>
    <w:rsid w:val="00C7237C"/>
    <w:rsid w:val="00C72DA3"/>
    <w:rsid w:val="00C73C4D"/>
    <w:rsid w:val="00C73DAB"/>
    <w:rsid w:val="00C74304"/>
    <w:rsid w:val="00C7465C"/>
    <w:rsid w:val="00C747BA"/>
    <w:rsid w:val="00C74965"/>
    <w:rsid w:val="00C749B0"/>
    <w:rsid w:val="00C74C8C"/>
    <w:rsid w:val="00C74FFE"/>
    <w:rsid w:val="00C75183"/>
    <w:rsid w:val="00C7547B"/>
    <w:rsid w:val="00C75543"/>
    <w:rsid w:val="00C75600"/>
    <w:rsid w:val="00C75CA0"/>
    <w:rsid w:val="00C76056"/>
    <w:rsid w:val="00C765D0"/>
    <w:rsid w:val="00C7664B"/>
    <w:rsid w:val="00C766C6"/>
    <w:rsid w:val="00C76FB0"/>
    <w:rsid w:val="00C770B9"/>
    <w:rsid w:val="00C771BF"/>
    <w:rsid w:val="00C77665"/>
    <w:rsid w:val="00C77805"/>
    <w:rsid w:val="00C77A7B"/>
    <w:rsid w:val="00C77C50"/>
    <w:rsid w:val="00C77D20"/>
    <w:rsid w:val="00C77E82"/>
    <w:rsid w:val="00C80C08"/>
    <w:rsid w:val="00C80C5B"/>
    <w:rsid w:val="00C80FE2"/>
    <w:rsid w:val="00C812CF"/>
    <w:rsid w:val="00C8152E"/>
    <w:rsid w:val="00C81758"/>
    <w:rsid w:val="00C8185E"/>
    <w:rsid w:val="00C819A5"/>
    <w:rsid w:val="00C81CE0"/>
    <w:rsid w:val="00C8230D"/>
    <w:rsid w:val="00C825C0"/>
    <w:rsid w:val="00C82DDD"/>
    <w:rsid w:val="00C830B2"/>
    <w:rsid w:val="00C83309"/>
    <w:rsid w:val="00C836B7"/>
    <w:rsid w:val="00C837A4"/>
    <w:rsid w:val="00C83DC0"/>
    <w:rsid w:val="00C843FF"/>
    <w:rsid w:val="00C84690"/>
    <w:rsid w:val="00C846CE"/>
    <w:rsid w:val="00C8488E"/>
    <w:rsid w:val="00C84890"/>
    <w:rsid w:val="00C8492C"/>
    <w:rsid w:val="00C84DEE"/>
    <w:rsid w:val="00C84E5F"/>
    <w:rsid w:val="00C84EEE"/>
    <w:rsid w:val="00C85095"/>
    <w:rsid w:val="00C85227"/>
    <w:rsid w:val="00C85685"/>
    <w:rsid w:val="00C85A27"/>
    <w:rsid w:val="00C85F71"/>
    <w:rsid w:val="00C8652A"/>
    <w:rsid w:val="00C86609"/>
    <w:rsid w:val="00C86C70"/>
    <w:rsid w:val="00C86D05"/>
    <w:rsid w:val="00C874BE"/>
    <w:rsid w:val="00C875D1"/>
    <w:rsid w:val="00C876A2"/>
    <w:rsid w:val="00C87A18"/>
    <w:rsid w:val="00C87D50"/>
    <w:rsid w:val="00C87F22"/>
    <w:rsid w:val="00C9014F"/>
    <w:rsid w:val="00C901EC"/>
    <w:rsid w:val="00C90309"/>
    <w:rsid w:val="00C90CB9"/>
    <w:rsid w:val="00C91086"/>
    <w:rsid w:val="00C911CE"/>
    <w:rsid w:val="00C9136B"/>
    <w:rsid w:val="00C914F9"/>
    <w:rsid w:val="00C918E8"/>
    <w:rsid w:val="00C91D4D"/>
    <w:rsid w:val="00C91EA6"/>
    <w:rsid w:val="00C92015"/>
    <w:rsid w:val="00C9230F"/>
    <w:rsid w:val="00C925C4"/>
    <w:rsid w:val="00C92708"/>
    <w:rsid w:val="00C9298D"/>
    <w:rsid w:val="00C92DD2"/>
    <w:rsid w:val="00C93003"/>
    <w:rsid w:val="00C9330D"/>
    <w:rsid w:val="00C936BB"/>
    <w:rsid w:val="00C93714"/>
    <w:rsid w:val="00C93748"/>
    <w:rsid w:val="00C93FED"/>
    <w:rsid w:val="00C9415D"/>
    <w:rsid w:val="00C9484A"/>
    <w:rsid w:val="00C94EAE"/>
    <w:rsid w:val="00C94EF9"/>
    <w:rsid w:val="00C955AA"/>
    <w:rsid w:val="00C95904"/>
    <w:rsid w:val="00C95DE0"/>
    <w:rsid w:val="00C9618E"/>
    <w:rsid w:val="00C9697B"/>
    <w:rsid w:val="00C96D1D"/>
    <w:rsid w:val="00C96FE9"/>
    <w:rsid w:val="00C970A5"/>
    <w:rsid w:val="00C97169"/>
    <w:rsid w:val="00C972F2"/>
    <w:rsid w:val="00C97316"/>
    <w:rsid w:val="00C9746E"/>
    <w:rsid w:val="00C976D1"/>
    <w:rsid w:val="00C97C6A"/>
    <w:rsid w:val="00CA0E78"/>
    <w:rsid w:val="00CA1B5A"/>
    <w:rsid w:val="00CA1C94"/>
    <w:rsid w:val="00CA2115"/>
    <w:rsid w:val="00CA22CA"/>
    <w:rsid w:val="00CA29A4"/>
    <w:rsid w:val="00CA2B4C"/>
    <w:rsid w:val="00CA2C56"/>
    <w:rsid w:val="00CA2DC7"/>
    <w:rsid w:val="00CA3A79"/>
    <w:rsid w:val="00CA3C6B"/>
    <w:rsid w:val="00CA3E22"/>
    <w:rsid w:val="00CA3EB0"/>
    <w:rsid w:val="00CA41DC"/>
    <w:rsid w:val="00CA4332"/>
    <w:rsid w:val="00CA48B7"/>
    <w:rsid w:val="00CA4C60"/>
    <w:rsid w:val="00CA57E3"/>
    <w:rsid w:val="00CA5D25"/>
    <w:rsid w:val="00CA620F"/>
    <w:rsid w:val="00CA62C5"/>
    <w:rsid w:val="00CA6312"/>
    <w:rsid w:val="00CA72AC"/>
    <w:rsid w:val="00CA7376"/>
    <w:rsid w:val="00CA7424"/>
    <w:rsid w:val="00CB04F6"/>
    <w:rsid w:val="00CB0BAE"/>
    <w:rsid w:val="00CB0C26"/>
    <w:rsid w:val="00CB0C32"/>
    <w:rsid w:val="00CB0E94"/>
    <w:rsid w:val="00CB0EBB"/>
    <w:rsid w:val="00CB1174"/>
    <w:rsid w:val="00CB1591"/>
    <w:rsid w:val="00CB16DF"/>
    <w:rsid w:val="00CB17AD"/>
    <w:rsid w:val="00CB19B7"/>
    <w:rsid w:val="00CB19EE"/>
    <w:rsid w:val="00CB20DE"/>
    <w:rsid w:val="00CB2500"/>
    <w:rsid w:val="00CB26AF"/>
    <w:rsid w:val="00CB2923"/>
    <w:rsid w:val="00CB2DDF"/>
    <w:rsid w:val="00CB2E61"/>
    <w:rsid w:val="00CB2EE9"/>
    <w:rsid w:val="00CB3081"/>
    <w:rsid w:val="00CB390A"/>
    <w:rsid w:val="00CB3E59"/>
    <w:rsid w:val="00CB405D"/>
    <w:rsid w:val="00CB40CC"/>
    <w:rsid w:val="00CB432A"/>
    <w:rsid w:val="00CB4727"/>
    <w:rsid w:val="00CB4740"/>
    <w:rsid w:val="00CB4B47"/>
    <w:rsid w:val="00CB4B60"/>
    <w:rsid w:val="00CB4C49"/>
    <w:rsid w:val="00CB4DF5"/>
    <w:rsid w:val="00CB5384"/>
    <w:rsid w:val="00CB5677"/>
    <w:rsid w:val="00CB58EB"/>
    <w:rsid w:val="00CB59AE"/>
    <w:rsid w:val="00CB5AFF"/>
    <w:rsid w:val="00CB5EEC"/>
    <w:rsid w:val="00CB613F"/>
    <w:rsid w:val="00CB6461"/>
    <w:rsid w:val="00CB6766"/>
    <w:rsid w:val="00CB6B51"/>
    <w:rsid w:val="00CB7907"/>
    <w:rsid w:val="00CC0223"/>
    <w:rsid w:val="00CC0268"/>
    <w:rsid w:val="00CC06E2"/>
    <w:rsid w:val="00CC0A59"/>
    <w:rsid w:val="00CC0D1A"/>
    <w:rsid w:val="00CC1884"/>
    <w:rsid w:val="00CC197E"/>
    <w:rsid w:val="00CC1D82"/>
    <w:rsid w:val="00CC1EF7"/>
    <w:rsid w:val="00CC2C31"/>
    <w:rsid w:val="00CC33F0"/>
    <w:rsid w:val="00CC3482"/>
    <w:rsid w:val="00CC362A"/>
    <w:rsid w:val="00CC38B5"/>
    <w:rsid w:val="00CC3ACF"/>
    <w:rsid w:val="00CC3F33"/>
    <w:rsid w:val="00CC4009"/>
    <w:rsid w:val="00CC43B8"/>
    <w:rsid w:val="00CC4C0B"/>
    <w:rsid w:val="00CC52C8"/>
    <w:rsid w:val="00CC558C"/>
    <w:rsid w:val="00CC57C1"/>
    <w:rsid w:val="00CC6D44"/>
    <w:rsid w:val="00CC72EE"/>
    <w:rsid w:val="00CC732B"/>
    <w:rsid w:val="00CC745C"/>
    <w:rsid w:val="00CC75A4"/>
    <w:rsid w:val="00CD041A"/>
    <w:rsid w:val="00CD0680"/>
    <w:rsid w:val="00CD0C3F"/>
    <w:rsid w:val="00CD0CA5"/>
    <w:rsid w:val="00CD1833"/>
    <w:rsid w:val="00CD18CD"/>
    <w:rsid w:val="00CD1A35"/>
    <w:rsid w:val="00CD204F"/>
    <w:rsid w:val="00CD2119"/>
    <w:rsid w:val="00CD24D9"/>
    <w:rsid w:val="00CD25D9"/>
    <w:rsid w:val="00CD2E28"/>
    <w:rsid w:val="00CD30A1"/>
    <w:rsid w:val="00CD3375"/>
    <w:rsid w:val="00CD399B"/>
    <w:rsid w:val="00CD3D34"/>
    <w:rsid w:val="00CD3E7A"/>
    <w:rsid w:val="00CD4344"/>
    <w:rsid w:val="00CD4803"/>
    <w:rsid w:val="00CD4BE7"/>
    <w:rsid w:val="00CD4C36"/>
    <w:rsid w:val="00CD4E94"/>
    <w:rsid w:val="00CD5378"/>
    <w:rsid w:val="00CD56A0"/>
    <w:rsid w:val="00CD619A"/>
    <w:rsid w:val="00CD64D9"/>
    <w:rsid w:val="00CD7170"/>
    <w:rsid w:val="00CD7403"/>
    <w:rsid w:val="00CD7556"/>
    <w:rsid w:val="00CD75F9"/>
    <w:rsid w:val="00CD77B3"/>
    <w:rsid w:val="00CD781A"/>
    <w:rsid w:val="00CD7AA7"/>
    <w:rsid w:val="00CE03BE"/>
    <w:rsid w:val="00CE042C"/>
    <w:rsid w:val="00CE052F"/>
    <w:rsid w:val="00CE09D9"/>
    <w:rsid w:val="00CE11C7"/>
    <w:rsid w:val="00CE154D"/>
    <w:rsid w:val="00CE1E9A"/>
    <w:rsid w:val="00CE1F72"/>
    <w:rsid w:val="00CE215E"/>
    <w:rsid w:val="00CE298C"/>
    <w:rsid w:val="00CE2A67"/>
    <w:rsid w:val="00CE2B46"/>
    <w:rsid w:val="00CE2D72"/>
    <w:rsid w:val="00CE3A8B"/>
    <w:rsid w:val="00CE3DFC"/>
    <w:rsid w:val="00CE413D"/>
    <w:rsid w:val="00CE41CF"/>
    <w:rsid w:val="00CE4734"/>
    <w:rsid w:val="00CE4D47"/>
    <w:rsid w:val="00CE500F"/>
    <w:rsid w:val="00CE537E"/>
    <w:rsid w:val="00CE553C"/>
    <w:rsid w:val="00CE566B"/>
    <w:rsid w:val="00CE5917"/>
    <w:rsid w:val="00CE5D9B"/>
    <w:rsid w:val="00CE68A4"/>
    <w:rsid w:val="00CE6D81"/>
    <w:rsid w:val="00CE760C"/>
    <w:rsid w:val="00CE76B7"/>
    <w:rsid w:val="00CE784A"/>
    <w:rsid w:val="00CF03F3"/>
    <w:rsid w:val="00CF0463"/>
    <w:rsid w:val="00CF097D"/>
    <w:rsid w:val="00CF0A12"/>
    <w:rsid w:val="00CF0B81"/>
    <w:rsid w:val="00CF100A"/>
    <w:rsid w:val="00CF11FF"/>
    <w:rsid w:val="00CF1353"/>
    <w:rsid w:val="00CF1957"/>
    <w:rsid w:val="00CF27E7"/>
    <w:rsid w:val="00CF2A49"/>
    <w:rsid w:val="00CF2BFA"/>
    <w:rsid w:val="00CF2C2C"/>
    <w:rsid w:val="00CF2DBA"/>
    <w:rsid w:val="00CF3002"/>
    <w:rsid w:val="00CF3323"/>
    <w:rsid w:val="00CF340F"/>
    <w:rsid w:val="00CF3C54"/>
    <w:rsid w:val="00CF3C94"/>
    <w:rsid w:val="00CF3E0D"/>
    <w:rsid w:val="00CF3F4F"/>
    <w:rsid w:val="00CF423E"/>
    <w:rsid w:val="00CF470C"/>
    <w:rsid w:val="00CF47E6"/>
    <w:rsid w:val="00CF505A"/>
    <w:rsid w:val="00CF50E9"/>
    <w:rsid w:val="00CF531A"/>
    <w:rsid w:val="00CF5871"/>
    <w:rsid w:val="00CF5F7B"/>
    <w:rsid w:val="00CF6128"/>
    <w:rsid w:val="00CF643E"/>
    <w:rsid w:val="00CF6502"/>
    <w:rsid w:val="00CF654C"/>
    <w:rsid w:val="00CF73E2"/>
    <w:rsid w:val="00CF78BF"/>
    <w:rsid w:val="00CF7FD6"/>
    <w:rsid w:val="00D003DE"/>
    <w:rsid w:val="00D00653"/>
    <w:rsid w:val="00D007BD"/>
    <w:rsid w:val="00D008BD"/>
    <w:rsid w:val="00D00E8B"/>
    <w:rsid w:val="00D00FCC"/>
    <w:rsid w:val="00D01322"/>
    <w:rsid w:val="00D013F2"/>
    <w:rsid w:val="00D015C3"/>
    <w:rsid w:val="00D01770"/>
    <w:rsid w:val="00D0198E"/>
    <w:rsid w:val="00D019F6"/>
    <w:rsid w:val="00D01CDA"/>
    <w:rsid w:val="00D01E69"/>
    <w:rsid w:val="00D02214"/>
    <w:rsid w:val="00D02240"/>
    <w:rsid w:val="00D02313"/>
    <w:rsid w:val="00D0240B"/>
    <w:rsid w:val="00D02761"/>
    <w:rsid w:val="00D02DE3"/>
    <w:rsid w:val="00D030A4"/>
    <w:rsid w:val="00D03196"/>
    <w:rsid w:val="00D035F8"/>
    <w:rsid w:val="00D03613"/>
    <w:rsid w:val="00D0376D"/>
    <w:rsid w:val="00D03E5D"/>
    <w:rsid w:val="00D047ED"/>
    <w:rsid w:val="00D049DE"/>
    <w:rsid w:val="00D04E34"/>
    <w:rsid w:val="00D04F6F"/>
    <w:rsid w:val="00D0501A"/>
    <w:rsid w:val="00D05847"/>
    <w:rsid w:val="00D05A2F"/>
    <w:rsid w:val="00D05D18"/>
    <w:rsid w:val="00D05E9A"/>
    <w:rsid w:val="00D061FF"/>
    <w:rsid w:val="00D068C8"/>
    <w:rsid w:val="00D06D1D"/>
    <w:rsid w:val="00D06E72"/>
    <w:rsid w:val="00D075BD"/>
    <w:rsid w:val="00D0770E"/>
    <w:rsid w:val="00D0791C"/>
    <w:rsid w:val="00D07CBD"/>
    <w:rsid w:val="00D07DF8"/>
    <w:rsid w:val="00D10237"/>
    <w:rsid w:val="00D1056F"/>
    <w:rsid w:val="00D105D9"/>
    <w:rsid w:val="00D10623"/>
    <w:rsid w:val="00D109DE"/>
    <w:rsid w:val="00D10DEA"/>
    <w:rsid w:val="00D11053"/>
    <w:rsid w:val="00D119DC"/>
    <w:rsid w:val="00D11BE3"/>
    <w:rsid w:val="00D11C49"/>
    <w:rsid w:val="00D12427"/>
    <w:rsid w:val="00D124EA"/>
    <w:rsid w:val="00D12B32"/>
    <w:rsid w:val="00D12BE1"/>
    <w:rsid w:val="00D1350D"/>
    <w:rsid w:val="00D1354A"/>
    <w:rsid w:val="00D13778"/>
    <w:rsid w:val="00D137A0"/>
    <w:rsid w:val="00D13985"/>
    <w:rsid w:val="00D13A0F"/>
    <w:rsid w:val="00D14210"/>
    <w:rsid w:val="00D14A9C"/>
    <w:rsid w:val="00D14D3E"/>
    <w:rsid w:val="00D14DD7"/>
    <w:rsid w:val="00D14F91"/>
    <w:rsid w:val="00D14FFF"/>
    <w:rsid w:val="00D157BD"/>
    <w:rsid w:val="00D1586E"/>
    <w:rsid w:val="00D15B49"/>
    <w:rsid w:val="00D15D85"/>
    <w:rsid w:val="00D15E52"/>
    <w:rsid w:val="00D15E65"/>
    <w:rsid w:val="00D160E0"/>
    <w:rsid w:val="00D162CC"/>
    <w:rsid w:val="00D166DB"/>
    <w:rsid w:val="00D166F5"/>
    <w:rsid w:val="00D170BC"/>
    <w:rsid w:val="00D17757"/>
    <w:rsid w:val="00D179E6"/>
    <w:rsid w:val="00D179EC"/>
    <w:rsid w:val="00D17C34"/>
    <w:rsid w:val="00D17E6E"/>
    <w:rsid w:val="00D17FA1"/>
    <w:rsid w:val="00D20377"/>
    <w:rsid w:val="00D2053F"/>
    <w:rsid w:val="00D20C4B"/>
    <w:rsid w:val="00D20ECD"/>
    <w:rsid w:val="00D2121D"/>
    <w:rsid w:val="00D21532"/>
    <w:rsid w:val="00D21671"/>
    <w:rsid w:val="00D21DCE"/>
    <w:rsid w:val="00D220F5"/>
    <w:rsid w:val="00D222A1"/>
    <w:rsid w:val="00D2230A"/>
    <w:rsid w:val="00D22468"/>
    <w:rsid w:val="00D2264F"/>
    <w:rsid w:val="00D229C7"/>
    <w:rsid w:val="00D22A62"/>
    <w:rsid w:val="00D23480"/>
    <w:rsid w:val="00D235C5"/>
    <w:rsid w:val="00D235D2"/>
    <w:rsid w:val="00D236A5"/>
    <w:rsid w:val="00D23746"/>
    <w:rsid w:val="00D239BB"/>
    <w:rsid w:val="00D24358"/>
    <w:rsid w:val="00D24407"/>
    <w:rsid w:val="00D24576"/>
    <w:rsid w:val="00D24844"/>
    <w:rsid w:val="00D248A1"/>
    <w:rsid w:val="00D2490F"/>
    <w:rsid w:val="00D24B67"/>
    <w:rsid w:val="00D24C77"/>
    <w:rsid w:val="00D2504B"/>
    <w:rsid w:val="00D25787"/>
    <w:rsid w:val="00D258F8"/>
    <w:rsid w:val="00D260DC"/>
    <w:rsid w:val="00D26468"/>
    <w:rsid w:val="00D266F4"/>
    <w:rsid w:val="00D2748F"/>
    <w:rsid w:val="00D2798A"/>
    <w:rsid w:val="00D27AD7"/>
    <w:rsid w:val="00D301DD"/>
    <w:rsid w:val="00D30234"/>
    <w:rsid w:val="00D30684"/>
    <w:rsid w:val="00D30D24"/>
    <w:rsid w:val="00D311A0"/>
    <w:rsid w:val="00D31433"/>
    <w:rsid w:val="00D3185A"/>
    <w:rsid w:val="00D31CED"/>
    <w:rsid w:val="00D31ED8"/>
    <w:rsid w:val="00D320AF"/>
    <w:rsid w:val="00D3237D"/>
    <w:rsid w:val="00D32517"/>
    <w:rsid w:val="00D32C75"/>
    <w:rsid w:val="00D3332B"/>
    <w:rsid w:val="00D33429"/>
    <w:rsid w:val="00D334BA"/>
    <w:rsid w:val="00D33CF6"/>
    <w:rsid w:val="00D33FEA"/>
    <w:rsid w:val="00D3402F"/>
    <w:rsid w:val="00D348A3"/>
    <w:rsid w:val="00D34920"/>
    <w:rsid w:val="00D34BAF"/>
    <w:rsid w:val="00D34D38"/>
    <w:rsid w:val="00D34F98"/>
    <w:rsid w:val="00D35010"/>
    <w:rsid w:val="00D3526F"/>
    <w:rsid w:val="00D35270"/>
    <w:rsid w:val="00D3545E"/>
    <w:rsid w:val="00D35624"/>
    <w:rsid w:val="00D35D8A"/>
    <w:rsid w:val="00D36238"/>
    <w:rsid w:val="00D364B7"/>
    <w:rsid w:val="00D364DE"/>
    <w:rsid w:val="00D36E58"/>
    <w:rsid w:val="00D3753A"/>
    <w:rsid w:val="00D375F9"/>
    <w:rsid w:val="00D376C8"/>
    <w:rsid w:val="00D37744"/>
    <w:rsid w:val="00D3778F"/>
    <w:rsid w:val="00D37807"/>
    <w:rsid w:val="00D37B08"/>
    <w:rsid w:val="00D37F5F"/>
    <w:rsid w:val="00D405D4"/>
    <w:rsid w:val="00D40D1A"/>
    <w:rsid w:val="00D412C5"/>
    <w:rsid w:val="00D4176E"/>
    <w:rsid w:val="00D41F71"/>
    <w:rsid w:val="00D42333"/>
    <w:rsid w:val="00D428C9"/>
    <w:rsid w:val="00D42914"/>
    <w:rsid w:val="00D42A66"/>
    <w:rsid w:val="00D43089"/>
    <w:rsid w:val="00D43340"/>
    <w:rsid w:val="00D4374C"/>
    <w:rsid w:val="00D438EE"/>
    <w:rsid w:val="00D43A55"/>
    <w:rsid w:val="00D43DE6"/>
    <w:rsid w:val="00D43E79"/>
    <w:rsid w:val="00D441D7"/>
    <w:rsid w:val="00D443ED"/>
    <w:rsid w:val="00D448F8"/>
    <w:rsid w:val="00D44E11"/>
    <w:rsid w:val="00D452E0"/>
    <w:rsid w:val="00D454A7"/>
    <w:rsid w:val="00D4554F"/>
    <w:rsid w:val="00D456C2"/>
    <w:rsid w:val="00D45AA1"/>
    <w:rsid w:val="00D45FBB"/>
    <w:rsid w:val="00D461C4"/>
    <w:rsid w:val="00D4640F"/>
    <w:rsid w:val="00D46DCA"/>
    <w:rsid w:val="00D46FE0"/>
    <w:rsid w:val="00D4714F"/>
    <w:rsid w:val="00D4777C"/>
    <w:rsid w:val="00D477ED"/>
    <w:rsid w:val="00D47F9A"/>
    <w:rsid w:val="00D50123"/>
    <w:rsid w:val="00D5054D"/>
    <w:rsid w:val="00D505D6"/>
    <w:rsid w:val="00D507FA"/>
    <w:rsid w:val="00D50D7E"/>
    <w:rsid w:val="00D511F4"/>
    <w:rsid w:val="00D512CE"/>
    <w:rsid w:val="00D5149E"/>
    <w:rsid w:val="00D5158E"/>
    <w:rsid w:val="00D51A9F"/>
    <w:rsid w:val="00D51C3D"/>
    <w:rsid w:val="00D52A25"/>
    <w:rsid w:val="00D52CD6"/>
    <w:rsid w:val="00D52E74"/>
    <w:rsid w:val="00D5319D"/>
    <w:rsid w:val="00D53274"/>
    <w:rsid w:val="00D53B70"/>
    <w:rsid w:val="00D5429F"/>
    <w:rsid w:val="00D542E6"/>
    <w:rsid w:val="00D544ED"/>
    <w:rsid w:val="00D547EE"/>
    <w:rsid w:val="00D5489B"/>
    <w:rsid w:val="00D54DA4"/>
    <w:rsid w:val="00D54E7D"/>
    <w:rsid w:val="00D54EEF"/>
    <w:rsid w:val="00D55367"/>
    <w:rsid w:val="00D55444"/>
    <w:rsid w:val="00D5571D"/>
    <w:rsid w:val="00D55E49"/>
    <w:rsid w:val="00D55F1E"/>
    <w:rsid w:val="00D5638A"/>
    <w:rsid w:val="00D563A2"/>
    <w:rsid w:val="00D56B1E"/>
    <w:rsid w:val="00D56DCA"/>
    <w:rsid w:val="00D570EB"/>
    <w:rsid w:val="00D5748A"/>
    <w:rsid w:val="00D5798C"/>
    <w:rsid w:val="00D57E2D"/>
    <w:rsid w:val="00D605F9"/>
    <w:rsid w:val="00D60FB7"/>
    <w:rsid w:val="00D611A2"/>
    <w:rsid w:val="00D61F13"/>
    <w:rsid w:val="00D620B7"/>
    <w:rsid w:val="00D6214F"/>
    <w:rsid w:val="00D62ADF"/>
    <w:rsid w:val="00D62E2F"/>
    <w:rsid w:val="00D639C1"/>
    <w:rsid w:val="00D63B0F"/>
    <w:rsid w:val="00D63E10"/>
    <w:rsid w:val="00D63E2B"/>
    <w:rsid w:val="00D6415E"/>
    <w:rsid w:val="00D65005"/>
    <w:rsid w:val="00D65134"/>
    <w:rsid w:val="00D652A0"/>
    <w:rsid w:val="00D656D1"/>
    <w:rsid w:val="00D656EE"/>
    <w:rsid w:val="00D665E2"/>
    <w:rsid w:val="00D66831"/>
    <w:rsid w:val="00D668BE"/>
    <w:rsid w:val="00D66E0F"/>
    <w:rsid w:val="00D66FDE"/>
    <w:rsid w:val="00D67270"/>
    <w:rsid w:val="00D67436"/>
    <w:rsid w:val="00D67970"/>
    <w:rsid w:val="00D679BB"/>
    <w:rsid w:val="00D67B86"/>
    <w:rsid w:val="00D67BAC"/>
    <w:rsid w:val="00D67C68"/>
    <w:rsid w:val="00D67D60"/>
    <w:rsid w:val="00D67F1E"/>
    <w:rsid w:val="00D70292"/>
    <w:rsid w:val="00D70297"/>
    <w:rsid w:val="00D702B3"/>
    <w:rsid w:val="00D704AC"/>
    <w:rsid w:val="00D7063C"/>
    <w:rsid w:val="00D70CF5"/>
    <w:rsid w:val="00D71948"/>
    <w:rsid w:val="00D719B6"/>
    <w:rsid w:val="00D71E2E"/>
    <w:rsid w:val="00D71F97"/>
    <w:rsid w:val="00D7250C"/>
    <w:rsid w:val="00D727AD"/>
    <w:rsid w:val="00D72BFE"/>
    <w:rsid w:val="00D72C1E"/>
    <w:rsid w:val="00D7345B"/>
    <w:rsid w:val="00D736EE"/>
    <w:rsid w:val="00D73BC0"/>
    <w:rsid w:val="00D73E04"/>
    <w:rsid w:val="00D74033"/>
    <w:rsid w:val="00D7423F"/>
    <w:rsid w:val="00D748E0"/>
    <w:rsid w:val="00D74963"/>
    <w:rsid w:val="00D74A09"/>
    <w:rsid w:val="00D74A70"/>
    <w:rsid w:val="00D74B04"/>
    <w:rsid w:val="00D74E9F"/>
    <w:rsid w:val="00D75E28"/>
    <w:rsid w:val="00D760BB"/>
    <w:rsid w:val="00D7617B"/>
    <w:rsid w:val="00D771A4"/>
    <w:rsid w:val="00D772CC"/>
    <w:rsid w:val="00D7742C"/>
    <w:rsid w:val="00D77B05"/>
    <w:rsid w:val="00D77E15"/>
    <w:rsid w:val="00D80048"/>
    <w:rsid w:val="00D802EB"/>
    <w:rsid w:val="00D806E0"/>
    <w:rsid w:val="00D80903"/>
    <w:rsid w:val="00D81179"/>
    <w:rsid w:val="00D816C3"/>
    <w:rsid w:val="00D819BE"/>
    <w:rsid w:val="00D82053"/>
    <w:rsid w:val="00D8263D"/>
    <w:rsid w:val="00D82ACD"/>
    <w:rsid w:val="00D82C40"/>
    <w:rsid w:val="00D82CB1"/>
    <w:rsid w:val="00D8323D"/>
    <w:rsid w:val="00D835E5"/>
    <w:rsid w:val="00D83A6F"/>
    <w:rsid w:val="00D83D5E"/>
    <w:rsid w:val="00D84130"/>
    <w:rsid w:val="00D84FE0"/>
    <w:rsid w:val="00D850A5"/>
    <w:rsid w:val="00D8544F"/>
    <w:rsid w:val="00D85608"/>
    <w:rsid w:val="00D857D0"/>
    <w:rsid w:val="00D85923"/>
    <w:rsid w:val="00D867C4"/>
    <w:rsid w:val="00D86EAB"/>
    <w:rsid w:val="00D86FF8"/>
    <w:rsid w:val="00D87429"/>
    <w:rsid w:val="00D87D4F"/>
    <w:rsid w:val="00D9006A"/>
    <w:rsid w:val="00D90371"/>
    <w:rsid w:val="00D90598"/>
    <w:rsid w:val="00D9076C"/>
    <w:rsid w:val="00D90A26"/>
    <w:rsid w:val="00D90BC4"/>
    <w:rsid w:val="00D90ED2"/>
    <w:rsid w:val="00D912E7"/>
    <w:rsid w:val="00D918EC"/>
    <w:rsid w:val="00D91C66"/>
    <w:rsid w:val="00D91C97"/>
    <w:rsid w:val="00D920EB"/>
    <w:rsid w:val="00D922A8"/>
    <w:rsid w:val="00D922B9"/>
    <w:rsid w:val="00D92854"/>
    <w:rsid w:val="00D92BA2"/>
    <w:rsid w:val="00D92E60"/>
    <w:rsid w:val="00D92F80"/>
    <w:rsid w:val="00D934B1"/>
    <w:rsid w:val="00D93657"/>
    <w:rsid w:val="00D93698"/>
    <w:rsid w:val="00D936D9"/>
    <w:rsid w:val="00D93943"/>
    <w:rsid w:val="00D93961"/>
    <w:rsid w:val="00D93C9E"/>
    <w:rsid w:val="00D940DB"/>
    <w:rsid w:val="00D942DE"/>
    <w:rsid w:val="00D94462"/>
    <w:rsid w:val="00D94465"/>
    <w:rsid w:val="00D9461C"/>
    <w:rsid w:val="00D94764"/>
    <w:rsid w:val="00D94C74"/>
    <w:rsid w:val="00D94FCE"/>
    <w:rsid w:val="00D952F7"/>
    <w:rsid w:val="00D95477"/>
    <w:rsid w:val="00D957AB"/>
    <w:rsid w:val="00D959C4"/>
    <w:rsid w:val="00D95AD0"/>
    <w:rsid w:val="00D95C9C"/>
    <w:rsid w:val="00D95E2D"/>
    <w:rsid w:val="00D968FE"/>
    <w:rsid w:val="00D96E5D"/>
    <w:rsid w:val="00D96FD9"/>
    <w:rsid w:val="00D970D3"/>
    <w:rsid w:val="00D9711F"/>
    <w:rsid w:val="00D97638"/>
    <w:rsid w:val="00D978C6"/>
    <w:rsid w:val="00D97CDE"/>
    <w:rsid w:val="00D97DEF"/>
    <w:rsid w:val="00DA04E7"/>
    <w:rsid w:val="00DA087F"/>
    <w:rsid w:val="00DA1008"/>
    <w:rsid w:val="00DA1220"/>
    <w:rsid w:val="00DA1A18"/>
    <w:rsid w:val="00DA1A21"/>
    <w:rsid w:val="00DA1CBC"/>
    <w:rsid w:val="00DA2085"/>
    <w:rsid w:val="00DA23D9"/>
    <w:rsid w:val="00DA24FF"/>
    <w:rsid w:val="00DA271F"/>
    <w:rsid w:val="00DA2AFE"/>
    <w:rsid w:val="00DA2BF5"/>
    <w:rsid w:val="00DA2EA3"/>
    <w:rsid w:val="00DA2ECA"/>
    <w:rsid w:val="00DA2ECF"/>
    <w:rsid w:val="00DA35E4"/>
    <w:rsid w:val="00DA37E8"/>
    <w:rsid w:val="00DA3820"/>
    <w:rsid w:val="00DA393A"/>
    <w:rsid w:val="00DA3A0C"/>
    <w:rsid w:val="00DA3E4E"/>
    <w:rsid w:val="00DA3FAD"/>
    <w:rsid w:val="00DA45BB"/>
    <w:rsid w:val="00DA46F5"/>
    <w:rsid w:val="00DA47E5"/>
    <w:rsid w:val="00DA4B60"/>
    <w:rsid w:val="00DA503C"/>
    <w:rsid w:val="00DA50C7"/>
    <w:rsid w:val="00DA514D"/>
    <w:rsid w:val="00DA5998"/>
    <w:rsid w:val="00DA5B50"/>
    <w:rsid w:val="00DA5DBF"/>
    <w:rsid w:val="00DA6167"/>
    <w:rsid w:val="00DA62E7"/>
    <w:rsid w:val="00DA6726"/>
    <w:rsid w:val="00DA68CF"/>
    <w:rsid w:val="00DA71D1"/>
    <w:rsid w:val="00DA78A9"/>
    <w:rsid w:val="00DA79C5"/>
    <w:rsid w:val="00DA7D25"/>
    <w:rsid w:val="00DA7E74"/>
    <w:rsid w:val="00DA7EBF"/>
    <w:rsid w:val="00DB012E"/>
    <w:rsid w:val="00DB0193"/>
    <w:rsid w:val="00DB0AD3"/>
    <w:rsid w:val="00DB12CB"/>
    <w:rsid w:val="00DB14CE"/>
    <w:rsid w:val="00DB1DDF"/>
    <w:rsid w:val="00DB2035"/>
    <w:rsid w:val="00DB23DD"/>
    <w:rsid w:val="00DB298D"/>
    <w:rsid w:val="00DB2B2C"/>
    <w:rsid w:val="00DB2B3C"/>
    <w:rsid w:val="00DB3295"/>
    <w:rsid w:val="00DB3348"/>
    <w:rsid w:val="00DB33F5"/>
    <w:rsid w:val="00DB3878"/>
    <w:rsid w:val="00DB40CE"/>
    <w:rsid w:val="00DB43E7"/>
    <w:rsid w:val="00DB494E"/>
    <w:rsid w:val="00DB4B4C"/>
    <w:rsid w:val="00DB4BBD"/>
    <w:rsid w:val="00DB5608"/>
    <w:rsid w:val="00DB59E4"/>
    <w:rsid w:val="00DB5C71"/>
    <w:rsid w:val="00DB5DD4"/>
    <w:rsid w:val="00DB69D2"/>
    <w:rsid w:val="00DB6A0B"/>
    <w:rsid w:val="00DB6D5F"/>
    <w:rsid w:val="00DB7299"/>
    <w:rsid w:val="00DB7381"/>
    <w:rsid w:val="00DB7664"/>
    <w:rsid w:val="00DB7F18"/>
    <w:rsid w:val="00DB7FE7"/>
    <w:rsid w:val="00DC110F"/>
    <w:rsid w:val="00DC1807"/>
    <w:rsid w:val="00DC1A99"/>
    <w:rsid w:val="00DC1DD2"/>
    <w:rsid w:val="00DC234F"/>
    <w:rsid w:val="00DC2463"/>
    <w:rsid w:val="00DC284E"/>
    <w:rsid w:val="00DC2AE1"/>
    <w:rsid w:val="00DC2D56"/>
    <w:rsid w:val="00DC2E60"/>
    <w:rsid w:val="00DC2F52"/>
    <w:rsid w:val="00DC3881"/>
    <w:rsid w:val="00DC3A3C"/>
    <w:rsid w:val="00DC466F"/>
    <w:rsid w:val="00DC4760"/>
    <w:rsid w:val="00DC4E15"/>
    <w:rsid w:val="00DC5244"/>
    <w:rsid w:val="00DC64B5"/>
    <w:rsid w:val="00DC6774"/>
    <w:rsid w:val="00DC6BC1"/>
    <w:rsid w:val="00DC6CE3"/>
    <w:rsid w:val="00DC6DB9"/>
    <w:rsid w:val="00DC6E8E"/>
    <w:rsid w:val="00DC740F"/>
    <w:rsid w:val="00DC7539"/>
    <w:rsid w:val="00DC7907"/>
    <w:rsid w:val="00DC790E"/>
    <w:rsid w:val="00DC7996"/>
    <w:rsid w:val="00DD1168"/>
    <w:rsid w:val="00DD1233"/>
    <w:rsid w:val="00DD17B4"/>
    <w:rsid w:val="00DD1921"/>
    <w:rsid w:val="00DD1949"/>
    <w:rsid w:val="00DD1C92"/>
    <w:rsid w:val="00DD221D"/>
    <w:rsid w:val="00DD2397"/>
    <w:rsid w:val="00DD282D"/>
    <w:rsid w:val="00DD2991"/>
    <w:rsid w:val="00DD30E9"/>
    <w:rsid w:val="00DD3182"/>
    <w:rsid w:val="00DD36AE"/>
    <w:rsid w:val="00DD3980"/>
    <w:rsid w:val="00DD3BB3"/>
    <w:rsid w:val="00DD41A3"/>
    <w:rsid w:val="00DD42A3"/>
    <w:rsid w:val="00DD447D"/>
    <w:rsid w:val="00DD4682"/>
    <w:rsid w:val="00DD4749"/>
    <w:rsid w:val="00DD4D68"/>
    <w:rsid w:val="00DD5934"/>
    <w:rsid w:val="00DD5B1C"/>
    <w:rsid w:val="00DD6798"/>
    <w:rsid w:val="00DD6AE5"/>
    <w:rsid w:val="00DD70AA"/>
    <w:rsid w:val="00DD73BE"/>
    <w:rsid w:val="00DD77E7"/>
    <w:rsid w:val="00DD7924"/>
    <w:rsid w:val="00DE0726"/>
    <w:rsid w:val="00DE0872"/>
    <w:rsid w:val="00DE0FF8"/>
    <w:rsid w:val="00DE10A3"/>
    <w:rsid w:val="00DE1243"/>
    <w:rsid w:val="00DE1345"/>
    <w:rsid w:val="00DE1599"/>
    <w:rsid w:val="00DE17AD"/>
    <w:rsid w:val="00DE1A64"/>
    <w:rsid w:val="00DE1B7F"/>
    <w:rsid w:val="00DE2106"/>
    <w:rsid w:val="00DE2799"/>
    <w:rsid w:val="00DE2BE5"/>
    <w:rsid w:val="00DE2C25"/>
    <w:rsid w:val="00DE2D2C"/>
    <w:rsid w:val="00DE337D"/>
    <w:rsid w:val="00DE34E8"/>
    <w:rsid w:val="00DE36B8"/>
    <w:rsid w:val="00DE3758"/>
    <w:rsid w:val="00DE39FE"/>
    <w:rsid w:val="00DE3ABE"/>
    <w:rsid w:val="00DE3C1B"/>
    <w:rsid w:val="00DE3FE9"/>
    <w:rsid w:val="00DE44E9"/>
    <w:rsid w:val="00DE480B"/>
    <w:rsid w:val="00DE483B"/>
    <w:rsid w:val="00DE499D"/>
    <w:rsid w:val="00DE49F2"/>
    <w:rsid w:val="00DE4B4A"/>
    <w:rsid w:val="00DE4C86"/>
    <w:rsid w:val="00DE5324"/>
    <w:rsid w:val="00DE5332"/>
    <w:rsid w:val="00DE5474"/>
    <w:rsid w:val="00DE56DF"/>
    <w:rsid w:val="00DE56FB"/>
    <w:rsid w:val="00DE598E"/>
    <w:rsid w:val="00DE5C87"/>
    <w:rsid w:val="00DE5EE5"/>
    <w:rsid w:val="00DE648E"/>
    <w:rsid w:val="00DE6575"/>
    <w:rsid w:val="00DE67A5"/>
    <w:rsid w:val="00DE6A9E"/>
    <w:rsid w:val="00DE6F7F"/>
    <w:rsid w:val="00DE75C6"/>
    <w:rsid w:val="00DE788C"/>
    <w:rsid w:val="00DE7B4D"/>
    <w:rsid w:val="00DE7F6C"/>
    <w:rsid w:val="00DE7FAD"/>
    <w:rsid w:val="00DF0028"/>
    <w:rsid w:val="00DF049C"/>
    <w:rsid w:val="00DF06D4"/>
    <w:rsid w:val="00DF100F"/>
    <w:rsid w:val="00DF11EF"/>
    <w:rsid w:val="00DF17F3"/>
    <w:rsid w:val="00DF1EE0"/>
    <w:rsid w:val="00DF1EEA"/>
    <w:rsid w:val="00DF23EF"/>
    <w:rsid w:val="00DF249D"/>
    <w:rsid w:val="00DF2AEA"/>
    <w:rsid w:val="00DF343F"/>
    <w:rsid w:val="00DF3AC5"/>
    <w:rsid w:val="00DF4030"/>
    <w:rsid w:val="00DF410F"/>
    <w:rsid w:val="00DF41B2"/>
    <w:rsid w:val="00DF42C6"/>
    <w:rsid w:val="00DF43B1"/>
    <w:rsid w:val="00DF48A3"/>
    <w:rsid w:val="00DF4B4F"/>
    <w:rsid w:val="00DF4D9B"/>
    <w:rsid w:val="00DF53E5"/>
    <w:rsid w:val="00DF5BF4"/>
    <w:rsid w:val="00DF5D15"/>
    <w:rsid w:val="00DF60E8"/>
    <w:rsid w:val="00DF6D5A"/>
    <w:rsid w:val="00DF6EF3"/>
    <w:rsid w:val="00DF7088"/>
    <w:rsid w:val="00DF70B3"/>
    <w:rsid w:val="00DF70CC"/>
    <w:rsid w:val="00DF756B"/>
    <w:rsid w:val="00DF75AA"/>
    <w:rsid w:val="00E00764"/>
    <w:rsid w:val="00E00D25"/>
    <w:rsid w:val="00E01B03"/>
    <w:rsid w:val="00E01B55"/>
    <w:rsid w:val="00E01B86"/>
    <w:rsid w:val="00E01C7F"/>
    <w:rsid w:val="00E023E3"/>
    <w:rsid w:val="00E02591"/>
    <w:rsid w:val="00E025BC"/>
    <w:rsid w:val="00E02674"/>
    <w:rsid w:val="00E027EE"/>
    <w:rsid w:val="00E02941"/>
    <w:rsid w:val="00E02A82"/>
    <w:rsid w:val="00E02AF6"/>
    <w:rsid w:val="00E02DCB"/>
    <w:rsid w:val="00E03346"/>
    <w:rsid w:val="00E03AB8"/>
    <w:rsid w:val="00E03C9F"/>
    <w:rsid w:val="00E03E42"/>
    <w:rsid w:val="00E04007"/>
    <w:rsid w:val="00E043AB"/>
    <w:rsid w:val="00E043BC"/>
    <w:rsid w:val="00E049A1"/>
    <w:rsid w:val="00E04EF5"/>
    <w:rsid w:val="00E050CF"/>
    <w:rsid w:val="00E05186"/>
    <w:rsid w:val="00E051C5"/>
    <w:rsid w:val="00E053C1"/>
    <w:rsid w:val="00E058B5"/>
    <w:rsid w:val="00E05BBB"/>
    <w:rsid w:val="00E06073"/>
    <w:rsid w:val="00E061DF"/>
    <w:rsid w:val="00E06631"/>
    <w:rsid w:val="00E06B56"/>
    <w:rsid w:val="00E07242"/>
    <w:rsid w:val="00E072BF"/>
    <w:rsid w:val="00E0734F"/>
    <w:rsid w:val="00E07567"/>
    <w:rsid w:val="00E0760E"/>
    <w:rsid w:val="00E07B3B"/>
    <w:rsid w:val="00E07FC0"/>
    <w:rsid w:val="00E1087D"/>
    <w:rsid w:val="00E10B76"/>
    <w:rsid w:val="00E10C75"/>
    <w:rsid w:val="00E10F1B"/>
    <w:rsid w:val="00E116AA"/>
    <w:rsid w:val="00E1180E"/>
    <w:rsid w:val="00E11F8E"/>
    <w:rsid w:val="00E12362"/>
    <w:rsid w:val="00E1264B"/>
    <w:rsid w:val="00E12B09"/>
    <w:rsid w:val="00E13052"/>
    <w:rsid w:val="00E13CE1"/>
    <w:rsid w:val="00E141DC"/>
    <w:rsid w:val="00E1425A"/>
    <w:rsid w:val="00E14483"/>
    <w:rsid w:val="00E146C5"/>
    <w:rsid w:val="00E14A03"/>
    <w:rsid w:val="00E14AA1"/>
    <w:rsid w:val="00E14E63"/>
    <w:rsid w:val="00E1553A"/>
    <w:rsid w:val="00E1558E"/>
    <w:rsid w:val="00E157B1"/>
    <w:rsid w:val="00E157BA"/>
    <w:rsid w:val="00E15917"/>
    <w:rsid w:val="00E15C62"/>
    <w:rsid w:val="00E168BA"/>
    <w:rsid w:val="00E168E6"/>
    <w:rsid w:val="00E16B2D"/>
    <w:rsid w:val="00E16BE4"/>
    <w:rsid w:val="00E16D46"/>
    <w:rsid w:val="00E16F63"/>
    <w:rsid w:val="00E16FF9"/>
    <w:rsid w:val="00E171AC"/>
    <w:rsid w:val="00E17447"/>
    <w:rsid w:val="00E1762F"/>
    <w:rsid w:val="00E1776A"/>
    <w:rsid w:val="00E177A2"/>
    <w:rsid w:val="00E1780A"/>
    <w:rsid w:val="00E17911"/>
    <w:rsid w:val="00E17ADF"/>
    <w:rsid w:val="00E17B72"/>
    <w:rsid w:val="00E17EF8"/>
    <w:rsid w:val="00E17F5D"/>
    <w:rsid w:val="00E20114"/>
    <w:rsid w:val="00E2017B"/>
    <w:rsid w:val="00E204BF"/>
    <w:rsid w:val="00E20717"/>
    <w:rsid w:val="00E20B4E"/>
    <w:rsid w:val="00E20BDF"/>
    <w:rsid w:val="00E20DA9"/>
    <w:rsid w:val="00E213B3"/>
    <w:rsid w:val="00E219CB"/>
    <w:rsid w:val="00E2216A"/>
    <w:rsid w:val="00E221BD"/>
    <w:rsid w:val="00E22758"/>
    <w:rsid w:val="00E22799"/>
    <w:rsid w:val="00E2318D"/>
    <w:rsid w:val="00E235BF"/>
    <w:rsid w:val="00E23CEC"/>
    <w:rsid w:val="00E23E4D"/>
    <w:rsid w:val="00E23E9F"/>
    <w:rsid w:val="00E23F2F"/>
    <w:rsid w:val="00E240AB"/>
    <w:rsid w:val="00E2433D"/>
    <w:rsid w:val="00E243E1"/>
    <w:rsid w:val="00E252C1"/>
    <w:rsid w:val="00E25683"/>
    <w:rsid w:val="00E25964"/>
    <w:rsid w:val="00E26735"/>
    <w:rsid w:val="00E26F63"/>
    <w:rsid w:val="00E2719F"/>
    <w:rsid w:val="00E27FCD"/>
    <w:rsid w:val="00E30322"/>
    <w:rsid w:val="00E30630"/>
    <w:rsid w:val="00E307D6"/>
    <w:rsid w:val="00E310FA"/>
    <w:rsid w:val="00E31589"/>
    <w:rsid w:val="00E315CE"/>
    <w:rsid w:val="00E31D97"/>
    <w:rsid w:val="00E321FF"/>
    <w:rsid w:val="00E3290F"/>
    <w:rsid w:val="00E33063"/>
    <w:rsid w:val="00E333F1"/>
    <w:rsid w:val="00E335E2"/>
    <w:rsid w:val="00E33901"/>
    <w:rsid w:val="00E33CC5"/>
    <w:rsid w:val="00E34412"/>
    <w:rsid w:val="00E345C1"/>
    <w:rsid w:val="00E34D65"/>
    <w:rsid w:val="00E35312"/>
    <w:rsid w:val="00E354DE"/>
    <w:rsid w:val="00E3565E"/>
    <w:rsid w:val="00E35FBE"/>
    <w:rsid w:val="00E360B1"/>
    <w:rsid w:val="00E36391"/>
    <w:rsid w:val="00E36D7B"/>
    <w:rsid w:val="00E36F7F"/>
    <w:rsid w:val="00E37A8B"/>
    <w:rsid w:val="00E4003C"/>
    <w:rsid w:val="00E403A6"/>
    <w:rsid w:val="00E40420"/>
    <w:rsid w:val="00E40529"/>
    <w:rsid w:val="00E407EC"/>
    <w:rsid w:val="00E40E41"/>
    <w:rsid w:val="00E40EEB"/>
    <w:rsid w:val="00E40F81"/>
    <w:rsid w:val="00E4152F"/>
    <w:rsid w:val="00E41629"/>
    <w:rsid w:val="00E42104"/>
    <w:rsid w:val="00E4214B"/>
    <w:rsid w:val="00E425F2"/>
    <w:rsid w:val="00E42BAC"/>
    <w:rsid w:val="00E42D66"/>
    <w:rsid w:val="00E4309E"/>
    <w:rsid w:val="00E430BB"/>
    <w:rsid w:val="00E43185"/>
    <w:rsid w:val="00E444B1"/>
    <w:rsid w:val="00E4473F"/>
    <w:rsid w:val="00E448C4"/>
    <w:rsid w:val="00E449C8"/>
    <w:rsid w:val="00E44BC7"/>
    <w:rsid w:val="00E44C34"/>
    <w:rsid w:val="00E44CF1"/>
    <w:rsid w:val="00E44F80"/>
    <w:rsid w:val="00E45008"/>
    <w:rsid w:val="00E45809"/>
    <w:rsid w:val="00E458F6"/>
    <w:rsid w:val="00E458FF"/>
    <w:rsid w:val="00E45FEE"/>
    <w:rsid w:val="00E46031"/>
    <w:rsid w:val="00E46240"/>
    <w:rsid w:val="00E463F4"/>
    <w:rsid w:val="00E46729"/>
    <w:rsid w:val="00E4673B"/>
    <w:rsid w:val="00E467F1"/>
    <w:rsid w:val="00E46C34"/>
    <w:rsid w:val="00E47279"/>
    <w:rsid w:val="00E472C7"/>
    <w:rsid w:val="00E4791F"/>
    <w:rsid w:val="00E47968"/>
    <w:rsid w:val="00E47993"/>
    <w:rsid w:val="00E47E28"/>
    <w:rsid w:val="00E47F7C"/>
    <w:rsid w:val="00E507CF"/>
    <w:rsid w:val="00E50987"/>
    <w:rsid w:val="00E50D8A"/>
    <w:rsid w:val="00E50E25"/>
    <w:rsid w:val="00E511FF"/>
    <w:rsid w:val="00E51200"/>
    <w:rsid w:val="00E51B5D"/>
    <w:rsid w:val="00E51C0B"/>
    <w:rsid w:val="00E51EDE"/>
    <w:rsid w:val="00E5236D"/>
    <w:rsid w:val="00E5258A"/>
    <w:rsid w:val="00E52638"/>
    <w:rsid w:val="00E527B8"/>
    <w:rsid w:val="00E52976"/>
    <w:rsid w:val="00E52A5B"/>
    <w:rsid w:val="00E52B8B"/>
    <w:rsid w:val="00E52FD2"/>
    <w:rsid w:val="00E52FEE"/>
    <w:rsid w:val="00E53291"/>
    <w:rsid w:val="00E53627"/>
    <w:rsid w:val="00E53A0C"/>
    <w:rsid w:val="00E53B95"/>
    <w:rsid w:val="00E53E38"/>
    <w:rsid w:val="00E5496E"/>
    <w:rsid w:val="00E549F3"/>
    <w:rsid w:val="00E54BD2"/>
    <w:rsid w:val="00E54DCF"/>
    <w:rsid w:val="00E54EDD"/>
    <w:rsid w:val="00E54F10"/>
    <w:rsid w:val="00E557B9"/>
    <w:rsid w:val="00E55985"/>
    <w:rsid w:val="00E55AE6"/>
    <w:rsid w:val="00E55DE9"/>
    <w:rsid w:val="00E56019"/>
    <w:rsid w:val="00E56353"/>
    <w:rsid w:val="00E56410"/>
    <w:rsid w:val="00E565DD"/>
    <w:rsid w:val="00E5669D"/>
    <w:rsid w:val="00E56B21"/>
    <w:rsid w:val="00E57B3A"/>
    <w:rsid w:val="00E57DDC"/>
    <w:rsid w:val="00E601CB"/>
    <w:rsid w:val="00E60E3A"/>
    <w:rsid w:val="00E61237"/>
    <w:rsid w:val="00E61297"/>
    <w:rsid w:val="00E61D77"/>
    <w:rsid w:val="00E61E6B"/>
    <w:rsid w:val="00E621D4"/>
    <w:rsid w:val="00E62462"/>
    <w:rsid w:val="00E628FE"/>
    <w:rsid w:val="00E62A6B"/>
    <w:rsid w:val="00E62E0F"/>
    <w:rsid w:val="00E63637"/>
    <w:rsid w:val="00E63823"/>
    <w:rsid w:val="00E638B2"/>
    <w:rsid w:val="00E639C0"/>
    <w:rsid w:val="00E63B12"/>
    <w:rsid w:val="00E6429D"/>
    <w:rsid w:val="00E64369"/>
    <w:rsid w:val="00E6470C"/>
    <w:rsid w:val="00E6476B"/>
    <w:rsid w:val="00E654C2"/>
    <w:rsid w:val="00E65510"/>
    <w:rsid w:val="00E6595E"/>
    <w:rsid w:val="00E65ADE"/>
    <w:rsid w:val="00E65B32"/>
    <w:rsid w:val="00E65E29"/>
    <w:rsid w:val="00E6601D"/>
    <w:rsid w:val="00E6617E"/>
    <w:rsid w:val="00E6653D"/>
    <w:rsid w:val="00E668E7"/>
    <w:rsid w:val="00E671BC"/>
    <w:rsid w:val="00E674E4"/>
    <w:rsid w:val="00E675AA"/>
    <w:rsid w:val="00E67A70"/>
    <w:rsid w:val="00E67A8B"/>
    <w:rsid w:val="00E67D07"/>
    <w:rsid w:val="00E67E4C"/>
    <w:rsid w:val="00E67F8D"/>
    <w:rsid w:val="00E7067D"/>
    <w:rsid w:val="00E70768"/>
    <w:rsid w:val="00E70B71"/>
    <w:rsid w:val="00E70D87"/>
    <w:rsid w:val="00E70D89"/>
    <w:rsid w:val="00E7166E"/>
    <w:rsid w:val="00E718BA"/>
    <w:rsid w:val="00E719BE"/>
    <w:rsid w:val="00E71EEF"/>
    <w:rsid w:val="00E722BC"/>
    <w:rsid w:val="00E722F4"/>
    <w:rsid w:val="00E7231F"/>
    <w:rsid w:val="00E72609"/>
    <w:rsid w:val="00E727BD"/>
    <w:rsid w:val="00E72887"/>
    <w:rsid w:val="00E72A06"/>
    <w:rsid w:val="00E72B70"/>
    <w:rsid w:val="00E72C38"/>
    <w:rsid w:val="00E731DD"/>
    <w:rsid w:val="00E73678"/>
    <w:rsid w:val="00E736C9"/>
    <w:rsid w:val="00E73700"/>
    <w:rsid w:val="00E737A6"/>
    <w:rsid w:val="00E73C56"/>
    <w:rsid w:val="00E73D09"/>
    <w:rsid w:val="00E73F2A"/>
    <w:rsid w:val="00E7407A"/>
    <w:rsid w:val="00E7408B"/>
    <w:rsid w:val="00E74B90"/>
    <w:rsid w:val="00E74BA0"/>
    <w:rsid w:val="00E75442"/>
    <w:rsid w:val="00E75529"/>
    <w:rsid w:val="00E7626F"/>
    <w:rsid w:val="00E7661B"/>
    <w:rsid w:val="00E76C75"/>
    <w:rsid w:val="00E76CA2"/>
    <w:rsid w:val="00E7716B"/>
    <w:rsid w:val="00E771B5"/>
    <w:rsid w:val="00E7776D"/>
    <w:rsid w:val="00E77CE8"/>
    <w:rsid w:val="00E77E5E"/>
    <w:rsid w:val="00E80287"/>
    <w:rsid w:val="00E806AE"/>
    <w:rsid w:val="00E80717"/>
    <w:rsid w:val="00E80FE4"/>
    <w:rsid w:val="00E8120D"/>
    <w:rsid w:val="00E8144E"/>
    <w:rsid w:val="00E81A4D"/>
    <w:rsid w:val="00E81D6C"/>
    <w:rsid w:val="00E820F6"/>
    <w:rsid w:val="00E82277"/>
    <w:rsid w:val="00E8239E"/>
    <w:rsid w:val="00E826FD"/>
    <w:rsid w:val="00E82849"/>
    <w:rsid w:val="00E82992"/>
    <w:rsid w:val="00E82A8F"/>
    <w:rsid w:val="00E82BE9"/>
    <w:rsid w:val="00E82D70"/>
    <w:rsid w:val="00E82EBC"/>
    <w:rsid w:val="00E832A4"/>
    <w:rsid w:val="00E8341E"/>
    <w:rsid w:val="00E83748"/>
    <w:rsid w:val="00E83A05"/>
    <w:rsid w:val="00E83D4D"/>
    <w:rsid w:val="00E83E12"/>
    <w:rsid w:val="00E84025"/>
    <w:rsid w:val="00E8407A"/>
    <w:rsid w:val="00E84170"/>
    <w:rsid w:val="00E842CC"/>
    <w:rsid w:val="00E842DB"/>
    <w:rsid w:val="00E84C03"/>
    <w:rsid w:val="00E84CC6"/>
    <w:rsid w:val="00E84D7D"/>
    <w:rsid w:val="00E853AB"/>
    <w:rsid w:val="00E8577D"/>
    <w:rsid w:val="00E85AC3"/>
    <w:rsid w:val="00E85F5C"/>
    <w:rsid w:val="00E8622F"/>
    <w:rsid w:val="00E86246"/>
    <w:rsid w:val="00E8648E"/>
    <w:rsid w:val="00E86540"/>
    <w:rsid w:val="00E86A61"/>
    <w:rsid w:val="00E86DC1"/>
    <w:rsid w:val="00E8755C"/>
    <w:rsid w:val="00E87673"/>
    <w:rsid w:val="00E87B17"/>
    <w:rsid w:val="00E87E9E"/>
    <w:rsid w:val="00E900AC"/>
    <w:rsid w:val="00E90246"/>
    <w:rsid w:val="00E9077F"/>
    <w:rsid w:val="00E90B8B"/>
    <w:rsid w:val="00E90F9E"/>
    <w:rsid w:val="00E917E2"/>
    <w:rsid w:val="00E91AA5"/>
    <w:rsid w:val="00E91BE1"/>
    <w:rsid w:val="00E91EF7"/>
    <w:rsid w:val="00E925A1"/>
    <w:rsid w:val="00E927C2"/>
    <w:rsid w:val="00E92E68"/>
    <w:rsid w:val="00E92F36"/>
    <w:rsid w:val="00E93223"/>
    <w:rsid w:val="00E93850"/>
    <w:rsid w:val="00E938AC"/>
    <w:rsid w:val="00E93DAF"/>
    <w:rsid w:val="00E94BDB"/>
    <w:rsid w:val="00E953C1"/>
    <w:rsid w:val="00E957DD"/>
    <w:rsid w:val="00E95869"/>
    <w:rsid w:val="00E95BD5"/>
    <w:rsid w:val="00E95E3B"/>
    <w:rsid w:val="00E95F8F"/>
    <w:rsid w:val="00E95FBF"/>
    <w:rsid w:val="00E96028"/>
    <w:rsid w:val="00E96261"/>
    <w:rsid w:val="00E9645D"/>
    <w:rsid w:val="00E9699E"/>
    <w:rsid w:val="00E96C6C"/>
    <w:rsid w:val="00E96EAC"/>
    <w:rsid w:val="00E96FF6"/>
    <w:rsid w:val="00E97000"/>
    <w:rsid w:val="00E97116"/>
    <w:rsid w:val="00E973D0"/>
    <w:rsid w:val="00E97493"/>
    <w:rsid w:val="00E97585"/>
    <w:rsid w:val="00E97600"/>
    <w:rsid w:val="00E9772E"/>
    <w:rsid w:val="00E97BD8"/>
    <w:rsid w:val="00EA015D"/>
    <w:rsid w:val="00EA03D8"/>
    <w:rsid w:val="00EA0696"/>
    <w:rsid w:val="00EA09BB"/>
    <w:rsid w:val="00EA09F9"/>
    <w:rsid w:val="00EA0A3C"/>
    <w:rsid w:val="00EA0AB0"/>
    <w:rsid w:val="00EA0E77"/>
    <w:rsid w:val="00EA0F70"/>
    <w:rsid w:val="00EA10C7"/>
    <w:rsid w:val="00EA1201"/>
    <w:rsid w:val="00EA142B"/>
    <w:rsid w:val="00EA17C8"/>
    <w:rsid w:val="00EA194D"/>
    <w:rsid w:val="00EA1ACD"/>
    <w:rsid w:val="00EA1AED"/>
    <w:rsid w:val="00EA1D66"/>
    <w:rsid w:val="00EA26DB"/>
    <w:rsid w:val="00EA291C"/>
    <w:rsid w:val="00EA2CE3"/>
    <w:rsid w:val="00EA30ED"/>
    <w:rsid w:val="00EA32D3"/>
    <w:rsid w:val="00EA3542"/>
    <w:rsid w:val="00EA39D2"/>
    <w:rsid w:val="00EA3EA8"/>
    <w:rsid w:val="00EA409E"/>
    <w:rsid w:val="00EA425F"/>
    <w:rsid w:val="00EA43D6"/>
    <w:rsid w:val="00EA45F6"/>
    <w:rsid w:val="00EA4AE9"/>
    <w:rsid w:val="00EA51C1"/>
    <w:rsid w:val="00EA59C9"/>
    <w:rsid w:val="00EA5C4E"/>
    <w:rsid w:val="00EA617F"/>
    <w:rsid w:val="00EA6403"/>
    <w:rsid w:val="00EA6AD8"/>
    <w:rsid w:val="00EA6CC1"/>
    <w:rsid w:val="00EA6ED6"/>
    <w:rsid w:val="00EA6FDE"/>
    <w:rsid w:val="00EA7BB8"/>
    <w:rsid w:val="00EB0406"/>
    <w:rsid w:val="00EB053B"/>
    <w:rsid w:val="00EB05E2"/>
    <w:rsid w:val="00EB0984"/>
    <w:rsid w:val="00EB09A7"/>
    <w:rsid w:val="00EB0CA8"/>
    <w:rsid w:val="00EB0EB0"/>
    <w:rsid w:val="00EB0ED8"/>
    <w:rsid w:val="00EB0F07"/>
    <w:rsid w:val="00EB11D6"/>
    <w:rsid w:val="00EB150D"/>
    <w:rsid w:val="00EB1769"/>
    <w:rsid w:val="00EB17F7"/>
    <w:rsid w:val="00EB1803"/>
    <w:rsid w:val="00EB1930"/>
    <w:rsid w:val="00EB1E09"/>
    <w:rsid w:val="00EB2708"/>
    <w:rsid w:val="00EB2830"/>
    <w:rsid w:val="00EB287C"/>
    <w:rsid w:val="00EB3013"/>
    <w:rsid w:val="00EB3196"/>
    <w:rsid w:val="00EB3694"/>
    <w:rsid w:val="00EB3700"/>
    <w:rsid w:val="00EB37D1"/>
    <w:rsid w:val="00EB3974"/>
    <w:rsid w:val="00EB3BA4"/>
    <w:rsid w:val="00EB3DCF"/>
    <w:rsid w:val="00EB449E"/>
    <w:rsid w:val="00EB44F9"/>
    <w:rsid w:val="00EB4871"/>
    <w:rsid w:val="00EB4CEB"/>
    <w:rsid w:val="00EB4DCD"/>
    <w:rsid w:val="00EB4F33"/>
    <w:rsid w:val="00EB58F3"/>
    <w:rsid w:val="00EB59E4"/>
    <w:rsid w:val="00EB5B99"/>
    <w:rsid w:val="00EB610D"/>
    <w:rsid w:val="00EB6381"/>
    <w:rsid w:val="00EB64B1"/>
    <w:rsid w:val="00EB653C"/>
    <w:rsid w:val="00EB66F3"/>
    <w:rsid w:val="00EB69CF"/>
    <w:rsid w:val="00EB6BE1"/>
    <w:rsid w:val="00EB6E24"/>
    <w:rsid w:val="00EB7505"/>
    <w:rsid w:val="00EB78CD"/>
    <w:rsid w:val="00EB7B26"/>
    <w:rsid w:val="00EB7B92"/>
    <w:rsid w:val="00EB7C54"/>
    <w:rsid w:val="00EB7DA2"/>
    <w:rsid w:val="00EC0374"/>
    <w:rsid w:val="00EC09DA"/>
    <w:rsid w:val="00EC0A58"/>
    <w:rsid w:val="00EC0DC6"/>
    <w:rsid w:val="00EC0F74"/>
    <w:rsid w:val="00EC10B6"/>
    <w:rsid w:val="00EC16EB"/>
    <w:rsid w:val="00EC173F"/>
    <w:rsid w:val="00EC1865"/>
    <w:rsid w:val="00EC1CC4"/>
    <w:rsid w:val="00EC1CCD"/>
    <w:rsid w:val="00EC1D8E"/>
    <w:rsid w:val="00EC1E0C"/>
    <w:rsid w:val="00EC23FC"/>
    <w:rsid w:val="00EC297B"/>
    <w:rsid w:val="00EC29D0"/>
    <w:rsid w:val="00EC31C9"/>
    <w:rsid w:val="00EC31DB"/>
    <w:rsid w:val="00EC36B7"/>
    <w:rsid w:val="00EC3925"/>
    <w:rsid w:val="00EC406F"/>
    <w:rsid w:val="00EC46AE"/>
    <w:rsid w:val="00EC5DA0"/>
    <w:rsid w:val="00EC5E62"/>
    <w:rsid w:val="00EC62F5"/>
    <w:rsid w:val="00EC6711"/>
    <w:rsid w:val="00EC719B"/>
    <w:rsid w:val="00EC7676"/>
    <w:rsid w:val="00EC79F8"/>
    <w:rsid w:val="00ED010A"/>
    <w:rsid w:val="00ED04C2"/>
    <w:rsid w:val="00ED078F"/>
    <w:rsid w:val="00ED0B42"/>
    <w:rsid w:val="00ED1367"/>
    <w:rsid w:val="00ED1476"/>
    <w:rsid w:val="00ED18B1"/>
    <w:rsid w:val="00ED1C69"/>
    <w:rsid w:val="00ED2162"/>
    <w:rsid w:val="00ED2315"/>
    <w:rsid w:val="00ED25F4"/>
    <w:rsid w:val="00ED271F"/>
    <w:rsid w:val="00ED3174"/>
    <w:rsid w:val="00ED3246"/>
    <w:rsid w:val="00ED3857"/>
    <w:rsid w:val="00ED3896"/>
    <w:rsid w:val="00ED3929"/>
    <w:rsid w:val="00ED3DF9"/>
    <w:rsid w:val="00ED4215"/>
    <w:rsid w:val="00ED46C3"/>
    <w:rsid w:val="00ED52A9"/>
    <w:rsid w:val="00ED56BC"/>
    <w:rsid w:val="00ED5FD4"/>
    <w:rsid w:val="00ED61AA"/>
    <w:rsid w:val="00ED72D4"/>
    <w:rsid w:val="00ED7364"/>
    <w:rsid w:val="00ED73EA"/>
    <w:rsid w:val="00ED77ED"/>
    <w:rsid w:val="00ED7957"/>
    <w:rsid w:val="00ED7B96"/>
    <w:rsid w:val="00ED7BC4"/>
    <w:rsid w:val="00ED7BC9"/>
    <w:rsid w:val="00ED7C74"/>
    <w:rsid w:val="00ED7E6C"/>
    <w:rsid w:val="00ED7F13"/>
    <w:rsid w:val="00EE04F4"/>
    <w:rsid w:val="00EE089B"/>
    <w:rsid w:val="00EE0C84"/>
    <w:rsid w:val="00EE0D0B"/>
    <w:rsid w:val="00EE1098"/>
    <w:rsid w:val="00EE11C8"/>
    <w:rsid w:val="00EE2262"/>
    <w:rsid w:val="00EE248B"/>
    <w:rsid w:val="00EE28EB"/>
    <w:rsid w:val="00EE2995"/>
    <w:rsid w:val="00EE3099"/>
    <w:rsid w:val="00EE35E4"/>
    <w:rsid w:val="00EE3AC1"/>
    <w:rsid w:val="00EE3AF9"/>
    <w:rsid w:val="00EE3B91"/>
    <w:rsid w:val="00EE3B97"/>
    <w:rsid w:val="00EE3C91"/>
    <w:rsid w:val="00EE3CB0"/>
    <w:rsid w:val="00EE43DF"/>
    <w:rsid w:val="00EE480F"/>
    <w:rsid w:val="00EE48FB"/>
    <w:rsid w:val="00EE4ADF"/>
    <w:rsid w:val="00EE4C48"/>
    <w:rsid w:val="00EE4EF5"/>
    <w:rsid w:val="00EE5156"/>
    <w:rsid w:val="00EE51F7"/>
    <w:rsid w:val="00EE5535"/>
    <w:rsid w:val="00EE56E4"/>
    <w:rsid w:val="00EE58CA"/>
    <w:rsid w:val="00EE5A7D"/>
    <w:rsid w:val="00EE5AF1"/>
    <w:rsid w:val="00EE5CF9"/>
    <w:rsid w:val="00EE63A5"/>
    <w:rsid w:val="00EE6850"/>
    <w:rsid w:val="00EE730D"/>
    <w:rsid w:val="00EE7410"/>
    <w:rsid w:val="00EE7B19"/>
    <w:rsid w:val="00EE7EF5"/>
    <w:rsid w:val="00EF0687"/>
    <w:rsid w:val="00EF1014"/>
    <w:rsid w:val="00EF107D"/>
    <w:rsid w:val="00EF1122"/>
    <w:rsid w:val="00EF12CE"/>
    <w:rsid w:val="00EF1617"/>
    <w:rsid w:val="00EF2373"/>
    <w:rsid w:val="00EF23A9"/>
    <w:rsid w:val="00EF24AF"/>
    <w:rsid w:val="00EF28B7"/>
    <w:rsid w:val="00EF2B0F"/>
    <w:rsid w:val="00EF2EA2"/>
    <w:rsid w:val="00EF35E0"/>
    <w:rsid w:val="00EF3A65"/>
    <w:rsid w:val="00EF3A86"/>
    <w:rsid w:val="00EF4050"/>
    <w:rsid w:val="00EF411B"/>
    <w:rsid w:val="00EF429D"/>
    <w:rsid w:val="00EF433F"/>
    <w:rsid w:val="00EF446C"/>
    <w:rsid w:val="00EF4978"/>
    <w:rsid w:val="00EF4C0F"/>
    <w:rsid w:val="00EF4ED7"/>
    <w:rsid w:val="00EF5027"/>
    <w:rsid w:val="00EF5363"/>
    <w:rsid w:val="00EF5642"/>
    <w:rsid w:val="00EF5798"/>
    <w:rsid w:val="00EF595C"/>
    <w:rsid w:val="00EF5CA4"/>
    <w:rsid w:val="00EF5D37"/>
    <w:rsid w:val="00EF610C"/>
    <w:rsid w:val="00EF626C"/>
    <w:rsid w:val="00EF6390"/>
    <w:rsid w:val="00EF6579"/>
    <w:rsid w:val="00EF68E2"/>
    <w:rsid w:val="00EF6DBD"/>
    <w:rsid w:val="00EF740F"/>
    <w:rsid w:val="00EF789A"/>
    <w:rsid w:val="00EF7BF8"/>
    <w:rsid w:val="00EF7ED4"/>
    <w:rsid w:val="00F00496"/>
    <w:rsid w:val="00F00910"/>
    <w:rsid w:val="00F00CE1"/>
    <w:rsid w:val="00F00CFE"/>
    <w:rsid w:val="00F00D42"/>
    <w:rsid w:val="00F00EE9"/>
    <w:rsid w:val="00F013B5"/>
    <w:rsid w:val="00F017D2"/>
    <w:rsid w:val="00F01B1A"/>
    <w:rsid w:val="00F01BC7"/>
    <w:rsid w:val="00F01E2D"/>
    <w:rsid w:val="00F02F7A"/>
    <w:rsid w:val="00F03024"/>
    <w:rsid w:val="00F03254"/>
    <w:rsid w:val="00F03564"/>
    <w:rsid w:val="00F035BD"/>
    <w:rsid w:val="00F0360B"/>
    <w:rsid w:val="00F0388F"/>
    <w:rsid w:val="00F03E41"/>
    <w:rsid w:val="00F0411F"/>
    <w:rsid w:val="00F043AC"/>
    <w:rsid w:val="00F0443B"/>
    <w:rsid w:val="00F0444D"/>
    <w:rsid w:val="00F044F5"/>
    <w:rsid w:val="00F04917"/>
    <w:rsid w:val="00F04982"/>
    <w:rsid w:val="00F04C8F"/>
    <w:rsid w:val="00F05361"/>
    <w:rsid w:val="00F057BE"/>
    <w:rsid w:val="00F058F7"/>
    <w:rsid w:val="00F05AD8"/>
    <w:rsid w:val="00F05CD3"/>
    <w:rsid w:val="00F05FC8"/>
    <w:rsid w:val="00F06217"/>
    <w:rsid w:val="00F06A70"/>
    <w:rsid w:val="00F06C2C"/>
    <w:rsid w:val="00F06DA2"/>
    <w:rsid w:val="00F06F74"/>
    <w:rsid w:val="00F070CD"/>
    <w:rsid w:val="00F07770"/>
    <w:rsid w:val="00F100A4"/>
    <w:rsid w:val="00F10254"/>
    <w:rsid w:val="00F104CC"/>
    <w:rsid w:val="00F1076B"/>
    <w:rsid w:val="00F11009"/>
    <w:rsid w:val="00F1110F"/>
    <w:rsid w:val="00F11128"/>
    <w:rsid w:val="00F11377"/>
    <w:rsid w:val="00F1151D"/>
    <w:rsid w:val="00F11F7A"/>
    <w:rsid w:val="00F12049"/>
    <w:rsid w:val="00F120DB"/>
    <w:rsid w:val="00F124F5"/>
    <w:rsid w:val="00F12623"/>
    <w:rsid w:val="00F128B2"/>
    <w:rsid w:val="00F12A41"/>
    <w:rsid w:val="00F12C52"/>
    <w:rsid w:val="00F12F61"/>
    <w:rsid w:val="00F1398B"/>
    <w:rsid w:val="00F13AA9"/>
    <w:rsid w:val="00F13CDD"/>
    <w:rsid w:val="00F13DA3"/>
    <w:rsid w:val="00F13E59"/>
    <w:rsid w:val="00F13E81"/>
    <w:rsid w:val="00F13FB6"/>
    <w:rsid w:val="00F14371"/>
    <w:rsid w:val="00F14439"/>
    <w:rsid w:val="00F146AD"/>
    <w:rsid w:val="00F14A25"/>
    <w:rsid w:val="00F150A4"/>
    <w:rsid w:val="00F15657"/>
    <w:rsid w:val="00F16628"/>
    <w:rsid w:val="00F16D72"/>
    <w:rsid w:val="00F17169"/>
    <w:rsid w:val="00F178FD"/>
    <w:rsid w:val="00F17B97"/>
    <w:rsid w:val="00F17D33"/>
    <w:rsid w:val="00F208FF"/>
    <w:rsid w:val="00F20945"/>
    <w:rsid w:val="00F216B8"/>
    <w:rsid w:val="00F2191A"/>
    <w:rsid w:val="00F21AD9"/>
    <w:rsid w:val="00F21B4C"/>
    <w:rsid w:val="00F21D55"/>
    <w:rsid w:val="00F21E4B"/>
    <w:rsid w:val="00F22658"/>
    <w:rsid w:val="00F232DC"/>
    <w:rsid w:val="00F233E8"/>
    <w:rsid w:val="00F23438"/>
    <w:rsid w:val="00F23916"/>
    <w:rsid w:val="00F23EEC"/>
    <w:rsid w:val="00F24021"/>
    <w:rsid w:val="00F242E2"/>
    <w:rsid w:val="00F244A7"/>
    <w:rsid w:val="00F2480E"/>
    <w:rsid w:val="00F2481D"/>
    <w:rsid w:val="00F24AE3"/>
    <w:rsid w:val="00F25284"/>
    <w:rsid w:val="00F254B5"/>
    <w:rsid w:val="00F257FD"/>
    <w:rsid w:val="00F2587E"/>
    <w:rsid w:val="00F259E4"/>
    <w:rsid w:val="00F25B95"/>
    <w:rsid w:val="00F25D87"/>
    <w:rsid w:val="00F25DCB"/>
    <w:rsid w:val="00F26A21"/>
    <w:rsid w:val="00F26C8C"/>
    <w:rsid w:val="00F26CB0"/>
    <w:rsid w:val="00F26F7F"/>
    <w:rsid w:val="00F27656"/>
    <w:rsid w:val="00F27CD2"/>
    <w:rsid w:val="00F3008B"/>
    <w:rsid w:val="00F3070A"/>
    <w:rsid w:val="00F30AB8"/>
    <w:rsid w:val="00F30E3E"/>
    <w:rsid w:val="00F30FB8"/>
    <w:rsid w:val="00F3176A"/>
    <w:rsid w:val="00F3177C"/>
    <w:rsid w:val="00F31E7A"/>
    <w:rsid w:val="00F32053"/>
    <w:rsid w:val="00F321D0"/>
    <w:rsid w:val="00F32735"/>
    <w:rsid w:val="00F32A47"/>
    <w:rsid w:val="00F3333F"/>
    <w:rsid w:val="00F33576"/>
    <w:rsid w:val="00F33871"/>
    <w:rsid w:val="00F33C21"/>
    <w:rsid w:val="00F34564"/>
    <w:rsid w:val="00F34BF4"/>
    <w:rsid w:val="00F34D31"/>
    <w:rsid w:val="00F34D3A"/>
    <w:rsid w:val="00F34DB9"/>
    <w:rsid w:val="00F352CC"/>
    <w:rsid w:val="00F354B5"/>
    <w:rsid w:val="00F35DE7"/>
    <w:rsid w:val="00F35F25"/>
    <w:rsid w:val="00F360FF"/>
    <w:rsid w:val="00F365C7"/>
    <w:rsid w:val="00F366EB"/>
    <w:rsid w:val="00F36711"/>
    <w:rsid w:val="00F36823"/>
    <w:rsid w:val="00F36F6F"/>
    <w:rsid w:val="00F37008"/>
    <w:rsid w:val="00F3738F"/>
    <w:rsid w:val="00F3783A"/>
    <w:rsid w:val="00F37B48"/>
    <w:rsid w:val="00F37BA6"/>
    <w:rsid w:val="00F37BBF"/>
    <w:rsid w:val="00F4030B"/>
    <w:rsid w:val="00F40F6B"/>
    <w:rsid w:val="00F41420"/>
    <w:rsid w:val="00F4194E"/>
    <w:rsid w:val="00F419BE"/>
    <w:rsid w:val="00F4219F"/>
    <w:rsid w:val="00F423B7"/>
    <w:rsid w:val="00F4370C"/>
    <w:rsid w:val="00F43D56"/>
    <w:rsid w:val="00F43F3E"/>
    <w:rsid w:val="00F444BD"/>
    <w:rsid w:val="00F44787"/>
    <w:rsid w:val="00F44A2B"/>
    <w:rsid w:val="00F44AD5"/>
    <w:rsid w:val="00F451FD"/>
    <w:rsid w:val="00F4531B"/>
    <w:rsid w:val="00F45665"/>
    <w:rsid w:val="00F45870"/>
    <w:rsid w:val="00F458EB"/>
    <w:rsid w:val="00F45BA6"/>
    <w:rsid w:val="00F45DCF"/>
    <w:rsid w:val="00F45E5B"/>
    <w:rsid w:val="00F4618F"/>
    <w:rsid w:val="00F46455"/>
    <w:rsid w:val="00F469AB"/>
    <w:rsid w:val="00F46B2F"/>
    <w:rsid w:val="00F46B37"/>
    <w:rsid w:val="00F46B62"/>
    <w:rsid w:val="00F46F40"/>
    <w:rsid w:val="00F478AB"/>
    <w:rsid w:val="00F47B9E"/>
    <w:rsid w:val="00F47BC3"/>
    <w:rsid w:val="00F47EC4"/>
    <w:rsid w:val="00F47F7C"/>
    <w:rsid w:val="00F50252"/>
    <w:rsid w:val="00F5036C"/>
    <w:rsid w:val="00F5051D"/>
    <w:rsid w:val="00F50754"/>
    <w:rsid w:val="00F50772"/>
    <w:rsid w:val="00F50F40"/>
    <w:rsid w:val="00F51265"/>
    <w:rsid w:val="00F5127A"/>
    <w:rsid w:val="00F519A7"/>
    <w:rsid w:val="00F51A09"/>
    <w:rsid w:val="00F51AD3"/>
    <w:rsid w:val="00F5215A"/>
    <w:rsid w:val="00F521B2"/>
    <w:rsid w:val="00F524F8"/>
    <w:rsid w:val="00F5251C"/>
    <w:rsid w:val="00F5266A"/>
    <w:rsid w:val="00F5269A"/>
    <w:rsid w:val="00F52CA5"/>
    <w:rsid w:val="00F53059"/>
    <w:rsid w:val="00F5307C"/>
    <w:rsid w:val="00F53507"/>
    <w:rsid w:val="00F537C0"/>
    <w:rsid w:val="00F53814"/>
    <w:rsid w:val="00F538AA"/>
    <w:rsid w:val="00F53C12"/>
    <w:rsid w:val="00F548B4"/>
    <w:rsid w:val="00F5496D"/>
    <w:rsid w:val="00F54B91"/>
    <w:rsid w:val="00F54EAA"/>
    <w:rsid w:val="00F5532C"/>
    <w:rsid w:val="00F55463"/>
    <w:rsid w:val="00F55909"/>
    <w:rsid w:val="00F55C4F"/>
    <w:rsid w:val="00F55FBA"/>
    <w:rsid w:val="00F56412"/>
    <w:rsid w:val="00F568FA"/>
    <w:rsid w:val="00F56DEC"/>
    <w:rsid w:val="00F57046"/>
    <w:rsid w:val="00F5707E"/>
    <w:rsid w:val="00F5727F"/>
    <w:rsid w:val="00F577F9"/>
    <w:rsid w:val="00F57904"/>
    <w:rsid w:val="00F57935"/>
    <w:rsid w:val="00F57B81"/>
    <w:rsid w:val="00F57F65"/>
    <w:rsid w:val="00F602BB"/>
    <w:rsid w:val="00F60422"/>
    <w:rsid w:val="00F607A7"/>
    <w:rsid w:val="00F6127E"/>
    <w:rsid w:val="00F61345"/>
    <w:rsid w:val="00F61395"/>
    <w:rsid w:val="00F615C3"/>
    <w:rsid w:val="00F61CCA"/>
    <w:rsid w:val="00F6213D"/>
    <w:rsid w:val="00F623A1"/>
    <w:rsid w:val="00F62894"/>
    <w:rsid w:val="00F62943"/>
    <w:rsid w:val="00F62F0F"/>
    <w:rsid w:val="00F62FCE"/>
    <w:rsid w:val="00F62FF2"/>
    <w:rsid w:val="00F630C1"/>
    <w:rsid w:val="00F6320C"/>
    <w:rsid w:val="00F63382"/>
    <w:rsid w:val="00F63528"/>
    <w:rsid w:val="00F63BA6"/>
    <w:rsid w:val="00F64372"/>
    <w:rsid w:val="00F64983"/>
    <w:rsid w:val="00F65255"/>
    <w:rsid w:val="00F65440"/>
    <w:rsid w:val="00F65A27"/>
    <w:rsid w:val="00F665FB"/>
    <w:rsid w:val="00F668FB"/>
    <w:rsid w:val="00F66B0D"/>
    <w:rsid w:val="00F66BA1"/>
    <w:rsid w:val="00F66BB2"/>
    <w:rsid w:val="00F66DC0"/>
    <w:rsid w:val="00F670C9"/>
    <w:rsid w:val="00F671F3"/>
    <w:rsid w:val="00F67670"/>
    <w:rsid w:val="00F6774F"/>
    <w:rsid w:val="00F67CF0"/>
    <w:rsid w:val="00F705A3"/>
    <w:rsid w:val="00F70859"/>
    <w:rsid w:val="00F70871"/>
    <w:rsid w:val="00F70CAC"/>
    <w:rsid w:val="00F70D62"/>
    <w:rsid w:val="00F7131B"/>
    <w:rsid w:val="00F713EA"/>
    <w:rsid w:val="00F715E7"/>
    <w:rsid w:val="00F717F3"/>
    <w:rsid w:val="00F72086"/>
    <w:rsid w:val="00F73151"/>
    <w:rsid w:val="00F732C2"/>
    <w:rsid w:val="00F7336C"/>
    <w:rsid w:val="00F73388"/>
    <w:rsid w:val="00F733E1"/>
    <w:rsid w:val="00F73500"/>
    <w:rsid w:val="00F7355E"/>
    <w:rsid w:val="00F73A7A"/>
    <w:rsid w:val="00F73AF2"/>
    <w:rsid w:val="00F73D59"/>
    <w:rsid w:val="00F747CD"/>
    <w:rsid w:val="00F747FA"/>
    <w:rsid w:val="00F7482B"/>
    <w:rsid w:val="00F74F94"/>
    <w:rsid w:val="00F754A6"/>
    <w:rsid w:val="00F756CD"/>
    <w:rsid w:val="00F76AB9"/>
    <w:rsid w:val="00F77142"/>
    <w:rsid w:val="00F77AE7"/>
    <w:rsid w:val="00F77C39"/>
    <w:rsid w:val="00F77CF3"/>
    <w:rsid w:val="00F80069"/>
    <w:rsid w:val="00F8013D"/>
    <w:rsid w:val="00F80224"/>
    <w:rsid w:val="00F803CD"/>
    <w:rsid w:val="00F80793"/>
    <w:rsid w:val="00F80CDA"/>
    <w:rsid w:val="00F81104"/>
    <w:rsid w:val="00F81145"/>
    <w:rsid w:val="00F81651"/>
    <w:rsid w:val="00F81666"/>
    <w:rsid w:val="00F818AF"/>
    <w:rsid w:val="00F81E60"/>
    <w:rsid w:val="00F82323"/>
    <w:rsid w:val="00F82D29"/>
    <w:rsid w:val="00F83175"/>
    <w:rsid w:val="00F83750"/>
    <w:rsid w:val="00F83D3D"/>
    <w:rsid w:val="00F8453D"/>
    <w:rsid w:val="00F84750"/>
    <w:rsid w:val="00F84949"/>
    <w:rsid w:val="00F84A82"/>
    <w:rsid w:val="00F84F49"/>
    <w:rsid w:val="00F8557F"/>
    <w:rsid w:val="00F870F9"/>
    <w:rsid w:val="00F8777F"/>
    <w:rsid w:val="00F87997"/>
    <w:rsid w:val="00F87B4E"/>
    <w:rsid w:val="00F9011F"/>
    <w:rsid w:val="00F9040D"/>
    <w:rsid w:val="00F90862"/>
    <w:rsid w:val="00F90ADD"/>
    <w:rsid w:val="00F90FCC"/>
    <w:rsid w:val="00F910EB"/>
    <w:rsid w:val="00F91907"/>
    <w:rsid w:val="00F91A13"/>
    <w:rsid w:val="00F91B76"/>
    <w:rsid w:val="00F91BC5"/>
    <w:rsid w:val="00F91CCF"/>
    <w:rsid w:val="00F91F48"/>
    <w:rsid w:val="00F92C78"/>
    <w:rsid w:val="00F9306B"/>
    <w:rsid w:val="00F93195"/>
    <w:rsid w:val="00F9319A"/>
    <w:rsid w:val="00F9337F"/>
    <w:rsid w:val="00F9372D"/>
    <w:rsid w:val="00F93901"/>
    <w:rsid w:val="00F93B50"/>
    <w:rsid w:val="00F93BE3"/>
    <w:rsid w:val="00F93FCB"/>
    <w:rsid w:val="00F94C71"/>
    <w:rsid w:val="00F94EC9"/>
    <w:rsid w:val="00F953AE"/>
    <w:rsid w:val="00F958B8"/>
    <w:rsid w:val="00F95C1D"/>
    <w:rsid w:val="00F9653D"/>
    <w:rsid w:val="00F96C7E"/>
    <w:rsid w:val="00F96FCE"/>
    <w:rsid w:val="00F970C8"/>
    <w:rsid w:val="00F97E1F"/>
    <w:rsid w:val="00FA04F1"/>
    <w:rsid w:val="00FA04F3"/>
    <w:rsid w:val="00FA060E"/>
    <w:rsid w:val="00FA08E2"/>
    <w:rsid w:val="00FA0B2A"/>
    <w:rsid w:val="00FA0EF2"/>
    <w:rsid w:val="00FA14E4"/>
    <w:rsid w:val="00FA15D7"/>
    <w:rsid w:val="00FA15FB"/>
    <w:rsid w:val="00FA200D"/>
    <w:rsid w:val="00FA21E6"/>
    <w:rsid w:val="00FA22BB"/>
    <w:rsid w:val="00FA2516"/>
    <w:rsid w:val="00FA31FC"/>
    <w:rsid w:val="00FA3633"/>
    <w:rsid w:val="00FA3C68"/>
    <w:rsid w:val="00FA40CA"/>
    <w:rsid w:val="00FA41D7"/>
    <w:rsid w:val="00FA438D"/>
    <w:rsid w:val="00FA4655"/>
    <w:rsid w:val="00FA4F83"/>
    <w:rsid w:val="00FA5133"/>
    <w:rsid w:val="00FA53B3"/>
    <w:rsid w:val="00FA5B28"/>
    <w:rsid w:val="00FA5BE0"/>
    <w:rsid w:val="00FA637C"/>
    <w:rsid w:val="00FA6815"/>
    <w:rsid w:val="00FA685E"/>
    <w:rsid w:val="00FA6A55"/>
    <w:rsid w:val="00FA6B7B"/>
    <w:rsid w:val="00FA7087"/>
    <w:rsid w:val="00FA728E"/>
    <w:rsid w:val="00FA75EA"/>
    <w:rsid w:val="00FA767D"/>
    <w:rsid w:val="00FA77CF"/>
    <w:rsid w:val="00FB018A"/>
    <w:rsid w:val="00FB0D98"/>
    <w:rsid w:val="00FB112C"/>
    <w:rsid w:val="00FB165B"/>
    <w:rsid w:val="00FB20AB"/>
    <w:rsid w:val="00FB2105"/>
    <w:rsid w:val="00FB2297"/>
    <w:rsid w:val="00FB23C1"/>
    <w:rsid w:val="00FB248D"/>
    <w:rsid w:val="00FB2691"/>
    <w:rsid w:val="00FB2CFB"/>
    <w:rsid w:val="00FB322E"/>
    <w:rsid w:val="00FB3DD3"/>
    <w:rsid w:val="00FB3E3F"/>
    <w:rsid w:val="00FB3F07"/>
    <w:rsid w:val="00FB3F6F"/>
    <w:rsid w:val="00FB40BE"/>
    <w:rsid w:val="00FB42FA"/>
    <w:rsid w:val="00FB43C0"/>
    <w:rsid w:val="00FB43E8"/>
    <w:rsid w:val="00FB4696"/>
    <w:rsid w:val="00FB49A1"/>
    <w:rsid w:val="00FB4D4E"/>
    <w:rsid w:val="00FB4E87"/>
    <w:rsid w:val="00FB531B"/>
    <w:rsid w:val="00FB564D"/>
    <w:rsid w:val="00FB5809"/>
    <w:rsid w:val="00FB5AEC"/>
    <w:rsid w:val="00FB5C87"/>
    <w:rsid w:val="00FB5F5C"/>
    <w:rsid w:val="00FB640B"/>
    <w:rsid w:val="00FB6A55"/>
    <w:rsid w:val="00FB6A8A"/>
    <w:rsid w:val="00FB705A"/>
    <w:rsid w:val="00FB7229"/>
    <w:rsid w:val="00FB7709"/>
    <w:rsid w:val="00FB7CEE"/>
    <w:rsid w:val="00FB7D43"/>
    <w:rsid w:val="00FB7FEF"/>
    <w:rsid w:val="00FC02BA"/>
    <w:rsid w:val="00FC0454"/>
    <w:rsid w:val="00FC0991"/>
    <w:rsid w:val="00FC1212"/>
    <w:rsid w:val="00FC16FF"/>
    <w:rsid w:val="00FC22FF"/>
    <w:rsid w:val="00FC2893"/>
    <w:rsid w:val="00FC2A8F"/>
    <w:rsid w:val="00FC2B21"/>
    <w:rsid w:val="00FC2F39"/>
    <w:rsid w:val="00FC32D8"/>
    <w:rsid w:val="00FC33FF"/>
    <w:rsid w:val="00FC3E5E"/>
    <w:rsid w:val="00FC41C6"/>
    <w:rsid w:val="00FC432A"/>
    <w:rsid w:val="00FC44D7"/>
    <w:rsid w:val="00FC4557"/>
    <w:rsid w:val="00FC4D34"/>
    <w:rsid w:val="00FC4DBA"/>
    <w:rsid w:val="00FC502D"/>
    <w:rsid w:val="00FC5269"/>
    <w:rsid w:val="00FC56A8"/>
    <w:rsid w:val="00FC581A"/>
    <w:rsid w:val="00FC5A57"/>
    <w:rsid w:val="00FC618F"/>
    <w:rsid w:val="00FC641A"/>
    <w:rsid w:val="00FC738B"/>
    <w:rsid w:val="00FC73B5"/>
    <w:rsid w:val="00FC75C5"/>
    <w:rsid w:val="00FC79BA"/>
    <w:rsid w:val="00FC7A2C"/>
    <w:rsid w:val="00FC7B26"/>
    <w:rsid w:val="00FD042B"/>
    <w:rsid w:val="00FD0462"/>
    <w:rsid w:val="00FD04AB"/>
    <w:rsid w:val="00FD056E"/>
    <w:rsid w:val="00FD0925"/>
    <w:rsid w:val="00FD0D7D"/>
    <w:rsid w:val="00FD0DEB"/>
    <w:rsid w:val="00FD0E2B"/>
    <w:rsid w:val="00FD0F5B"/>
    <w:rsid w:val="00FD107C"/>
    <w:rsid w:val="00FD1216"/>
    <w:rsid w:val="00FD14D3"/>
    <w:rsid w:val="00FD15CB"/>
    <w:rsid w:val="00FD1831"/>
    <w:rsid w:val="00FD197C"/>
    <w:rsid w:val="00FD1B56"/>
    <w:rsid w:val="00FD1F08"/>
    <w:rsid w:val="00FD20CF"/>
    <w:rsid w:val="00FD27A5"/>
    <w:rsid w:val="00FD2A77"/>
    <w:rsid w:val="00FD2BBD"/>
    <w:rsid w:val="00FD2C1E"/>
    <w:rsid w:val="00FD2DCE"/>
    <w:rsid w:val="00FD2E83"/>
    <w:rsid w:val="00FD307E"/>
    <w:rsid w:val="00FD3123"/>
    <w:rsid w:val="00FD31FC"/>
    <w:rsid w:val="00FD3401"/>
    <w:rsid w:val="00FD38A8"/>
    <w:rsid w:val="00FD3907"/>
    <w:rsid w:val="00FD3A86"/>
    <w:rsid w:val="00FD3B5B"/>
    <w:rsid w:val="00FD42B1"/>
    <w:rsid w:val="00FD4507"/>
    <w:rsid w:val="00FD47C8"/>
    <w:rsid w:val="00FD4EF5"/>
    <w:rsid w:val="00FD5638"/>
    <w:rsid w:val="00FD5778"/>
    <w:rsid w:val="00FD5BC0"/>
    <w:rsid w:val="00FD5FE0"/>
    <w:rsid w:val="00FD6332"/>
    <w:rsid w:val="00FD63F6"/>
    <w:rsid w:val="00FD644B"/>
    <w:rsid w:val="00FD6488"/>
    <w:rsid w:val="00FD66E4"/>
    <w:rsid w:val="00FD6727"/>
    <w:rsid w:val="00FD6B5A"/>
    <w:rsid w:val="00FD6EEF"/>
    <w:rsid w:val="00FD755E"/>
    <w:rsid w:val="00FD7861"/>
    <w:rsid w:val="00FD786F"/>
    <w:rsid w:val="00FD7A56"/>
    <w:rsid w:val="00FE0349"/>
    <w:rsid w:val="00FE0A25"/>
    <w:rsid w:val="00FE0B87"/>
    <w:rsid w:val="00FE0BB6"/>
    <w:rsid w:val="00FE0E95"/>
    <w:rsid w:val="00FE0EC5"/>
    <w:rsid w:val="00FE0F43"/>
    <w:rsid w:val="00FE11D4"/>
    <w:rsid w:val="00FE120E"/>
    <w:rsid w:val="00FE1263"/>
    <w:rsid w:val="00FE12AA"/>
    <w:rsid w:val="00FE1304"/>
    <w:rsid w:val="00FE1B42"/>
    <w:rsid w:val="00FE1BD2"/>
    <w:rsid w:val="00FE1C2A"/>
    <w:rsid w:val="00FE1E97"/>
    <w:rsid w:val="00FE2851"/>
    <w:rsid w:val="00FE2BF7"/>
    <w:rsid w:val="00FE2DC6"/>
    <w:rsid w:val="00FE339A"/>
    <w:rsid w:val="00FE3704"/>
    <w:rsid w:val="00FE39F6"/>
    <w:rsid w:val="00FE3ADC"/>
    <w:rsid w:val="00FE3F1C"/>
    <w:rsid w:val="00FE4079"/>
    <w:rsid w:val="00FE46B4"/>
    <w:rsid w:val="00FE484C"/>
    <w:rsid w:val="00FE4C45"/>
    <w:rsid w:val="00FE4CF1"/>
    <w:rsid w:val="00FE4CFE"/>
    <w:rsid w:val="00FE50B8"/>
    <w:rsid w:val="00FE56EF"/>
    <w:rsid w:val="00FE572F"/>
    <w:rsid w:val="00FE5DE6"/>
    <w:rsid w:val="00FE5EA2"/>
    <w:rsid w:val="00FE5FDC"/>
    <w:rsid w:val="00FE619D"/>
    <w:rsid w:val="00FE64E6"/>
    <w:rsid w:val="00FE72A0"/>
    <w:rsid w:val="00FE77AE"/>
    <w:rsid w:val="00FE7CC2"/>
    <w:rsid w:val="00FF0282"/>
    <w:rsid w:val="00FF0775"/>
    <w:rsid w:val="00FF07B7"/>
    <w:rsid w:val="00FF0C96"/>
    <w:rsid w:val="00FF1154"/>
    <w:rsid w:val="00FF130D"/>
    <w:rsid w:val="00FF172C"/>
    <w:rsid w:val="00FF1E36"/>
    <w:rsid w:val="00FF1F30"/>
    <w:rsid w:val="00FF21B2"/>
    <w:rsid w:val="00FF2723"/>
    <w:rsid w:val="00FF27B1"/>
    <w:rsid w:val="00FF282C"/>
    <w:rsid w:val="00FF2C8C"/>
    <w:rsid w:val="00FF2DAD"/>
    <w:rsid w:val="00FF451D"/>
    <w:rsid w:val="00FF4DF3"/>
    <w:rsid w:val="00FF4E66"/>
    <w:rsid w:val="00FF4F3C"/>
    <w:rsid w:val="00FF5252"/>
    <w:rsid w:val="00FF531A"/>
    <w:rsid w:val="00FF5543"/>
    <w:rsid w:val="00FF5714"/>
    <w:rsid w:val="00FF5765"/>
    <w:rsid w:val="00FF6019"/>
    <w:rsid w:val="00FF6683"/>
    <w:rsid w:val="00FF66BF"/>
    <w:rsid w:val="00FF6740"/>
    <w:rsid w:val="00FF682A"/>
    <w:rsid w:val="00FF6966"/>
    <w:rsid w:val="00FF6981"/>
    <w:rsid w:val="00FF6C3C"/>
    <w:rsid w:val="00FF6F35"/>
    <w:rsid w:val="00FF73D9"/>
    <w:rsid w:val="00FF7857"/>
    <w:rsid w:val="00FF7A9F"/>
    <w:rsid w:val="00FF7D1F"/>
    <w:rsid w:val="00FF7E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1"/>
    </o:shapelayout>
  </w:shapeDefaults>
  <w:decimalSymbol w:val="."/>
  <w:listSeparator w:val=","/>
  <w14:docId w14:val="609D9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2E2F"/>
    <w:pPr>
      <w:spacing w:after="240" w:line="312" w:lineRule="auto"/>
    </w:pPr>
    <w:rPr>
      <w:rFonts w:ascii="Calibri" w:hAnsi="Calibri" w:cs="Tahoma"/>
      <w:sz w:val="22"/>
      <w:szCs w:val="22"/>
    </w:rPr>
  </w:style>
  <w:style w:type="paragraph" w:styleId="Heading1">
    <w:name w:val="heading 1"/>
    <w:basedOn w:val="Normal"/>
    <w:next w:val="Normal"/>
    <w:link w:val="Heading1Char"/>
    <w:qFormat/>
    <w:rsid w:val="00A65D65"/>
    <w:pPr>
      <w:keepNext/>
      <w:pageBreakBefore/>
      <w:pBdr>
        <w:bottom w:val="single" w:sz="4" w:space="1" w:color="auto"/>
      </w:pBdr>
      <w:spacing w:after="360"/>
      <w:ind w:left="3402" w:hanging="3402"/>
      <w:outlineLvl w:val="0"/>
    </w:pPr>
    <w:rPr>
      <w:b/>
      <w:smallCaps/>
      <w:sz w:val="44"/>
    </w:rPr>
  </w:style>
  <w:style w:type="paragraph" w:styleId="Heading2">
    <w:name w:val="heading 2"/>
    <w:basedOn w:val="Normal"/>
    <w:next w:val="Normal"/>
    <w:link w:val="Heading2Char"/>
    <w:qFormat/>
    <w:rsid w:val="00F5251C"/>
    <w:pPr>
      <w:keepNext/>
      <w:spacing w:before="240"/>
      <w:outlineLvl w:val="1"/>
    </w:pPr>
    <w:rPr>
      <w:b/>
      <w:smallCaps/>
      <w:sz w:val="28"/>
    </w:rPr>
  </w:style>
  <w:style w:type="paragraph" w:styleId="Heading3">
    <w:name w:val="heading 3"/>
    <w:basedOn w:val="Normal"/>
    <w:next w:val="Normal"/>
    <w:link w:val="Heading3Char"/>
    <w:qFormat/>
    <w:rsid w:val="00F5251C"/>
    <w:pPr>
      <w:keepNext/>
      <w:spacing w:before="240" w:after="120"/>
      <w:outlineLvl w:val="2"/>
    </w:pPr>
    <w:rPr>
      <w:b/>
      <w:smallCaps/>
      <w:sz w:val="24"/>
      <w:szCs w:val="24"/>
    </w:rPr>
  </w:style>
  <w:style w:type="paragraph" w:styleId="Heading4">
    <w:name w:val="heading 4"/>
    <w:basedOn w:val="ESSectionHeading-numbered0"/>
    <w:next w:val="Normal"/>
    <w:link w:val="Heading4Char"/>
    <w:qFormat/>
    <w:rsid w:val="0002607A"/>
    <w:pPr>
      <w:numPr>
        <w:numId w:val="0"/>
      </w:numPr>
      <w:spacing w:after="240"/>
      <w:outlineLvl w:val="3"/>
    </w:pPr>
    <w:rPr>
      <w:rFonts w:ascii="Arial" w:hAnsi="Arial"/>
      <w:smallCaps w:val="0"/>
      <w:sz w:val="20"/>
    </w:rPr>
  </w:style>
  <w:style w:type="paragraph" w:styleId="Heading5">
    <w:name w:val="heading 5"/>
    <w:basedOn w:val="Normal"/>
    <w:next w:val="Normal"/>
    <w:link w:val="Heading5Char"/>
    <w:qFormat/>
    <w:rsid w:val="005C44A6"/>
    <w:pPr>
      <w:keepNext/>
      <w:spacing w:after="60"/>
      <w:outlineLvl w:val="4"/>
    </w:pPr>
    <w:rPr>
      <w:b/>
      <w:i/>
    </w:rPr>
  </w:style>
  <w:style w:type="paragraph" w:styleId="Heading6">
    <w:name w:val="heading 6"/>
    <w:basedOn w:val="Normal"/>
    <w:next w:val="Normal"/>
    <w:qFormat/>
    <w:rsid w:val="00106D47"/>
    <w:pPr>
      <w:keepNext/>
      <w:outlineLvl w:val="5"/>
    </w:pPr>
    <w:rPr>
      <w:u w:val="single"/>
    </w:rPr>
  </w:style>
  <w:style w:type="paragraph" w:styleId="Heading7">
    <w:name w:val="heading 7"/>
    <w:basedOn w:val="Normal"/>
    <w:next w:val="Normal"/>
    <w:rsid w:val="00574BF8"/>
    <w:pPr>
      <w:keepNext/>
      <w:outlineLvl w:val="6"/>
    </w:pPr>
    <w:rPr>
      <w:i/>
    </w:rPr>
  </w:style>
  <w:style w:type="paragraph" w:styleId="Heading8">
    <w:name w:val="heading 8"/>
    <w:basedOn w:val="Normal"/>
    <w:next w:val="Normal"/>
    <w:rsid w:val="00574BF8"/>
    <w:pPr>
      <w:keepNext/>
      <w:outlineLvl w:val="7"/>
    </w:pPr>
    <w:rPr>
      <w:u w:val="single"/>
    </w:rPr>
  </w:style>
  <w:style w:type="paragraph" w:styleId="Heading9">
    <w:name w:val="heading 9"/>
    <w:basedOn w:val="Normal"/>
    <w:next w:val="Normal"/>
    <w:rsid w:val="00574BF8"/>
    <w:pPr>
      <w:keepNex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5251C"/>
    <w:rPr>
      <w:rFonts w:ascii="Calibri" w:hAnsi="Calibri" w:cs="Tahoma"/>
      <w:b/>
      <w:smallCaps/>
      <w:sz w:val="28"/>
      <w:szCs w:val="22"/>
    </w:rPr>
  </w:style>
  <w:style w:type="paragraph" w:customStyle="1" w:styleId="Bullet">
    <w:name w:val="Bullet"/>
    <w:basedOn w:val="Normal"/>
    <w:rsid w:val="00574BF8"/>
    <w:pPr>
      <w:numPr>
        <w:numId w:val="1"/>
      </w:numPr>
    </w:pPr>
  </w:style>
  <w:style w:type="character" w:styleId="CommentReference">
    <w:name w:val="annotation reference"/>
    <w:uiPriority w:val="99"/>
    <w:rsid w:val="00574BF8"/>
    <w:rPr>
      <w:sz w:val="16"/>
    </w:rPr>
  </w:style>
  <w:style w:type="paragraph" w:styleId="CommentText">
    <w:name w:val="annotation text"/>
    <w:basedOn w:val="Normal"/>
    <w:link w:val="CommentTextChar"/>
    <w:uiPriority w:val="99"/>
    <w:rsid w:val="00574BF8"/>
    <w:rPr>
      <w:sz w:val="20"/>
    </w:rPr>
  </w:style>
  <w:style w:type="paragraph" w:styleId="Date">
    <w:name w:val="Date"/>
    <w:basedOn w:val="Normal"/>
    <w:next w:val="Normal"/>
    <w:rsid w:val="00574BF8"/>
    <w:pPr>
      <w:ind w:right="113"/>
      <w:jc w:val="right"/>
    </w:pPr>
    <w:rPr>
      <w:rFonts w:ascii="Arial" w:hAnsi="Arial"/>
      <w:b/>
      <w:sz w:val="36"/>
    </w:rPr>
  </w:style>
  <w:style w:type="paragraph" w:customStyle="1" w:styleId="Summaryboxtext">
    <w:name w:val="Summary box text"/>
    <w:basedOn w:val="Normal"/>
    <w:rsid w:val="000A3AAF"/>
    <w:pPr>
      <w:spacing w:after="100" w:afterAutospacing="1"/>
    </w:pPr>
    <w:rPr>
      <w:rFonts w:ascii="Arial Narrow" w:hAnsi="Arial Narrow"/>
    </w:rPr>
  </w:style>
  <w:style w:type="paragraph" w:styleId="Footer">
    <w:name w:val="footer"/>
    <w:basedOn w:val="Normal"/>
    <w:link w:val="FooterChar"/>
    <w:uiPriority w:val="99"/>
    <w:rsid w:val="00574BF8"/>
    <w:pPr>
      <w:pBdr>
        <w:top w:val="single" w:sz="4" w:space="9" w:color="auto"/>
      </w:pBdr>
      <w:tabs>
        <w:tab w:val="right" w:pos="9000"/>
      </w:tabs>
    </w:pPr>
    <w:rPr>
      <w:rFonts w:ascii="Arial" w:hAnsi="Arial"/>
      <w:b/>
      <w:sz w:val="20"/>
    </w:rPr>
  </w:style>
  <w:style w:type="character" w:styleId="FootnoteReference">
    <w:name w:val="footnote reference"/>
    <w:uiPriority w:val="99"/>
    <w:semiHidden/>
    <w:rsid w:val="00574BF8"/>
    <w:rPr>
      <w:vertAlign w:val="superscript"/>
    </w:rPr>
  </w:style>
  <w:style w:type="paragraph" w:styleId="FootnoteText">
    <w:name w:val="footnote text"/>
    <w:basedOn w:val="Normal"/>
    <w:link w:val="FootnoteTextChar"/>
    <w:uiPriority w:val="99"/>
    <w:semiHidden/>
    <w:rsid w:val="00574BF8"/>
    <w:rPr>
      <w:sz w:val="20"/>
    </w:rPr>
  </w:style>
  <w:style w:type="paragraph" w:styleId="Header">
    <w:name w:val="header"/>
    <w:basedOn w:val="Normal"/>
    <w:link w:val="HeaderChar"/>
    <w:rsid w:val="00574BF8"/>
    <w:pPr>
      <w:tabs>
        <w:tab w:val="center" w:pos="4153"/>
        <w:tab w:val="right" w:pos="8306"/>
      </w:tabs>
    </w:pPr>
  </w:style>
  <w:style w:type="paragraph" w:customStyle="1" w:styleId="Summaryboxheading">
    <w:name w:val="Summary box heading"/>
    <w:basedOn w:val="Summaryboxtext"/>
    <w:rsid w:val="00D918EC"/>
    <w:pPr>
      <w:spacing w:before="120"/>
    </w:pPr>
    <w:rPr>
      <w:b/>
    </w:rPr>
  </w:style>
  <w:style w:type="paragraph" w:customStyle="1" w:styleId="Heading2a">
    <w:name w:val="Heading 2a"/>
    <w:basedOn w:val="Heading2"/>
    <w:rsid w:val="007F6EF6"/>
    <w:pPr>
      <w:outlineLvl w:val="9"/>
    </w:pPr>
    <w:rPr>
      <w:sz w:val="22"/>
    </w:rPr>
  </w:style>
  <w:style w:type="character" w:styleId="PageNumber">
    <w:name w:val="page number"/>
    <w:rsid w:val="00574BF8"/>
    <w:rPr>
      <w:rFonts w:ascii="Tahoma" w:hAnsi="Tahoma"/>
      <w:b/>
      <w:sz w:val="18"/>
    </w:rPr>
  </w:style>
  <w:style w:type="paragraph" w:customStyle="1" w:styleId="PublicationTitle">
    <w:name w:val="PublicationTitle"/>
    <w:basedOn w:val="Normal"/>
    <w:rsid w:val="00574BF8"/>
    <w:pPr>
      <w:spacing w:line="480" w:lineRule="exact"/>
      <w:ind w:right="113"/>
      <w:jc w:val="right"/>
    </w:pPr>
    <w:rPr>
      <w:rFonts w:ascii="Arial" w:hAnsi="Arial"/>
      <w:b/>
      <w:i/>
      <w:sz w:val="44"/>
    </w:rPr>
  </w:style>
  <w:style w:type="paragraph" w:customStyle="1" w:styleId="References">
    <w:name w:val="References"/>
    <w:basedOn w:val="Normal"/>
    <w:rsid w:val="00574BF8"/>
    <w:pPr>
      <w:keepLines/>
      <w:ind w:left="1440" w:hanging="720"/>
    </w:pPr>
  </w:style>
  <w:style w:type="paragraph" w:customStyle="1" w:styleId="Sub-title">
    <w:name w:val="Sub-title"/>
    <w:basedOn w:val="Normal"/>
    <w:rsid w:val="00574BF8"/>
    <w:pPr>
      <w:ind w:right="113"/>
      <w:jc w:val="right"/>
    </w:pPr>
    <w:rPr>
      <w:rFonts w:ascii="Arial" w:hAnsi="Arial"/>
      <w:b/>
      <w:sz w:val="32"/>
    </w:rPr>
  </w:style>
  <w:style w:type="paragraph" w:styleId="TableofFigures">
    <w:name w:val="table of figures"/>
    <w:basedOn w:val="Normal"/>
    <w:next w:val="Normal"/>
    <w:uiPriority w:val="99"/>
    <w:rsid w:val="00574BF8"/>
    <w:pPr>
      <w:tabs>
        <w:tab w:val="left" w:pos="1800"/>
        <w:tab w:val="right" w:leader="dot" w:pos="9017"/>
      </w:tabs>
      <w:spacing w:after="120"/>
      <w:ind w:left="1800" w:right="720" w:hanging="1080"/>
    </w:pPr>
    <w:rPr>
      <w:noProof/>
    </w:rPr>
  </w:style>
  <w:style w:type="paragraph" w:customStyle="1" w:styleId="TableText">
    <w:name w:val="TableText"/>
    <w:basedOn w:val="Normal"/>
    <w:link w:val="TableTextChar"/>
    <w:rsid w:val="00574BF8"/>
    <w:pPr>
      <w:keepNext/>
      <w:spacing w:before="40" w:after="40"/>
    </w:pPr>
    <w:rPr>
      <w:rFonts w:ascii="Arial Narrow" w:hAnsi="Arial Narrow"/>
      <w:sz w:val="18"/>
    </w:rPr>
  </w:style>
  <w:style w:type="character" w:customStyle="1" w:styleId="TableTextChar">
    <w:name w:val="TableText Char"/>
    <w:link w:val="TableText"/>
    <w:rsid w:val="00310008"/>
    <w:rPr>
      <w:rFonts w:ascii="Arial Narrow" w:hAnsi="Arial Narrow"/>
      <w:sz w:val="18"/>
      <w:lang w:val="en-AU" w:eastAsia="en-AU" w:bidi="ar-SA"/>
    </w:rPr>
  </w:style>
  <w:style w:type="paragraph" w:customStyle="1" w:styleId="TableHeading">
    <w:name w:val="TableHeading"/>
    <w:basedOn w:val="TableText"/>
    <w:link w:val="TableHeadingChar"/>
    <w:qFormat/>
    <w:rsid w:val="00F31E7A"/>
    <w:pPr>
      <w:spacing w:line="240" w:lineRule="auto"/>
    </w:pPr>
    <w:rPr>
      <w:b/>
      <w:sz w:val="20"/>
      <w:szCs w:val="20"/>
    </w:rPr>
  </w:style>
  <w:style w:type="character" w:customStyle="1" w:styleId="TableHeadingChar">
    <w:name w:val="TableHeading Char"/>
    <w:link w:val="TableHeading"/>
    <w:rsid w:val="00F31E7A"/>
    <w:rPr>
      <w:rFonts w:ascii="Arial Narrow" w:hAnsi="Arial Narrow" w:cs="Tahoma"/>
      <w:b/>
    </w:rPr>
  </w:style>
  <w:style w:type="paragraph" w:customStyle="1" w:styleId="TableName">
    <w:name w:val="TableName"/>
    <w:basedOn w:val="TableText"/>
    <w:link w:val="TableNameChar"/>
    <w:rsid w:val="000D2EB6"/>
    <w:pPr>
      <w:ind w:left="1440" w:hanging="720"/>
    </w:pPr>
    <w:rPr>
      <w:b/>
      <w:sz w:val="20"/>
    </w:rPr>
  </w:style>
  <w:style w:type="character" w:customStyle="1" w:styleId="TableNameChar">
    <w:name w:val="TableName Char"/>
    <w:link w:val="TableName"/>
    <w:rsid w:val="000D2EB6"/>
    <w:rPr>
      <w:rFonts w:ascii="Arial Narrow" w:hAnsi="Arial Narrow"/>
      <w:b/>
      <w:lang w:val="en-AU" w:eastAsia="en-AU" w:bidi="ar-SA"/>
    </w:rPr>
  </w:style>
  <w:style w:type="paragraph" w:customStyle="1" w:styleId="TableNotes">
    <w:name w:val="TableNotes"/>
    <w:basedOn w:val="TableText"/>
    <w:link w:val="TableNotesChar"/>
    <w:rsid w:val="00F2587E"/>
    <w:pPr>
      <w:keepNext w:val="0"/>
      <w:keepLines/>
      <w:spacing w:before="0" w:after="360"/>
      <w:ind w:left="720"/>
      <w:contextualSpacing/>
    </w:pPr>
    <w:rPr>
      <w:sz w:val="16"/>
    </w:rPr>
  </w:style>
  <w:style w:type="character" w:customStyle="1" w:styleId="TableNotesChar">
    <w:name w:val="TableNotes Char"/>
    <w:link w:val="TableNotes"/>
    <w:rsid w:val="00F2587E"/>
    <w:rPr>
      <w:rFonts w:ascii="Arial Narrow" w:hAnsi="Arial Narrow"/>
      <w:sz w:val="16"/>
      <w:lang w:val="en-AU" w:eastAsia="en-AU" w:bidi="ar-SA"/>
    </w:rPr>
  </w:style>
  <w:style w:type="paragraph" w:styleId="Title">
    <w:name w:val="Title"/>
    <w:basedOn w:val="Normal"/>
    <w:qFormat/>
    <w:rsid w:val="00574BF8"/>
    <w:pPr>
      <w:jc w:val="center"/>
    </w:pPr>
    <w:rPr>
      <w:rFonts w:ascii="Arial" w:hAnsi="Arial"/>
      <w:b/>
      <w:smallCaps/>
      <w:sz w:val="44"/>
    </w:rPr>
  </w:style>
  <w:style w:type="paragraph" w:styleId="TOC1">
    <w:name w:val="toc 1"/>
    <w:basedOn w:val="Normal"/>
    <w:next w:val="Normal"/>
    <w:autoRedefine/>
    <w:uiPriority w:val="39"/>
    <w:qFormat/>
    <w:rsid w:val="00CD64D9"/>
    <w:pPr>
      <w:tabs>
        <w:tab w:val="left" w:pos="1276"/>
        <w:tab w:val="right" w:leader="dot" w:pos="9017"/>
      </w:tabs>
      <w:spacing w:before="120" w:after="60"/>
      <w:ind w:right="-46"/>
    </w:pPr>
    <w:rPr>
      <w:b/>
      <w:noProof/>
    </w:rPr>
  </w:style>
  <w:style w:type="paragraph" w:styleId="TOC2">
    <w:name w:val="toc 2"/>
    <w:basedOn w:val="Normal"/>
    <w:next w:val="Normal"/>
    <w:autoRedefine/>
    <w:uiPriority w:val="39"/>
    <w:qFormat/>
    <w:rsid w:val="00396624"/>
    <w:pPr>
      <w:tabs>
        <w:tab w:val="right" w:leader="dot" w:pos="9017"/>
      </w:tabs>
      <w:spacing w:after="60"/>
      <w:ind w:left="851" w:right="720"/>
    </w:pPr>
    <w:rPr>
      <w:noProof/>
    </w:rPr>
  </w:style>
  <w:style w:type="paragraph" w:styleId="TOC3">
    <w:name w:val="toc 3"/>
    <w:basedOn w:val="Normal"/>
    <w:next w:val="Normal"/>
    <w:autoRedefine/>
    <w:uiPriority w:val="39"/>
    <w:qFormat/>
    <w:rsid w:val="00CD64D9"/>
    <w:pPr>
      <w:tabs>
        <w:tab w:val="right" w:leader="dot" w:pos="9016"/>
      </w:tabs>
      <w:spacing w:after="0"/>
      <w:ind w:left="1418"/>
    </w:pPr>
    <w:rPr>
      <w:noProof/>
    </w:rPr>
  </w:style>
  <w:style w:type="paragraph" w:styleId="TOC4">
    <w:name w:val="toc 4"/>
    <w:basedOn w:val="Normal"/>
    <w:next w:val="Normal"/>
    <w:autoRedefine/>
    <w:uiPriority w:val="39"/>
    <w:rsid w:val="00574BF8"/>
    <w:pPr>
      <w:ind w:left="660"/>
    </w:pPr>
  </w:style>
  <w:style w:type="paragraph" w:styleId="TOC5">
    <w:name w:val="toc 5"/>
    <w:basedOn w:val="Normal"/>
    <w:next w:val="Normal"/>
    <w:autoRedefine/>
    <w:uiPriority w:val="39"/>
    <w:rsid w:val="00574BF8"/>
    <w:pPr>
      <w:ind w:left="880"/>
    </w:pPr>
  </w:style>
  <w:style w:type="paragraph" w:styleId="TOC6">
    <w:name w:val="toc 6"/>
    <w:basedOn w:val="Normal"/>
    <w:next w:val="Normal"/>
    <w:autoRedefine/>
    <w:uiPriority w:val="39"/>
    <w:rsid w:val="00574BF8"/>
    <w:pPr>
      <w:ind w:left="1100"/>
    </w:pPr>
  </w:style>
  <w:style w:type="paragraph" w:styleId="TOC7">
    <w:name w:val="toc 7"/>
    <w:basedOn w:val="Normal"/>
    <w:next w:val="Normal"/>
    <w:autoRedefine/>
    <w:uiPriority w:val="39"/>
    <w:rsid w:val="00574BF8"/>
    <w:pPr>
      <w:ind w:left="1320"/>
    </w:pPr>
  </w:style>
  <w:style w:type="paragraph" w:styleId="TOC8">
    <w:name w:val="toc 8"/>
    <w:basedOn w:val="Normal"/>
    <w:next w:val="Normal"/>
    <w:autoRedefine/>
    <w:uiPriority w:val="39"/>
    <w:rsid w:val="00574BF8"/>
    <w:pPr>
      <w:ind w:left="1540"/>
    </w:pPr>
  </w:style>
  <w:style w:type="paragraph" w:styleId="TOC9">
    <w:name w:val="toc 9"/>
    <w:basedOn w:val="Normal"/>
    <w:next w:val="Normal"/>
    <w:autoRedefine/>
    <w:uiPriority w:val="39"/>
    <w:rsid w:val="00574BF8"/>
    <w:pPr>
      <w:ind w:left="1760"/>
    </w:pPr>
  </w:style>
  <w:style w:type="paragraph" w:customStyle="1" w:styleId="Dash">
    <w:name w:val="Dash"/>
    <w:basedOn w:val="Normal"/>
    <w:rsid w:val="00574BF8"/>
    <w:pPr>
      <w:numPr>
        <w:numId w:val="2"/>
      </w:numPr>
    </w:pPr>
  </w:style>
  <w:style w:type="paragraph" w:styleId="Quote">
    <w:name w:val="Quote"/>
    <w:basedOn w:val="Normal"/>
    <w:rsid w:val="00574BF8"/>
    <w:pPr>
      <w:keepLines/>
      <w:ind w:left="1440" w:right="720"/>
    </w:pPr>
  </w:style>
  <w:style w:type="paragraph" w:styleId="BodyText">
    <w:name w:val="Body Text"/>
    <w:basedOn w:val="Normal"/>
    <w:link w:val="BodyTextChar"/>
    <w:rsid w:val="00574BF8"/>
    <w:pPr>
      <w:spacing w:after="0"/>
    </w:pPr>
    <w:rPr>
      <w:rFonts w:ascii="Helv" w:hAnsi="Helv"/>
      <w:b/>
      <w:i/>
      <w:snapToGrid w:val="0"/>
      <w:color w:val="000000"/>
      <w:sz w:val="28"/>
      <w:lang w:eastAsia="en-US"/>
    </w:rPr>
  </w:style>
  <w:style w:type="paragraph" w:styleId="BalloonText">
    <w:name w:val="Balloon Text"/>
    <w:basedOn w:val="Normal"/>
    <w:link w:val="BalloonTextChar"/>
    <w:uiPriority w:val="99"/>
    <w:semiHidden/>
    <w:rsid w:val="00AF06B8"/>
    <w:rPr>
      <w:sz w:val="16"/>
      <w:szCs w:val="16"/>
    </w:rPr>
  </w:style>
  <w:style w:type="character" w:styleId="Hyperlink">
    <w:name w:val="Hyperlink"/>
    <w:uiPriority w:val="99"/>
    <w:rsid w:val="00AF06B8"/>
    <w:rPr>
      <w:color w:val="0000FF"/>
      <w:u w:val="single"/>
    </w:rPr>
  </w:style>
  <w:style w:type="paragraph" w:styleId="Caption">
    <w:name w:val="caption"/>
    <w:aliases w:val="Table and Figure Name,Table and Figure name,Caption Char2 Char,Caption Char Char Char2,Caption Char1 Char Char Char1,Caption Char2 Char Char Char1 Char1,Caption Char Char1 Char Char Char1 Char1,Caption Char1 Char Char Char Char Char Char"/>
    <w:basedOn w:val="Normal"/>
    <w:next w:val="Normal"/>
    <w:qFormat/>
    <w:rsid w:val="00012EA4"/>
    <w:pPr>
      <w:spacing w:after="120" w:line="240" w:lineRule="auto"/>
    </w:pPr>
    <w:rPr>
      <w:rFonts w:ascii="Arial Narrow" w:hAnsi="Arial Narrow"/>
      <w:b/>
      <w:bCs/>
      <w:sz w:val="20"/>
    </w:rPr>
  </w:style>
  <w:style w:type="paragraph" w:customStyle="1" w:styleId="TableHeading0">
    <w:name w:val="Table Heading"/>
    <w:basedOn w:val="Normal"/>
    <w:next w:val="Normal"/>
    <w:rsid w:val="00C9014F"/>
    <w:pPr>
      <w:keepNext/>
      <w:spacing w:before="40" w:after="40"/>
    </w:pPr>
    <w:rPr>
      <w:rFonts w:ascii="Arial" w:hAnsi="Arial"/>
      <w:b/>
      <w:sz w:val="18"/>
      <w:lang w:val="en-GB" w:eastAsia="en-US"/>
    </w:rPr>
  </w:style>
  <w:style w:type="table" w:styleId="TableGrid">
    <w:name w:val="Table Grid"/>
    <w:basedOn w:val="TableNormal"/>
    <w:uiPriority w:val="59"/>
    <w:rsid w:val="005265C4"/>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Normal"/>
    <w:link w:val="TableTextChar0"/>
    <w:qFormat/>
    <w:rsid w:val="00DF343F"/>
    <w:pPr>
      <w:keepNext/>
      <w:spacing w:before="40" w:after="40" w:line="240" w:lineRule="auto"/>
    </w:pPr>
    <w:rPr>
      <w:rFonts w:ascii="Arial Narrow" w:hAnsi="Arial Narrow"/>
      <w:sz w:val="20"/>
      <w:lang w:eastAsia="en-US"/>
    </w:rPr>
  </w:style>
  <w:style w:type="character" w:customStyle="1" w:styleId="TableTextChar0">
    <w:name w:val="Table Text Char"/>
    <w:link w:val="TableText0"/>
    <w:rsid w:val="00DF343F"/>
    <w:rPr>
      <w:rFonts w:ascii="Arial Narrow" w:hAnsi="Arial Narrow" w:cs="Tahoma"/>
      <w:szCs w:val="22"/>
      <w:lang w:eastAsia="en-US"/>
    </w:rPr>
  </w:style>
  <w:style w:type="paragraph" w:customStyle="1" w:styleId="Boxname">
    <w:name w:val="Box name"/>
    <w:basedOn w:val="TableName"/>
    <w:link w:val="BoxnameChar"/>
    <w:rsid w:val="00310008"/>
  </w:style>
  <w:style w:type="character" w:customStyle="1" w:styleId="BoxnameChar">
    <w:name w:val="Box name Char"/>
    <w:basedOn w:val="TableNameChar"/>
    <w:link w:val="Boxname"/>
    <w:rsid w:val="00B141EB"/>
    <w:rPr>
      <w:rFonts w:ascii="Arial Narrow" w:hAnsi="Arial Narrow"/>
      <w:b/>
      <w:lang w:val="en-AU" w:eastAsia="en-AU" w:bidi="ar-SA"/>
    </w:rPr>
  </w:style>
  <w:style w:type="paragraph" w:styleId="CommentSubject">
    <w:name w:val="annotation subject"/>
    <w:basedOn w:val="CommentText"/>
    <w:next w:val="CommentText"/>
    <w:link w:val="CommentSubjectChar"/>
    <w:semiHidden/>
    <w:rsid w:val="003060DC"/>
    <w:rPr>
      <w:b/>
      <w:bCs/>
    </w:rPr>
  </w:style>
  <w:style w:type="paragraph" w:customStyle="1" w:styleId="StyleTableTextArialNarrowFirstline045cm">
    <w:name w:val="Style Table Text + Arial Narrow First line:  0.45 cm"/>
    <w:basedOn w:val="TableText0"/>
    <w:rsid w:val="008E0528"/>
    <w:pPr>
      <w:spacing w:after="360"/>
      <w:ind w:firstLine="720"/>
    </w:pPr>
  </w:style>
  <w:style w:type="character" w:styleId="FollowedHyperlink">
    <w:name w:val="FollowedHyperlink"/>
    <w:uiPriority w:val="99"/>
    <w:rsid w:val="003079EF"/>
    <w:rPr>
      <w:color w:val="800080"/>
      <w:u w:val="single"/>
    </w:rPr>
  </w:style>
  <w:style w:type="paragraph" w:customStyle="1" w:styleId="TableNamea">
    <w:name w:val="Table Name(a)"/>
    <w:basedOn w:val="Normal"/>
    <w:rsid w:val="0031303D"/>
    <w:pPr>
      <w:keepNext/>
      <w:spacing w:before="120" w:after="120"/>
      <w:ind w:left="1077" w:hanging="1077"/>
    </w:pPr>
    <w:rPr>
      <w:rFonts w:ascii="Arial" w:hAnsi="Arial"/>
      <w:b/>
      <w:sz w:val="20"/>
      <w:lang w:eastAsia="en-US"/>
    </w:rPr>
  </w:style>
  <w:style w:type="character" w:customStyle="1" w:styleId="BodyTextChar">
    <w:name w:val="Body Text Char"/>
    <w:link w:val="BodyText"/>
    <w:rsid w:val="00E97600"/>
    <w:rPr>
      <w:rFonts w:ascii="Helv" w:hAnsi="Helv"/>
      <w:b/>
      <w:i/>
      <w:snapToGrid w:val="0"/>
      <w:color w:val="000000"/>
      <w:sz w:val="28"/>
      <w:lang w:val="en-AU" w:eastAsia="en-US" w:bidi="ar-SA"/>
    </w:rPr>
  </w:style>
  <w:style w:type="paragraph" w:styleId="DocumentMap">
    <w:name w:val="Document Map"/>
    <w:basedOn w:val="Normal"/>
    <w:link w:val="DocumentMapChar"/>
    <w:rsid w:val="002A2D19"/>
    <w:rPr>
      <w:sz w:val="16"/>
      <w:szCs w:val="16"/>
    </w:rPr>
  </w:style>
  <w:style w:type="character" w:customStyle="1" w:styleId="DocumentMapChar">
    <w:name w:val="Document Map Char"/>
    <w:link w:val="DocumentMap"/>
    <w:rsid w:val="002A2D19"/>
    <w:rPr>
      <w:rFonts w:ascii="Tahoma" w:hAnsi="Tahoma" w:cs="Tahoma"/>
      <w:sz w:val="16"/>
      <w:szCs w:val="16"/>
    </w:rPr>
  </w:style>
  <w:style w:type="paragraph" w:styleId="ListParagraph">
    <w:name w:val="List Paragraph"/>
    <w:basedOn w:val="Normal"/>
    <w:link w:val="ListParagraphChar"/>
    <w:uiPriority w:val="34"/>
    <w:qFormat/>
    <w:rsid w:val="002A2D19"/>
  </w:style>
  <w:style w:type="paragraph" w:customStyle="1" w:styleId="figureheading">
    <w:name w:val="figure heading"/>
    <w:basedOn w:val="Normal"/>
    <w:rsid w:val="002A2D19"/>
    <w:pPr>
      <w:keepNext/>
      <w:spacing w:before="120" w:after="120"/>
      <w:ind w:left="1077" w:hanging="1077"/>
    </w:pPr>
    <w:rPr>
      <w:rFonts w:ascii="Arial" w:hAnsi="Arial"/>
      <w:b/>
      <w:sz w:val="20"/>
      <w:lang w:eastAsia="en-US"/>
    </w:rPr>
  </w:style>
  <w:style w:type="paragraph" w:customStyle="1" w:styleId="Nnumberedlist">
    <w:name w:val="Nnumbered list"/>
    <w:basedOn w:val="Normal"/>
    <w:rsid w:val="002A2D19"/>
    <w:pPr>
      <w:numPr>
        <w:numId w:val="3"/>
      </w:numPr>
    </w:pPr>
  </w:style>
  <w:style w:type="paragraph" w:customStyle="1" w:styleId="Figure">
    <w:name w:val="Figure"/>
    <w:basedOn w:val="TableName"/>
    <w:rsid w:val="002A2D19"/>
    <w:pPr>
      <w:spacing w:before="120" w:after="120"/>
      <w:ind w:left="1800" w:hanging="1080"/>
    </w:pPr>
  </w:style>
  <w:style w:type="paragraph" w:styleId="NormalWeb">
    <w:name w:val="Normal (Web)"/>
    <w:basedOn w:val="Normal"/>
    <w:uiPriority w:val="99"/>
    <w:rsid w:val="002A2D19"/>
    <w:pPr>
      <w:spacing w:before="100" w:beforeAutospacing="1" w:after="100" w:afterAutospacing="1"/>
    </w:pPr>
    <w:rPr>
      <w:rFonts w:ascii="Times New Roman" w:hAnsi="Times New Roman"/>
      <w:color w:val="000000"/>
      <w:szCs w:val="24"/>
      <w:lang w:val="en-US" w:eastAsia="en-US"/>
    </w:rPr>
  </w:style>
  <w:style w:type="paragraph" w:customStyle="1" w:styleId="Equation">
    <w:name w:val="Equation"/>
    <w:basedOn w:val="Header"/>
    <w:rsid w:val="002A2D19"/>
    <w:pPr>
      <w:tabs>
        <w:tab w:val="clear" w:pos="4153"/>
        <w:tab w:val="clear" w:pos="8306"/>
      </w:tabs>
    </w:pPr>
    <w:rPr>
      <w:rFonts w:ascii="Arial Narrow" w:hAnsi="Arial Narrow"/>
      <w:sz w:val="20"/>
    </w:rPr>
  </w:style>
  <w:style w:type="character" w:customStyle="1" w:styleId="Heading1Char">
    <w:name w:val="Heading 1 Char"/>
    <w:link w:val="Heading1"/>
    <w:rsid w:val="00A65D65"/>
    <w:rPr>
      <w:rFonts w:ascii="Calibri" w:hAnsi="Calibri" w:cs="Tahoma"/>
      <w:b/>
      <w:smallCaps/>
      <w:sz w:val="44"/>
      <w:szCs w:val="22"/>
    </w:rPr>
  </w:style>
  <w:style w:type="paragraph" w:customStyle="1" w:styleId="AHTAaddresslines">
    <w:name w:val="AHTA address lines"/>
    <w:basedOn w:val="PlainText"/>
    <w:rsid w:val="002A2D19"/>
    <w:pPr>
      <w:spacing w:line="210" w:lineRule="exact"/>
    </w:pPr>
    <w:rPr>
      <w:rFonts w:ascii="Arial Narrow" w:eastAsia="Times" w:hAnsi="Arial Narrow" w:cs="Times New Roman"/>
      <w:i/>
      <w:color w:val="000080"/>
      <w:sz w:val="16"/>
    </w:rPr>
  </w:style>
  <w:style w:type="paragraph" w:styleId="PlainText">
    <w:name w:val="Plain Text"/>
    <w:basedOn w:val="Normal"/>
    <w:link w:val="PlainTextChar"/>
    <w:rsid w:val="002A2D19"/>
    <w:pPr>
      <w:spacing w:after="0"/>
    </w:pPr>
    <w:rPr>
      <w:rFonts w:ascii="Courier New" w:hAnsi="Courier New" w:cs="Courier New"/>
      <w:sz w:val="20"/>
      <w:lang w:eastAsia="en-US"/>
    </w:rPr>
  </w:style>
  <w:style w:type="character" w:customStyle="1" w:styleId="PlainTextChar">
    <w:name w:val="Plain Text Char"/>
    <w:link w:val="PlainText"/>
    <w:rsid w:val="002A2D19"/>
    <w:rPr>
      <w:rFonts w:ascii="Courier New" w:hAnsi="Courier New" w:cs="Courier New"/>
      <w:lang w:eastAsia="en-US"/>
    </w:rPr>
  </w:style>
  <w:style w:type="character" w:styleId="Strong">
    <w:name w:val="Strong"/>
    <w:uiPriority w:val="22"/>
    <w:rsid w:val="002A2D19"/>
    <w:rPr>
      <w:b/>
      <w:bCs/>
    </w:rPr>
  </w:style>
  <w:style w:type="character" w:customStyle="1" w:styleId="regulartext">
    <w:name w:val="regulartext"/>
    <w:basedOn w:val="DefaultParagraphFont"/>
    <w:rsid w:val="002A2D19"/>
  </w:style>
  <w:style w:type="paragraph" w:customStyle="1" w:styleId="bodytext0">
    <w:name w:val="bodytext"/>
    <w:basedOn w:val="Normal"/>
    <w:rsid w:val="002A2D19"/>
    <w:pPr>
      <w:spacing w:before="100" w:beforeAutospacing="1" w:after="100" w:afterAutospacing="1"/>
    </w:pPr>
    <w:rPr>
      <w:rFonts w:ascii="Times New Roman" w:hAnsi="Times New Roman"/>
      <w:szCs w:val="24"/>
    </w:rPr>
  </w:style>
  <w:style w:type="character" w:customStyle="1" w:styleId="mainsubheader1">
    <w:name w:val="mainsubheader1"/>
    <w:rsid w:val="002A2D19"/>
    <w:rPr>
      <w:b/>
      <w:bCs/>
    </w:rPr>
  </w:style>
  <w:style w:type="paragraph" w:customStyle="1" w:styleId="Bullet12">
    <w:name w:val="Bullet+12"/>
    <w:basedOn w:val="Normal"/>
    <w:rsid w:val="002A2D19"/>
    <w:pPr>
      <w:tabs>
        <w:tab w:val="num" w:pos="357"/>
      </w:tabs>
      <w:ind w:left="357" w:hanging="357"/>
    </w:pPr>
    <w:rPr>
      <w:rFonts w:ascii="Times New Roman" w:hAnsi="Times New Roman"/>
      <w:lang w:eastAsia="en-US"/>
    </w:rPr>
  </w:style>
  <w:style w:type="paragraph" w:customStyle="1" w:styleId="Bullet6">
    <w:name w:val="Bullet+6"/>
    <w:basedOn w:val="Normal"/>
    <w:rsid w:val="002A2D19"/>
    <w:pPr>
      <w:tabs>
        <w:tab w:val="num" w:pos="578"/>
      </w:tabs>
      <w:spacing w:after="0"/>
      <w:ind w:left="578" w:hanging="360"/>
    </w:pPr>
    <w:rPr>
      <w:rFonts w:ascii="Times New Roman" w:hAnsi="Times New Roman"/>
      <w:szCs w:val="24"/>
    </w:rPr>
  </w:style>
  <w:style w:type="character" w:customStyle="1" w:styleId="HeaderChar">
    <w:name w:val="Header Char"/>
    <w:link w:val="Header"/>
    <w:locked/>
    <w:rsid w:val="002902F6"/>
    <w:rPr>
      <w:rFonts w:ascii="Tahoma" w:hAnsi="Tahoma" w:cs="Tahoma"/>
      <w:sz w:val="22"/>
      <w:szCs w:val="22"/>
    </w:rPr>
  </w:style>
  <w:style w:type="paragraph" w:customStyle="1" w:styleId="Tabletext1">
    <w:name w:val="Table text"/>
    <w:basedOn w:val="Normal"/>
    <w:link w:val="TabletextChar1"/>
    <w:qFormat/>
    <w:rsid w:val="00AF6B60"/>
    <w:pPr>
      <w:spacing w:before="40" w:after="40" w:line="240" w:lineRule="auto"/>
    </w:pPr>
    <w:rPr>
      <w:rFonts w:ascii="Arial Narrow" w:hAnsi="Arial Narrow"/>
      <w:sz w:val="20"/>
      <w:szCs w:val="20"/>
    </w:rPr>
  </w:style>
  <w:style w:type="character" w:customStyle="1" w:styleId="TabletextChar1">
    <w:name w:val="Table text Char"/>
    <w:link w:val="Tabletext1"/>
    <w:rsid w:val="00AF6B60"/>
    <w:rPr>
      <w:rFonts w:ascii="Arial Narrow" w:hAnsi="Arial Narrow" w:cs="Tahoma"/>
    </w:rPr>
  </w:style>
  <w:style w:type="character" w:customStyle="1" w:styleId="Heading3Char">
    <w:name w:val="Heading 3 Char"/>
    <w:link w:val="Heading3"/>
    <w:rsid w:val="00F5251C"/>
    <w:rPr>
      <w:rFonts w:ascii="Calibri" w:hAnsi="Calibri" w:cs="Tahoma"/>
      <w:b/>
      <w:smallCaps/>
      <w:sz w:val="24"/>
      <w:szCs w:val="24"/>
    </w:rPr>
  </w:style>
  <w:style w:type="character" w:customStyle="1" w:styleId="CommentTextChar">
    <w:name w:val="Comment Text Char"/>
    <w:basedOn w:val="DefaultParagraphFont"/>
    <w:link w:val="CommentText"/>
    <w:uiPriority w:val="99"/>
    <w:rsid w:val="009F2370"/>
    <w:rPr>
      <w:rFonts w:ascii="Tahoma" w:hAnsi="Tahoma" w:cs="Tahoma"/>
      <w:szCs w:val="22"/>
    </w:rPr>
  </w:style>
  <w:style w:type="paragraph" w:customStyle="1" w:styleId="Default">
    <w:name w:val="Default"/>
    <w:rsid w:val="007513FC"/>
    <w:pPr>
      <w:autoSpaceDE w:val="0"/>
      <w:autoSpaceDN w:val="0"/>
      <w:adjustRightInd w:val="0"/>
    </w:pPr>
    <w:rPr>
      <w:rFonts w:ascii="Arial Narrow" w:hAnsi="Arial Narrow" w:cs="Arial Narrow"/>
      <w:color w:val="000000"/>
      <w:sz w:val="24"/>
      <w:szCs w:val="24"/>
    </w:rPr>
  </w:style>
  <w:style w:type="paragraph" w:styleId="Revision">
    <w:name w:val="Revision"/>
    <w:hidden/>
    <w:uiPriority w:val="99"/>
    <w:semiHidden/>
    <w:rsid w:val="004C5E79"/>
    <w:rPr>
      <w:rFonts w:ascii="Tahoma" w:hAnsi="Tahoma" w:cs="Tahoma"/>
      <w:sz w:val="22"/>
      <w:szCs w:val="22"/>
    </w:rPr>
  </w:style>
  <w:style w:type="table" w:styleId="TableClassic1">
    <w:name w:val="Table Classic 1"/>
    <w:basedOn w:val="TableNormal"/>
    <w:rsid w:val="00213EA5"/>
    <w:pPr>
      <w:spacing w:after="240" w:line="312"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FooterChar">
    <w:name w:val="Footer Char"/>
    <w:link w:val="Footer"/>
    <w:uiPriority w:val="99"/>
    <w:rsid w:val="001341F5"/>
    <w:rPr>
      <w:rFonts w:ascii="Arial" w:hAnsi="Arial" w:cs="Tahoma"/>
      <w:b/>
      <w:szCs w:val="22"/>
    </w:rPr>
  </w:style>
  <w:style w:type="paragraph" w:styleId="EndnoteText">
    <w:name w:val="endnote text"/>
    <w:basedOn w:val="Normal"/>
    <w:link w:val="EndnoteTextChar"/>
    <w:rsid w:val="001341F5"/>
    <w:pPr>
      <w:spacing w:after="0" w:line="240" w:lineRule="auto"/>
    </w:pPr>
    <w:rPr>
      <w:rFonts w:ascii="Times New Roman" w:hAnsi="Times New Roman" w:cs="Times New Roman"/>
      <w:sz w:val="20"/>
      <w:szCs w:val="20"/>
      <w:lang w:eastAsia="en-US"/>
    </w:rPr>
  </w:style>
  <w:style w:type="character" w:customStyle="1" w:styleId="EndnoteTextChar">
    <w:name w:val="Endnote Text Char"/>
    <w:basedOn w:val="DefaultParagraphFont"/>
    <w:link w:val="EndnoteText"/>
    <w:rsid w:val="001341F5"/>
    <w:rPr>
      <w:lang w:eastAsia="en-US"/>
    </w:rPr>
  </w:style>
  <w:style w:type="paragraph" w:customStyle="1" w:styleId="Style1">
    <w:name w:val="Style1"/>
    <w:basedOn w:val="Normal"/>
    <w:rsid w:val="001341F5"/>
    <w:pPr>
      <w:tabs>
        <w:tab w:val="left" w:pos="720"/>
      </w:tabs>
      <w:spacing w:after="0" w:line="240" w:lineRule="auto"/>
    </w:pPr>
    <w:rPr>
      <w:rFonts w:ascii="Bookman Old Style" w:hAnsi="Bookman Old Style" w:cs="Times New Roman"/>
      <w:sz w:val="20"/>
      <w:szCs w:val="20"/>
      <w:lang w:val="en-US" w:eastAsia="en-US"/>
    </w:rPr>
  </w:style>
  <w:style w:type="character" w:customStyle="1" w:styleId="FootnoteTextChar">
    <w:name w:val="Footnote Text Char"/>
    <w:basedOn w:val="DefaultParagraphFont"/>
    <w:link w:val="FootnoteText"/>
    <w:uiPriority w:val="99"/>
    <w:semiHidden/>
    <w:rsid w:val="004D6547"/>
    <w:rPr>
      <w:rFonts w:ascii="Tahoma" w:hAnsi="Tahoma" w:cs="Tahoma"/>
      <w:szCs w:val="22"/>
    </w:rPr>
  </w:style>
  <w:style w:type="character" w:customStyle="1" w:styleId="BalloonTextChar">
    <w:name w:val="Balloon Text Char"/>
    <w:basedOn w:val="DefaultParagraphFont"/>
    <w:link w:val="BalloonText"/>
    <w:uiPriority w:val="99"/>
    <w:semiHidden/>
    <w:rsid w:val="0001307B"/>
    <w:rPr>
      <w:rFonts w:ascii="Tahoma" w:hAnsi="Tahoma" w:cs="Tahoma"/>
      <w:sz w:val="16"/>
      <w:szCs w:val="16"/>
    </w:rPr>
  </w:style>
  <w:style w:type="character" w:customStyle="1" w:styleId="CommentSubjectChar">
    <w:name w:val="Comment Subject Char"/>
    <w:basedOn w:val="CommentTextChar"/>
    <w:link w:val="CommentSubject"/>
    <w:uiPriority w:val="99"/>
    <w:semiHidden/>
    <w:rsid w:val="00962174"/>
    <w:rPr>
      <w:rFonts w:ascii="Tahoma" w:hAnsi="Tahoma" w:cs="Tahoma"/>
      <w:b/>
      <w:bCs/>
      <w:szCs w:val="22"/>
    </w:rPr>
  </w:style>
  <w:style w:type="character" w:styleId="Emphasis">
    <w:name w:val="Emphasis"/>
    <w:basedOn w:val="DefaultParagraphFont"/>
    <w:uiPriority w:val="20"/>
    <w:rsid w:val="003F1CE5"/>
    <w:rPr>
      <w:b/>
      <w:bCs/>
      <w:i w:val="0"/>
      <w:iCs w:val="0"/>
    </w:rPr>
  </w:style>
  <w:style w:type="character" w:customStyle="1" w:styleId="st1">
    <w:name w:val="st1"/>
    <w:basedOn w:val="DefaultParagraphFont"/>
    <w:rsid w:val="003F1CE5"/>
  </w:style>
  <w:style w:type="table" w:customStyle="1" w:styleId="TableGrid1">
    <w:name w:val="Table Grid1"/>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table" w:customStyle="1" w:styleId="TableGrid2">
    <w:name w:val="Table Grid2"/>
    <w:basedOn w:val="TableNormal"/>
    <w:next w:val="TableGrid"/>
    <w:rsid w:val="0021388F"/>
    <w:pPr>
      <w:spacing w:before="40" w:after="4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Narrow" w:hAnsi="Arial Narrow"/>
        <w:b w:val="0"/>
        <w:sz w:val="20"/>
      </w:rPr>
    </w:tblStylePr>
  </w:style>
  <w:style w:type="paragraph" w:customStyle="1" w:styleId="desc">
    <w:name w:val="desc"/>
    <w:basedOn w:val="Normal"/>
    <w:rsid w:val="0021388F"/>
    <w:pPr>
      <w:spacing w:before="100" w:beforeAutospacing="1" w:after="100" w:afterAutospacing="1" w:line="240" w:lineRule="auto"/>
    </w:pPr>
    <w:rPr>
      <w:rFonts w:ascii="Times New Roman" w:hAnsi="Times New Roman" w:cs="Times New Roman"/>
      <w:szCs w:val="24"/>
    </w:rPr>
  </w:style>
  <w:style w:type="paragraph" w:customStyle="1" w:styleId="details">
    <w:name w:val="details"/>
    <w:basedOn w:val="Normal"/>
    <w:rsid w:val="0021388F"/>
    <w:pPr>
      <w:spacing w:before="100" w:beforeAutospacing="1" w:after="100" w:afterAutospacing="1" w:line="240" w:lineRule="auto"/>
    </w:pPr>
    <w:rPr>
      <w:rFonts w:ascii="Times New Roman" w:hAnsi="Times New Roman" w:cs="Times New Roman"/>
      <w:szCs w:val="24"/>
    </w:rPr>
  </w:style>
  <w:style w:type="character" w:customStyle="1" w:styleId="jrnl">
    <w:name w:val="jrnl"/>
    <w:basedOn w:val="DefaultParagraphFont"/>
    <w:rsid w:val="0021388F"/>
  </w:style>
  <w:style w:type="character" w:customStyle="1" w:styleId="A5">
    <w:name w:val="A5"/>
    <w:uiPriority w:val="99"/>
    <w:rsid w:val="0021388F"/>
    <w:rPr>
      <w:rFonts w:cs="Humanist 77 7 BT"/>
      <w:color w:val="000000"/>
      <w:sz w:val="11"/>
      <w:szCs w:val="11"/>
    </w:rPr>
  </w:style>
  <w:style w:type="paragraph" w:styleId="TOCHeading">
    <w:name w:val="TOC Heading"/>
    <w:basedOn w:val="Heading1"/>
    <w:next w:val="Normal"/>
    <w:uiPriority w:val="39"/>
    <w:unhideWhenUsed/>
    <w:qFormat/>
    <w:rsid w:val="00CD64D9"/>
    <w:pPr>
      <w:keepLines/>
      <w:pageBreakBefore w:val="0"/>
      <w:pBdr>
        <w:bottom w:val="none" w:sz="0" w:space="0" w:color="auto"/>
      </w:pBdr>
      <w:spacing w:before="480" w:after="0" w:line="276" w:lineRule="auto"/>
      <w:ind w:left="0" w:firstLine="0"/>
      <w:outlineLvl w:val="9"/>
    </w:pPr>
    <w:rPr>
      <w:rFonts w:asciiTheme="majorHAnsi" w:eastAsiaTheme="majorEastAsia" w:hAnsiTheme="majorHAnsi" w:cstheme="majorBidi"/>
      <w:bCs/>
      <w:color w:val="365F91" w:themeColor="accent1" w:themeShade="BF"/>
      <w:sz w:val="28"/>
      <w:szCs w:val="28"/>
      <w:lang w:val="en-US" w:eastAsia="en-US"/>
    </w:rPr>
  </w:style>
  <w:style w:type="character" w:customStyle="1" w:styleId="highlight">
    <w:name w:val="highlight"/>
    <w:basedOn w:val="DefaultParagraphFont"/>
    <w:rsid w:val="00655C2E"/>
  </w:style>
  <w:style w:type="character" w:customStyle="1" w:styleId="Heading4Char">
    <w:name w:val="Heading 4 Char"/>
    <w:basedOn w:val="DefaultParagraphFont"/>
    <w:link w:val="Heading4"/>
    <w:rsid w:val="0002607A"/>
    <w:rPr>
      <w:rFonts w:ascii="Arial" w:hAnsi="Arial" w:cs="Tahoma"/>
      <w:b/>
      <w:szCs w:val="24"/>
    </w:rPr>
  </w:style>
  <w:style w:type="paragraph" w:customStyle="1" w:styleId="ESSectionHeading-numbered0">
    <w:name w:val="ES. Section Heading - numbered"/>
    <w:basedOn w:val="Heading3"/>
    <w:link w:val="ESSectionHeading-numberedChar"/>
    <w:rsid w:val="00AE1CBE"/>
    <w:pPr>
      <w:numPr>
        <w:numId w:val="7"/>
      </w:numPr>
    </w:pPr>
  </w:style>
  <w:style w:type="paragraph" w:customStyle="1" w:styleId="MainBodySectionHeading-numbered">
    <w:name w:val="Main Body Section Heading - numbered"/>
    <w:basedOn w:val="Heading2"/>
    <w:link w:val="MainBodySectionHeading-numberedChar"/>
    <w:rsid w:val="00B313E2"/>
    <w:pPr>
      <w:numPr>
        <w:numId w:val="5"/>
      </w:numPr>
      <w:ind w:left="567" w:hanging="567"/>
    </w:pPr>
  </w:style>
  <w:style w:type="character" w:customStyle="1" w:styleId="ESSectionHeading-numberedChar">
    <w:name w:val="ES. Section Heading - numbered Char"/>
    <w:basedOn w:val="Heading3Char"/>
    <w:link w:val="ESSectionHeading-numbered0"/>
    <w:rsid w:val="00AE1CBE"/>
    <w:rPr>
      <w:rFonts w:ascii="Calibri" w:hAnsi="Calibri" w:cs="Tahoma"/>
      <w:b/>
      <w:smallCaps/>
      <w:sz w:val="24"/>
      <w:szCs w:val="24"/>
    </w:rPr>
  </w:style>
  <w:style w:type="character" w:customStyle="1" w:styleId="MainBodySectionHeading-numberedChar">
    <w:name w:val="Main Body Section Heading - numbered Char"/>
    <w:basedOn w:val="Heading2Char"/>
    <w:link w:val="MainBodySectionHeading-numbered"/>
    <w:rsid w:val="00B313E2"/>
    <w:rPr>
      <w:rFonts w:ascii="Calibri" w:hAnsi="Calibri" w:cs="Tahoma"/>
      <w:b/>
      <w:smallCaps/>
      <w:sz w:val="28"/>
      <w:szCs w:val="22"/>
    </w:rPr>
  </w:style>
  <w:style w:type="numbering" w:customStyle="1" w:styleId="ESSectionheading-numbered">
    <w:name w:val="ES. Section heading - numbered"/>
    <w:uiPriority w:val="99"/>
    <w:rsid w:val="00D957AB"/>
    <w:pPr>
      <w:numPr>
        <w:numId w:val="6"/>
      </w:numPr>
    </w:pPr>
  </w:style>
  <w:style w:type="paragraph" w:customStyle="1" w:styleId="ESNumberedSectionHeading">
    <w:name w:val="ES Numbered Section Heading"/>
    <w:basedOn w:val="ESSectionHeading-numbered0"/>
    <w:link w:val="ESNumberedSectionHeadingChar"/>
    <w:qFormat/>
    <w:rsid w:val="00F5251C"/>
    <w:pPr>
      <w:numPr>
        <w:ilvl w:val="2"/>
        <w:numId w:val="8"/>
      </w:numPr>
      <w:ind w:left="1134" w:hanging="1134"/>
    </w:pPr>
  </w:style>
  <w:style w:type="character" w:customStyle="1" w:styleId="ESNumberedSectionHeadingChar">
    <w:name w:val="ES Numbered Section Heading Char"/>
    <w:basedOn w:val="ESSectionHeading-numberedChar"/>
    <w:link w:val="ESNumberedSectionHeading"/>
    <w:rsid w:val="00F5251C"/>
    <w:rPr>
      <w:rFonts w:ascii="Calibri" w:hAnsi="Calibri" w:cs="Tahoma"/>
      <w:b/>
      <w:smallCaps/>
      <w:sz w:val="24"/>
      <w:szCs w:val="24"/>
    </w:rPr>
  </w:style>
  <w:style w:type="paragraph" w:customStyle="1" w:styleId="Tablenotes0">
    <w:name w:val="Tablenotes"/>
    <w:basedOn w:val="Normal"/>
    <w:link w:val="TablenotesChar0"/>
    <w:qFormat/>
    <w:rsid w:val="00E6429D"/>
    <w:pPr>
      <w:widowControl w:val="0"/>
      <w:spacing w:before="40" w:line="240" w:lineRule="auto"/>
      <w:contextualSpacing/>
      <w:jc w:val="both"/>
    </w:pPr>
    <w:rPr>
      <w:rFonts w:ascii="Arial Narrow" w:hAnsi="Arial Narrow" w:cs="Arial"/>
      <w:snapToGrid w:val="0"/>
      <w:sz w:val="18"/>
      <w:szCs w:val="20"/>
      <w:lang w:eastAsia="en-US"/>
    </w:rPr>
  </w:style>
  <w:style w:type="character" w:customStyle="1" w:styleId="TablenotesChar0">
    <w:name w:val="Tablenotes Char"/>
    <w:basedOn w:val="DefaultParagraphFont"/>
    <w:link w:val="Tablenotes0"/>
    <w:rsid w:val="00E6429D"/>
    <w:rPr>
      <w:rFonts w:ascii="Arial Narrow" w:hAnsi="Arial Narrow" w:cs="Arial"/>
      <w:snapToGrid w:val="0"/>
      <w:sz w:val="18"/>
      <w:lang w:eastAsia="en-US"/>
    </w:rPr>
  </w:style>
  <w:style w:type="paragraph" w:customStyle="1" w:styleId="TableNotes18">
    <w:name w:val="TableNotes+18"/>
    <w:basedOn w:val="TableText"/>
    <w:uiPriority w:val="99"/>
    <w:rsid w:val="00404BE7"/>
    <w:pPr>
      <w:keepNext w:val="0"/>
      <w:keepLines/>
      <w:spacing w:before="0" w:after="360" w:line="240" w:lineRule="auto"/>
      <w:ind w:left="720"/>
    </w:pPr>
    <w:rPr>
      <w:rFonts w:cs="Times New Roman"/>
      <w:color w:val="000000"/>
      <w:szCs w:val="21"/>
    </w:rPr>
  </w:style>
  <w:style w:type="paragraph" w:customStyle="1" w:styleId="TableNotes00">
    <w:name w:val="TableNotes+0"/>
    <w:basedOn w:val="TableNotes18"/>
    <w:uiPriority w:val="99"/>
    <w:rsid w:val="00404BE7"/>
    <w:pPr>
      <w:keepNext/>
      <w:spacing w:after="0"/>
    </w:pPr>
  </w:style>
  <w:style w:type="paragraph" w:customStyle="1" w:styleId="TFAbbrevs0">
    <w:name w:val="TFAbbrevs+0"/>
    <w:basedOn w:val="Normal"/>
    <w:qFormat/>
    <w:rsid w:val="00214F43"/>
    <w:pPr>
      <w:keepNext/>
      <w:keepLines/>
      <w:spacing w:after="0" w:line="240" w:lineRule="auto"/>
    </w:pPr>
    <w:rPr>
      <w:rFonts w:ascii="Arial Narrow" w:hAnsi="Arial Narrow" w:cs="Times New Roman"/>
      <w:color w:val="000000"/>
      <w:sz w:val="18"/>
      <w:szCs w:val="18"/>
    </w:rPr>
  </w:style>
  <w:style w:type="paragraph" w:customStyle="1" w:styleId="TFAbbrevs18">
    <w:name w:val="TFAbbrevs+18"/>
    <w:basedOn w:val="TFAbbrevs0"/>
    <w:next w:val="Normal"/>
    <w:qFormat/>
    <w:rsid w:val="00214F43"/>
    <w:pPr>
      <w:spacing w:after="360"/>
    </w:pPr>
  </w:style>
  <w:style w:type="paragraph" w:customStyle="1" w:styleId="Comment">
    <w:name w:val="Comment"/>
    <w:basedOn w:val="Normal"/>
    <w:link w:val="CommentChar"/>
    <w:rsid w:val="00DE1599"/>
    <w:pPr>
      <w:tabs>
        <w:tab w:val="num" w:pos="720"/>
      </w:tabs>
      <w:jc w:val="both"/>
    </w:pPr>
    <w:rPr>
      <w:i/>
    </w:rPr>
  </w:style>
  <w:style w:type="character" w:customStyle="1" w:styleId="CommentChar">
    <w:name w:val="Comment Char"/>
    <w:basedOn w:val="DefaultParagraphFont"/>
    <w:link w:val="Comment"/>
    <w:rsid w:val="00DE1599"/>
    <w:rPr>
      <w:rFonts w:ascii="Calibri" w:hAnsi="Calibri" w:cs="Tahoma"/>
      <w:i/>
      <w:sz w:val="22"/>
      <w:szCs w:val="22"/>
    </w:rPr>
  </w:style>
  <w:style w:type="paragraph" w:customStyle="1" w:styleId="hidden">
    <w:name w:val="hidden"/>
    <w:basedOn w:val="Normal"/>
    <w:qFormat/>
    <w:rsid w:val="001E7F65"/>
  </w:style>
  <w:style w:type="paragraph" w:customStyle="1" w:styleId="Guidelines">
    <w:name w:val="Guidelines"/>
    <w:basedOn w:val="Normal"/>
    <w:link w:val="GuidelinesChar"/>
    <w:qFormat/>
    <w:rsid w:val="00E463F4"/>
    <w:pPr>
      <w:jc w:val="both"/>
    </w:pPr>
    <w:rPr>
      <w:vanish/>
      <w:color w:val="C00000"/>
    </w:rPr>
  </w:style>
  <w:style w:type="character" w:customStyle="1" w:styleId="GuidelinesChar">
    <w:name w:val="Guidelines Char"/>
    <w:basedOn w:val="DefaultParagraphFont"/>
    <w:link w:val="Guidelines"/>
    <w:rsid w:val="00E463F4"/>
    <w:rPr>
      <w:rFonts w:ascii="Calibri" w:hAnsi="Calibri" w:cs="Tahoma"/>
      <w:vanish/>
      <w:color w:val="C00000"/>
      <w:sz w:val="22"/>
      <w:szCs w:val="22"/>
    </w:rPr>
  </w:style>
  <w:style w:type="character" w:customStyle="1" w:styleId="Heading5Char">
    <w:name w:val="Heading 5 Char"/>
    <w:basedOn w:val="DefaultParagraphFont"/>
    <w:link w:val="Heading5"/>
    <w:rsid w:val="0085259E"/>
    <w:rPr>
      <w:rFonts w:ascii="Calibri" w:hAnsi="Calibri" w:cs="Tahoma"/>
      <w:b/>
      <w:i/>
      <w:sz w:val="22"/>
      <w:szCs w:val="22"/>
    </w:rPr>
  </w:style>
  <w:style w:type="table" w:styleId="TableGridLight">
    <w:name w:val="Grid Table Light"/>
    <w:basedOn w:val="TableNormal"/>
    <w:uiPriority w:val="40"/>
    <w:rsid w:val="00E6429D"/>
    <w:pPr>
      <w:spacing w:before="40" w:after="40"/>
    </w:pPr>
    <w:rPr>
      <w:rFonts w:ascii="Arial Narrow" w:hAnsi="Arial Narro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link w:val="ListParagraph"/>
    <w:uiPriority w:val="34"/>
    <w:rsid w:val="002953E0"/>
    <w:rPr>
      <w:rFonts w:ascii="Calibri" w:hAnsi="Calibri" w:cs="Tahoma"/>
      <w:sz w:val="22"/>
      <w:szCs w:val="22"/>
    </w:rPr>
  </w:style>
  <w:style w:type="paragraph" w:customStyle="1" w:styleId="Caption1">
    <w:name w:val="Caption1"/>
    <w:basedOn w:val="Normal"/>
    <w:link w:val="captionChar"/>
    <w:qFormat/>
    <w:rsid w:val="008878E3"/>
    <w:pPr>
      <w:widowControl w:val="0"/>
      <w:autoSpaceDE w:val="0"/>
      <w:autoSpaceDN w:val="0"/>
      <w:adjustRightInd w:val="0"/>
      <w:spacing w:line="240" w:lineRule="auto"/>
      <w:ind w:right="86"/>
    </w:pPr>
    <w:rPr>
      <w:rFonts w:ascii="Arial Narrow" w:eastAsia="Arial Narrow" w:hAnsi="Arial Narrow" w:cs="Arial"/>
      <w:b/>
      <w:bCs/>
      <w:sz w:val="20"/>
      <w:lang w:val="en-US" w:eastAsia="en-US"/>
    </w:rPr>
  </w:style>
  <w:style w:type="character" w:customStyle="1" w:styleId="captionChar">
    <w:name w:val="caption Char"/>
    <w:basedOn w:val="DefaultParagraphFont"/>
    <w:link w:val="Caption1"/>
    <w:rsid w:val="008878E3"/>
    <w:rPr>
      <w:rFonts w:ascii="Arial Narrow" w:eastAsia="Arial Narrow" w:hAnsi="Arial Narrow" w:cs="Arial"/>
      <w:b/>
      <w:bCs/>
      <w:szCs w:val="22"/>
      <w:lang w:val="en-US" w:eastAsia="en-US"/>
    </w:rPr>
  </w:style>
  <w:style w:type="character" w:customStyle="1" w:styleId="TablecontentsChar">
    <w:name w:val="Table contents Char"/>
    <w:link w:val="Tablecontents"/>
    <w:locked/>
    <w:rsid w:val="00DA79C5"/>
    <w:rPr>
      <w:rFonts w:ascii="Arial Narrow" w:hAnsi="Arial Narrow"/>
    </w:rPr>
  </w:style>
  <w:style w:type="paragraph" w:customStyle="1" w:styleId="Tablecontents">
    <w:name w:val="Table contents"/>
    <w:basedOn w:val="Normal"/>
    <w:link w:val="TablecontentsChar"/>
    <w:qFormat/>
    <w:rsid w:val="00DA79C5"/>
    <w:pPr>
      <w:spacing w:before="60" w:after="60" w:line="240" w:lineRule="auto"/>
      <w:contextualSpacing/>
    </w:pPr>
    <w:rPr>
      <w:rFonts w:ascii="Arial Narrow" w:hAnsi="Arial Narrow" w:cs="Times New Roman"/>
      <w:sz w:val="20"/>
      <w:szCs w:val="20"/>
    </w:rPr>
  </w:style>
  <w:style w:type="paragraph" w:customStyle="1" w:styleId="EndNoteBibliographyTitle">
    <w:name w:val="EndNote Bibliography Title"/>
    <w:basedOn w:val="Normal"/>
    <w:link w:val="EndNoteBibliographyTitleChar"/>
    <w:rsid w:val="0075212A"/>
    <w:pPr>
      <w:spacing w:after="0"/>
      <w:jc w:val="center"/>
    </w:pPr>
    <w:rPr>
      <w:rFonts w:ascii="Tahoma" w:hAnsi="Tahoma"/>
      <w:noProof/>
    </w:rPr>
  </w:style>
  <w:style w:type="character" w:customStyle="1" w:styleId="EndNoteBibliographyTitleChar">
    <w:name w:val="EndNote Bibliography Title Char"/>
    <w:basedOn w:val="DefaultParagraphFont"/>
    <w:link w:val="EndNoteBibliographyTitle"/>
    <w:rsid w:val="0075212A"/>
    <w:rPr>
      <w:rFonts w:ascii="Tahoma" w:hAnsi="Tahoma" w:cs="Tahoma"/>
      <w:noProof/>
      <w:sz w:val="22"/>
      <w:szCs w:val="22"/>
    </w:rPr>
  </w:style>
  <w:style w:type="paragraph" w:customStyle="1" w:styleId="EndNoteBibliography">
    <w:name w:val="EndNote Bibliography"/>
    <w:basedOn w:val="Normal"/>
    <w:link w:val="EndNoteBibliographyChar"/>
    <w:rsid w:val="0075212A"/>
    <w:pPr>
      <w:spacing w:line="240" w:lineRule="auto"/>
      <w:jc w:val="both"/>
    </w:pPr>
    <w:rPr>
      <w:rFonts w:ascii="Tahoma" w:hAnsi="Tahoma"/>
      <w:noProof/>
    </w:rPr>
  </w:style>
  <w:style w:type="character" w:customStyle="1" w:styleId="EndNoteBibliographyChar">
    <w:name w:val="EndNote Bibliography Char"/>
    <w:basedOn w:val="DefaultParagraphFont"/>
    <w:link w:val="EndNoteBibliography"/>
    <w:rsid w:val="0075212A"/>
    <w:rPr>
      <w:rFonts w:ascii="Tahoma" w:hAnsi="Tahoma" w:cs="Tahoma"/>
      <w:noProof/>
      <w:sz w:val="22"/>
      <w:szCs w:val="22"/>
    </w:rPr>
  </w:style>
  <w:style w:type="numbering" w:customStyle="1" w:styleId="NoList1">
    <w:name w:val="No List1"/>
    <w:next w:val="NoList"/>
    <w:uiPriority w:val="99"/>
    <w:semiHidden/>
    <w:unhideWhenUsed/>
    <w:rsid w:val="00155AD0"/>
  </w:style>
  <w:style w:type="table" w:customStyle="1" w:styleId="TableGrid3">
    <w:name w:val="Table Grid3"/>
    <w:basedOn w:val="TableNormal"/>
    <w:next w:val="TableGrid"/>
    <w:uiPriority w:val="59"/>
    <w:rsid w:val="00155AD0"/>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text">
    <w:name w:val="note-text"/>
    <w:basedOn w:val="DefaultParagraphFont"/>
    <w:rsid w:val="00482ABD"/>
  </w:style>
  <w:style w:type="numbering" w:customStyle="1" w:styleId="NoList2">
    <w:name w:val="No List2"/>
    <w:next w:val="NoList"/>
    <w:uiPriority w:val="99"/>
    <w:semiHidden/>
    <w:unhideWhenUsed/>
    <w:rsid w:val="008D42C5"/>
  </w:style>
  <w:style w:type="table" w:customStyle="1" w:styleId="TableGrid4">
    <w:name w:val="Table Grid4"/>
    <w:basedOn w:val="TableNormal"/>
    <w:next w:val="TableGrid"/>
    <w:uiPriority w:val="59"/>
    <w:rsid w:val="008D42C5"/>
    <w:pPr>
      <w:spacing w:after="240"/>
      <w:ind w:lef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16A17"/>
    <w:pPr>
      <w:spacing w:before="40" w:after="40"/>
      <w:ind w:right="-57"/>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s1">
    <w:name w:val="Table notes"/>
    <w:basedOn w:val="Normal"/>
    <w:link w:val="TablenotesChar1"/>
    <w:qFormat/>
    <w:rsid w:val="00FA060E"/>
    <w:pPr>
      <w:spacing w:line="259" w:lineRule="auto"/>
      <w:contextualSpacing/>
      <w:jc w:val="both"/>
    </w:pPr>
    <w:rPr>
      <w:rFonts w:ascii="Arial Narrow" w:eastAsiaTheme="minorHAnsi" w:hAnsi="Arial Narrow" w:cs="Arial"/>
      <w:sz w:val="18"/>
      <w:lang w:eastAsia="en-US"/>
    </w:rPr>
  </w:style>
  <w:style w:type="character" w:customStyle="1" w:styleId="TablenotesChar1">
    <w:name w:val="Table notes Char"/>
    <w:basedOn w:val="DefaultParagraphFont"/>
    <w:link w:val="Tablenotes1"/>
    <w:rsid w:val="00FA060E"/>
    <w:rPr>
      <w:rFonts w:ascii="Arial Narrow" w:eastAsiaTheme="minorHAnsi" w:hAnsi="Arial Narrow" w:cs="Arial"/>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721479">
      <w:bodyDiv w:val="1"/>
      <w:marLeft w:val="0"/>
      <w:marRight w:val="0"/>
      <w:marTop w:val="0"/>
      <w:marBottom w:val="0"/>
      <w:divBdr>
        <w:top w:val="none" w:sz="0" w:space="0" w:color="auto"/>
        <w:left w:val="none" w:sz="0" w:space="0" w:color="auto"/>
        <w:bottom w:val="none" w:sz="0" w:space="0" w:color="auto"/>
        <w:right w:val="none" w:sz="0" w:space="0" w:color="auto"/>
      </w:divBdr>
    </w:div>
    <w:div w:id="68574738">
      <w:bodyDiv w:val="1"/>
      <w:marLeft w:val="0"/>
      <w:marRight w:val="0"/>
      <w:marTop w:val="0"/>
      <w:marBottom w:val="0"/>
      <w:divBdr>
        <w:top w:val="none" w:sz="0" w:space="0" w:color="auto"/>
        <w:left w:val="none" w:sz="0" w:space="0" w:color="auto"/>
        <w:bottom w:val="none" w:sz="0" w:space="0" w:color="auto"/>
        <w:right w:val="none" w:sz="0" w:space="0" w:color="auto"/>
      </w:divBdr>
    </w:div>
    <w:div w:id="90400322">
      <w:bodyDiv w:val="1"/>
      <w:marLeft w:val="0"/>
      <w:marRight w:val="0"/>
      <w:marTop w:val="0"/>
      <w:marBottom w:val="0"/>
      <w:divBdr>
        <w:top w:val="none" w:sz="0" w:space="0" w:color="auto"/>
        <w:left w:val="none" w:sz="0" w:space="0" w:color="auto"/>
        <w:bottom w:val="none" w:sz="0" w:space="0" w:color="auto"/>
        <w:right w:val="none" w:sz="0" w:space="0" w:color="auto"/>
      </w:divBdr>
    </w:div>
    <w:div w:id="120462789">
      <w:bodyDiv w:val="1"/>
      <w:marLeft w:val="0"/>
      <w:marRight w:val="0"/>
      <w:marTop w:val="0"/>
      <w:marBottom w:val="0"/>
      <w:divBdr>
        <w:top w:val="none" w:sz="0" w:space="0" w:color="auto"/>
        <w:left w:val="none" w:sz="0" w:space="0" w:color="auto"/>
        <w:bottom w:val="none" w:sz="0" w:space="0" w:color="auto"/>
        <w:right w:val="none" w:sz="0" w:space="0" w:color="auto"/>
      </w:divBdr>
    </w:div>
    <w:div w:id="185215284">
      <w:bodyDiv w:val="1"/>
      <w:marLeft w:val="0"/>
      <w:marRight w:val="0"/>
      <w:marTop w:val="0"/>
      <w:marBottom w:val="0"/>
      <w:divBdr>
        <w:top w:val="none" w:sz="0" w:space="0" w:color="auto"/>
        <w:left w:val="none" w:sz="0" w:space="0" w:color="auto"/>
        <w:bottom w:val="none" w:sz="0" w:space="0" w:color="auto"/>
        <w:right w:val="none" w:sz="0" w:space="0" w:color="auto"/>
      </w:divBdr>
    </w:div>
    <w:div w:id="194470657">
      <w:bodyDiv w:val="1"/>
      <w:marLeft w:val="0"/>
      <w:marRight w:val="0"/>
      <w:marTop w:val="0"/>
      <w:marBottom w:val="0"/>
      <w:divBdr>
        <w:top w:val="none" w:sz="0" w:space="0" w:color="auto"/>
        <w:left w:val="none" w:sz="0" w:space="0" w:color="auto"/>
        <w:bottom w:val="none" w:sz="0" w:space="0" w:color="auto"/>
        <w:right w:val="none" w:sz="0" w:space="0" w:color="auto"/>
      </w:divBdr>
    </w:div>
    <w:div w:id="227109199">
      <w:bodyDiv w:val="1"/>
      <w:marLeft w:val="0"/>
      <w:marRight w:val="0"/>
      <w:marTop w:val="0"/>
      <w:marBottom w:val="0"/>
      <w:divBdr>
        <w:top w:val="none" w:sz="0" w:space="0" w:color="auto"/>
        <w:left w:val="none" w:sz="0" w:space="0" w:color="auto"/>
        <w:bottom w:val="none" w:sz="0" w:space="0" w:color="auto"/>
        <w:right w:val="none" w:sz="0" w:space="0" w:color="auto"/>
      </w:divBdr>
    </w:div>
    <w:div w:id="237252292">
      <w:bodyDiv w:val="1"/>
      <w:marLeft w:val="0"/>
      <w:marRight w:val="0"/>
      <w:marTop w:val="0"/>
      <w:marBottom w:val="0"/>
      <w:divBdr>
        <w:top w:val="none" w:sz="0" w:space="0" w:color="auto"/>
        <w:left w:val="none" w:sz="0" w:space="0" w:color="auto"/>
        <w:bottom w:val="none" w:sz="0" w:space="0" w:color="auto"/>
        <w:right w:val="none" w:sz="0" w:space="0" w:color="auto"/>
      </w:divBdr>
    </w:div>
    <w:div w:id="263850539">
      <w:bodyDiv w:val="1"/>
      <w:marLeft w:val="0"/>
      <w:marRight w:val="0"/>
      <w:marTop w:val="0"/>
      <w:marBottom w:val="0"/>
      <w:divBdr>
        <w:top w:val="none" w:sz="0" w:space="0" w:color="auto"/>
        <w:left w:val="none" w:sz="0" w:space="0" w:color="auto"/>
        <w:bottom w:val="none" w:sz="0" w:space="0" w:color="auto"/>
        <w:right w:val="none" w:sz="0" w:space="0" w:color="auto"/>
      </w:divBdr>
    </w:div>
    <w:div w:id="287049758">
      <w:bodyDiv w:val="1"/>
      <w:marLeft w:val="0"/>
      <w:marRight w:val="0"/>
      <w:marTop w:val="0"/>
      <w:marBottom w:val="0"/>
      <w:divBdr>
        <w:top w:val="none" w:sz="0" w:space="0" w:color="auto"/>
        <w:left w:val="none" w:sz="0" w:space="0" w:color="auto"/>
        <w:bottom w:val="none" w:sz="0" w:space="0" w:color="auto"/>
        <w:right w:val="none" w:sz="0" w:space="0" w:color="auto"/>
      </w:divBdr>
    </w:div>
    <w:div w:id="303127052">
      <w:bodyDiv w:val="1"/>
      <w:marLeft w:val="0"/>
      <w:marRight w:val="0"/>
      <w:marTop w:val="0"/>
      <w:marBottom w:val="0"/>
      <w:divBdr>
        <w:top w:val="none" w:sz="0" w:space="0" w:color="auto"/>
        <w:left w:val="none" w:sz="0" w:space="0" w:color="auto"/>
        <w:bottom w:val="none" w:sz="0" w:space="0" w:color="auto"/>
        <w:right w:val="none" w:sz="0" w:space="0" w:color="auto"/>
      </w:divBdr>
    </w:div>
    <w:div w:id="314456309">
      <w:bodyDiv w:val="1"/>
      <w:marLeft w:val="0"/>
      <w:marRight w:val="0"/>
      <w:marTop w:val="0"/>
      <w:marBottom w:val="0"/>
      <w:divBdr>
        <w:top w:val="none" w:sz="0" w:space="0" w:color="auto"/>
        <w:left w:val="none" w:sz="0" w:space="0" w:color="auto"/>
        <w:bottom w:val="none" w:sz="0" w:space="0" w:color="auto"/>
        <w:right w:val="none" w:sz="0" w:space="0" w:color="auto"/>
      </w:divBdr>
    </w:div>
    <w:div w:id="323435338">
      <w:bodyDiv w:val="1"/>
      <w:marLeft w:val="0"/>
      <w:marRight w:val="0"/>
      <w:marTop w:val="0"/>
      <w:marBottom w:val="0"/>
      <w:divBdr>
        <w:top w:val="none" w:sz="0" w:space="0" w:color="auto"/>
        <w:left w:val="none" w:sz="0" w:space="0" w:color="auto"/>
        <w:bottom w:val="none" w:sz="0" w:space="0" w:color="auto"/>
        <w:right w:val="none" w:sz="0" w:space="0" w:color="auto"/>
      </w:divBdr>
    </w:div>
    <w:div w:id="339695907">
      <w:bodyDiv w:val="1"/>
      <w:marLeft w:val="0"/>
      <w:marRight w:val="0"/>
      <w:marTop w:val="0"/>
      <w:marBottom w:val="0"/>
      <w:divBdr>
        <w:top w:val="none" w:sz="0" w:space="0" w:color="auto"/>
        <w:left w:val="none" w:sz="0" w:space="0" w:color="auto"/>
        <w:bottom w:val="none" w:sz="0" w:space="0" w:color="auto"/>
        <w:right w:val="none" w:sz="0" w:space="0" w:color="auto"/>
      </w:divBdr>
    </w:div>
    <w:div w:id="342828412">
      <w:bodyDiv w:val="1"/>
      <w:marLeft w:val="0"/>
      <w:marRight w:val="0"/>
      <w:marTop w:val="0"/>
      <w:marBottom w:val="0"/>
      <w:divBdr>
        <w:top w:val="none" w:sz="0" w:space="0" w:color="auto"/>
        <w:left w:val="none" w:sz="0" w:space="0" w:color="auto"/>
        <w:bottom w:val="none" w:sz="0" w:space="0" w:color="auto"/>
        <w:right w:val="none" w:sz="0" w:space="0" w:color="auto"/>
      </w:divBdr>
    </w:div>
    <w:div w:id="349263256">
      <w:bodyDiv w:val="1"/>
      <w:marLeft w:val="0"/>
      <w:marRight w:val="0"/>
      <w:marTop w:val="0"/>
      <w:marBottom w:val="0"/>
      <w:divBdr>
        <w:top w:val="none" w:sz="0" w:space="0" w:color="auto"/>
        <w:left w:val="none" w:sz="0" w:space="0" w:color="auto"/>
        <w:bottom w:val="none" w:sz="0" w:space="0" w:color="auto"/>
        <w:right w:val="none" w:sz="0" w:space="0" w:color="auto"/>
      </w:divBdr>
      <w:divsChild>
        <w:div w:id="1008098438">
          <w:marLeft w:val="0"/>
          <w:marRight w:val="0"/>
          <w:marTop w:val="0"/>
          <w:marBottom w:val="0"/>
          <w:divBdr>
            <w:top w:val="none" w:sz="0" w:space="0" w:color="auto"/>
            <w:left w:val="none" w:sz="0" w:space="0" w:color="auto"/>
            <w:bottom w:val="none" w:sz="0" w:space="0" w:color="auto"/>
            <w:right w:val="none" w:sz="0" w:space="0" w:color="auto"/>
          </w:divBdr>
        </w:div>
        <w:div w:id="1495754264">
          <w:marLeft w:val="0"/>
          <w:marRight w:val="0"/>
          <w:marTop w:val="0"/>
          <w:marBottom w:val="0"/>
          <w:divBdr>
            <w:top w:val="none" w:sz="0" w:space="0" w:color="auto"/>
            <w:left w:val="none" w:sz="0" w:space="0" w:color="auto"/>
            <w:bottom w:val="none" w:sz="0" w:space="0" w:color="auto"/>
            <w:right w:val="none" w:sz="0" w:space="0" w:color="auto"/>
          </w:divBdr>
        </w:div>
      </w:divsChild>
    </w:div>
    <w:div w:id="409470734">
      <w:bodyDiv w:val="1"/>
      <w:marLeft w:val="0"/>
      <w:marRight w:val="0"/>
      <w:marTop w:val="0"/>
      <w:marBottom w:val="0"/>
      <w:divBdr>
        <w:top w:val="none" w:sz="0" w:space="0" w:color="auto"/>
        <w:left w:val="none" w:sz="0" w:space="0" w:color="auto"/>
        <w:bottom w:val="none" w:sz="0" w:space="0" w:color="auto"/>
        <w:right w:val="none" w:sz="0" w:space="0" w:color="auto"/>
      </w:divBdr>
    </w:div>
    <w:div w:id="424306319">
      <w:bodyDiv w:val="1"/>
      <w:marLeft w:val="0"/>
      <w:marRight w:val="0"/>
      <w:marTop w:val="0"/>
      <w:marBottom w:val="0"/>
      <w:divBdr>
        <w:top w:val="none" w:sz="0" w:space="0" w:color="auto"/>
        <w:left w:val="none" w:sz="0" w:space="0" w:color="auto"/>
        <w:bottom w:val="none" w:sz="0" w:space="0" w:color="auto"/>
        <w:right w:val="none" w:sz="0" w:space="0" w:color="auto"/>
      </w:divBdr>
    </w:div>
    <w:div w:id="425813258">
      <w:bodyDiv w:val="1"/>
      <w:marLeft w:val="0"/>
      <w:marRight w:val="0"/>
      <w:marTop w:val="0"/>
      <w:marBottom w:val="0"/>
      <w:divBdr>
        <w:top w:val="none" w:sz="0" w:space="0" w:color="auto"/>
        <w:left w:val="none" w:sz="0" w:space="0" w:color="auto"/>
        <w:bottom w:val="none" w:sz="0" w:space="0" w:color="auto"/>
        <w:right w:val="none" w:sz="0" w:space="0" w:color="auto"/>
      </w:divBdr>
    </w:div>
    <w:div w:id="426197672">
      <w:bodyDiv w:val="1"/>
      <w:marLeft w:val="0"/>
      <w:marRight w:val="0"/>
      <w:marTop w:val="0"/>
      <w:marBottom w:val="0"/>
      <w:divBdr>
        <w:top w:val="none" w:sz="0" w:space="0" w:color="auto"/>
        <w:left w:val="none" w:sz="0" w:space="0" w:color="auto"/>
        <w:bottom w:val="none" w:sz="0" w:space="0" w:color="auto"/>
        <w:right w:val="none" w:sz="0" w:space="0" w:color="auto"/>
      </w:divBdr>
    </w:div>
    <w:div w:id="436288957">
      <w:bodyDiv w:val="1"/>
      <w:marLeft w:val="0"/>
      <w:marRight w:val="0"/>
      <w:marTop w:val="0"/>
      <w:marBottom w:val="0"/>
      <w:divBdr>
        <w:top w:val="none" w:sz="0" w:space="0" w:color="auto"/>
        <w:left w:val="none" w:sz="0" w:space="0" w:color="auto"/>
        <w:bottom w:val="none" w:sz="0" w:space="0" w:color="auto"/>
        <w:right w:val="none" w:sz="0" w:space="0" w:color="auto"/>
      </w:divBdr>
    </w:div>
    <w:div w:id="455804499">
      <w:bodyDiv w:val="1"/>
      <w:marLeft w:val="0"/>
      <w:marRight w:val="0"/>
      <w:marTop w:val="0"/>
      <w:marBottom w:val="0"/>
      <w:divBdr>
        <w:top w:val="none" w:sz="0" w:space="0" w:color="auto"/>
        <w:left w:val="none" w:sz="0" w:space="0" w:color="auto"/>
        <w:bottom w:val="none" w:sz="0" w:space="0" w:color="auto"/>
        <w:right w:val="none" w:sz="0" w:space="0" w:color="auto"/>
      </w:divBdr>
      <w:divsChild>
        <w:div w:id="683093469">
          <w:marLeft w:val="0"/>
          <w:marRight w:val="0"/>
          <w:marTop w:val="0"/>
          <w:marBottom w:val="0"/>
          <w:divBdr>
            <w:top w:val="none" w:sz="0" w:space="0" w:color="auto"/>
            <w:left w:val="none" w:sz="0" w:space="0" w:color="auto"/>
            <w:bottom w:val="none" w:sz="0" w:space="0" w:color="auto"/>
            <w:right w:val="none" w:sz="0" w:space="0" w:color="auto"/>
          </w:divBdr>
          <w:divsChild>
            <w:div w:id="1492791787">
              <w:marLeft w:val="0"/>
              <w:marRight w:val="0"/>
              <w:marTop w:val="0"/>
              <w:marBottom w:val="0"/>
              <w:divBdr>
                <w:top w:val="none" w:sz="0" w:space="0" w:color="auto"/>
                <w:left w:val="none" w:sz="0" w:space="0" w:color="auto"/>
                <w:bottom w:val="none" w:sz="0" w:space="0" w:color="auto"/>
                <w:right w:val="none" w:sz="0" w:space="0" w:color="auto"/>
              </w:divBdr>
              <w:divsChild>
                <w:div w:id="2005889574">
                  <w:marLeft w:val="0"/>
                  <w:marRight w:val="0"/>
                  <w:marTop w:val="0"/>
                  <w:marBottom w:val="0"/>
                  <w:divBdr>
                    <w:top w:val="none" w:sz="0" w:space="0" w:color="auto"/>
                    <w:left w:val="none" w:sz="0" w:space="0" w:color="auto"/>
                    <w:bottom w:val="none" w:sz="0" w:space="0" w:color="auto"/>
                    <w:right w:val="none" w:sz="0" w:space="0" w:color="auto"/>
                  </w:divBdr>
                  <w:divsChild>
                    <w:div w:id="111609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185767">
      <w:bodyDiv w:val="1"/>
      <w:marLeft w:val="0"/>
      <w:marRight w:val="0"/>
      <w:marTop w:val="0"/>
      <w:marBottom w:val="0"/>
      <w:divBdr>
        <w:top w:val="none" w:sz="0" w:space="0" w:color="auto"/>
        <w:left w:val="none" w:sz="0" w:space="0" w:color="auto"/>
        <w:bottom w:val="none" w:sz="0" w:space="0" w:color="auto"/>
        <w:right w:val="none" w:sz="0" w:space="0" w:color="auto"/>
      </w:divBdr>
    </w:div>
    <w:div w:id="520629547">
      <w:bodyDiv w:val="1"/>
      <w:marLeft w:val="0"/>
      <w:marRight w:val="0"/>
      <w:marTop w:val="0"/>
      <w:marBottom w:val="0"/>
      <w:divBdr>
        <w:top w:val="none" w:sz="0" w:space="0" w:color="auto"/>
        <w:left w:val="none" w:sz="0" w:space="0" w:color="auto"/>
        <w:bottom w:val="none" w:sz="0" w:space="0" w:color="auto"/>
        <w:right w:val="none" w:sz="0" w:space="0" w:color="auto"/>
      </w:divBdr>
    </w:div>
    <w:div w:id="524563142">
      <w:bodyDiv w:val="1"/>
      <w:marLeft w:val="0"/>
      <w:marRight w:val="0"/>
      <w:marTop w:val="0"/>
      <w:marBottom w:val="0"/>
      <w:divBdr>
        <w:top w:val="none" w:sz="0" w:space="0" w:color="auto"/>
        <w:left w:val="none" w:sz="0" w:space="0" w:color="auto"/>
        <w:bottom w:val="none" w:sz="0" w:space="0" w:color="auto"/>
        <w:right w:val="none" w:sz="0" w:space="0" w:color="auto"/>
      </w:divBdr>
    </w:div>
    <w:div w:id="586231862">
      <w:bodyDiv w:val="1"/>
      <w:marLeft w:val="0"/>
      <w:marRight w:val="0"/>
      <w:marTop w:val="0"/>
      <w:marBottom w:val="0"/>
      <w:divBdr>
        <w:top w:val="none" w:sz="0" w:space="0" w:color="auto"/>
        <w:left w:val="none" w:sz="0" w:space="0" w:color="auto"/>
        <w:bottom w:val="none" w:sz="0" w:space="0" w:color="auto"/>
        <w:right w:val="none" w:sz="0" w:space="0" w:color="auto"/>
      </w:divBdr>
    </w:div>
    <w:div w:id="592319168">
      <w:bodyDiv w:val="1"/>
      <w:marLeft w:val="0"/>
      <w:marRight w:val="0"/>
      <w:marTop w:val="0"/>
      <w:marBottom w:val="0"/>
      <w:divBdr>
        <w:top w:val="none" w:sz="0" w:space="0" w:color="auto"/>
        <w:left w:val="none" w:sz="0" w:space="0" w:color="auto"/>
        <w:bottom w:val="none" w:sz="0" w:space="0" w:color="auto"/>
        <w:right w:val="none" w:sz="0" w:space="0" w:color="auto"/>
      </w:divBdr>
    </w:div>
    <w:div w:id="602879509">
      <w:bodyDiv w:val="1"/>
      <w:marLeft w:val="0"/>
      <w:marRight w:val="0"/>
      <w:marTop w:val="0"/>
      <w:marBottom w:val="0"/>
      <w:divBdr>
        <w:top w:val="none" w:sz="0" w:space="0" w:color="auto"/>
        <w:left w:val="none" w:sz="0" w:space="0" w:color="auto"/>
        <w:bottom w:val="none" w:sz="0" w:space="0" w:color="auto"/>
        <w:right w:val="none" w:sz="0" w:space="0" w:color="auto"/>
      </w:divBdr>
    </w:div>
    <w:div w:id="619993469">
      <w:bodyDiv w:val="1"/>
      <w:marLeft w:val="0"/>
      <w:marRight w:val="0"/>
      <w:marTop w:val="0"/>
      <w:marBottom w:val="0"/>
      <w:divBdr>
        <w:top w:val="none" w:sz="0" w:space="0" w:color="auto"/>
        <w:left w:val="none" w:sz="0" w:space="0" w:color="auto"/>
        <w:bottom w:val="none" w:sz="0" w:space="0" w:color="auto"/>
        <w:right w:val="none" w:sz="0" w:space="0" w:color="auto"/>
      </w:divBdr>
    </w:div>
    <w:div w:id="624192910">
      <w:bodyDiv w:val="1"/>
      <w:marLeft w:val="0"/>
      <w:marRight w:val="0"/>
      <w:marTop w:val="0"/>
      <w:marBottom w:val="0"/>
      <w:divBdr>
        <w:top w:val="none" w:sz="0" w:space="0" w:color="auto"/>
        <w:left w:val="none" w:sz="0" w:space="0" w:color="auto"/>
        <w:bottom w:val="none" w:sz="0" w:space="0" w:color="auto"/>
        <w:right w:val="none" w:sz="0" w:space="0" w:color="auto"/>
      </w:divBdr>
    </w:div>
    <w:div w:id="642124262">
      <w:bodyDiv w:val="1"/>
      <w:marLeft w:val="0"/>
      <w:marRight w:val="0"/>
      <w:marTop w:val="0"/>
      <w:marBottom w:val="0"/>
      <w:divBdr>
        <w:top w:val="none" w:sz="0" w:space="0" w:color="auto"/>
        <w:left w:val="none" w:sz="0" w:space="0" w:color="auto"/>
        <w:bottom w:val="none" w:sz="0" w:space="0" w:color="auto"/>
        <w:right w:val="none" w:sz="0" w:space="0" w:color="auto"/>
      </w:divBdr>
    </w:div>
    <w:div w:id="643461672">
      <w:bodyDiv w:val="1"/>
      <w:marLeft w:val="0"/>
      <w:marRight w:val="0"/>
      <w:marTop w:val="0"/>
      <w:marBottom w:val="0"/>
      <w:divBdr>
        <w:top w:val="none" w:sz="0" w:space="0" w:color="auto"/>
        <w:left w:val="none" w:sz="0" w:space="0" w:color="auto"/>
        <w:bottom w:val="none" w:sz="0" w:space="0" w:color="auto"/>
        <w:right w:val="none" w:sz="0" w:space="0" w:color="auto"/>
      </w:divBdr>
    </w:div>
    <w:div w:id="659693507">
      <w:bodyDiv w:val="1"/>
      <w:marLeft w:val="0"/>
      <w:marRight w:val="0"/>
      <w:marTop w:val="0"/>
      <w:marBottom w:val="0"/>
      <w:divBdr>
        <w:top w:val="none" w:sz="0" w:space="0" w:color="auto"/>
        <w:left w:val="none" w:sz="0" w:space="0" w:color="auto"/>
        <w:bottom w:val="none" w:sz="0" w:space="0" w:color="auto"/>
        <w:right w:val="none" w:sz="0" w:space="0" w:color="auto"/>
      </w:divBdr>
    </w:div>
    <w:div w:id="713315926">
      <w:bodyDiv w:val="1"/>
      <w:marLeft w:val="0"/>
      <w:marRight w:val="0"/>
      <w:marTop w:val="0"/>
      <w:marBottom w:val="0"/>
      <w:divBdr>
        <w:top w:val="none" w:sz="0" w:space="0" w:color="auto"/>
        <w:left w:val="none" w:sz="0" w:space="0" w:color="auto"/>
        <w:bottom w:val="none" w:sz="0" w:space="0" w:color="auto"/>
        <w:right w:val="none" w:sz="0" w:space="0" w:color="auto"/>
      </w:divBdr>
    </w:div>
    <w:div w:id="841551527">
      <w:bodyDiv w:val="1"/>
      <w:marLeft w:val="0"/>
      <w:marRight w:val="0"/>
      <w:marTop w:val="0"/>
      <w:marBottom w:val="0"/>
      <w:divBdr>
        <w:top w:val="none" w:sz="0" w:space="0" w:color="auto"/>
        <w:left w:val="none" w:sz="0" w:space="0" w:color="auto"/>
        <w:bottom w:val="none" w:sz="0" w:space="0" w:color="auto"/>
        <w:right w:val="none" w:sz="0" w:space="0" w:color="auto"/>
      </w:divBdr>
    </w:div>
    <w:div w:id="875460534">
      <w:bodyDiv w:val="1"/>
      <w:marLeft w:val="0"/>
      <w:marRight w:val="0"/>
      <w:marTop w:val="0"/>
      <w:marBottom w:val="0"/>
      <w:divBdr>
        <w:top w:val="none" w:sz="0" w:space="0" w:color="auto"/>
        <w:left w:val="none" w:sz="0" w:space="0" w:color="auto"/>
        <w:bottom w:val="none" w:sz="0" w:space="0" w:color="auto"/>
        <w:right w:val="none" w:sz="0" w:space="0" w:color="auto"/>
      </w:divBdr>
      <w:divsChild>
        <w:div w:id="1436560732">
          <w:marLeft w:val="0"/>
          <w:marRight w:val="0"/>
          <w:marTop w:val="0"/>
          <w:marBottom w:val="0"/>
          <w:divBdr>
            <w:top w:val="none" w:sz="0" w:space="0" w:color="auto"/>
            <w:left w:val="none" w:sz="0" w:space="0" w:color="auto"/>
            <w:bottom w:val="none" w:sz="0" w:space="0" w:color="auto"/>
            <w:right w:val="none" w:sz="0" w:space="0" w:color="auto"/>
          </w:divBdr>
          <w:divsChild>
            <w:div w:id="1610431818">
              <w:marLeft w:val="0"/>
              <w:marRight w:val="0"/>
              <w:marTop w:val="0"/>
              <w:marBottom w:val="0"/>
              <w:divBdr>
                <w:top w:val="none" w:sz="0" w:space="0" w:color="auto"/>
                <w:left w:val="none" w:sz="0" w:space="0" w:color="auto"/>
                <w:bottom w:val="none" w:sz="0" w:space="0" w:color="auto"/>
                <w:right w:val="none" w:sz="0" w:space="0" w:color="auto"/>
              </w:divBdr>
              <w:divsChild>
                <w:div w:id="484592634">
                  <w:blockQuote w:val="1"/>
                  <w:marLeft w:val="720"/>
                  <w:marRight w:val="0"/>
                  <w:marTop w:val="100"/>
                  <w:marBottom w:val="100"/>
                  <w:divBdr>
                    <w:top w:val="none" w:sz="0" w:space="0" w:color="auto"/>
                    <w:left w:val="none" w:sz="0" w:space="0" w:color="auto"/>
                    <w:bottom w:val="none" w:sz="0" w:space="0" w:color="auto"/>
                    <w:right w:val="none" w:sz="0" w:space="0" w:color="auto"/>
                  </w:divBdr>
                </w:div>
                <w:div w:id="213832664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8274842">
      <w:bodyDiv w:val="1"/>
      <w:marLeft w:val="0"/>
      <w:marRight w:val="0"/>
      <w:marTop w:val="0"/>
      <w:marBottom w:val="0"/>
      <w:divBdr>
        <w:top w:val="none" w:sz="0" w:space="0" w:color="auto"/>
        <w:left w:val="none" w:sz="0" w:space="0" w:color="auto"/>
        <w:bottom w:val="none" w:sz="0" w:space="0" w:color="auto"/>
        <w:right w:val="none" w:sz="0" w:space="0" w:color="auto"/>
      </w:divBdr>
    </w:div>
    <w:div w:id="926304389">
      <w:bodyDiv w:val="1"/>
      <w:marLeft w:val="0"/>
      <w:marRight w:val="0"/>
      <w:marTop w:val="0"/>
      <w:marBottom w:val="0"/>
      <w:divBdr>
        <w:top w:val="none" w:sz="0" w:space="0" w:color="auto"/>
        <w:left w:val="none" w:sz="0" w:space="0" w:color="auto"/>
        <w:bottom w:val="none" w:sz="0" w:space="0" w:color="auto"/>
        <w:right w:val="none" w:sz="0" w:space="0" w:color="auto"/>
      </w:divBdr>
    </w:div>
    <w:div w:id="946424486">
      <w:bodyDiv w:val="1"/>
      <w:marLeft w:val="0"/>
      <w:marRight w:val="0"/>
      <w:marTop w:val="0"/>
      <w:marBottom w:val="0"/>
      <w:divBdr>
        <w:top w:val="none" w:sz="0" w:space="0" w:color="auto"/>
        <w:left w:val="none" w:sz="0" w:space="0" w:color="auto"/>
        <w:bottom w:val="none" w:sz="0" w:space="0" w:color="auto"/>
        <w:right w:val="none" w:sz="0" w:space="0" w:color="auto"/>
      </w:divBdr>
    </w:div>
    <w:div w:id="946887986">
      <w:bodyDiv w:val="1"/>
      <w:marLeft w:val="0"/>
      <w:marRight w:val="0"/>
      <w:marTop w:val="0"/>
      <w:marBottom w:val="0"/>
      <w:divBdr>
        <w:top w:val="none" w:sz="0" w:space="0" w:color="auto"/>
        <w:left w:val="none" w:sz="0" w:space="0" w:color="auto"/>
        <w:bottom w:val="none" w:sz="0" w:space="0" w:color="auto"/>
        <w:right w:val="none" w:sz="0" w:space="0" w:color="auto"/>
      </w:divBdr>
    </w:div>
    <w:div w:id="948901432">
      <w:bodyDiv w:val="1"/>
      <w:marLeft w:val="0"/>
      <w:marRight w:val="0"/>
      <w:marTop w:val="0"/>
      <w:marBottom w:val="0"/>
      <w:divBdr>
        <w:top w:val="none" w:sz="0" w:space="0" w:color="auto"/>
        <w:left w:val="none" w:sz="0" w:space="0" w:color="auto"/>
        <w:bottom w:val="none" w:sz="0" w:space="0" w:color="auto"/>
        <w:right w:val="none" w:sz="0" w:space="0" w:color="auto"/>
      </w:divBdr>
    </w:div>
    <w:div w:id="972826291">
      <w:bodyDiv w:val="1"/>
      <w:marLeft w:val="0"/>
      <w:marRight w:val="0"/>
      <w:marTop w:val="0"/>
      <w:marBottom w:val="0"/>
      <w:divBdr>
        <w:top w:val="none" w:sz="0" w:space="0" w:color="auto"/>
        <w:left w:val="none" w:sz="0" w:space="0" w:color="auto"/>
        <w:bottom w:val="none" w:sz="0" w:space="0" w:color="auto"/>
        <w:right w:val="none" w:sz="0" w:space="0" w:color="auto"/>
      </w:divBdr>
    </w:div>
    <w:div w:id="1001277645">
      <w:bodyDiv w:val="1"/>
      <w:marLeft w:val="0"/>
      <w:marRight w:val="0"/>
      <w:marTop w:val="0"/>
      <w:marBottom w:val="0"/>
      <w:divBdr>
        <w:top w:val="none" w:sz="0" w:space="0" w:color="auto"/>
        <w:left w:val="none" w:sz="0" w:space="0" w:color="auto"/>
        <w:bottom w:val="none" w:sz="0" w:space="0" w:color="auto"/>
        <w:right w:val="none" w:sz="0" w:space="0" w:color="auto"/>
      </w:divBdr>
    </w:div>
    <w:div w:id="1025978957">
      <w:bodyDiv w:val="1"/>
      <w:marLeft w:val="0"/>
      <w:marRight w:val="0"/>
      <w:marTop w:val="0"/>
      <w:marBottom w:val="0"/>
      <w:divBdr>
        <w:top w:val="none" w:sz="0" w:space="0" w:color="auto"/>
        <w:left w:val="none" w:sz="0" w:space="0" w:color="auto"/>
        <w:bottom w:val="none" w:sz="0" w:space="0" w:color="auto"/>
        <w:right w:val="none" w:sz="0" w:space="0" w:color="auto"/>
      </w:divBdr>
    </w:div>
    <w:div w:id="1049185938">
      <w:bodyDiv w:val="1"/>
      <w:marLeft w:val="0"/>
      <w:marRight w:val="0"/>
      <w:marTop w:val="0"/>
      <w:marBottom w:val="0"/>
      <w:divBdr>
        <w:top w:val="none" w:sz="0" w:space="0" w:color="auto"/>
        <w:left w:val="none" w:sz="0" w:space="0" w:color="auto"/>
        <w:bottom w:val="none" w:sz="0" w:space="0" w:color="auto"/>
        <w:right w:val="none" w:sz="0" w:space="0" w:color="auto"/>
      </w:divBdr>
    </w:div>
    <w:div w:id="1069227355">
      <w:bodyDiv w:val="1"/>
      <w:marLeft w:val="0"/>
      <w:marRight w:val="0"/>
      <w:marTop w:val="0"/>
      <w:marBottom w:val="0"/>
      <w:divBdr>
        <w:top w:val="none" w:sz="0" w:space="0" w:color="auto"/>
        <w:left w:val="none" w:sz="0" w:space="0" w:color="auto"/>
        <w:bottom w:val="none" w:sz="0" w:space="0" w:color="auto"/>
        <w:right w:val="none" w:sz="0" w:space="0" w:color="auto"/>
      </w:divBdr>
    </w:div>
    <w:div w:id="1083646542">
      <w:bodyDiv w:val="1"/>
      <w:marLeft w:val="0"/>
      <w:marRight w:val="0"/>
      <w:marTop w:val="0"/>
      <w:marBottom w:val="0"/>
      <w:divBdr>
        <w:top w:val="none" w:sz="0" w:space="0" w:color="auto"/>
        <w:left w:val="none" w:sz="0" w:space="0" w:color="auto"/>
        <w:bottom w:val="none" w:sz="0" w:space="0" w:color="auto"/>
        <w:right w:val="none" w:sz="0" w:space="0" w:color="auto"/>
      </w:divBdr>
    </w:div>
    <w:div w:id="1092120856">
      <w:bodyDiv w:val="1"/>
      <w:marLeft w:val="0"/>
      <w:marRight w:val="0"/>
      <w:marTop w:val="0"/>
      <w:marBottom w:val="0"/>
      <w:divBdr>
        <w:top w:val="none" w:sz="0" w:space="0" w:color="auto"/>
        <w:left w:val="none" w:sz="0" w:space="0" w:color="auto"/>
        <w:bottom w:val="none" w:sz="0" w:space="0" w:color="auto"/>
        <w:right w:val="none" w:sz="0" w:space="0" w:color="auto"/>
      </w:divBdr>
      <w:divsChild>
        <w:div w:id="340277123">
          <w:marLeft w:val="0"/>
          <w:marRight w:val="0"/>
          <w:marTop w:val="0"/>
          <w:marBottom w:val="0"/>
          <w:divBdr>
            <w:top w:val="none" w:sz="0" w:space="0" w:color="auto"/>
            <w:left w:val="none" w:sz="0" w:space="0" w:color="auto"/>
            <w:bottom w:val="none" w:sz="0" w:space="0" w:color="auto"/>
            <w:right w:val="none" w:sz="0" w:space="0" w:color="auto"/>
          </w:divBdr>
          <w:divsChild>
            <w:div w:id="1321498149">
              <w:marLeft w:val="0"/>
              <w:marRight w:val="0"/>
              <w:marTop w:val="0"/>
              <w:marBottom w:val="0"/>
              <w:divBdr>
                <w:top w:val="none" w:sz="0" w:space="0" w:color="auto"/>
                <w:left w:val="none" w:sz="0" w:space="0" w:color="auto"/>
                <w:bottom w:val="none" w:sz="0" w:space="0" w:color="auto"/>
                <w:right w:val="none" w:sz="0" w:space="0" w:color="auto"/>
              </w:divBdr>
              <w:divsChild>
                <w:div w:id="486940443">
                  <w:marLeft w:val="0"/>
                  <w:marRight w:val="0"/>
                  <w:marTop w:val="0"/>
                  <w:marBottom w:val="0"/>
                  <w:divBdr>
                    <w:top w:val="none" w:sz="0" w:space="0" w:color="auto"/>
                    <w:left w:val="none" w:sz="0" w:space="0" w:color="auto"/>
                    <w:bottom w:val="none" w:sz="0" w:space="0" w:color="auto"/>
                    <w:right w:val="none" w:sz="0" w:space="0" w:color="auto"/>
                  </w:divBdr>
                  <w:divsChild>
                    <w:div w:id="149017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9919">
      <w:bodyDiv w:val="1"/>
      <w:marLeft w:val="0"/>
      <w:marRight w:val="0"/>
      <w:marTop w:val="0"/>
      <w:marBottom w:val="0"/>
      <w:divBdr>
        <w:top w:val="none" w:sz="0" w:space="0" w:color="auto"/>
        <w:left w:val="none" w:sz="0" w:space="0" w:color="auto"/>
        <w:bottom w:val="none" w:sz="0" w:space="0" w:color="auto"/>
        <w:right w:val="none" w:sz="0" w:space="0" w:color="auto"/>
      </w:divBdr>
    </w:div>
    <w:div w:id="1133403089">
      <w:bodyDiv w:val="1"/>
      <w:marLeft w:val="0"/>
      <w:marRight w:val="0"/>
      <w:marTop w:val="0"/>
      <w:marBottom w:val="0"/>
      <w:divBdr>
        <w:top w:val="none" w:sz="0" w:space="0" w:color="auto"/>
        <w:left w:val="none" w:sz="0" w:space="0" w:color="auto"/>
        <w:bottom w:val="none" w:sz="0" w:space="0" w:color="auto"/>
        <w:right w:val="none" w:sz="0" w:space="0" w:color="auto"/>
      </w:divBdr>
    </w:div>
    <w:div w:id="1157265967">
      <w:bodyDiv w:val="1"/>
      <w:marLeft w:val="0"/>
      <w:marRight w:val="0"/>
      <w:marTop w:val="0"/>
      <w:marBottom w:val="0"/>
      <w:divBdr>
        <w:top w:val="none" w:sz="0" w:space="0" w:color="auto"/>
        <w:left w:val="none" w:sz="0" w:space="0" w:color="auto"/>
        <w:bottom w:val="none" w:sz="0" w:space="0" w:color="auto"/>
        <w:right w:val="none" w:sz="0" w:space="0" w:color="auto"/>
      </w:divBdr>
    </w:div>
    <w:div w:id="1198665108">
      <w:bodyDiv w:val="1"/>
      <w:marLeft w:val="0"/>
      <w:marRight w:val="0"/>
      <w:marTop w:val="0"/>
      <w:marBottom w:val="0"/>
      <w:divBdr>
        <w:top w:val="none" w:sz="0" w:space="0" w:color="auto"/>
        <w:left w:val="none" w:sz="0" w:space="0" w:color="auto"/>
        <w:bottom w:val="none" w:sz="0" w:space="0" w:color="auto"/>
        <w:right w:val="none" w:sz="0" w:space="0" w:color="auto"/>
      </w:divBdr>
    </w:div>
    <w:div w:id="1230194485">
      <w:bodyDiv w:val="1"/>
      <w:marLeft w:val="0"/>
      <w:marRight w:val="0"/>
      <w:marTop w:val="0"/>
      <w:marBottom w:val="0"/>
      <w:divBdr>
        <w:top w:val="none" w:sz="0" w:space="0" w:color="auto"/>
        <w:left w:val="none" w:sz="0" w:space="0" w:color="auto"/>
        <w:bottom w:val="none" w:sz="0" w:space="0" w:color="auto"/>
        <w:right w:val="none" w:sz="0" w:space="0" w:color="auto"/>
      </w:divBdr>
    </w:div>
    <w:div w:id="1252079447">
      <w:bodyDiv w:val="1"/>
      <w:marLeft w:val="0"/>
      <w:marRight w:val="0"/>
      <w:marTop w:val="0"/>
      <w:marBottom w:val="0"/>
      <w:divBdr>
        <w:top w:val="none" w:sz="0" w:space="0" w:color="auto"/>
        <w:left w:val="none" w:sz="0" w:space="0" w:color="auto"/>
        <w:bottom w:val="none" w:sz="0" w:space="0" w:color="auto"/>
        <w:right w:val="none" w:sz="0" w:space="0" w:color="auto"/>
      </w:divBdr>
    </w:div>
    <w:div w:id="1255477874">
      <w:bodyDiv w:val="1"/>
      <w:marLeft w:val="0"/>
      <w:marRight w:val="0"/>
      <w:marTop w:val="0"/>
      <w:marBottom w:val="0"/>
      <w:divBdr>
        <w:top w:val="none" w:sz="0" w:space="0" w:color="auto"/>
        <w:left w:val="none" w:sz="0" w:space="0" w:color="auto"/>
        <w:bottom w:val="none" w:sz="0" w:space="0" w:color="auto"/>
        <w:right w:val="none" w:sz="0" w:space="0" w:color="auto"/>
      </w:divBdr>
    </w:div>
    <w:div w:id="1265068322">
      <w:bodyDiv w:val="1"/>
      <w:marLeft w:val="0"/>
      <w:marRight w:val="0"/>
      <w:marTop w:val="0"/>
      <w:marBottom w:val="0"/>
      <w:divBdr>
        <w:top w:val="none" w:sz="0" w:space="0" w:color="auto"/>
        <w:left w:val="none" w:sz="0" w:space="0" w:color="auto"/>
        <w:bottom w:val="none" w:sz="0" w:space="0" w:color="auto"/>
        <w:right w:val="none" w:sz="0" w:space="0" w:color="auto"/>
      </w:divBdr>
    </w:div>
    <w:div w:id="1267154314">
      <w:bodyDiv w:val="1"/>
      <w:marLeft w:val="0"/>
      <w:marRight w:val="0"/>
      <w:marTop w:val="0"/>
      <w:marBottom w:val="0"/>
      <w:divBdr>
        <w:top w:val="none" w:sz="0" w:space="0" w:color="auto"/>
        <w:left w:val="none" w:sz="0" w:space="0" w:color="auto"/>
        <w:bottom w:val="none" w:sz="0" w:space="0" w:color="auto"/>
        <w:right w:val="none" w:sz="0" w:space="0" w:color="auto"/>
      </w:divBdr>
    </w:div>
    <w:div w:id="1274558720">
      <w:bodyDiv w:val="1"/>
      <w:marLeft w:val="0"/>
      <w:marRight w:val="0"/>
      <w:marTop w:val="0"/>
      <w:marBottom w:val="0"/>
      <w:divBdr>
        <w:top w:val="none" w:sz="0" w:space="0" w:color="auto"/>
        <w:left w:val="none" w:sz="0" w:space="0" w:color="auto"/>
        <w:bottom w:val="none" w:sz="0" w:space="0" w:color="auto"/>
        <w:right w:val="none" w:sz="0" w:space="0" w:color="auto"/>
      </w:divBdr>
    </w:div>
    <w:div w:id="1283998169">
      <w:bodyDiv w:val="1"/>
      <w:marLeft w:val="0"/>
      <w:marRight w:val="0"/>
      <w:marTop w:val="0"/>
      <w:marBottom w:val="0"/>
      <w:divBdr>
        <w:top w:val="none" w:sz="0" w:space="0" w:color="auto"/>
        <w:left w:val="none" w:sz="0" w:space="0" w:color="auto"/>
        <w:bottom w:val="none" w:sz="0" w:space="0" w:color="auto"/>
        <w:right w:val="none" w:sz="0" w:space="0" w:color="auto"/>
      </w:divBdr>
    </w:div>
    <w:div w:id="1302228593">
      <w:bodyDiv w:val="1"/>
      <w:marLeft w:val="0"/>
      <w:marRight w:val="0"/>
      <w:marTop w:val="0"/>
      <w:marBottom w:val="0"/>
      <w:divBdr>
        <w:top w:val="none" w:sz="0" w:space="0" w:color="auto"/>
        <w:left w:val="none" w:sz="0" w:space="0" w:color="auto"/>
        <w:bottom w:val="none" w:sz="0" w:space="0" w:color="auto"/>
        <w:right w:val="none" w:sz="0" w:space="0" w:color="auto"/>
      </w:divBdr>
    </w:div>
    <w:div w:id="1314411822">
      <w:bodyDiv w:val="1"/>
      <w:marLeft w:val="0"/>
      <w:marRight w:val="0"/>
      <w:marTop w:val="0"/>
      <w:marBottom w:val="0"/>
      <w:divBdr>
        <w:top w:val="none" w:sz="0" w:space="0" w:color="auto"/>
        <w:left w:val="none" w:sz="0" w:space="0" w:color="auto"/>
        <w:bottom w:val="none" w:sz="0" w:space="0" w:color="auto"/>
        <w:right w:val="none" w:sz="0" w:space="0" w:color="auto"/>
      </w:divBdr>
    </w:div>
    <w:div w:id="1338533151">
      <w:bodyDiv w:val="1"/>
      <w:marLeft w:val="0"/>
      <w:marRight w:val="0"/>
      <w:marTop w:val="0"/>
      <w:marBottom w:val="0"/>
      <w:divBdr>
        <w:top w:val="none" w:sz="0" w:space="0" w:color="auto"/>
        <w:left w:val="none" w:sz="0" w:space="0" w:color="auto"/>
        <w:bottom w:val="none" w:sz="0" w:space="0" w:color="auto"/>
        <w:right w:val="none" w:sz="0" w:space="0" w:color="auto"/>
      </w:divBdr>
    </w:div>
    <w:div w:id="1340502452">
      <w:bodyDiv w:val="1"/>
      <w:marLeft w:val="0"/>
      <w:marRight w:val="0"/>
      <w:marTop w:val="0"/>
      <w:marBottom w:val="0"/>
      <w:divBdr>
        <w:top w:val="none" w:sz="0" w:space="0" w:color="auto"/>
        <w:left w:val="none" w:sz="0" w:space="0" w:color="auto"/>
        <w:bottom w:val="none" w:sz="0" w:space="0" w:color="auto"/>
        <w:right w:val="none" w:sz="0" w:space="0" w:color="auto"/>
      </w:divBdr>
    </w:div>
    <w:div w:id="1419057409">
      <w:bodyDiv w:val="1"/>
      <w:marLeft w:val="0"/>
      <w:marRight w:val="0"/>
      <w:marTop w:val="0"/>
      <w:marBottom w:val="0"/>
      <w:divBdr>
        <w:top w:val="none" w:sz="0" w:space="0" w:color="auto"/>
        <w:left w:val="none" w:sz="0" w:space="0" w:color="auto"/>
        <w:bottom w:val="none" w:sz="0" w:space="0" w:color="auto"/>
        <w:right w:val="none" w:sz="0" w:space="0" w:color="auto"/>
      </w:divBdr>
    </w:div>
    <w:div w:id="1431969939">
      <w:bodyDiv w:val="1"/>
      <w:marLeft w:val="0"/>
      <w:marRight w:val="0"/>
      <w:marTop w:val="0"/>
      <w:marBottom w:val="0"/>
      <w:divBdr>
        <w:top w:val="none" w:sz="0" w:space="0" w:color="auto"/>
        <w:left w:val="none" w:sz="0" w:space="0" w:color="auto"/>
        <w:bottom w:val="none" w:sz="0" w:space="0" w:color="auto"/>
        <w:right w:val="none" w:sz="0" w:space="0" w:color="auto"/>
      </w:divBdr>
    </w:div>
    <w:div w:id="1533106271">
      <w:bodyDiv w:val="1"/>
      <w:marLeft w:val="0"/>
      <w:marRight w:val="0"/>
      <w:marTop w:val="0"/>
      <w:marBottom w:val="0"/>
      <w:divBdr>
        <w:top w:val="none" w:sz="0" w:space="0" w:color="auto"/>
        <w:left w:val="none" w:sz="0" w:space="0" w:color="auto"/>
        <w:bottom w:val="none" w:sz="0" w:space="0" w:color="auto"/>
        <w:right w:val="none" w:sz="0" w:space="0" w:color="auto"/>
      </w:divBdr>
    </w:div>
    <w:div w:id="1545752214">
      <w:bodyDiv w:val="1"/>
      <w:marLeft w:val="0"/>
      <w:marRight w:val="0"/>
      <w:marTop w:val="0"/>
      <w:marBottom w:val="0"/>
      <w:divBdr>
        <w:top w:val="none" w:sz="0" w:space="0" w:color="auto"/>
        <w:left w:val="none" w:sz="0" w:space="0" w:color="auto"/>
        <w:bottom w:val="none" w:sz="0" w:space="0" w:color="auto"/>
        <w:right w:val="none" w:sz="0" w:space="0" w:color="auto"/>
      </w:divBdr>
    </w:div>
    <w:div w:id="1557161320">
      <w:bodyDiv w:val="1"/>
      <w:marLeft w:val="0"/>
      <w:marRight w:val="0"/>
      <w:marTop w:val="0"/>
      <w:marBottom w:val="0"/>
      <w:divBdr>
        <w:top w:val="none" w:sz="0" w:space="0" w:color="auto"/>
        <w:left w:val="none" w:sz="0" w:space="0" w:color="auto"/>
        <w:bottom w:val="none" w:sz="0" w:space="0" w:color="auto"/>
        <w:right w:val="none" w:sz="0" w:space="0" w:color="auto"/>
      </w:divBdr>
      <w:divsChild>
        <w:div w:id="918906596">
          <w:marLeft w:val="0"/>
          <w:marRight w:val="0"/>
          <w:marTop w:val="0"/>
          <w:marBottom w:val="0"/>
          <w:divBdr>
            <w:top w:val="none" w:sz="0" w:space="0" w:color="auto"/>
            <w:left w:val="none" w:sz="0" w:space="0" w:color="auto"/>
            <w:bottom w:val="none" w:sz="0" w:space="0" w:color="auto"/>
            <w:right w:val="none" w:sz="0" w:space="0" w:color="auto"/>
          </w:divBdr>
          <w:divsChild>
            <w:div w:id="1233853673">
              <w:marLeft w:val="0"/>
              <w:marRight w:val="0"/>
              <w:marTop w:val="0"/>
              <w:marBottom w:val="0"/>
              <w:divBdr>
                <w:top w:val="none" w:sz="0" w:space="0" w:color="auto"/>
                <w:left w:val="none" w:sz="0" w:space="0" w:color="auto"/>
                <w:bottom w:val="none" w:sz="0" w:space="0" w:color="auto"/>
                <w:right w:val="none" w:sz="0" w:space="0" w:color="auto"/>
              </w:divBdr>
              <w:divsChild>
                <w:div w:id="701250827">
                  <w:blockQuote w:val="1"/>
                  <w:marLeft w:val="720"/>
                  <w:marRight w:val="0"/>
                  <w:marTop w:val="100"/>
                  <w:marBottom w:val="100"/>
                  <w:divBdr>
                    <w:top w:val="none" w:sz="0" w:space="0" w:color="auto"/>
                    <w:left w:val="none" w:sz="0" w:space="0" w:color="auto"/>
                    <w:bottom w:val="none" w:sz="0" w:space="0" w:color="auto"/>
                    <w:right w:val="none" w:sz="0" w:space="0" w:color="auto"/>
                  </w:divBdr>
                </w:div>
                <w:div w:id="15117963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0332296">
      <w:bodyDiv w:val="1"/>
      <w:marLeft w:val="0"/>
      <w:marRight w:val="0"/>
      <w:marTop w:val="0"/>
      <w:marBottom w:val="0"/>
      <w:divBdr>
        <w:top w:val="none" w:sz="0" w:space="0" w:color="auto"/>
        <w:left w:val="none" w:sz="0" w:space="0" w:color="auto"/>
        <w:bottom w:val="none" w:sz="0" w:space="0" w:color="auto"/>
        <w:right w:val="none" w:sz="0" w:space="0" w:color="auto"/>
      </w:divBdr>
    </w:div>
    <w:div w:id="1628196941">
      <w:bodyDiv w:val="1"/>
      <w:marLeft w:val="0"/>
      <w:marRight w:val="0"/>
      <w:marTop w:val="0"/>
      <w:marBottom w:val="0"/>
      <w:divBdr>
        <w:top w:val="none" w:sz="0" w:space="0" w:color="auto"/>
        <w:left w:val="none" w:sz="0" w:space="0" w:color="auto"/>
        <w:bottom w:val="none" w:sz="0" w:space="0" w:color="auto"/>
        <w:right w:val="none" w:sz="0" w:space="0" w:color="auto"/>
      </w:divBdr>
      <w:divsChild>
        <w:div w:id="1146630844">
          <w:marLeft w:val="0"/>
          <w:marRight w:val="0"/>
          <w:marTop w:val="0"/>
          <w:marBottom w:val="0"/>
          <w:divBdr>
            <w:top w:val="none" w:sz="0" w:space="0" w:color="auto"/>
            <w:left w:val="none" w:sz="0" w:space="0" w:color="auto"/>
            <w:bottom w:val="none" w:sz="0" w:space="0" w:color="auto"/>
            <w:right w:val="none" w:sz="0" w:space="0" w:color="auto"/>
          </w:divBdr>
          <w:divsChild>
            <w:div w:id="2013294728">
              <w:marLeft w:val="0"/>
              <w:marRight w:val="0"/>
              <w:marTop w:val="0"/>
              <w:marBottom w:val="0"/>
              <w:divBdr>
                <w:top w:val="none" w:sz="0" w:space="0" w:color="auto"/>
                <w:left w:val="none" w:sz="0" w:space="0" w:color="auto"/>
                <w:bottom w:val="none" w:sz="0" w:space="0" w:color="auto"/>
                <w:right w:val="none" w:sz="0" w:space="0" w:color="auto"/>
              </w:divBdr>
              <w:divsChild>
                <w:div w:id="696077871">
                  <w:marLeft w:val="0"/>
                  <w:marRight w:val="0"/>
                  <w:marTop w:val="0"/>
                  <w:marBottom w:val="0"/>
                  <w:divBdr>
                    <w:top w:val="none" w:sz="0" w:space="0" w:color="auto"/>
                    <w:left w:val="none" w:sz="0" w:space="0" w:color="auto"/>
                    <w:bottom w:val="none" w:sz="0" w:space="0" w:color="auto"/>
                    <w:right w:val="none" w:sz="0" w:space="0" w:color="auto"/>
                  </w:divBdr>
                  <w:divsChild>
                    <w:div w:id="169353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15879">
      <w:bodyDiv w:val="1"/>
      <w:marLeft w:val="0"/>
      <w:marRight w:val="0"/>
      <w:marTop w:val="0"/>
      <w:marBottom w:val="0"/>
      <w:divBdr>
        <w:top w:val="none" w:sz="0" w:space="0" w:color="auto"/>
        <w:left w:val="none" w:sz="0" w:space="0" w:color="auto"/>
        <w:bottom w:val="none" w:sz="0" w:space="0" w:color="auto"/>
        <w:right w:val="none" w:sz="0" w:space="0" w:color="auto"/>
      </w:divBdr>
    </w:div>
    <w:div w:id="1666662417">
      <w:bodyDiv w:val="1"/>
      <w:marLeft w:val="0"/>
      <w:marRight w:val="0"/>
      <w:marTop w:val="0"/>
      <w:marBottom w:val="0"/>
      <w:divBdr>
        <w:top w:val="none" w:sz="0" w:space="0" w:color="auto"/>
        <w:left w:val="none" w:sz="0" w:space="0" w:color="auto"/>
        <w:bottom w:val="none" w:sz="0" w:space="0" w:color="auto"/>
        <w:right w:val="none" w:sz="0" w:space="0" w:color="auto"/>
      </w:divBdr>
    </w:div>
    <w:div w:id="1735424605">
      <w:bodyDiv w:val="1"/>
      <w:marLeft w:val="0"/>
      <w:marRight w:val="0"/>
      <w:marTop w:val="0"/>
      <w:marBottom w:val="0"/>
      <w:divBdr>
        <w:top w:val="none" w:sz="0" w:space="0" w:color="auto"/>
        <w:left w:val="none" w:sz="0" w:space="0" w:color="auto"/>
        <w:bottom w:val="none" w:sz="0" w:space="0" w:color="auto"/>
        <w:right w:val="none" w:sz="0" w:space="0" w:color="auto"/>
      </w:divBdr>
    </w:div>
    <w:div w:id="1744252327">
      <w:bodyDiv w:val="1"/>
      <w:marLeft w:val="0"/>
      <w:marRight w:val="0"/>
      <w:marTop w:val="0"/>
      <w:marBottom w:val="0"/>
      <w:divBdr>
        <w:top w:val="none" w:sz="0" w:space="0" w:color="auto"/>
        <w:left w:val="none" w:sz="0" w:space="0" w:color="auto"/>
        <w:bottom w:val="none" w:sz="0" w:space="0" w:color="auto"/>
        <w:right w:val="none" w:sz="0" w:space="0" w:color="auto"/>
      </w:divBdr>
    </w:div>
    <w:div w:id="1773086627">
      <w:bodyDiv w:val="1"/>
      <w:marLeft w:val="0"/>
      <w:marRight w:val="0"/>
      <w:marTop w:val="0"/>
      <w:marBottom w:val="0"/>
      <w:divBdr>
        <w:top w:val="none" w:sz="0" w:space="0" w:color="auto"/>
        <w:left w:val="none" w:sz="0" w:space="0" w:color="auto"/>
        <w:bottom w:val="none" w:sz="0" w:space="0" w:color="auto"/>
        <w:right w:val="none" w:sz="0" w:space="0" w:color="auto"/>
      </w:divBdr>
    </w:div>
    <w:div w:id="1862552291">
      <w:bodyDiv w:val="1"/>
      <w:marLeft w:val="0"/>
      <w:marRight w:val="0"/>
      <w:marTop w:val="0"/>
      <w:marBottom w:val="0"/>
      <w:divBdr>
        <w:top w:val="none" w:sz="0" w:space="0" w:color="auto"/>
        <w:left w:val="none" w:sz="0" w:space="0" w:color="auto"/>
        <w:bottom w:val="none" w:sz="0" w:space="0" w:color="auto"/>
        <w:right w:val="none" w:sz="0" w:space="0" w:color="auto"/>
      </w:divBdr>
    </w:div>
    <w:div w:id="1911845922">
      <w:bodyDiv w:val="1"/>
      <w:marLeft w:val="0"/>
      <w:marRight w:val="0"/>
      <w:marTop w:val="0"/>
      <w:marBottom w:val="0"/>
      <w:divBdr>
        <w:top w:val="none" w:sz="0" w:space="0" w:color="auto"/>
        <w:left w:val="none" w:sz="0" w:space="0" w:color="auto"/>
        <w:bottom w:val="none" w:sz="0" w:space="0" w:color="auto"/>
        <w:right w:val="none" w:sz="0" w:space="0" w:color="auto"/>
      </w:divBdr>
    </w:div>
    <w:div w:id="1931039305">
      <w:bodyDiv w:val="1"/>
      <w:marLeft w:val="0"/>
      <w:marRight w:val="0"/>
      <w:marTop w:val="0"/>
      <w:marBottom w:val="0"/>
      <w:divBdr>
        <w:top w:val="none" w:sz="0" w:space="0" w:color="auto"/>
        <w:left w:val="none" w:sz="0" w:space="0" w:color="auto"/>
        <w:bottom w:val="none" w:sz="0" w:space="0" w:color="auto"/>
        <w:right w:val="none" w:sz="0" w:space="0" w:color="auto"/>
      </w:divBdr>
    </w:div>
    <w:div w:id="1955359853">
      <w:bodyDiv w:val="1"/>
      <w:marLeft w:val="0"/>
      <w:marRight w:val="0"/>
      <w:marTop w:val="0"/>
      <w:marBottom w:val="0"/>
      <w:divBdr>
        <w:top w:val="none" w:sz="0" w:space="0" w:color="auto"/>
        <w:left w:val="none" w:sz="0" w:space="0" w:color="auto"/>
        <w:bottom w:val="none" w:sz="0" w:space="0" w:color="auto"/>
        <w:right w:val="none" w:sz="0" w:space="0" w:color="auto"/>
      </w:divBdr>
    </w:div>
    <w:div w:id="2002539645">
      <w:bodyDiv w:val="1"/>
      <w:marLeft w:val="0"/>
      <w:marRight w:val="0"/>
      <w:marTop w:val="0"/>
      <w:marBottom w:val="0"/>
      <w:divBdr>
        <w:top w:val="none" w:sz="0" w:space="0" w:color="auto"/>
        <w:left w:val="none" w:sz="0" w:space="0" w:color="auto"/>
        <w:bottom w:val="none" w:sz="0" w:space="0" w:color="auto"/>
        <w:right w:val="none" w:sz="0" w:space="0" w:color="auto"/>
      </w:divBdr>
    </w:div>
    <w:div w:id="2005083955">
      <w:bodyDiv w:val="1"/>
      <w:marLeft w:val="0"/>
      <w:marRight w:val="0"/>
      <w:marTop w:val="0"/>
      <w:marBottom w:val="0"/>
      <w:divBdr>
        <w:top w:val="none" w:sz="0" w:space="0" w:color="auto"/>
        <w:left w:val="none" w:sz="0" w:space="0" w:color="auto"/>
        <w:bottom w:val="none" w:sz="0" w:space="0" w:color="auto"/>
        <w:right w:val="none" w:sz="0" w:space="0" w:color="auto"/>
      </w:divBdr>
    </w:div>
    <w:div w:id="2041975585">
      <w:bodyDiv w:val="1"/>
      <w:marLeft w:val="0"/>
      <w:marRight w:val="0"/>
      <w:marTop w:val="0"/>
      <w:marBottom w:val="0"/>
      <w:divBdr>
        <w:top w:val="none" w:sz="0" w:space="0" w:color="auto"/>
        <w:left w:val="none" w:sz="0" w:space="0" w:color="auto"/>
        <w:bottom w:val="none" w:sz="0" w:space="0" w:color="auto"/>
        <w:right w:val="none" w:sz="0" w:space="0" w:color="auto"/>
      </w:divBdr>
    </w:div>
    <w:div w:id="2051146078">
      <w:bodyDiv w:val="1"/>
      <w:marLeft w:val="0"/>
      <w:marRight w:val="0"/>
      <w:marTop w:val="0"/>
      <w:marBottom w:val="0"/>
      <w:divBdr>
        <w:top w:val="none" w:sz="0" w:space="0" w:color="auto"/>
        <w:left w:val="none" w:sz="0" w:space="0" w:color="auto"/>
        <w:bottom w:val="none" w:sz="0" w:space="0" w:color="auto"/>
        <w:right w:val="none" w:sz="0" w:space="0" w:color="auto"/>
      </w:divBdr>
    </w:div>
    <w:div w:id="2098745885">
      <w:bodyDiv w:val="1"/>
      <w:marLeft w:val="0"/>
      <w:marRight w:val="0"/>
      <w:marTop w:val="0"/>
      <w:marBottom w:val="0"/>
      <w:divBdr>
        <w:top w:val="none" w:sz="0" w:space="0" w:color="auto"/>
        <w:left w:val="none" w:sz="0" w:space="0" w:color="auto"/>
        <w:bottom w:val="none" w:sz="0" w:space="0" w:color="auto"/>
        <w:right w:val="none" w:sz="0" w:space="0" w:color="auto"/>
      </w:divBdr>
    </w:div>
    <w:div w:id="2131167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4.xml"/><Relationship Id="rId34" Type="http://schemas.openxmlformats.org/officeDocument/2006/relationships/footer" Target="footer6.xml"/><Relationship Id="rId42" Type="http://schemas.openxmlformats.org/officeDocument/2006/relationships/header" Target="header17.xml"/><Relationship Id="rId47" Type="http://schemas.openxmlformats.org/officeDocument/2006/relationships/hyperlink" Target="https://clinicaltrials.gov/ct2/show/NCT02473952" TargetMode="External"/><Relationship Id="rId50" Type="http://schemas.openxmlformats.org/officeDocument/2006/relationships/hyperlink" Target="https://clinicaltrials.gov/ct2/show/NCT02473952" TargetMode="External"/><Relationship Id="rId55" Type="http://schemas.openxmlformats.org/officeDocument/2006/relationships/footer" Target="footer7.xml"/><Relationship Id="rId63" Type="http://schemas.openxmlformats.org/officeDocument/2006/relationships/footer" Target="footer9.xml"/><Relationship Id="rId68" Type="http://schemas.openxmlformats.org/officeDocument/2006/relationships/hyperlink" Target="http://www.hhs.gov/" TargetMode="External"/><Relationship Id="rId76" Type="http://schemas.openxmlformats.org/officeDocument/2006/relationships/hyperlink" Target="https://www.criteria.blood.gov.au/NeurologicalScales" TargetMode="External"/><Relationship Id="rId84" Type="http://schemas.openxmlformats.org/officeDocument/2006/relationships/footer" Target="footer12.xml"/><Relationship Id="rId89" Type="http://schemas.openxmlformats.org/officeDocument/2006/relationships/hyperlink" Target="https://www.blood.gov.au/system/files/Myasthenia-gravis-MG-CV3.pdf"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nlm.nih.gov/" TargetMode="External"/><Relationship Id="rId92" Type="http://schemas.openxmlformats.org/officeDocument/2006/relationships/hyperlink" Target="http://www.sign.ac.uk/" TargetMode="Externa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2.jpeg"/><Relationship Id="rId11" Type="http://schemas.openxmlformats.org/officeDocument/2006/relationships/hyperlink" Target="mailto:hta@health.gov.au" TargetMode="External"/><Relationship Id="rId24" Type="http://schemas.openxmlformats.org/officeDocument/2006/relationships/hyperlink" Target="https://clinicaltrials.gov/ct2/show/NCT02473952" TargetMode="External"/><Relationship Id="rId32" Type="http://schemas.openxmlformats.org/officeDocument/2006/relationships/header" Target="header10.xml"/><Relationship Id="rId37" Type="http://schemas.openxmlformats.org/officeDocument/2006/relationships/package" Target="embeddings/Microsoft_Visio_Drawing1.vsdx"/><Relationship Id="rId40" Type="http://schemas.openxmlformats.org/officeDocument/2006/relationships/header" Target="header15.xml"/><Relationship Id="rId45" Type="http://schemas.openxmlformats.org/officeDocument/2006/relationships/image" Target="media/image6.png"/><Relationship Id="rId53" Type="http://schemas.openxmlformats.org/officeDocument/2006/relationships/image" Target="media/image9.png"/><Relationship Id="rId58" Type="http://schemas.openxmlformats.org/officeDocument/2006/relationships/hyperlink" Target="https://www.medicinenet.com/hematocrit/article.htm" TargetMode="External"/><Relationship Id="rId66" Type="http://schemas.openxmlformats.org/officeDocument/2006/relationships/image" Target="media/image13.png"/><Relationship Id="rId74" Type="http://schemas.openxmlformats.org/officeDocument/2006/relationships/footer" Target="footer10.xml"/><Relationship Id="rId79" Type="http://schemas.openxmlformats.org/officeDocument/2006/relationships/header" Target="header22.xml"/><Relationship Id="rId87" Type="http://schemas.openxmlformats.org/officeDocument/2006/relationships/hyperlink" Target="https://www.uptodate.com/contents/myasthenic-crisis?sectionName=EVALUATION%20AND%20MANAGEMENT&amp;search=myasthenia%20gravis&amp;topicRef=94256&amp;anchor=H3&amp;source=see_link" TargetMode="External"/><Relationship Id="rId5" Type="http://schemas.openxmlformats.org/officeDocument/2006/relationships/webSettings" Target="webSettings.xml"/><Relationship Id="rId61" Type="http://schemas.openxmlformats.org/officeDocument/2006/relationships/hyperlink" Target="https://www1.health.gov.au/internet/main/publishing.nsf/Content/health-privatehealth-prostheseslist.htm" TargetMode="External"/><Relationship Id="rId82" Type="http://schemas.openxmlformats.org/officeDocument/2006/relationships/header" Target="header24.xml"/><Relationship Id="rId90" Type="http://schemas.openxmlformats.org/officeDocument/2006/relationships/hyperlink" Target="https://www.criteria.blood.gov.au/MedicalCondition/View/2549" TargetMode="External"/><Relationship Id="rId95" Type="http://schemas.openxmlformats.org/officeDocument/2006/relationships/footer" Target="footer13.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9.xml"/><Relationship Id="rId30" Type="http://schemas.openxmlformats.org/officeDocument/2006/relationships/image" Target="media/image3.png"/><Relationship Id="rId35" Type="http://schemas.openxmlformats.org/officeDocument/2006/relationships/header" Target="header12.xml"/><Relationship Id="rId43" Type="http://schemas.openxmlformats.org/officeDocument/2006/relationships/header" Target="header18.xml"/><Relationship Id="rId48" Type="http://schemas.openxmlformats.org/officeDocument/2006/relationships/hyperlink" Target="https://clinicaltrials.gov/ct2/show/NCT02473952" TargetMode="External"/><Relationship Id="rId56" Type="http://schemas.openxmlformats.org/officeDocument/2006/relationships/header" Target="header19.xml"/><Relationship Id="rId64" Type="http://schemas.openxmlformats.org/officeDocument/2006/relationships/image" Target="media/image11.png"/><Relationship Id="rId69" Type="http://schemas.openxmlformats.org/officeDocument/2006/relationships/hyperlink" Target="http://www.tripdatabase.com/" TargetMode="External"/><Relationship Id="rId77" Type="http://schemas.openxmlformats.org/officeDocument/2006/relationships/hyperlink" Target="https://www.criteria.blood.gov.au/NeurologicalScales" TargetMode="External"/><Relationship Id="rId8" Type="http://schemas.openxmlformats.org/officeDocument/2006/relationships/hyperlink" Target="http://www.msac.gov.au/" TargetMode="External"/><Relationship Id="rId51" Type="http://schemas.openxmlformats.org/officeDocument/2006/relationships/image" Target="media/image7.png"/><Relationship Id="rId72" Type="http://schemas.openxmlformats.org/officeDocument/2006/relationships/hyperlink" Target="https://www.nihr.ac.uk/" TargetMode="External"/><Relationship Id="rId80" Type="http://schemas.openxmlformats.org/officeDocument/2006/relationships/footer" Target="footer11.xml"/><Relationship Id="rId85" Type="http://schemas.openxmlformats.org/officeDocument/2006/relationships/header" Target="header26.xml"/><Relationship Id="rId93" Type="http://schemas.openxmlformats.org/officeDocument/2006/relationships/header" Target="header27.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yperlink" Target="https://clinicaltrials.gov/ct2/show/NCT02473952" TargetMode="External"/><Relationship Id="rId59" Type="http://schemas.openxmlformats.org/officeDocument/2006/relationships/hyperlink" Target="https://www.mydr.com.au/seniors-health/myasthenia-gravis" TargetMode="External"/><Relationship Id="rId67" Type="http://schemas.openxmlformats.org/officeDocument/2006/relationships/hyperlink" Target="https://www.nhmrc.gov.au/" TargetMode="Externa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image" Target="media/image10.png"/><Relationship Id="rId62" Type="http://schemas.openxmlformats.org/officeDocument/2006/relationships/footer" Target="footer8.xml"/><Relationship Id="rId70" Type="http://schemas.openxmlformats.org/officeDocument/2006/relationships/hyperlink" Target="http://controlled-trials.com/" TargetMode="External"/><Relationship Id="rId75" Type="http://schemas.openxmlformats.org/officeDocument/2006/relationships/hyperlink" Target="https://www.criteria.blood.gov.au/NeurologicalScales" TargetMode="External"/><Relationship Id="rId83" Type="http://schemas.openxmlformats.org/officeDocument/2006/relationships/header" Target="header25.xml"/><Relationship Id="rId88" Type="http://schemas.openxmlformats.org/officeDocument/2006/relationships/hyperlink" Target="http://www.ihe.ca/research-programs/rmd/cssqac/cssqac-about" TargetMode="External"/><Relationship Id="rId91" Type="http://schemas.openxmlformats.org/officeDocument/2006/relationships/hyperlink" Target="https://www.blood.gov.au/data-analysis-reporting" TargetMode="External"/><Relationship Id="rId96" Type="http://schemas.openxmlformats.org/officeDocument/2006/relationships/header" Target="header2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hyperlink" Target="https://www.ebs.tga.gov.au/" TargetMode="External"/><Relationship Id="rId36" Type="http://schemas.openxmlformats.org/officeDocument/2006/relationships/image" Target="media/image5.emf"/><Relationship Id="rId49" Type="http://schemas.openxmlformats.org/officeDocument/2006/relationships/hyperlink" Target="https://clinicaltrials.gov/ct2/show/NCT02473952" TargetMode="External"/><Relationship Id="rId57" Type="http://schemas.openxmlformats.org/officeDocument/2006/relationships/header" Target="header20.xml"/><Relationship Id="rId10" Type="http://schemas.openxmlformats.org/officeDocument/2006/relationships/hyperlink" Target="http://www.msac.gov.au/" TargetMode="External"/><Relationship Id="rId31" Type="http://schemas.openxmlformats.org/officeDocument/2006/relationships/image" Target="media/image4.png"/><Relationship Id="rId44" Type="http://schemas.openxmlformats.org/officeDocument/2006/relationships/hyperlink" Target="https://clinicaltrials.gov/ct2/show/NCT02473952" TargetMode="External"/><Relationship Id="rId52" Type="http://schemas.openxmlformats.org/officeDocument/2006/relationships/image" Target="media/image8.png"/><Relationship Id="rId60" Type="http://schemas.openxmlformats.org/officeDocument/2006/relationships/hyperlink" Target="https://www.ihpa.gov.au/what-we-do/pricing/national-weighted-activity-unit-nwau-calculators/nwau-calculators-2019-20" TargetMode="External"/><Relationship Id="rId65" Type="http://schemas.openxmlformats.org/officeDocument/2006/relationships/image" Target="media/image12.png"/><Relationship Id="rId73" Type="http://schemas.openxmlformats.org/officeDocument/2006/relationships/hyperlink" Target="http://www.anzctr.org.au/" TargetMode="External"/><Relationship Id="rId78" Type="http://schemas.openxmlformats.org/officeDocument/2006/relationships/header" Target="header21.xml"/><Relationship Id="rId81" Type="http://schemas.openxmlformats.org/officeDocument/2006/relationships/header" Target="header23.xml"/><Relationship Id="rId86" Type="http://schemas.openxmlformats.org/officeDocument/2006/relationships/hyperlink" Target="https://www.allergy.org.au/patients/immunodeficiencies/immunoglobulin-replacement-therapy" TargetMode="External"/><Relationship Id="rId94"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yperlink" Target="http://www.ag.gov.au/"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header" Target="header14.xml"/></Relationships>
</file>

<file path=word/_rels/footnotes.xml.rels><?xml version="1.0" encoding="UTF-8" standalone="yes"?>
<Relationships xmlns="http://schemas.openxmlformats.org/package/2006/relationships"><Relationship Id="rId3" Type="http://schemas.openxmlformats.org/officeDocument/2006/relationships/hyperlink" Target="https://www.abs.gov.au/ausstats/abs@.nsf/mf/3302.0.55.001" TargetMode="External"/><Relationship Id="rId2" Type="http://schemas.openxmlformats.org/officeDocument/2006/relationships/hyperlink" Target="https://www.criteria.blood.gov.au/MedicalCondition/View/2549" TargetMode="External"/><Relationship Id="rId1" Type="http://schemas.openxmlformats.org/officeDocument/2006/relationships/hyperlink" Target="https://www.blood.gov.au/bloodstar" TargetMode="External"/><Relationship Id="rId6" Type="http://schemas.openxmlformats.org/officeDocument/2006/relationships/hyperlink" Target="https://www.blood.gov.au/bloodstar" TargetMode="External"/><Relationship Id="rId5" Type="http://schemas.openxmlformats.org/officeDocument/2006/relationships/hyperlink" Target="https://www.ihpa.gov.au/" TargetMode="External"/><Relationship Id="rId4" Type="http://schemas.openxmlformats.org/officeDocument/2006/relationships/hyperlink" Target="https://professionaleducation.blood.ca/en/transfusion/guide-clinique/album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0351D-6C7F-4A91-9FFD-3B6FFEB10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77394</Words>
  <Characters>703782</Characters>
  <Application>Microsoft Office Word</Application>
  <DocSecurity>0</DocSecurity>
  <Lines>5864</Lines>
  <Paragraphs>1559</Paragraphs>
  <ScaleCrop>false</ScaleCrop>
  <Company/>
  <LinksUpToDate>false</LinksUpToDate>
  <CharactersWithSpaces>779617</CharactersWithSpaces>
  <SharedDoc>false</SharedDoc>
  <HLinks>
    <vt:vector size="1110" baseType="variant">
      <vt:variant>
        <vt:i4>2359340</vt:i4>
      </vt:variant>
      <vt:variant>
        <vt:i4>1016</vt:i4>
      </vt:variant>
      <vt:variant>
        <vt:i4>0</vt:i4>
      </vt:variant>
      <vt:variant>
        <vt:i4>5</vt:i4>
      </vt:variant>
      <vt:variant>
        <vt:lpwstr>http://www.nhmrc.gov.au/consult/index.htm&gt;</vt:lpwstr>
      </vt:variant>
      <vt:variant>
        <vt:lpwstr/>
      </vt:variant>
      <vt:variant>
        <vt:i4>1507338</vt:i4>
      </vt:variant>
      <vt:variant>
        <vt:i4>1008</vt:i4>
      </vt:variant>
      <vt:variant>
        <vt:i4>0</vt:i4>
      </vt:variant>
      <vt:variant>
        <vt:i4>5</vt:i4>
      </vt:variant>
      <vt:variant>
        <vt:lpwstr>http://www.nhmrc.gov.au/guidelines/consult/consultations/add_levels_grades_dev_guidelines2.htm</vt:lpwstr>
      </vt:variant>
      <vt:variant>
        <vt:lpwstr/>
      </vt:variant>
      <vt:variant>
        <vt:i4>4980748</vt:i4>
      </vt:variant>
      <vt:variant>
        <vt:i4>996</vt:i4>
      </vt:variant>
      <vt:variant>
        <vt:i4>0</vt:i4>
      </vt:variant>
      <vt:variant>
        <vt:i4>5</vt:i4>
      </vt:variant>
      <vt:variant>
        <vt:lpwstr>http://text.nlm.nih.gov/</vt:lpwstr>
      </vt:variant>
      <vt:variant>
        <vt:lpwstr/>
      </vt:variant>
      <vt:variant>
        <vt:i4>1966149</vt:i4>
      </vt:variant>
      <vt:variant>
        <vt:i4>993</vt:i4>
      </vt:variant>
      <vt:variant>
        <vt:i4>0</vt:i4>
      </vt:variant>
      <vt:variant>
        <vt:i4>5</vt:i4>
      </vt:variant>
      <vt:variant>
        <vt:lpwstr>http://controlled-trials.com/</vt:lpwstr>
      </vt:variant>
      <vt:variant>
        <vt:lpwstr/>
      </vt:variant>
      <vt:variant>
        <vt:i4>5832792</vt:i4>
      </vt:variant>
      <vt:variant>
        <vt:i4>990</vt:i4>
      </vt:variant>
      <vt:variant>
        <vt:i4>0</vt:i4>
      </vt:variant>
      <vt:variant>
        <vt:i4>5</vt:i4>
      </vt:variant>
      <vt:variant>
        <vt:lpwstr>http://www.tripdatabase.com/</vt:lpwstr>
      </vt:variant>
      <vt:variant>
        <vt:lpwstr/>
      </vt:variant>
      <vt:variant>
        <vt:i4>8126514</vt:i4>
      </vt:variant>
      <vt:variant>
        <vt:i4>987</vt:i4>
      </vt:variant>
      <vt:variant>
        <vt:i4>0</vt:i4>
      </vt:variant>
      <vt:variant>
        <vt:i4>5</vt:i4>
      </vt:variant>
      <vt:variant>
        <vt:lpwstr>http://www.nyam.org/library/greylit/index.shtml</vt:lpwstr>
      </vt:variant>
      <vt:variant>
        <vt:lpwstr/>
      </vt:variant>
      <vt:variant>
        <vt:i4>6291566</vt:i4>
      </vt:variant>
      <vt:variant>
        <vt:i4>984</vt:i4>
      </vt:variant>
      <vt:variant>
        <vt:i4>0</vt:i4>
      </vt:variant>
      <vt:variant>
        <vt:i4>5</vt:i4>
      </vt:variant>
      <vt:variant>
        <vt:lpwstr>http://www.os.dhhs.gov/</vt:lpwstr>
      </vt:variant>
      <vt:variant>
        <vt:lpwstr/>
      </vt:variant>
      <vt:variant>
        <vt:i4>2883700</vt:i4>
      </vt:variant>
      <vt:variant>
        <vt:i4>981</vt:i4>
      </vt:variant>
      <vt:variant>
        <vt:i4>0</vt:i4>
      </vt:variant>
      <vt:variant>
        <vt:i4>5</vt:i4>
      </vt:variant>
      <vt:variant>
        <vt:lpwstr>http://www.health.gov.au/nhmrc/</vt:lpwstr>
      </vt:variant>
      <vt:variant>
        <vt:lpwstr/>
      </vt:variant>
      <vt:variant>
        <vt:i4>8061042</vt:i4>
      </vt:variant>
      <vt:variant>
        <vt:i4>978</vt:i4>
      </vt:variant>
      <vt:variant>
        <vt:i4>0</vt:i4>
      </vt:variant>
      <vt:variant>
        <vt:i4>5</vt:i4>
      </vt:variant>
      <vt:variant>
        <vt:lpwstr>http://www.research.va.gov/default.cfm</vt:lpwstr>
      </vt:variant>
      <vt:variant>
        <vt:lpwstr/>
      </vt:variant>
      <vt:variant>
        <vt:i4>3407914</vt:i4>
      </vt:variant>
      <vt:variant>
        <vt:i4>975</vt:i4>
      </vt:variant>
      <vt:variant>
        <vt:i4>0</vt:i4>
      </vt:variant>
      <vt:variant>
        <vt:i4>5</vt:i4>
      </vt:variant>
      <vt:variant>
        <vt:lpwstr>http://www.bcbs.com/blueresources/tec/</vt:lpwstr>
      </vt:variant>
      <vt:variant>
        <vt:lpwstr/>
      </vt:variant>
      <vt:variant>
        <vt:i4>3670127</vt:i4>
      </vt:variant>
      <vt:variant>
        <vt:i4>972</vt:i4>
      </vt:variant>
      <vt:variant>
        <vt:i4>0</vt:i4>
      </vt:variant>
      <vt:variant>
        <vt:i4>5</vt:i4>
      </vt:variant>
      <vt:variant>
        <vt:lpwstr>http://fas.org/ota</vt:lpwstr>
      </vt:variant>
      <vt:variant>
        <vt:lpwstr/>
      </vt:variant>
      <vt:variant>
        <vt:i4>3145739</vt:i4>
      </vt:variant>
      <vt:variant>
        <vt:i4>969</vt:i4>
      </vt:variant>
      <vt:variant>
        <vt:i4>0</vt:i4>
      </vt:variant>
      <vt:variant>
        <vt:i4>5</vt:i4>
      </vt:variant>
      <vt:variant>
        <vt:lpwstr>http://egov.oregon.gov/DAS/OHPPR/HRC/about_us.shtml</vt:lpwstr>
      </vt:variant>
      <vt:variant>
        <vt:lpwstr/>
      </vt:variant>
      <vt:variant>
        <vt:i4>4718668</vt:i4>
      </vt:variant>
      <vt:variant>
        <vt:i4>966</vt:i4>
      </vt:variant>
      <vt:variant>
        <vt:i4>0</vt:i4>
      </vt:variant>
      <vt:variant>
        <vt:i4>5</vt:i4>
      </vt:variant>
      <vt:variant>
        <vt:lpwstr>http://www.nlm.nih.gov/hsrph.html</vt:lpwstr>
      </vt:variant>
      <vt:variant>
        <vt:lpwstr/>
      </vt:variant>
      <vt:variant>
        <vt:i4>327681</vt:i4>
      </vt:variant>
      <vt:variant>
        <vt:i4>963</vt:i4>
      </vt:variant>
      <vt:variant>
        <vt:i4>0</vt:i4>
      </vt:variant>
      <vt:variant>
        <vt:i4>5</vt:i4>
      </vt:variant>
      <vt:variant>
        <vt:lpwstr>http://www.health.state.mn.us/htac/index.htm</vt:lpwstr>
      </vt:variant>
      <vt:variant>
        <vt:lpwstr/>
      </vt:variant>
      <vt:variant>
        <vt:i4>4325458</vt:i4>
      </vt:variant>
      <vt:variant>
        <vt:i4>960</vt:i4>
      </vt:variant>
      <vt:variant>
        <vt:i4>0</vt:i4>
      </vt:variant>
      <vt:variant>
        <vt:i4>5</vt:i4>
      </vt:variant>
      <vt:variant>
        <vt:lpwstr>http://www.icsi.org/</vt:lpwstr>
      </vt:variant>
      <vt:variant>
        <vt:lpwstr/>
      </vt:variant>
      <vt:variant>
        <vt:i4>7929980</vt:i4>
      </vt:variant>
      <vt:variant>
        <vt:i4>957</vt:i4>
      </vt:variant>
      <vt:variant>
        <vt:i4>0</vt:i4>
      </vt:variant>
      <vt:variant>
        <vt:i4>5</vt:i4>
      </vt:variant>
      <vt:variant>
        <vt:lpwstr>http://www.icer-review.org/</vt:lpwstr>
      </vt:variant>
      <vt:variant>
        <vt:lpwstr/>
      </vt:variant>
      <vt:variant>
        <vt:i4>1900612</vt:i4>
      </vt:variant>
      <vt:variant>
        <vt:i4>954</vt:i4>
      </vt:variant>
      <vt:variant>
        <vt:i4>0</vt:i4>
      </vt:variant>
      <vt:variant>
        <vt:i4>5</vt:i4>
      </vt:variant>
      <vt:variant>
        <vt:lpwstr>http://www.hsph.harvard.edu/</vt:lpwstr>
      </vt:variant>
      <vt:variant>
        <vt:lpwstr/>
      </vt:variant>
      <vt:variant>
        <vt:i4>5636184</vt:i4>
      </vt:variant>
      <vt:variant>
        <vt:i4>951</vt:i4>
      </vt:variant>
      <vt:variant>
        <vt:i4>0</vt:i4>
      </vt:variant>
      <vt:variant>
        <vt:i4>5</vt:i4>
      </vt:variant>
      <vt:variant>
        <vt:lpwstr>http://www.ahrq.gov/</vt:lpwstr>
      </vt:variant>
      <vt:variant>
        <vt:lpwstr/>
      </vt:variant>
      <vt:variant>
        <vt:i4>2752567</vt:i4>
      </vt:variant>
      <vt:variant>
        <vt:i4>948</vt:i4>
      </vt:variant>
      <vt:variant>
        <vt:i4>0</vt:i4>
      </vt:variant>
      <vt:variant>
        <vt:i4>5</vt:i4>
      </vt:variant>
      <vt:variant>
        <vt:lpwstr>http://www.york.ac.uk/inst/crd/</vt:lpwstr>
      </vt:variant>
      <vt:variant>
        <vt:lpwstr/>
      </vt:variant>
      <vt:variant>
        <vt:i4>2162812</vt:i4>
      </vt:variant>
      <vt:variant>
        <vt:i4>945</vt:i4>
      </vt:variant>
      <vt:variant>
        <vt:i4>0</vt:i4>
      </vt:variant>
      <vt:variant>
        <vt:i4>5</vt:i4>
      </vt:variant>
      <vt:variant>
        <vt:lpwstr>http://www.euroscan.bham.ac.uk/</vt:lpwstr>
      </vt:variant>
      <vt:variant>
        <vt:lpwstr/>
      </vt:variant>
      <vt:variant>
        <vt:i4>4128801</vt:i4>
      </vt:variant>
      <vt:variant>
        <vt:i4>942</vt:i4>
      </vt:variant>
      <vt:variant>
        <vt:i4>0</vt:i4>
      </vt:variant>
      <vt:variant>
        <vt:i4>5</vt:i4>
      </vt:variant>
      <vt:variant>
        <vt:lpwstr>http://www.nice.org.uk/</vt:lpwstr>
      </vt:variant>
      <vt:variant>
        <vt:lpwstr/>
      </vt:variant>
      <vt:variant>
        <vt:i4>4784205</vt:i4>
      </vt:variant>
      <vt:variant>
        <vt:i4>939</vt:i4>
      </vt:variant>
      <vt:variant>
        <vt:i4>0</vt:i4>
      </vt:variant>
      <vt:variant>
        <vt:i4>5</vt:i4>
      </vt:variant>
      <vt:variant>
        <vt:lpwstr>http://www.nhshealthquality.org/</vt:lpwstr>
      </vt:variant>
      <vt:variant>
        <vt:lpwstr/>
      </vt:variant>
      <vt:variant>
        <vt:i4>393244</vt:i4>
      </vt:variant>
      <vt:variant>
        <vt:i4>936</vt:i4>
      </vt:variant>
      <vt:variant>
        <vt:i4>0</vt:i4>
      </vt:variant>
      <vt:variant>
        <vt:i4>5</vt:i4>
      </vt:variant>
      <vt:variant>
        <vt:lpwstr>http://www.hta.ac.uk/</vt:lpwstr>
      </vt:variant>
      <vt:variant>
        <vt:lpwstr/>
      </vt:variant>
      <vt:variant>
        <vt:i4>1900556</vt:i4>
      </vt:variant>
      <vt:variant>
        <vt:i4>933</vt:i4>
      </vt:variant>
      <vt:variant>
        <vt:i4>0</vt:i4>
      </vt:variant>
      <vt:variant>
        <vt:i4>5</vt:i4>
      </vt:variant>
      <vt:variant>
        <vt:lpwstr>http://www.snhta.ch/</vt:lpwstr>
      </vt:variant>
      <vt:variant>
        <vt:lpwstr/>
      </vt:variant>
      <vt:variant>
        <vt:i4>2031644</vt:i4>
      </vt:variant>
      <vt:variant>
        <vt:i4>930</vt:i4>
      </vt:variant>
      <vt:variant>
        <vt:i4>0</vt:i4>
      </vt:variant>
      <vt:variant>
        <vt:i4>5</vt:i4>
      </vt:variant>
      <vt:variant>
        <vt:lpwstr>http://www.sbu.se/en/</vt:lpwstr>
      </vt:variant>
      <vt:variant>
        <vt:lpwstr/>
      </vt:variant>
      <vt:variant>
        <vt:i4>3407969</vt:i4>
      </vt:variant>
      <vt:variant>
        <vt:i4>927</vt:i4>
      </vt:variant>
      <vt:variant>
        <vt:i4>0</vt:i4>
      </vt:variant>
      <vt:variant>
        <vt:i4>5</vt:i4>
      </vt:variant>
      <vt:variant>
        <vt:lpwstr>http://www.cmt.liu.se/?l=en&amp;sc=true</vt:lpwstr>
      </vt:variant>
      <vt:variant>
        <vt:lpwstr/>
      </vt:variant>
      <vt:variant>
        <vt:i4>2293813</vt:i4>
      </vt:variant>
      <vt:variant>
        <vt:i4>924</vt:i4>
      </vt:variant>
      <vt:variant>
        <vt:i4>0</vt:i4>
      </vt:variant>
      <vt:variant>
        <vt:i4>5</vt:i4>
      </vt:variant>
      <vt:variant>
        <vt:lpwstr>http://www.gencat.cat/</vt:lpwstr>
      </vt:variant>
      <vt:variant>
        <vt:lpwstr/>
      </vt:variant>
      <vt:variant>
        <vt:i4>6619195</vt:i4>
      </vt:variant>
      <vt:variant>
        <vt:i4>921</vt:i4>
      </vt:variant>
      <vt:variant>
        <vt:i4>0</vt:i4>
      </vt:variant>
      <vt:variant>
        <vt:i4>5</vt:i4>
      </vt:variant>
      <vt:variant>
        <vt:lpwstr>http://www.juntadeandalucia.es/</vt:lpwstr>
      </vt:variant>
      <vt:variant>
        <vt:lpwstr/>
      </vt:variant>
      <vt:variant>
        <vt:i4>1376326</vt:i4>
      </vt:variant>
      <vt:variant>
        <vt:i4>918</vt:i4>
      </vt:variant>
      <vt:variant>
        <vt:i4>0</vt:i4>
      </vt:variant>
      <vt:variant>
        <vt:i4>5</vt:i4>
      </vt:variant>
      <vt:variant>
        <vt:lpwstr>http://www.isciii.es/</vt:lpwstr>
      </vt:variant>
      <vt:variant>
        <vt:lpwstr/>
      </vt:variant>
      <vt:variant>
        <vt:i4>1638412</vt:i4>
      </vt:variant>
      <vt:variant>
        <vt:i4>915</vt:i4>
      </vt:variant>
      <vt:variant>
        <vt:i4>0</vt:i4>
      </vt:variant>
      <vt:variant>
        <vt:i4>5</vt:i4>
      </vt:variant>
      <vt:variant>
        <vt:lpwstr>http://www.kunnskapssenteret.no/</vt:lpwstr>
      </vt:variant>
      <vt:variant>
        <vt:lpwstr/>
      </vt:variant>
      <vt:variant>
        <vt:i4>2752610</vt:i4>
      </vt:variant>
      <vt:variant>
        <vt:i4>912</vt:i4>
      </vt:variant>
      <vt:variant>
        <vt:i4>0</vt:i4>
      </vt:variant>
      <vt:variant>
        <vt:i4>5</vt:i4>
      </vt:variant>
      <vt:variant>
        <vt:lpwstr>http://nzhta.chmeds.ac.nz/</vt:lpwstr>
      </vt:variant>
      <vt:variant>
        <vt:lpwstr/>
      </vt:variant>
      <vt:variant>
        <vt:i4>7602226</vt:i4>
      </vt:variant>
      <vt:variant>
        <vt:i4>909</vt:i4>
      </vt:variant>
      <vt:variant>
        <vt:i4>0</vt:i4>
      </vt:variant>
      <vt:variant>
        <vt:i4>5</vt:i4>
      </vt:variant>
      <vt:variant>
        <vt:lpwstr>http://www.imta.nl/</vt:lpwstr>
      </vt:variant>
      <vt:variant>
        <vt:lpwstr/>
      </vt:variant>
      <vt:variant>
        <vt:i4>11</vt:i4>
      </vt:variant>
      <vt:variant>
        <vt:i4>906</vt:i4>
      </vt:variant>
      <vt:variant>
        <vt:i4>0</vt:i4>
      </vt:variant>
      <vt:variant>
        <vt:i4>5</vt:i4>
      </vt:variant>
      <vt:variant>
        <vt:lpwstr>http://www.gezondheidsraad.nl/en/</vt:lpwstr>
      </vt:variant>
      <vt:variant>
        <vt:lpwstr/>
      </vt:variant>
      <vt:variant>
        <vt:i4>1638403</vt:i4>
      </vt:variant>
      <vt:variant>
        <vt:i4>903</vt:i4>
      </vt:variant>
      <vt:variant>
        <vt:i4>0</vt:i4>
      </vt:variant>
      <vt:variant>
        <vt:i4>5</vt:i4>
      </vt:variant>
      <vt:variant>
        <vt:lpwstr>http://www.iqwig.de/</vt:lpwstr>
      </vt:variant>
      <vt:variant>
        <vt:lpwstr/>
      </vt:variant>
      <vt:variant>
        <vt:i4>1310812</vt:i4>
      </vt:variant>
      <vt:variant>
        <vt:i4>900</vt:i4>
      </vt:variant>
      <vt:variant>
        <vt:i4>0</vt:i4>
      </vt:variant>
      <vt:variant>
        <vt:i4>5</vt:i4>
      </vt:variant>
      <vt:variant>
        <vt:lpwstr>http://www.dimdi.de/static/en/index.html</vt:lpwstr>
      </vt:variant>
      <vt:variant>
        <vt:lpwstr/>
      </vt:variant>
      <vt:variant>
        <vt:i4>4390988</vt:i4>
      </vt:variant>
      <vt:variant>
        <vt:i4>897</vt:i4>
      </vt:variant>
      <vt:variant>
        <vt:i4>0</vt:i4>
      </vt:variant>
      <vt:variant>
        <vt:i4>5</vt:i4>
      </vt:variant>
      <vt:variant>
        <vt:lpwstr>http://www.has-sante.fr/portail/jcms/c_5443/english?cid=c_5443</vt:lpwstr>
      </vt:variant>
      <vt:variant>
        <vt:lpwstr/>
      </vt:variant>
      <vt:variant>
        <vt:i4>65539</vt:i4>
      </vt:variant>
      <vt:variant>
        <vt:i4>894</vt:i4>
      </vt:variant>
      <vt:variant>
        <vt:i4>0</vt:i4>
      </vt:variant>
      <vt:variant>
        <vt:i4>5</vt:i4>
      </vt:variant>
      <vt:variant>
        <vt:lpwstr>http://finohta.stakes.fi/EN/index.htm</vt:lpwstr>
      </vt:variant>
      <vt:variant>
        <vt:lpwstr/>
      </vt:variant>
      <vt:variant>
        <vt:i4>3342396</vt:i4>
      </vt:variant>
      <vt:variant>
        <vt:i4>891</vt:i4>
      </vt:variant>
      <vt:variant>
        <vt:i4>0</vt:i4>
      </vt:variant>
      <vt:variant>
        <vt:i4>5</vt:i4>
      </vt:variant>
      <vt:variant>
        <vt:lpwstr>http://dsi.dk/english/</vt:lpwstr>
      </vt:variant>
      <vt:variant>
        <vt:lpwstr/>
      </vt:variant>
      <vt:variant>
        <vt:i4>2293785</vt:i4>
      </vt:variant>
      <vt:variant>
        <vt:i4>888</vt:i4>
      </vt:variant>
      <vt:variant>
        <vt:i4>0</vt:i4>
      </vt:variant>
      <vt:variant>
        <vt:i4>5</vt:i4>
      </vt:variant>
      <vt:variant>
        <vt:lpwstr>http://www.sst.dk/english/dacehta.aspx?sc_lang=en</vt:lpwstr>
      </vt:variant>
      <vt:variant>
        <vt:lpwstr/>
      </vt:variant>
      <vt:variant>
        <vt:i4>1835015</vt:i4>
      </vt:variant>
      <vt:variant>
        <vt:i4>885</vt:i4>
      </vt:variant>
      <vt:variant>
        <vt:i4>0</vt:i4>
      </vt:variant>
      <vt:variant>
        <vt:i4>5</vt:i4>
      </vt:variant>
      <vt:variant>
        <vt:lpwstr>http://www.hqc.sk.ca/</vt:lpwstr>
      </vt:variant>
      <vt:variant>
        <vt:lpwstr/>
      </vt:variant>
      <vt:variant>
        <vt:i4>2818144</vt:i4>
      </vt:variant>
      <vt:variant>
        <vt:i4>882</vt:i4>
      </vt:variant>
      <vt:variant>
        <vt:i4>0</vt:i4>
      </vt:variant>
      <vt:variant>
        <vt:i4>5</vt:i4>
      </vt:variant>
      <vt:variant>
        <vt:lpwstr>http://www.ices.on.ca/</vt:lpwstr>
      </vt:variant>
      <vt:variant>
        <vt:lpwstr/>
      </vt:variant>
      <vt:variant>
        <vt:i4>1572949</vt:i4>
      </vt:variant>
      <vt:variant>
        <vt:i4>879</vt:i4>
      </vt:variant>
      <vt:variant>
        <vt:i4>0</vt:i4>
      </vt:variant>
      <vt:variant>
        <vt:i4>5</vt:i4>
      </vt:variant>
      <vt:variant>
        <vt:lpwstr>http://www.fhs.mcmaster.ca/hug/index.htm/</vt:lpwstr>
      </vt:variant>
      <vt:variant>
        <vt:lpwstr/>
      </vt:variant>
      <vt:variant>
        <vt:i4>1245259</vt:i4>
      </vt:variant>
      <vt:variant>
        <vt:i4>876</vt:i4>
      </vt:variant>
      <vt:variant>
        <vt:i4>0</vt:i4>
      </vt:variant>
      <vt:variant>
        <vt:i4>5</vt:i4>
      </vt:variant>
      <vt:variant>
        <vt:lpwstr>http://www.chspr.ubc.ca/</vt:lpwstr>
      </vt:variant>
      <vt:variant>
        <vt:lpwstr/>
      </vt:variant>
      <vt:variant>
        <vt:i4>4456468</vt:i4>
      </vt:variant>
      <vt:variant>
        <vt:i4>873</vt:i4>
      </vt:variant>
      <vt:variant>
        <vt:i4>0</vt:i4>
      </vt:variant>
      <vt:variant>
        <vt:i4>5</vt:i4>
      </vt:variant>
      <vt:variant>
        <vt:lpwstr>http://www.chepa.org/</vt:lpwstr>
      </vt:variant>
      <vt:variant>
        <vt:lpwstr/>
      </vt:variant>
      <vt:variant>
        <vt:i4>8323176</vt:i4>
      </vt:variant>
      <vt:variant>
        <vt:i4>870</vt:i4>
      </vt:variant>
      <vt:variant>
        <vt:i4>0</vt:i4>
      </vt:variant>
      <vt:variant>
        <vt:i4>5</vt:i4>
      </vt:variant>
      <vt:variant>
        <vt:lpwstr>http://www.mycabot.ca/</vt:lpwstr>
      </vt:variant>
      <vt:variant>
        <vt:lpwstr/>
      </vt:variant>
      <vt:variant>
        <vt:i4>262170</vt:i4>
      </vt:variant>
      <vt:variant>
        <vt:i4>867</vt:i4>
      </vt:variant>
      <vt:variant>
        <vt:i4>0</vt:i4>
      </vt:variant>
      <vt:variant>
        <vt:i4>5</vt:i4>
      </vt:variant>
      <vt:variant>
        <vt:lpwstr>http://www.cadth.ca/index.php/en/</vt:lpwstr>
      </vt:variant>
      <vt:variant>
        <vt:lpwstr/>
      </vt:variant>
      <vt:variant>
        <vt:i4>7012471</vt:i4>
      </vt:variant>
      <vt:variant>
        <vt:i4>864</vt:i4>
      </vt:variant>
      <vt:variant>
        <vt:i4>0</vt:i4>
      </vt:variant>
      <vt:variant>
        <vt:i4>5</vt:i4>
      </vt:variant>
      <vt:variant>
        <vt:lpwstr>http://www.ihe.ca/</vt:lpwstr>
      </vt:variant>
      <vt:variant>
        <vt:lpwstr/>
      </vt:variant>
      <vt:variant>
        <vt:i4>7340154</vt:i4>
      </vt:variant>
      <vt:variant>
        <vt:i4>861</vt:i4>
      </vt:variant>
      <vt:variant>
        <vt:i4>0</vt:i4>
      </vt:variant>
      <vt:variant>
        <vt:i4>5</vt:i4>
      </vt:variant>
      <vt:variant>
        <vt:lpwstr>http://www.ahfmr.ab.ca/</vt:lpwstr>
      </vt:variant>
      <vt:variant>
        <vt:lpwstr/>
      </vt:variant>
      <vt:variant>
        <vt:i4>1310746</vt:i4>
      </vt:variant>
      <vt:variant>
        <vt:i4>858</vt:i4>
      </vt:variant>
      <vt:variant>
        <vt:i4>0</vt:i4>
      </vt:variant>
      <vt:variant>
        <vt:i4>5</vt:i4>
      </vt:variant>
      <vt:variant>
        <vt:lpwstr>http://www.aetmis.gouv.qc.ca/site/home.phtml</vt:lpwstr>
      </vt:variant>
      <vt:variant>
        <vt:lpwstr/>
      </vt:variant>
      <vt:variant>
        <vt:i4>5373968</vt:i4>
      </vt:variant>
      <vt:variant>
        <vt:i4>855</vt:i4>
      </vt:variant>
      <vt:variant>
        <vt:i4>0</vt:i4>
      </vt:variant>
      <vt:variant>
        <vt:i4>5</vt:i4>
      </vt:variant>
      <vt:variant>
        <vt:lpwstr>http://www.oeaw.ac.at/ita</vt:lpwstr>
      </vt:variant>
      <vt:variant>
        <vt:lpwstr/>
      </vt:variant>
      <vt:variant>
        <vt:i4>5439556</vt:i4>
      </vt:variant>
      <vt:variant>
        <vt:i4>852</vt:i4>
      </vt:variant>
      <vt:variant>
        <vt:i4>0</vt:i4>
      </vt:variant>
      <vt:variant>
        <vt:i4>5</vt:i4>
      </vt:variant>
      <vt:variant>
        <vt:lpwstr>http://www.buseco.monash.edu.au/centres/che/</vt:lpwstr>
      </vt:variant>
      <vt:variant>
        <vt:lpwstr/>
      </vt:variant>
      <vt:variant>
        <vt:i4>4915204</vt:i4>
      </vt:variant>
      <vt:variant>
        <vt:i4>849</vt:i4>
      </vt:variant>
      <vt:variant>
        <vt:i4>0</vt:i4>
      </vt:variant>
      <vt:variant>
        <vt:i4>5</vt:i4>
      </vt:variant>
      <vt:variant>
        <vt:lpwstr>http://www.southernhealth.org.au/cce</vt:lpwstr>
      </vt:variant>
      <vt:variant>
        <vt:lpwstr/>
      </vt:variant>
      <vt:variant>
        <vt:i4>4653087</vt:i4>
      </vt:variant>
      <vt:variant>
        <vt:i4>846</vt:i4>
      </vt:variant>
      <vt:variant>
        <vt:i4>0</vt:i4>
      </vt:variant>
      <vt:variant>
        <vt:i4>5</vt:i4>
      </vt:variant>
      <vt:variant>
        <vt:lpwstr>http://www.surgeons.org/Content/NavigationMenu/Research/ASERNIPS/default.htm</vt:lpwstr>
      </vt:variant>
      <vt:variant>
        <vt:lpwstr/>
      </vt:variant>
      <vt:variant>
        <vt:i4>4390923</vt:i4>
      </vt:variant>
      <vt:variant>
        <vt:i4>836</vt:i4>
      </vt:variant>
      <vt:variant>
        <vt:i4>0</vt:i4>
      </vt:variant>
      <vt:variant>
        <vt:i4>5</vt:i4>
      </vt:variant>
      <vt:variant>
        <vt:lpwstr/>
      </vt:variant>
      <vt:variant>
        <vt:lpwstr>_ENREF_26</vt:lpwstr>
      </vt:variant>
      <vt:variant>
        <vt:i4>4390923</vt:i4>
      </vt:variant>
      <vt:variant>
        <vt:i4>824</vt:i4>
      </vt:variant>
      <vt:variant>
        <vt:i4>0</vt:i4>
      </vt:variant>
      <vt:variant>
        <vt:i4>5</vt:i4>
      </vt:variant>
      <vt:variant>
        <vt:lpwstr/>
      </vt:variant>
      <vt:variant>
        <vt:lpwstr>_ENREF_26</vt:lpwstr>
      </vt:variant>
      <vt:variant>
        <vt:i4>4390923</vt:i4>
      </vt:variant>
      <vt:variant>
        <vt:i4>815</vt:i4>
      </vt:variant>
      <vt:variant>
        <vt:i4>0</vt:i4>
      </vt:variant>
      <vt:variant>
        <vt:i4>5</vt:i4>
      </vt:variant>
      <vt:variant>
        <vt:lpwstr/>
      </vt:variant>
      <vt:variant>
        <vt:lpwstr>_ENREF_26</vt:lpwstr>
      </vt:variant>
      <vt:variant>
        <vt:i4>4390923</vt:i4>
      </vt:variant>
      <vt:variant>
        <vt:i4>806</vt:i4>
      </vt:variant>
      <vt:variant>
        <vt:i4>0</vt:i4>
      </vt:variant>
      <vt:variant>
        <vt:i4>5</vt:i4>
      </vt:variant>
      <vt:variant>
        <vt:lpwstr/>
      </vt:variant>
      <vt:variant>
        <vt:lpwstr>_ENREF_26</vt:lpwstr>
      </vt:variant>
      <vt:variant>
        <vt:i4>4390923</vt:i4>
      </vt:variant>
      <vt:variant>
        <vt:i4>800</vt:i4>
      </vt:variant>
      <vt:variant>
        <vt:i4>0</vt:i4>
      </vt:variant>
      <vt:variant>
        <vt:i4>5</vt:i4>
      </vt:variant>
      <vt:variant>
        <vt:lpwstr/>
      </vt:variant>
      <vt:variant>
        <vt:lpwstr>_ENREF_25</vt:lpwstr>
      </vt:variant>
      <vt:variant>
        <vt:i4>4390923</vt:i4>
      </vt:variant>
      <vt:variant>
        <vt:i4>794</vt:i4>
      </vt:variant>
      <vt:variant>
        <vt:i4>0</vt:i4>
      </vt:variant>
      <vt:variant>
        <vt:i4>5</vt:i4>
      </vt:variant>
      <vt:variant>
        <vt:lpwstr/>
      </vt:variant>
      <vt:variant>
        <vt:lpwstr>_ENREF_25</vt:lpwstr>
      </vt:variant>
      <vt:variant>
        <vt:i4>4194315</vt:i4>
      </vt:variant>
      <vt:variant>
        <vt:i4>788</vt:i4>
      </vt:variant>
      <vt:variant>
        <vt:i4>0</vt:i4>
      </vt:variant>
      <vt:variant>
        <vt:i4>5</vt:i4>
      </vt:variant>
      <vt:variant>
        <vt:lpwstr/>
      </vt:variant>
      <vt:variant>
        <vt:lpwstr>_ENREF_13</vt:lpwstr>
      </vt:variant>
      <vt:variant>
        <vt:i4>4390923</vt:i4>
      </vt:variant>
      <vt:variant>
        <vt:i4>782</vt:i4>
      </vt:variant>
      <vt:variant>
        <vt:i4>0</vt:i4>
      </vt:variant>
      <vt:variant>
        <vt:i4>5</vt:i4>
      </vt:variant>
      <vt:variant>
        <vt:lpwstr/>
      </vt:variant>
      <vt:variant>
        <vt:lpwstr>_ENREF_24</vt:lpwstr>
      </vt:variant>
      <vt:variant>
        <vt:i4>4390923</vt:i4>
      </vt:variant>
      <vt:variant>
        <vt:i4>770</vt:i4>
      </vt:variant>
      <vt:variant>
        <vt:i4>0</vt:i4>
      </vt:variant>
      <vt:variant>
        <vt:i4>5</vt:i4>
      </vt:variant>
      <vt:variant>
        <vt:lpwstr/>
      </vt:variant>
      <vt:variant>
        <vt:lpwstr>_ENREF_26</vt:lpwstr>
      </vt:variant>
      <vt:variant>
        <vt:i4>4325387</vt:i4>
      </vt:variant>
      <vt:variant>
        <vt:i4>749</vt:i4>
      </vt:variant>
      <vt:variant>
        <vt:i4>0</vt:i4>
      </vt:variant>
      <vt:variant>
        <vt:i4>5</vt:i4>
      </vt:variant>
      <vt:variant>
        <vt:lpwstr/>
      </vt:variant>
      <vt:variant>
        <vt:lpwstr>_ENREF_31</vt:lpwstr>
      </vt:variant>
      <vt:variant>
        <vt:i4>4390923</vt:i4>
      </vt:variant>
      <vt:variant>
        <vt:i4>743</vt:i4>
      </vt:variant>
      <vt:variant>
        <vt:i4>0</vt:i4>
      </vt:variant>
      <vt:variant>
        <vt:i4>5</vt:i4>
      </vt:variant>
      <vt:variant>
        <vt:lpwstr/>
      </vt:variant>
      <vt:variant>
        <vt:lpwstr>_ENREF_21</vt:lpwstr>
      </vt:variant>
      <vt:variant>
        <vt:i4>4390923</vt:i4>
      </vt:variant>
      <vt:variant>
        <vt:i4>737</vt:i4>
      </vt:variant>
      <vt:variant>
        <vt:i4>0</vt:i4>
      </vt:variant>
      <vt:variant>
        <vt:i4>5</vt:i4>
      </vt:variant>
      <vt:variant>
        <vt:lpwstr/>
      </vt:variant>
      <vt:variant>
        <vt:lpwstr>_ENREF_2</vt:lpwstr>
      </vt:variant>
      <vt:variant>
        <vt:i4>4194315</vt:i4>
      </vt:variant>
      <vt:variant>
        <vt:i4>734</vt:i4>
      </vt:variant>
      <vt:variant>
        <vt:i4>0</vt:i4>
      </vt:variant>
      <vt:variant>
        <vt:i4>5</vt:i4>
      </vt:variant>
      <vt:variant>
        <vt:lpwstr/>
      </vt:variant>
      <vt:variant>
        <vt:lpwstr>_ENREF_1</vt:lpwstr>
      </vt:variant>
      <vt:variant>
        <vt:i4>4194315</vt:i4>
      </vt:variant>
      <vt:variant>
        <vt:i4>728</vt:i4>
      </vt:variant>
      <vt:variant>
        <vt:i4>0</vt:i4>
      </vt:variant>
      <vt:variant>
        <vt:i4>5</vt:i4>
      </vt:variant>
      <vt:variant>
        <vt:lpwstr/>
      </vt:variant>
      <vt:variant>
        <vt:lpwstr>_ENREF_17</vt:lpwstr>
      </vt:variant>
      <vt:variant>
        <vt:i4>4390923</vt:i4>
      </vt:variant>
      <vt:variant>
        <vt:i4>710</vt:i4>
      </vt:variant>
      <vt:variant>
        <vt:i4>0</vt:i4>
      </vt:variant>
      <vt:variant>
        <vt:i4>5</vt:i4>
      </vt:variant>
      <vt:variant>
        <vt:lpwstr/>
      </vt:variant>
      <vt:variant>
        <vt:lpwstr>_ENREF_22</vt:lpwstr>
      </vt:variant>
      <vt:variant>
        <vt:i4>4325387</vt:i4>
      </vt:variant>
      <vt:variant>
        <vt:i4>677</vt:i4>
      </vt:variant>
      <vt:variant>
        <vt:i4>0</vt:i4>
      </vt:variant>
      <vt:variant>
        <vt:i4>5</vt:i4>
      </vt:variant>
      <vt:variant>
        <vt:lpwstr/>
      </vt:variant>
      <vt:variant>
        <vt:lpwstr>_ENREF_34</vt:lpwstr>
      </vt:variant>
      <vt:variant>
        <vt:i4>4325387</vt:i4>
      </vt:variant>
      <vt:variant>
        <vt:i4>674</vt:i4>
      </vt:variant>
      <vt:variant>
        <vt:i4>0</vt:i4>
      </vt:variant>
      <vt:variant>
        <vt:i4>5</vt:i4>
      </vt:variant>
      <vt:variant>
        <vt:lpwstr/>
      </vt:variant>
      <vt:variant>
        <vt:lpwstr>_ENREF_33</vt:lpwstr>
      </vt:variant>
      <vt:variant>
        <vt:i4>4325387</vt:i4>
      </vt:variant>
      <vt:variant>
        <vt:i4>671</vt:i4>
      </vt:variant>
      <vt:variant>
        <vt:i4>0</vt:i4>
      </vt:variant>
      <vt:variant>
        <vt:i4>5</vt:i4>
      </vt:variant>
      <vt:variant>
        <vt:lpwstr/>
      </vt:variant>
      <vt:variant>
        <vt:lpwstr>_ENREF_32</vt:lpwstr>
      </vt:variant>
      <vt:variant>
        <vt:i4>4784139</vt:i4>
      </vt:variant>
      <vt:variant>
        <vt:i4>668</vt:i4>
      </vt:variant>
      <vt:variant>
        <vt:i4>0</vt:i4>
      </vt:variant>
      <vt:variant>
        <vt:i4>5</vt:i4>
      </vt:variant>
      <vt:variant>
        <vt:lpwstr/>
      </vt:variant>
      <vt:variant>
        <vt:lpwstr>_ENREF_8</vt:lpwstr>
      </vt:variant>
      <vt:variant>
        <vt:i4>4390923</vt:i4>
      </vt:variant>
      <vt:variant>
        <vt:i4>660</vt:i4>
      </vt:variant>
      <vt:variant>
        <vt:i4>0</vt:i4>
      </vt:variant>
      <vt:variant>
        <vt:i4>5</vt:i4>
      </vt:variant>
      <vt:variant>
        <vt:lpwstr/>
      </vt:variant>
      <vt:variant>
        <vt:lpwstr>_ENREF_29</vt:lpwstr>
      </vt:variant>
      <vt:variant>
        <vt:i4>4718603</vt:i4>
      </vt:variant>
      <vt:variant>
        <vt:i4>657</vt:i4>
      </vt:variant>
      <vt:variant>
        <vt:i4>0</vt:i4>
      </vt:variant>
      <vt:variant>
        <vt:i4>5</vt:i4>
      </vt:variant>
      <vt:variant>
        <vt:lpwstr/>
      </vt:variant>
      <vt:variant>
        <vt:lpwstr>_ENREF_9</vt:lpwstr>
      </vt:variant>
      <vt:variant>
        <vt:i4>4784139</vt:i4>
      </vt:variant>
      <vt:variant>
        <vt:i4>654</vt:i4>
      </vt:variant>
      <vt:variant>
        <vt:i4>0</vt:i4>
      </vt:variant>
      <vt:variant>
        <vt:i4>5</vt:i4>
      </vt:variant>
      <vt:variant>
        <vt:lpwstr/>
      </vt:variant>
      <vt:variant>
        <vt:lpwstr>_ENREF_8</vt:lpwstr>
      </vt:variant>
      <vt:variant>
        <vt:i4>4390923</vt:i4>
      </vt:variant>
      <vt:variant>
        <vt:i4>646</vt:i4>
      </vt:variant>
      <vt:variant>
        <vt:i4>0</vt:i4>
      </vt:variant>
      <vt:variant>
        <vt:i4>5</vt:i4>
      </vt:variant>
      <vt:variant>
        <vt:lpwstr/>
      </vt:variant>
      <vt:variant>
        <vt:lpwstr>_ENREF_23</vt:lpwstr>
      </vt:variant>
      <vt:variant>
        <vt:i4>4718603</vt:i4>
      </vt:variant>
      <vt:variant>
        <vt:i4>643</vt:i4>
      </vt:variant>
      <vt:variant>
        <vt:i4>0</vt:i4>
      </vt:variant>
      <vt:variant>
        <vt:i4>5</vt:i4>
      </vt:variant>
      <vt:variant>
        <vt:lpwstr/>
      </vt:variant>
      <vt:variant>
        <vt:lpwstr>_ENREF_9</vt:lpwstr>
      </vt:variant>
      <vt:variant>
        <vt:i4>4521995</vt:i4>
      </vt:variant>
      <vt:variant>
        <vt:i4>640</vt:i4>
      </vt:variant>
      <vt:variant>
        <vt:i4>0</vt:i4>
      </vt:variant>
      <vt:variant>
        <vt:i4>5</vt:i4>
      </vt:variant>
      <vt:variant>
        <vt:lpwstr/>
      </vt:variant>
      <vt:variant>
        <vt:lpwstr>_ENREF_4</vt:lpwstr>
      </vt:variant>
      <vt:variant>
        <vt:i4>4194315</vt:i4>
      </vt:variant>
      <vt:variant>
        <vt:i4>632</vt:i4>
      </vt:variant>
      <vt:variant>
        <vt:i4>0</vt:i4>
      </vt:variant>
      <vt:variant>
        <vt:i4>5</vt:i4>
      </vt:variant>
      <vt:variant>
        <vt:lpwstr/>
      </vt:variant>
      <vt:variant>
        <vt:lpwstr>_ENREF_14</vt:lpwstr>
      </vt:variant>
      <vt:variant>
        <vt:i4>4194315</vt:i4>
      </vt:variant>
      <vt:variant>
        <vt:i4>626</vt:i4>
      </vt:variant>
      <vt:variant>
        <vt:i4>0</vt:i4>
      </vt:variant>
      <vt:variant>
        <vt:i4>5</vt:i4>
      </vt:variant>
      <vt:variant>
        <vt:lpwstr/>
      </vt:variant>
      <vt:variant>
        <vt:lpwstr>_ENREF_12</vt:lpwstr>
      </vt:variant>
      <vt:variant>
        <vt:i4>4194315</vt:i4>
      </vt:variant>
      <vt:variant>
        <vt:i4>620</vt:i4>
      </vt:variant>
      <vt:variant>
        <vt:i4>0</vt:i4>
      </vt:variant>
      <vt:variant>
        <vt:i4>5</vt:i4>
      </vt:variant>
      <vt:variant>
        <vt:lpwstr/>
      </vt:variant>
      <vt:variant>
        <vt:lpwstr>_ENREF_19</vt:lpwstr>
      </vt:variant>
      <vt:variant>
        <vt:i4>4194315</vt:i4>
      </vt:variant>
      <vt:variant>
        <vt:i4>614</vt:i4>
      </vt:variant>
      <vt:variant>
        <vt:i4>0</vt:i4>
      </vt:variant>
      <vt:variant>
        <vt:i4>5</vt:i4>
      </vt:variant>
      <vt:variant>
        <vt:lpwstr/>
      </vt:variant>
      <vt:variant>
        <vt:lpwstr>_ENREF_12</vt:lpwstr>
      </vt:variant>
      <vt:variant>
        <vt:i4>4194315</vt:i4>
      </vt:variant>
      <vt:variant>
        <vt:i4>608</vt:i4>
      </vt:variant>
      <vt:variant>
        <vt:i4>0</vt:i4>
      </vt:variant>
      <vt:variant>
        <vt:i4>5</vt:i4>
      </vt:variant>
      <vt:variant>
        <vt:lpwstr/>
      </vt:variant>
      <vt:variant>
        <vt:lpwstr>_ENREF_15</vt:lpwstr>
      </vt:variant>
      <vt:variant>
        <vt:i4>4390923</vt:i4>
      </vt:variant>
      <vt:variant>
        <vt:i4>602</vt:i4>
      </vt:variant>
      <vt:variant>
        <vt:i4>0</vt:i4>
      </vt:variant>
      <vt:variant>
        <vt:i4>5</vt:i4>
      </vt:variant>
      <vt:variant>
        <vt:lpwstr/>
      </vt:variant>
      <vt:variant>
        <vt:lpwstr>_ENREF_20</vt:lpwstr>
      </vt:variant>
      <vt:variant>
        <vt:i4>4194315</vt:i4>
      </vt:variant>
      <vt:variant>
        <vt:i4>599</vt:i4>
      </vt:variant>
      <vt:variant>
        <vt:i4>0</vt:i4>
      </vt:variant>
      <vt:variant>
        <vt:i4>5</vt:i4>
      </vt:variant>
      <vt:variant>
        <vt:lpwstr/>
      </vt:variant>
      <vt:variant>
        <vt:lpwstr>_ENREF_10</vt:lpwstr>
      </vt:variant>
      <vt:variant>
        <vt:i4>4587531</vt:i4>
      </vt:variant>
      <vt:variant>
        <vt:i4>596</vt:i4>
      </vt:variant>
      <vt:variant>
        <vt:i4>0</vt:i4>
      </vt:variant>
      <vt:variant>
        <vt:i4>5</vt:i4>
      </vt:variant>
      <vt:variant>
        <vt:lpwstr/>
      </vt:variant>
      <vt:variant>
        <vt:lpwstr>_ENREF_7</vt:lpwstr>
      </vt:variant>
      <vt:variant>
        <vt:i4>4194315</vt:i4>
      </vt:variant>
      <vt:variant>
        <vt:i4>588</vt:i4>
      </vt:variant>
      <vt:variant>
        <vt:i4>0</vt:i4>
      </vt:variant>
      <vt:variant>
        <vt:i4>5</vt:i4>
      </vt:variant>
      <vt:variant>
        <vt:lpwstr/>
      </vt:variant>
      <vt:variant>
        <vt:lpwstr>_ENREF_15</vt:lpwstr>
      </vt:variant>
      <vt:variant>
        <vt:i4>4194315</vt:i4>
      </vt:variant>
      <vt:variant>
        <vt:i4>582</vt:i4>
      </vt:variant>
      <vt:variant>
        <vt:i4>0</vt:i4>
      </vt:variant>
      <vt:variant>
        <vt:i4>5</vt:i4>
      </vt:variant>
      <vt:variant>
        <vt:lpwstr/>
      </vt:variant>
      <vt:variant>
        <vt:lpwstr>_ENREF_18</vt:lpwstr>
      </vt:variant>
      <vt:variant>
        <vt:i4>4718603</vt:i4>
      </vt:variant>
      <vt:variant>
        <vt:i4>576</vt:i4>
      </vt:variant>
      <vt:variant>
        <vt:i4>0</vt:i4>
      </vt:variant>
      <vt:variant>
        <vt:i4>5</vt:i4>
      </vt:variant>
      <vt:variant>
        <vt:lpwstr/>
      </vt:variant>
      <vt:variant>
        <vt:lpwstr>_ENREF_9</vt:lpwstr>
      </vt:variant>
      <vt:variant>
        <vt:i4>4390923</vt:i4>
      </vt:variant>
      <vt:variant>
        <vt:i4>570</vt:i4>
      </vt:variant>
      <vt:variant>
        <vt:i4>0</vt:i4>
      </vt:variant>
      <vt:variant>
        <vt:i4>5</vt:i4>
      </vt:variant>
      <vt:variant>
        <vt:lpwstr/>
      </vt:variant>
      <vt:variant>
        <vt:lpwstr>_ENREF_28</vt:lpwstr>
      </vt:variant>
      <vt:variant>
        <vt:i4>4390923</vt:i4>
      </vt:variant>
      <vt:variant>
        <vt:i4>562</vt:i4>
      </vt:variant>
      <vt:variant>
        <vt:i4>0</vt:i4>
      </vt:variant>
      <vt:variant>
        <vt:i4>5</vt:i4>
      </vt:variant>
      <vt:variant>
        <vt:lpwstr/>
      </vt:variant>
      <vt:variant>
        <vt:lpwstr>_ENREF_28</vt:lpwstr>
      </vt:variant>
      <vt:variant>
        <vt:i4>4194315</vt:i4>
      </vt:variant>
      <vt:variant>
        <vt:i4>559</vt:i4>
      </vt:variant>
      <vt:variant>
        <vt:i4>0</vt:i4>
      </vt:variant>
      <vt:variant>
        <vt:i4>5</vt:i4>
      </vt:variant>
      <vt:variant>
        <vt:lpwstr/>
      </vt:variant>
      <vt:variant>
        <vt:lpwstr>_ENREF_18</vt:lpwstr>
      </vt:variant>
      <vt:variant>
        <vt:i4>4390923</vt:i4>
      </vt:variant>
      <vt:variant>
        <vt:i4>551</vt:i4>
      </vt:variant>
      <vt:variant>
        <vt:i4>0</vt:i4>
      </vt:variant>
      <vt:variant>
        <vt:i4>5</vt:i4>
      </vt:variant>
      <vt:variant>
        <vt:lpwstr/>
      </vt:variant>
      <vt:variant>
        <vt:lpwstr>_ENREF_27</vt:lpwstr>
      </vt:variant>
      <vt:variant>
        <vt:i4>4325387</vt:i4>
      </vt:variant>
      <vt:variant>
        <vt:i4>543</vt:i4>
      </vt:variant>
      <vt:variant>
        <vt:i4>0</vt:i4>
      </vt:variant>
      <vt:variant>
        <vt:i4>5</vt:i4>
      </vt:variant>
      <vt:variant>
        <vt:lpwstr/>
      </vt:variant>
      <vt:variant>
        <vt:lpwstr>_ENREF_33</vt:lpwstr>
      </vt:variant>
      <vt:variant>
        <vt:i4>4194315</vt:i4>
      </vt:variant>
      <vt:variant>
        <vt:i4>540</vt:i4>
      </vt:variant>
      <vt:variant>
        <vt:i4>0</vt:i4>
      </vt:variant>
      <vt:variant>
        <vt:i4>5</vt:i4>
      </vt:variant>
      <vt:variant>
        <vt:lpwstr/>
      </vt:variant>
      <vt:variant>
        <vt:lpwstr>_ENREF_18</vt:lpwstr>
      </vt:variant>
      <vt:variant>
        <vt:i4>4325387</vt:i4>
      </vt:variant>
      <vt:variant>
        <vt:i4>532</vt:i4>
      </vt:variant>
      <vt:variant>
        <vt:i4>0</vt:i4>
      </vt:variant>
      <vt:variant>
        <vt:i4>5</vt:i4>
      </vt:variant>
      <vt:variant>
        <vt:lpwstr/>
      </vt:variant>
      <vt:variant>
        <vt:lpwstr>_ENREF_33</vt:lpwstr>
      </vt:variant>
      <vt:variant>
        <vt:i4>4653067</vt:i4>
      </vt:variant>
      <vt:variant>
        <vt:i4>529</vt:i4>
      </vt:variant>
      <vt:variant>
        <vt:i4>0</vt:i4>
      </vt:variant>
      <vt:variant>
        <vt:i4>5</vt:i4>
      </vt:variant>
      <vt:variant>
        <vt:lpwstr/>
      </vt:variant>
      <vt:variant>
        <vt:lpwstr>_ENREF_6</vt:lpwstr>
      </vt:variant>
      <vt:variant>
        <vt:i4>4325387</vt:i4>
      </vt:variant>
      <vt:variant>
        <vt:i4>521</vt:i4>
      </vt:variant>
      <vt:variant>
        <vt:i4>0</vt:i4>
      </vt:variant>
      <vt:variant>
        <vt:i4>5</vt:i4>
      </vt:variant>
      <vt:variant>
        <vt:lpwstr/>
      </vt:variant>
      <vt:variant>
        <vt:lpwstr>_ENREF_33</vt:lpwstr>
      </vt:variant>
      <vt:variant>
        <vt:i4>4194315</vt:i4>
      </vt:variant>
      <vt:variant>
        <vt:i4>513</vt:i4>
      </vt:variant>
      <vt:variant>
        <vt:i4>0</vt:i4>
      </vt:variant>
      <vt:variant>
        <vt:i4>5</vt:i4>
      </vt:variant>
      <vt:variant>
        <vt:lpwstr/>
      </vt:variant>
      <vt:variant>
        <vt:lpwstr>_ENREF_12</vt:lpwstr>
      </vt:variant>
      <vt:variant>
        <vt:i4>4194315</vt:i4>
      </vt:variant>
      <vt:variant>
        <vt:i4>507</vt:i4>
      </vt:variant>
      <vt:variant>
        <vt:i4>0</vt:i4>
      </vt:variant>
      <vt:variant>
        <vt:i4>5</vt:i4>
      </vt:variant>
      <vt:variant>
        <vt:lpwstr/>
      </vt:variant>
      <vt:variant>
        <vt:lpwstr>_ENREF_12</vt:lpwstr>
      </vt:variant>
      <vt:variant>
        <vt:i4>4718603</vt:i4>
      </vt:variant>
      <vt:variant>
        <vt:i4>504</vt:i4>
      </vt:variant>
      <vt:variant>
        <vt:i4>0</vt:i4>
      </vt:variant>
      <vt:variant>
        <vt:i4>5</vt:i4>
      </vt:variant>
      <vt:variant>
        <vt:lpwstr/>
      </vt:variant>
      <vt:variant>
        <vt:lpwstr>_ENREF_9</vt:lpwstr>
      </vt:variant>
      <vt:variant>
        <vt:i4>4456459</vt:i4>
      </vt:variant>
      <vt:variant>
        <vt:i4>496</vt:i4>
      </vt:variant>
      <vt:variant>
        <vt:i4>0</vt:i4>
      </vt:variant>
      <vt:variant>
        <vt:i4>5</vt:i4>
      </vt:variant>
      <vt:variant>
        <vt:lpwstr/>
      </vt:variant>
      <vt:variant>
        <vt:lpwstr>_ENREF_5</vt:lpwstr>
      </vt:variant>
      <vt:variant>
        <vt:i4>4194315</vt:i4>
      </vt:variant>
      <vt:variant>
        <vt:i4>488</vt:i4>
      </vt:variant>
      <vt:variant>
        <vt:i4>0</vt:i4>
      </vt:variant>
      <vt:variant>
        <vt:i4>5</vt:i4>
      </vt:variant>
      <vt:variant>
        <vt:lpwstr/>
      </vt:variant>
      <vt:variant>
        <vt:lpwstr>_ENREF_10</vt:lpwstr>
      </vt:variant>
      <vt:variant>
        <vt:i4>4587531</vt:i4>
      </vt:variant>
      <vt:variant>
        <vt:i4>485</vt:i4>
      </vt:variant>
      <vt:variant>
        <vt:i4>0</vt:i4>
      </vt:variant>
      <vt:variant>
        <vt:i4>5</vt:i4>
      </vt:variant>
      <vt:variant>
        <vt:lpwstr/>
      </vt:variant>
      <vt:variant>
        <vt:lpwstr>_ENREF_7</vt:lpwstr>
      </vt:variant>
      <vt:variant>
        <vt:i4>4194315</vt:i4>
      </vt:variant>
      <vt:variant>
        <vt:i4>477</vt:i4>
      </vt:variant>
      <vt:variant>
        <vt:i4>0</vt:i4>
      </vt:variant>
      <vt:variant>
        <vt:i4>5</vt:i4>
      </vt:variant>
      <vt:variant>
        <vt:lpwstr/>
      </vt:variant>
      <vt:variant>
        <vt:lpwstr>_ENREF_10</vt:lpwstr>
      </vt:variant>
      <vt:variant>
        <vt:i4>4587531</vt:i4>
      </vt:variant>
      <vt:variant>
        <vt:i4>471</vt:i4>
      </vt:variant>
      <vt:variant>
        <vt:i4>0</vt:i4>
      </vt:variant>
      <vt:variant>
        <vt:i4>5</vt:i4>
      </vt:variant>
      <vt:variant>
        <vt:lpwstr/>
      </vt:variant>
      <vt:variant>
        <vt:lpwstr>_ENREF_7</vt:lpwstr>
      </vt:variant>
      <vt:variant>
        <vt:i4>4194315</vt:i4>
      </vt:variant>
      <vt:variant>
        <vt:i4>465</vt:i4>
      </vt:variant>
      <vt:variant>
        <vt:i4>0</vt:i4>
      </vt:variant>
      <vt:variant>
        <vt:i4>5</vt:i4>
      </vt:variant>
      <vt:variant>
        <vt:lpwstr/>
      </vt:variant>
      <vt:variant>
        <vt:lpwstr>_ENREF_10</vt:lpwstr>
      </vt:variant>
      <vt:variant>
        <vt:i4>4587531</vt:i4>
      </vt:variant>
      <vt:variant>
        <vt:i4>462</vt:i4>
      </vt:variant>
      <vt:variant>
        <vt:i4>0</vt:i4>
      </vt:variant>
      <vt:variant>
        <vt:i4>5</vt:i4>
      </vt:variant>
      <vt:variant>
        <vt:lpwstr/>
      </vt:variant>
      <vt:variant>
        <vt:lpwstr>_ENREF_7</vt:lpwstr>
      </vt:variant>
      <vt:variant>
        <vt:i4>4325387</vt:i4>
      </vt:variant>
      <vt:variant>
        <vt:i4>454</vt:i4>
      </vt:variant>
      <vt:variant>
        <vt:i4>0</vt:i4>
      </vt:variant>
      <vt:variant>
        <vt:i4>5</vt:i4>
      </vt:variant>
      <vt:variant>
        <vt:lpwstr/>
      </vt:variant>
      <vt:variant>
        <vt:lpwstr>_ENREF_30</vt:lpwstr>
      </vt:variant>
      <vt:variant>
        <vt:i4>4194315</vt:i4>
      </vt:variant>
      <vt:variant>
        <vt:i4>446</vt:i4>
      </vt:variant>
      <vt:variant>
        <vt:i4>0</vt:i4>
      </vt:variant>
      <vt:variant>
        <vt:i4>5</vt:i4>
      </vt:variant>
      <vt:variant>
        <vt:lpwstr/>
      </vt:variant>
      <vt:variant>
        <vt:lpwstr>_ENREF_16</vt:lpwstr>
      </vt:variant>
      <vt:variant>
        <vt:i4>4194315</vt:i4>
      </vt:variant>
      <vt:variant>
        <vt:i4>443</vt:i4>
      </vt:variant>
      <vt:variant>
        <vt:i4>0</vt:i4>
      </vt:variant>
      <vt:variant>
        <vt:i4>5</vt:i4>
      </vt:variant>
      <vt:variant>
        <vt:lpwstr/>
      </vt:variant>
      <vt:variant>
        <vt:lpwstr>_ENREF_10</vt:lpwstr>
      </vt:variant>
      <vt:variant>
        <vt:i4>4587531</vt:i4>
      </vt:variant>
      <vt:variant>
        <vt:i4>435</vt:i4>
      </vt:variant>
      <vt:variant>
        <vt:i4>0</vt:i4>
      </vt:variant>
      <vt:variant>
        <vt:i4>5</vt:i4>
      </vt:variant>
      <vt:variant>
        <vt:lpwstr/>
      </vt:variant>
      <vt:variant>
        <vt:lpwstr>_ENREF_7</vt:lpwstr>
      </vt:variant>
      <vt:variant>
        <vt:i4>6684772</vt:i4>
      </vt:variant>
      <vt:variant>
        <vt:i4>430</vt:i4>
      </vt:variant>
      <vt:variant>
        <vt:i4>0</vt:i4>
      </vt:variant>
      <vt:variant>
        <vt:i4>5</vt:i4>
      </vt:variant>
      <vt:variant>
        <vt:lpwstr>http://www.gesa.org.au/consumer.asp?cid=7&amp;id=79</vt:lpwstr>
      </vt:variant>
      <vt:variant>
        <vt:lpwstr/>
      </vt:variant>
      <vt:variant>
        <vt:i4>5767182</vt:i4>
      </vt:variant>
      <vt:variant>
        <vt:i4>427</vt:i4>
      </vt:variant>
      <vt:variant>
        <vt:i4>0</vt:i4>
      </vt:variant>
      <vt:variant>
        <vt:i4>5</vt:i4>
      </vt:variant>
      <vt:variant>
        <vt:lpwstr>http://www.aboutgerd.org/</vt:lpwstr>
      </vt:variant>
      <vt:variant>
        <vt:lpwstr/>
      </vt:variant>
      <vt:variant>
        <vt:i4>4194315</vt:i4>
      </vt:variant>
      <vt:variant>
        <vt:i4>423</vt:i4>
      </vt:variant>
      <vt:variant>
        <vt:i4>0</vt:i4>
      </vt:variant>
      <vt:variant>
        <vt:i4>5</vt:i4>
      </vt:variant>
      <vt:variant>
        <vt:lpwstr/>
      </vt:variant>
      <vt:variant>
        <vt:lpwstr>_ENREF_11</vt:lpwstr>
      </vt:variant>
      <vt:variant>
        <vt:i4>4194315</vt:i4>
      </vt:variant>
      <vt:variant>
        <vt:i4>420</vt:i4>
      </vt:variant>
      <vt:variant>
        <vt:i4>0</vt:i4>
      </vt:variant>
      <vt:variant>
        <vt:i4>5</vt:i4>
      </vt:variant>
      <vt:variant>
        <vt:lpwstr/>
      </vt:variant>
      <vt:variant>
        <vt:lpwstr>_ENREF_10</vt:lpwstr>
      </vt:variant>
      <vt:variant>
        <vt:i4>4194315</vt:i4>
      </vt:variant>
      <vt:variant>
        <vt:i4>412</vt:i4>
      </vt:variant>
      <vt:variant>
        <vt:i4>0</vt:i4>
      </vt:variant>
      <vt:variant>
        <vt:i4>5</vt:i4>
      </vt:variant>
      <vt:variant>
        <vt:lpwstr/>
      </vt:variant>
      <vt:variant>
        <vt:lpwstr>_ENREF_12</vt:lpwstr>
      </vt:variant>
      <vt:variant>
        <vt:i4>4325387</vt:i4>
      </vt:variant>
      <vt:variant>
        <vt:i4>409</vt:i4>
      </vt:variant>
      <vt:variant>
        <vt:i4>0</vt:i4>
      </vt:variant>
      <vt:variant>
        <vt:i4>5</vt:i4>
      </vt:variant>
      <vt:variant>
        <vt:lpwstr/>
      </vt:variant>
      <vt:variant>
        <vt:lpwstr>_ENREF_3</vt:lpwstr>
      </vt:variant>
      <vt:variant>
        <vt:i4>4587531</vt:i4>
      </vt:variant>
      <vt:variant>
        <vt:i4>401</vt:i4>
      </vt:variant>
      <vt:variant>
        <vt:i4>0</vt:i4>
      </vt:variant>
      <vt:variant>
        <vt:i4>5</vt:i4>
      </vt:variant>
      <vt:variant>
        <vt:lpwstr/>
      </vt:variant>
      <vt:variant>
        <vt:lpwstr>_ENREF_7</vt:lpwstr>
      </vt:variant>
      <vt:variant>
        <vt:i4>1835059</vt:i4>
      </vt:variant>
      <vt:variant>
        <vt:i4>392</vt:i4>
      </vt:variant>
      <vt:variant>
        <vt:i4>0</vt:i4>
      </vt:variant>
      <vt:variant>
        <vt:i4>5</vt:i4>
      </vt:variant>
      <vt:variant>
        <vt:lpwstr/>
      </vt:variant>
      <vt:variant>
        <vt:lpwstr>_Toc356463093</vt:lpwstr>
      </vt:variant>
      <vt:variant>
        <vt:i4>1835059</vt:i4>
      </vt:variant>
      <vt:variant>
        <vt:i4>386</vt:i4>
      </vt:variant>
      <vt:variant>
        <vt:i4>0</vt:i4>
      </vt:variant>
      <vt:variant>
        <vt:i4>5</vt:i4>
      </vt:variant>
      <vt:variant>
        <vt:lpwstr/>
      </vt:variant>
      <vt:variant>
        <vt:lpwstr>_Toc356463092</vt:lpwstr>
      </vt:variant>
      <vt:variant>
        <vt:i4>1310768</vt:i4>
      </vt:variant>
      <vt:variant>
        <vt:i4>377</vt:i4>
      </vt:variant>
      <vt:variant>
        <vt:i4>0</vt:i4>
      </vt:variant>
      <vt:variant>
        <vt:i4>5</vt:i4>
      </vt:variant>
      <vt:variant>
        <vt:lpwstr/>
      </vt:variant>
      <vt:variant>
        <vt:lpwstr>_Toc257626766</vt:lpwstr>
      </vt:variant>
      <vt:variant>
        <vt:i4>1310768</vt:i4>
      </vt:variant>
      <vt:variant>
        <vt:i4>371</vt:i4>
      </vt:variant>
      <vt:variant>
        <vt:i4>0</vt:i4>
      </vt:variant>
      <vt:variant>
        <vt:i4>5</vt:i4>
      </vt:variant>
      <vt:variant>
        <vt:lpwstr/>
      </vt:variant>
      <vt:variant>
        <vt:lpwstr>_Toc257626765</vt:lpwstr>
      </vt:variant>
      <vt:variant>
        <vt:i4>1310768</vt:i4>
      </vt:variant>
      <vt:variant>
        <vt:i4>362</vt:i4>
      </vt:variant>
      <vt:variant>
        <vt:i4>0</vt:i4>
      </vt:variant>
      <vt:variant>
        <vt:i4>5</vt:i4>
      </vt:variant>
      <vt:variant>
        <vt:lpwstr/>
      </vt:variant>
      <vt:variant>
        <vt:lpwstr>_Toc257626764</vt:lpwstr>
      </vt:variant>
      <vt:variant>
        <vt:i4>1310768</vt:i4>
      </vt:variant>
      <vt:variant>
        <vt:i4>356</vt:i4>
      </vt:variant>
      <vt:variant>
        <vt:i4>0</vt:i4>
      </vt:variant>
      <vt:variant>
        <vt:i4>5</vt:i4>
      </vt:variant>
      <vt:variant>
        <vt:lpwstr/>
      </vt:variant>
      <vt:variant>
        <vt:lpwstr>_Toc257626763</vt:lpwstr>
      </vt:variant>
      <vt:variant>
        <vt:i4>1310768</vt:i4>
      </vt:variant>
      <vt:variant>
        <vt:i4>350</vt:i4>
      </vt:variant>
      <vt:variant>
        <vt:i4>0</vt:i4>
      </vt:variant>
      <vt:variant>
        <vt:i4>5</vt:i4>
      </vt:variant>
      <vt:variant>
        <vt:lpwstr/>
      </vt:variant>
      <vt:variant>
        <vt:lpwstr>_Toc257626762</vt:lpwstr>
      </vt:variant>
      <vt:variant>
        <vt:i4>1310768</vt:i4>
      </vt:variant>
      <vt:variant>
        <vt:i4>344</vt:i4>
      </vt:variant>
      <vt:variant>
        <vt:i4>0</vt:i4>
      </vt:variant>
      <vt:variant>
        <vt:i4>5</vt:i4>
      </vt:variant>
      <vt:variant>
        <vt:lpwstr/>
      </vt:variant>
      <vt:variant>
        <vt:lpwstr>_Toc257626761</vt:lpwstr>
      </vt:variant>
      <vt:variant>
        <vt:i4>1310768</vt:i4>
      </vt:variant>
      <vt:variant>
        <vt:i4>338</vt:i4>
      </vt:variant>
      <vt:variant>
        <vt:i4>0</vt:i4>
      </vt:variant>
      <vt:variant>
        <vt:i4>5</vt:i4>
      </vt:variant>
      <vt:variant>
        <vt:lpwstr/>
      </vt:variant>
      <vt:variant>
        <vt:lpwstr>_Toc257626760</vt:lpwstr>
      </vt:variant>
      <vt:variant>
        <vt:i4>1507376</vt:i4>
      </vt:variant>
      <vt:variant>
        <vt:i4>332</vt:i4>
      </vt:variant>
      <vt:variant>
        <vt:i4>0</vt:i4>
      </vt:variant>
      <vt:variant>
        <vt:i4>5</vt:i4>
      </vt:variant>
      <vt:variant>
        <vt:lpwstr/>
      </vt:variant>
      <vt:variant>
        <vt:lpwstr>_Toc257626759</vt:lpwstr>
      </vt:variant>
      <vt:variant>
        <vt:i4>1048627</vt:i4>
      </vt:variant>
      <vt:variant>
        <vt:i4>323</vt:i4>
      </vt:variant>
      <vt:variant>
        <vt:i4>0</vt:i4>
      </vt:variant>
      <vt:variant>
        <vt:i4>5</vt:i4>
      </vt:variant>
      <vt:variant>
        <vt:lpwstr/>
      </vt:variant>
      <vt:variant>
        <vt:lpwstr>_Toc356463050</vt:lpwstr>
      </vt:variant>
      <vt:variant>
        <vt:i4>1114163</vt:i4>
      </vt:variant>
      <vt:variant>
        <vt:i4>317</vt:i4>
      </vt:variant>
      <vt:variant>
        <vt:i4>0</vt:i4>
      </vt:variant>
      <vt:variant>
        <vt:i4>5</vt:i4>
      </vt:variant>
      <vt:variant>
        <vt:lpwstr/>
      </vt:variant>
      <vt:variant>
        <vt:lpwstr>_Toc356463049</vt:lpwstr>
      </vt:variant>
      <vt:variant>
        <vt:i4>1114163</vt:i4>
      </vt:variant>
      <vt:variant>
        <vt:i4>311</vt:i4>
      </vt:variant>
      <vt:variant>
        <vt:i4>0</vt:i4>
      </vt:variant>
      <vt:variant>
        <vt:i4>5</vt:i4>
      </vt:variant>
      <vt:variant>
        <vt:lpwstr/>
      </vt:variant>
      <vt:variant>
        <vt:lpwstr>_Toc356463048</vt:lpwstr>
      </vt:variant>
      <vt:variant>
        <vt:i4>1114163</vt:i4>
      </vt:variant>
      <vt:variant>
        <vt:i4>305</vt:i4>
      </vt:variant>
      <vt:variant>
        <vt:i4>0</vt:i4>
      </vt:variant>
      <vt:variant>
        <vt:i4>5</vt:i4>
      </vt:variant>
      <vt:variant>
        <vt:lpwstr/>
      </vt:variant>
      <vt:variant>
        <vt:lpwstr>_Toc356463047</vt:lpwstr>
      </vt:variant>
      <vt:variant>
        <vt:i4>1114163</vt:i4>
      </vt:variant>
      <vt:variant>
        <vt:i4>299</vt:i4>
      </vt:variant>
      <vt:variant>
        <vt:i4>0</vt:i4>
      </vt:variant>
      <vt:variant>
        <vt:i4>5</vt:i4>
      </vt:variant>
      <vt:variant>
        <vt:lpwstr/>
      </vt:variant>
      <vt:variant>
        <vt:lpwstr>_Toc356463046</vt:lpwstr>
      </vt:variant>
      <vt:variant>
        <vt:i4>1114163</vt:i4>
      </vt:variant>
      <vt:variant>
        <vt:i4>293</vt:i4>
      </vt:variant>
      <vt:variant>
        <vt:i4>0</vt:i4>
      </vt:variant>
      <vt:variant>
        <vt:i4>5</vt:i4>
      </vt:variant>
      <vt:variant>
        <vt:lpwstr/>
      </vt:variant>
      <vt:variant>
        <vt:lpwstr>_Toc356463045</vt:lpwstr>
      </vt:variant>
      <vt:variant>
        <vt:i4>1114163</vt:i4>
      </vt:variant>
      <vt:variant>
        <vt:i4>287</vt:i4>
      </vt:variant>
      <vt:variant>
        <vt:i4>0</vt:i4>
      </vt:variant>
      <vt:variant>
        <vt:i4>5</vt:i4>
      </vt:variant>
      <vt:variant>
        <vt:lpwstr/>
      </vt:variant>
      <vt:variant>
        <vt:lpwstr>_Toc356463044</vt:lpwstr>
      </vt:variant>
      <vt:variant>
        <vt:i4>1114163</vt:i4>
      </vt:variant>
      <vt:variant>
        <vt:i4>281</vt:i4>
      </vt:variant>
      <vt:variant>
        <vt:i4>0</vt:i4>
      </vt:variant>
      <vt:variant>
        <vt:i4>5</vt:i4>
      </vt:variant>
      <vt:variant>
        <vt:lpwstr/>
      </vt:variant>
      <vt:variant>
        <vt:lpwstr>_Toc356463043</vt:lpwstr>
      </vt:variant>
      <vt:variant>
        <vt:i4>1114163</vt:i4>
      </vt:variant>
      <vt:variant>
        <vt:i4>275</vt:i4>
      </vt:variant>
      <vt:variant>
        <vt:i4>0</vt:i4>
      </vt:variant>
      <vt:variant>
        <vt:i4>5</vt:i4>
      </vt:variant>
      <vt:variant>
        <vt:lpwstr/>
      </vt:variant>
      <vt:variant>
        <vt:lpwstr>_Toc356463042</vt:lpwstr>
      </vt:variant>
      <vt:variant>
        <vt:i4>1114163</vt:i4>
      </vt:variant>
      <vt:variant>
        <vt:i4>269</vt:i4>
      </vt:variant>
      <vt:variant>
        <vt:i4>0</vt:i4>
      </vt:variant>
      <vt:variant>
        <vt:i4>5</vt:i4>
      </vt:variant>
      <vt:variant>
        <vt:lpwstr/>
      </vt:variant>
      <vt:variant>
        <vt:lpwstr>_Toc356463041</vt:lpwstr>
      </vt:variant>
      <vt:variant>
        <vt:i4>1114163</vt:i4>
      </vt:variant>
      <vt:variant>
        <vt:i4>263</vt:i4>
      </vt:variant>
      <vt:variant>
        <vt:i4>0</vt:i4>
      </vt:variant>
      <vt:variant>
        <vt:i4>5</vt:i4>
      </vt:variant>
      <vt:variant>
        <vt:lpwstr/>
      </vt:variant>
      <vt:variant>
        <vt:lpwstr>_Toc356463040</vt:lpwstr>
      </vt:variant>
      <vt:variant>
        <vt:i4>1441843</vt:i4>
      </vt:variant>
      <vt:variant>
        <vt:i4>257</vt:i4>
      </vt:variant>
      <vt:variant>
        <vt:i4>0</vt:i4>
      </vt:variant>
      <vt:variant>
        <vt:i4>5</vt:i4>
      </vt:variant>
      <vt:variant>
        <vt:lpwstr/>
      </vt:variant>
      <vt:variant>
        <vt:lpwstr>_Toc356463039</vt:lpwstr>
      </vt:variant>
      <vt:variant>
        <vt:i4>1441843</vt:i4>
      </vt:variant>
      <vt:variant>
        <vt:i4>251</vt:i4>
      </vt:variant>
      <vt:variant>
        <vt:i4>0</vt:i4>
      </vt:variant>
      <vt:variant>
        <vt:i4>5</vt:i4>
      </vt:variant>
      <vt:variant>
        <vt:lpwstr/>
      </vt:variant>
      <vt:variant>
        <vt:lpwstr>_Toc356463038</vt:lpwstr>
      </vt:variant>
      <vt:variant>
        <vt:i4>1441843</vt:i4>
      </vt:variant>
      <vt:variant>
        <vt:i4>245</vt:i4>
      </vt:variant>
      <vt:variant>
        <vt:i4>0</vt:i4>
      </vt:variant>
      <vt:variant>
        <vt:i4>5</vt:i4>
      </vt:variant>
      <vt:variant>
        <vt:lpwstr/>
      </vt:variant>
      <vt:variant>
        <vt:lpwstr>_Toc356463037</vt:lpwstr>
      </vt:variant>
      <vt:variant>
        <vt:i4>1441843</vt:i4>
      </vt:variant>
      <vt:variant>
        <vt:i4>239</vt:i4>
      </vt:variant>
      <vt:variant>
        <vt:i4>0</vt:i4>
      </vt:variant>
      <vt:variant>
        <vt:i4>5</vt:i4>
      </vt:variant>
      <vt:variant>
        <vt:lpwstr/>
      </vt:variant>
      <vt:variant>
        <vt:lpwstr>_Toc356463036</vt:lpwstr>
      </vt:variant>
      <vt:variant>
        <vt:i4>1441843</vt:i4>
      </vt:variant>
      <vt:variant>
        <vt:i4>233</vt:i4>
      </vt:variant>
      <vt:variant>
        <vt:i4>0</vt:i4>
      </vt:variant>
      <vt:variant>
        <vt:i4>5</vt:i4>
      </vt:variant>
      <vt:variant>
        <vt:lpwstr/>
      </vt:variant>
      <vt:variant>
        <vt:lpwstr>_Toc356463035</vt:lpwstr>
      </vt:variant>
      <vt:variant>
        <vt:i4>1441843</vt:i4>
      </vt:variant>
      <vt:variant>
        <vt:i4>227</vt:i4>
      </vt:variant>
      <vt:variant>
        <vt:i4>0</vt:i4>
      </vt:variant>
      <vt:variant>
        <vt:i4>5</vt:i4>
      </vt:variant>
      <vt:variant>
        <vt:lpwstr/>
      </vt:variant>
      <vt:variant>
        <vt:lpwstr>_Toc356463034</vt:lpwstr>
      </vt:variant>
      <vt:variant>
        <vt:i4>1441843</vt:i4>
      </vt:variant>
      <vt:variant>
        <vt:i4>221</vt:i4>
      </vt:variant>
      <vt:variant>
        <vt:i4>0</vt:i4>
      </vt:variant>
      <vt:variant>
        <vt:i4>5</vt:i4>
      </vt:variant>
      <vt:variant>
        <vt:lpwstr/>
      </vt:variant>
      <vt:variant>
        <vt:lpwstr>_Toc356463033</vt:lpwstr>
      </vt:variant>
      <vt:variant>
        <vt:i4>1441843</vt:i4>
      </vt:variant>
      <vt:variant>
        <vt:i4>215</vt:i4>
      </vt:variant>
      <vt:variant>
        <vt:i4>0</vt:i4>
      </vt:variant>
      <vt:variant>
        <vt:i4>5</vt:i4>
      </vt:variant>
      <vt:variant>
        <vt:lpwstr/>
      </vt:variant>
      <vt:variant>
        <vt:lpwstr>_Toc356463032</vt:lpwstr>
      </vt:variant>
      <vt:variant>
        <vt:i4>1441843</vt:i4>
      </vt:variant>
      <vt:variant>
        <vt:i4>209</vt:i4>
      </vt:variant>
      <vt:variant>
        <vt:i4>0</vt:i4>
      </vt:variant>
      <vt:variant>
        <vt:i4>5</vt:i4>
      </vt:variant>
      <vt:variant>
        <vt:lpwstr/>
      </vt:variant>
      <vt:variant>
        <vt:lpwstr>_Toc356463031</vt:lpwstr>
      </vt:variant>
      <vt:variant>
        <vt:i4>1441843</vt:i4>
      </vt:variant>
      <vt:variant>
        <vt:i4>203</vt:i4>
      </vt:variant>
      <vt:variant>
        <vt:i4>0</vt:i4>
      </vt:variant>
      <vt:variant>
        <vt:i4>5</vt:i4>
      </vt:variant>
      <vt:variant>
        <vt:lpwstr/>
      </vt:variant>
      <vt:variant>
        <vt:lpwstr>_Toc356463030</vt:lpwstr>
      </vt:variant>
      <vt:variant>
        <vt:i4>1507379</vt:i4>
      </vt:variant>
      <vt:variant>
        <vt:i4>197</vt:i4>
      </vt:variant>
      <vt:variant>
        <vt:i4>0</vt:i4>
      </vt:variant>
      <vt:variant>
        <vt:i4>5</vt:i4>
      </vt:variant>
      <vt:variant>
        <vt:lpwstr/>
      </vt:variant>
      <vt:variant>
        <vt:lpwstr>_Toc356463029</vt:lpwstr>
      </vt:variant>
      <vt:variant>
        <vt:i4>1507379</vt:i4>
      </vt:variant>
      <vt:variant>
        <vt:i4>191</vt:i4>
      </vt:variant>
      <vt:variant>
        <vt:i4>0</vt:i4>
      </vt:variant>
      <vt:variant>
        <vt:i4>5</vt:i4>
      </vt:variant>
      <vt:variant>
        <vt:lpwstr/>
      </vt:variant>
      <vt:variant>
        <vt:lpwstr>_Toc356463028</vt:lpwstr>
      </vt:variant>
      <vt:variant>
        <vt:i4>1507379</vt:i4>
      </vt:variant>
      <vt:variant>
        <vt:i4>185</vt:i4>
      </vt:variant>
      <vt:variant>
        <vt:i4>0</vt:i4>
      </vt:variant>
      <vt:variant>
        <vt:i4>5</vt:i4>
      </vt:variant>
      <vt:variant>
        <vt:lpwstr/>
      </vt:variant>
      <vt:variant>
        <vt:lpwstr>_Toc356463027</vt:lpwstr>
      </vt:variant>
      <vt:variant>
        <vt:i4>1507379</vt:i4>
      </vt:variant>
      <vt:variant>
        <vt:i4>179</vt:i4>
      </vt:variant>
      <vt:variant>
        <vt:i4>0</vt:i4>
      </vt:variant>
      <vt:variant>
        <vt:i4>5</vt:i4>
      </vt:variant>
      <vt:variant>
        <vt:lpwstr/>
      </vt:variant>
      <vt:variant>
        <vt:lpwstr>_Toc356463026</vt:lpwstr>
      </vt:variant>
      <vt:variant>
        <vt:i4>1507379</vt:i4>
      </vt:variant>
      <vt:variant>
        <vt:i4>173</vt:i4>
      </vt:variant>
      <vt:variant>
        <vt:i4>0</vt:i4>
      </vt:variant>
      <vt:variant>
        <vt:i4>5</vt:i4>
      </vt:variant>
      <vt:variant>
        <vt:lpwstr/>
      </vt:variant>
      <vt:variant>
        <vt:lpwstr>_Toc356463025</vt:lpwstr>
      </vt:variant>
      <vt:variant>
        <vt:i4>1507379</vt:i4>
      </vt:variant>
      <vt:variant>
        <vt:i4>167</vt:i4>
      </vt:variant>
      <vt:variant>
        <vt:i4>0</vt:i4>
      </vt:variant>
      <vt:variant>
        <vt:i4>5</vt:i4>
      </vt:variant>
      <vt:variant>
        <vt:lpwstr/>
      </vt:variant>
      <vt:variant>
        <vt:lpwstr>_Toc356463024</vt:lpwstr>
      </vt:variant>
      <vt:variant>
        <vt:i4>1507379</vt:i4>
      </vt:variant>
      <vt:variant>
        <vt:i4>161</vt:i4>
      </vt:variant>
      <vt:variant>
        <vt:i4>0</vt:i4>
      </vt:variant>
      <vt:variant>
        <vt:i4>5</vt:i4>
      </vt:variant>
      <vt:variant>
        <vt:lpwstr/>
      </vt:variant>
      <vt:variant>
        <vt:lpwstr>_Toc356463023</vt:lpwstr>
      </vt:variant>
      <vt:variant>
        <vt:i4>1507379</vt:i4>
      </vt:variant>
      <vt:variant>
        <vt:i4>155</vt:i4>
      </vt:variant>
      <vt:variant>
        <vt:i4>0</vt:i4>
      </vt:variant>
      <vt:variant>
        <vt:i4>5</vt:i4>
      </vt:variant>
      <vt:variant>
        <vt:lpwstr/>
      </vt:variant>
      <vt:variant>
        <vt:lpwstr>_Toc356463022</vt:lpwstr>
      </vt:variant>
      <vt:variant>
        <vt:i4>1507379</vt:i4>
      </vt:variant>
      <vt:variant>
        <vt:i4>149</vt:i4>
      </vt:variant>
      <vt:variant>
        <vt:i4>0</vt:i4>
      </vt:variant>
      <vt:variant>
        <vt:i4>5</vt:i4>
      </vt:variant>
      <vt:variant>
        <vt:lpwstr/>
      </vt:variant>
      <vt:variant>
        <vt:lpwstr>_Toc356463021</vt:lpwstr>
      </vt:variant>
      <vt:variant>
        <vt:i4>1507379</vt:i4>
      </vt:variant>
      <vt:variant>
        <vt:i4>143</vt:i4>
      </vt:variant>
      <vt:variant>
        <vt:i4>0</vt:i4>
      </vt:variant>
      <vt:variant>
        <vt:i4>5</vt:i4>
      </vt:variant>
      <vt:variant>
        <vt:lpwstr/>
      </vt:variant>
      <vt:variant>
        <vt:lpwstr>_Toc356463020</vt:lpwstr>
      </vt:variant>
      <vt:variant>
        <vt:i4>1310771</vt:i4>
      </vt:variant>
      <vt:variant>
        <vt:i4>137</vt:i4>
      </vt:variant>
      <vt:variant>
        <vt:i4>0</vt:i4>
      </vt:variant>
      <vt:variant>
        <vt:i4>5</vt:i4>
      </vt:variant>
      <vt:variant>
        <vt:lpwstr/>
      </vt:variant>
      <vt:variant>
        <vt:lpwstr>_Toc356463019</vt:lpwstr>
      </vt:variant>
      <vt:variant>
        <vt:i4>1310771</vt:i4>
      </vt:variant>
      <vt:variant>
        <vt:i4>131</vt:i4>
      </vt:variant>
      <vt:variant>
        <vt:i4>0</vt:i4>
      </vt:variant>
      <vt:variant>
        <vt:i4>5</vt:i4>
      </vt:variant>
      <vt:variant>
        <vt:lpwstr/>
      </vt:variant>
      <vt:variant>
        <vt:lpwstr>_Toc356463018</vt:lpwstr>
      </vt:variant>
      <vt:variant>
        <vt:i4>1310771</vt:i4>
      </vt:variant>
      <vt:variant>
        <vt:i4>125</vt:i4>
      </vt:variant>
      <vt:variant>
        <vt:i4>0</vt:i4>
      </vt:variant>
      <vt:variant>
        <vt:i4>5</vt:i4>
      </vt:variant>
      <vt:variant>
        <vt:lpwstr/>
      </vt:variant>
      <vt:variant>
        <vt:lpwstr>_Toc356463017</vt:lpwstr>
      </vt:variant>
      <vt:variant>
        <vt:i4>1310771</vt:i4>
      </vt:variant>
      <vt:variant>
        <vt:i4>119</vt:i4>
      </vt:variant>
      <vt:variant>
        <vt:i4>0</vt:i4>
      </vt:variant>
      <vt:variant>
        <vt:i4>5</vt:i4>
      </vt:variant>
      <vt:variant>
        <vt:lpwstr/>
      </vt:variant>
      <vt:variant>
        <vt:lpwstr>_Toc356463016</vt:lpwstr>
      </vt:variant>
      <vt:variant>
        <vt:i4>1310771</vt:i4>
      </vt:variant>
      <vt:variant>
        <vt:i4>113</vt:i4>
      </vt:variant>
      <vt:variant>
        <vt:i4>0</vt:i4>
      </vt:variant>
      <vt:variant>
        <vt:i4>5</vt:i4>
      </vt:variant>
      <vt:variant>
        <vt:lpwstr/>
      </vt:variant>
      <vt:variant>
        <vt:lpwstr>_Toc356463015</vt:lpwstr>
      </vt:variant>
      <vt:variant>
        <vt:i4>1310771</vt:i4>
      </vt:variant>
      <vt:variant>
        <vt:i4>107</vt:i4>
      </vt:variant>
      <vt:variant>
        <vt:i4>0</vt:i4>
      </vt:variant>
      <vt:variant>
        <vt:i4>5</vt:i4>
      </vt:variant>
      <vt:variant>
        <vt:lpwstr/>
      </vt:variant>
      <vt:variant>
        <vt:lpwstr>_Toc356463014</vt:lpwstr>
      </vt:variant>
      <vt:variant>
        <vt:i4>1310771</vt:i4>
      </vt:variant>
      <vt:variant>
        <vt:i4>101</vt:i4>
      </vt:variant>
      <vt:variant>
        <vt:i4>0</vt:i4>
      </vt:variant>
      <vt:variant>
        <vt:i4>5</vt:i4>
      </vt:variant>
      <vt:variant>
        <vt:lpwstr/>
      </vt:variant>
      <vt:variant>
        <vt:lpwstr>_Toc356463013</vt:lpwstr>
      </vt:variant>
      <vt:variant>
        <vt:i4>1310771</vt:i4>
      </vt:variant>
      <vt:variant>
        <vt:i4>95</vt:i4>
      </vt:variant>
      <vt:variant>
        <vt:i4>0</vt:i4>
      </vt:variant>
      <vt:variant>
        <vt:i4>5</vt:i4>
      </vt:variant>
      <vt:variant>
        <vt:lpwstr/>
      </vt:variant>
      <vt:variant>
        <vt:lpwstr>_Toc356463012</vt:lpwstr>
      </vt:variant>
      <vt:variant>
        <vt:i4>1310771</vt:i4>
      </vt:variant>
      <vt:variant>
        <vt:i4>89</vt:i4>
      </vt:variant>
      <vt:variant>
        <vt:i4>0</vt:i4>
      </vt:variant>
      <vt:variant>
        <vt:i4>5</vt:i4>
      </vt:variant>
      <vt:variant>
        <vt:lpwstr/>
      </vt:variant>
      <vt:variant>
        <vt:lpwstr>_Toc356463011</vt:lpwstr>
      </vt:variant>
      <vt:variant>
        <vt:i4>1310771</vt:i4>
      </vt:variant>
      <vt:variant>
        <vt:i4>83</vt:i4>
      </vt:variant>
      <vt:variant>
        <vt:i4>0</vt:i4>
      </vt:variant>
      <vt:variant>
        <vt:i4>5</vt:i4>
      </vt:variant>
      <vt:variant>
        <vt:lpwstr/>
      </vt:variant>
      <vt:variant>
        <vt:lpwstr>_Toc356463010</vt:lpwstr>
      </vt:variant>
      <vt:variant>
        <vt:i4>1376307</vt:i4>
      </vt:variant>
      <vt:variant>
        <vt:i4>77</vt:i4>
      </vt:variant>
      <vt:variant>
        <vt:i4>0</vt:i4>
      </vt:variant>
      <vt:variant>
        <vt:i4>5</vt:i4>
      </vt:variant>
      <vt:variant>
        <vt:lpwstr/>
      </vt:variant>
      <vt:variant>
        <vt:lpwstr>_Toc356463009</vt:lpwstr>
      </vt:variant>
      <vt:variant>
        <vt:i4>1376307</vt:i4>
      </vt:variant>
      <vt:variant>
        <vt:i4>71</vt:i4>
      </vt:variant>
      <vt:variant>
        <vt:i4>0</vt:i4>
      </vt:variant>
      <vt:variant>
        <vt:i4>5</vt:i4>
      </vt:variant>
      <vt:variant>
        <vt:lpwstr/>
      </vt:variant>
      <vt:variant>
        <vt:lpwstr>_Toc356463008</vt:lpwstr>
      </vt:variant>
      <vt:variant>
        <vt:i4>1376307</vt:i4>
      </vt:variant>
      <vt:variant>
        <vt:i4>65</vt:i4>
      </vt:variant>
      <vt:variant>
        <vt:i4>0</vt:i4>
      </vt:variant>
      <vt:variant>
        <vt:i4>5</vt:i4>
      </vt:variant>
      <vt:variant>
        <vt:lpwstr/>
      </vt:variant>
      <vt:variant>
        <vt:lpwstr>_Toc356463007</vt:lpwstr>
      </vt:variant>
      <vt:variant>
        <vt:i4>1376307</vt:i4>
      </vt:variant>
      <vt:variant>
        <vt:i4>59</vt:i4>
      </vt:variant>
      <vt:variant>
        <vt:i4>0</vt:i4>
      </vt:variant>
      <vt:variant>
        <vt:i4>5</vt:i4>
      </vt:variant>
      <vt:variant>
        <vt:lpwstr/>
      </vt:variant>
      <vt:variant>
        <vt:lpwstr>_Toc356463006</vt:lpwstr>
      </vt:variant>
      <vt:variant>
        <vt:i4>1376307</vt:i4>
      </vt:variant>
      <vt:variant>
        <vt:i4>53</vt:i4>
      </vt:variant>
      <vt:variant>
        <vt:i4>0</vt:i4>
      </vt:variant>
      <vt:variant>
        <vt:i4>5</vt:i4>
      </vt:variant>
      <vt:variant>
        <vt:lpwstr/>
      </vt:variant>
      <vt:variant>
        <vt:lpwstr>_Toc356463005</vt:lpwstr>
      </vt:variant>
      <vt:variant>
        <vt:i4>1376307</vt:i4>
      </vt:variant>
      <vt:variant>
        <vt:i4>47</vt:i4>
      </vt:variant>
      <vt:variant>
        <vt:i4>0</vt:i4>
      </vt:variant>
      <vt:variant>
        <vt:i4>5</vt:i4>
      </vt:variant>
      <vt:variant>
        <vt:lpwstr/>
      </vt:variant>
      <vt:variant>
        <vt:lpwstr>_Toc356463004</vt:lpwstr>
      </vt:variant>
      <vt:variant>
        <vt:i4>1376307</vt:i4>
      </vt:variant>
      <vt:variant>
        <vt:i4>41</vt:i4>
      </vt:variant>
      <vt:variant>
        <vt:i4>0</vt:i4>
      </vt:variant>
      <vt:variant>
        <vt:i4>5</vt:i4>
      </vt:variant>
      <vt:variant>
        <vt:lpwstr/>
      </vt:variant>
      <vt:variant>
        <vt:lpwstr>_Toc356463003</vt:lpwstr>
      </vt:variant>
      <vt:variant>
        <vt:i4>1376307</vt:i4>
      </vt:variant>
      <vt:variant>
        <vt:i4>35</vt:i4>
      </vt:variant>
      <vt:variant>
        <vt:i4>0</vt:i4>
      </vt:variant>
      <vt:variant>
        <vt:i4>5</vt:i4>
      </vt:variant>
      <vt:variant>
        <vt:lpwstr/>
      </vt:variant>
      <vt:variant>
        <vt:lpwstr>_Toc356463002</vt:lpwstr>
      </vt:variant>
      <vt:variant>
        <vt:i4>1376307</vt:i4>
      </vt:variant>
      <vt:variant>
        <vt:i4>29</vt:i4>
      </vt:variant>
      <vt:variant>
        <vt:i4>0</vt:i4>
      </vt:variant>
      <vt:variant>
        <vt:i4>5</vt:i4>
      </vt:variant>
      <vt:variant>
        <vt:lpwstr/>
      </vt:variant>
      <vt:variant>
        <vt:lpwstr>_Toc356463001</vt:lpwstr>
      </vt:variant>
      <vt:variant>
        <vt:i4>1376307</vt:i4>
      </vt:variant>
      <vt:variant>
        <vt:i4>23</vt:i4>
      </vt:variant>
      <vt:variant>
        <vt:i4>0</vt:i4>
      </vt:variant>
      <vt:variant>
        <vt:i4>5</vt:i4>
      </vt:variant>
      <vt:variant>
        <vt:lpwstr/>
      </vt:variant>
      <vt:variant>
        <vt:lpwstr>_Toc356463000</vt:lpwstr>
      </vt:variant>
      <vt:variant>
        <vt:i4>1900602</vt:i4>
      </vt:variant>
      <vt:variant>
        <vt:i4>17</vt:i4>
      </vt:variant>
      <vt:variant>
        <vt:i4>0</vt:i4>
      </vt:variant>
      <vt:variant>
        <vt:i4>5</vt:i4>
      </vt:variant>
      <vt:variant>
        <vt:lpwstr/>
      </vt:variant>
      <vt:variant>
        <vt:lpwstr>_Toc356462999</vt:lpwstr>
      </vt:variant>
      <vt:variant>
        <vt:i4>1900602</vt:i4>
      </vt:variant>
      <vt:variant>
        <vt:i4>11</vt:i4>
      </vt:variant>
      <vt:variant>
        <vt:i4>0</vt:i4>
      </vt:variant>
      <vt:variant>
        <vt:i4>5</vt:i4>
      </vt:variant>
      <vt:variant>
        <vt:lpwstr/>
      </vt:variant>
      <vt:variant>
        <vt:lpwstr>_Toc356462998</vt:lpwstr>
      </vt:variant>
      <vt:variant>
        <vt:i4>3997744</vt:i4>
      </vt:variant>
      <vt:variant>
        <vt:i4>6</vt:i4>
      </vt:variant>
      <vt:variant>
        <vt:i4>0</vt:i4>
      </vt:variant>
      <vt:variant>
        <vt:i4>5</vt:i4>
      </vt:variant>
      <vt:variant>
        <vt:lpwstr>http://www.msac.gov.au/</vt:lpwstr>
      </vt:variant>
      <vt:variant>
        <vt:lpwstr/>
      </vt:variant>
      <vt:variant>
        <vt:i4>3997744</vt:i4>
      </vt:variant>
      <vt:variant>
        <vt:i4>3</vt:i4>
      </vt:variant>
      <vt:variant>
        <vt:i4>0</vt:i4>
      </vt:variant>
      <vt:variant>
        <vt:i4>5</vt:i4>
      </vt:variant>
      <vt:variant>
        <vt:lpwstr>http://www.msac.gov.au/</vt:lpwstr>
      </vt:variant>
      <vt:variant>
        <vt:lpwstr/>
      </vt:variant>
      <vt:variant>
        <vt:i4>3997744</vt:i4>
      </vt:variant>
      <vt:variant>
        <vt:i4>0</vt:i4>
      </vt:variant>
      <vt:variant>
        <vt:i4>0</vt:i4>
      </vt:variant>
      <vt:variant>
        <vt:i4>5</vt:i4>
      </vt:variant>
      <vt:variant>
        <vt:lpwstr>http://www.msac.gov.au/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1566 Assessment Report</dc:title>
  <dc:subject/>
  <dc:creator/>
  <cp:keywords/>
  <cp:lastModifiedBy/>
  <cp:revision>1</cp:revision>
  <dcterms:created xsi:type="dcterms:W3CDTF">2019-11-18T23:26:00Z</dcterms:created>
  <dcterms:modified xsi:type="dcterms:W3CDTF">2019-11-18T23:34:00Z</dcterms:modified>
</cp:coreProperties>
</file>