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80" w:rsidRPr="00F637B3" w:rsidRDefault="00E44B80" w:rsidP="00E44B80">
      <w:pPr>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Pr="006F20CF" w:rsidRDefault="008B2610" w:rsidP="00F971CC">
      <w:pPr>
        <w:pStyle w:val="Title"/>
        <w:spacing w:before="2600"/>
      </w:pPr>
      <w:r w:rsidRPr="001906CD">
        <w:t>Application Form</w:t>
      </w:r>
    </w:p>
    <w:p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rsidR="00EB0182" w:rsidRDefault="003013A9" w:rsidP="006751A9">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rsidR="00EB0182" w:rsidRDefault="00EB0182" w:rsidP="003F7CB9">
      <w:pPr>
        <w:rPr>
          <w:rFonts w:ascii="Arial" w:hAnsi="Arial" w:cs="Arial"/>
          <w:b/>
          <w:sz w:val="52"/>
          <w:szCs w:val="52"/>
        </w:rPr>
      </w:pPr>
    </w:p>
    <w:p w:rsidR="00EB0182" w:rsidRDefault="00EB0182" w:rsidP="003F7CB9">
      <w:pPr>
        <w:rPr>
          <w:rFonts w:ascii="Arial" w:hAnsi="Arial" w:cs="Arial"/>
          <w:b/>
          <w:sz w:val="52"/>
          <w:szCs w:val="52"/>
        </w:rPr>
      </w:pPr>
    </w:p>
    <w:p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rsidR="008B2610" w:rsidRPr="00154B00" w:rsidRDefault="009F5758" w:rsidP="003F7CB9">
      <w:pPr>
        <w:spacing w:before="0" w:after="0"/>
      </w:pPr>
      <w:r w:rsidRPr="00154B00">
        <w:t>Phone:  +61 2 6289 7550</w:t>
      </w:r>
    </w:p>
    <w:p w:rsidR="009F5758" w:rsidRPr="00154B00" w:rsidRDefault="009F5758" w:rsidP="003F7CB9">
      <w:pPr>
        <w:spacing w:before="0" w:after="0"/>
      </w:pPr>
      <w:r w:rsidRPr="00154B00">
        <w:t>Fax:  +61 2 6289 5540</w:t>
      </w:r>
    </w:p>
    <w:p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rsidR="001D77ED" w:rsidRPr="003F7CB9" w:rsidRDefault="00D73646" w:rsidP="006751A9">
      <w:bookmarkStart w:id="0" w:name="_Toc443555803"/>
      <w:r>
        <w:rPr>
          <w:rStyle w:val="IntenseReference"/>
        </w:rPr>
        <w:br w:type="page"/>
      </w:r>
      <w:bookmarkEnd w:id="0"/>
    </w:p>
    <w:p w:rsidR="00E04FB3" w:rsidRPr="00C776B1" w:rsidRDefault="00494011" w:rsidP="00A8732C">
      <w:pPr>
        <w:pStyle w:val="Heading1"/>
      </w:pPr>
      <w:r>
        <w:lastRenderedPageBreak/>
        <w:t>PART 1</w:t>
      </w:r>
      <w:r w:rsidR="00F93784">
        <w:t xml:space="preserve"> – </w:t>
      </w:r>
      <w:r w:rsidR="00E04FB3" w:rsidRPr="00C776B1">
        <w:t>APPLICANT DETAILS</w:t>
      </w:r>
    </w:p>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Corporation / partnership details (where relevant):</w:t>
      </w:r>
      <w:r w:rsidR="0078518C">
        <w:t>N/A</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78518C">
        <w:t>Astra</w:t>
      </w:r>
      <w:r w:rsidR="00416DC1">
        <w:t>Zeneca Pty</w:t>
      </w:r>
      <w:r w:rsidR="00B3083A">
        <w:t xml:space="preserve"> Limited</w:t>
      </w:r>
    </w:p>
    <w:p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C96E07" w:rsidRPr="00C96E07">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C96E07" w:rsidRPr="00C96E07">
        <w:rPr>
          <w:b/>
        </w:rPr>
        <w:t>Redacted</w:t>
      </w:r>
    </w:p>
    <w:p w:rsidR="00C171FB" w:rsidRPr="00C171FB" w:rsidRDefault="00C171FB" w:rsidP="00C171FB"/>
    <w:p w:rsidR="00C171FB" w:rsidRPr="00C171FB" w:rsidRDefault="00C171FB" w:rsidP="00C171FB">
      <w:pPr>
        <w:rPr>
          <w:b/>
        </w:rPr>
      </w:pPr>
      <w:r>
        <w:rPr>
          <w:b/>
        </w:rPr>
        <w:t xml:space="preserve">Primary contact name: </w:t>
      </w:r>
      <w:r w:rsidR="00C96E07">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C96E07" w:rsidRPr="00C96E07">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C96E07" w:rsidRPr="00C96E07">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C96E07" w:rsidRPr="00C96E07">
        <w:rPr>
          <w:b/>
        </w:rPr>
        <w:t>Redacted</w:t>
      </w:r>
    </w:p>
    <w:p w:rsidR="00C171FB" w:rsidRDefault="00C171FB" w:rsidP="00C171FB">
      <w:pPr>
        <w:rPr>
          <w:b/>
        </w:rPr>
      </w:pPr>
    </w:p>
    <w:p w:rsidR="00C171FB" w:rsidRPr="00C171FB" w:rsidRDefault="00C171FB" w:rsidP="00C171FB">
      <w:pPr>
        <w:rPr>
          <w:b/>
        </w:rPr>
      </w:pPr>
      <w:r>
        <w:rPr>
          <w:b/>
        </w:rPr>
        <w:t xml:space="preserve">Alternative contact name: </w:t>
      </w:r>
      <w:r w:rsidR="00C96E07">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C96E07" w:rsidRPr="00C96E07">
        <w:rPr>
          <w:b/>
        </w:rPr>
        <w:t>Redacted</w:t>
      </w:r>
    </w:p>
    <w:p w:rsidR="00C96E07" w:rsidRDefault="00C171FB" w:rsidP="00C171FB">
      <w:pPr>
        <w:pBdr>
          <w:top w:val="single" w:sz="4" w:space="1" w:color="auto"/>
          <w:left w:val="single" w:sz="4" w:space="4" w:color="auto"/>
          <w:bottom w:val="single" w:sz="4" w:space="1" w:color="auto"/>
          <w:right w:val="single" w:sz="4" w:space="4" w:color="auto"/>
        </w:pBdr>
      </w:pPr>
      <w:r>
        <w:t xml:space="preserve">Mobile: </w:t>
      </w:r>
      <w:r w:rsidR="00C96E07" w:rsidRPr="00C96E07">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C96E07" w:rsidRPr="00C96E07">
        <w:rPr>
          <w:b/>
        </w:rPr>
        <w:t>Redacted</w:t>
      </w:r>
    </w:p>
    <w:p w:rsidR="00C171FB" w:rsidRDefault="00C171FB" w:rsidP="00C171FB"/>
    <w:p w:rsidR="00F34AEC" w:rsidRPr="00154B00" w:rsidRDefault="00F34AEC" w:rsidP="00F34AEC">
      <w:pPr>
        <w:pStyle w:val="Heading2"/>
      </w:pPr>
      <w:r>
        <w:t>(a) Are you a consultant acting on behalf of an Applicant?</w:t>
      </w:r>
    </w:p>
    <w:p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60041">
        <w:rPr>
          <w:szCs w:val="20"/>
        </w:rPr>
      </w:r>
      <w:r w:rsidR="00C60041">
        <w:rPr>
          <w:szCs w:val="20"/>
        </w:rPr>
        <w:fldChar w:fldCharType="separate"/>
      </w:r>
      <w:r w:rsidRPr="00753C44">
        <w:rPr>
          <w:szCs w:val="20"/>
        </w:rPr>
        <w:fldChar w:fldCharType="end"/>
      </w:r>
      <w:r>
        <w:rPr>
          <w:szCs w:val="20"/>
        </w:rPr>
        <w:t xml:space="preserve"> Yes</w:t>
      </w:r>
    </w:p>
    <w:p w:rsidR="00F34AEC" w:rsidRPr="00753C44" w:rsidRDefault="00F53792" w:rsidP="00F34AEC">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C60041">
        <w:rPr>
          <w:szCs w:val="20"/>
        </w:rPr>
      </w:r>
      <w:r w:rsidR="00C60041">
        <w:rPr>
          <w:szCs w:val="20"/>
        </w:rPr>
        <w:fldChar w:fldCharType="separate"/>
      </w:r>
      <w:r>
        <w:rPr>
          <w:szCs w:val="20"/>
        </w:rPr>
        <w:fldChar w:fldCharType="end"/>
      </w:r>
      <w:bookmarkEnd w:id="1"/>
      <w:r w:rsidR="00F34AEC">
        <w:rPr>
          <w:szCs w:val="20"/>
        </w:rPr>
        <w:t xml:space="preserve"> No</w:t>
      </w:r>
      <w:r w:rsidR="00352047">
        <w:rPr>
          <w:szCs w:val="20"/>
        </w:rPr>
        <w:t xml:space="preserve"> </w:t>
      </w:r>
    </w:p>
    <w:p w:rsidR="00F34AEC" w:rsidRDefault="00F34AEC" w:rsidP="00C171FB"/>
    <w:p w:rsidR="00F34AEC" w:rsidRPr="002F55EF" w:rsidRDefault="00F34AEC" w:rsidP="002F55EF">
      <w:pPr>
        <w:ind w:firstLine="360"/>
        <w:rPr>
          <w:b/>
        </w:rPr>
      </w:pPr>
      <w:r w:rsidRPr="002F55EF">
        <w:rPr>
          <w:b/>
        </w:rPr>
        <w:t>(b) If yes, what is the Applicant(s) name that you are acting on behalf of?</w:t>
      </w:r>
    </w:p>
    <w:p w:rsidR="00F34AEC" w:rsidRPr="00CB12EC" w:rsidRDefault="00F34AEC" w:rsidP="00F34AEC">
      <w:pPr>
        <w:ind w:left="284"/>
        <w:rPr>
          <w:noProof/>
        </w:rPr>
      </w:pPr>
      <w:r>
        <w:rPr>
          <w:noProof/>
        </w:rPr>
        <w:t>Insert relevant Applicant(s) name here.</w:t>
      </w:r>
    </w:p>
    <w:p w:rsidR="00F34AEC" w:rsidRPr="00C171FB" w:rsidRDefault="00F34AEC" w:rsidP="00C171FB"/>
    <w:p w:rsidR="00534C5F" w:rsidRPr="00154B00" w:rsidRDefault="00494011" w:rsidP="004A0BF4">
      <w:pPr>
        <w:pStyle w:val="Heading2"/>
      </w:pPr>
      <w:r>
        <w:t xml:space="preserve">(a) </w:t>
      </w:r>
      <w:r w:rsidR="00534C5F">
        <w:t>Are you a lobbyist acting on behalf of an Applicant?</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60041">
        <w:rPr>
          <w:szCs w:val="20"/>
        </w:rPr>
      </w:r>
      <w:r w:rsidR="00C60041">
        <w:rPr>
          <w:szCs w:val="20"/>
        </w:rPr>
        <w:fldChar w:fldCharType="separate"/>
      </w:r>
      <w:r w:rsidRPr="00753C44">
        <w:rPr>
          <w:szCs w:val="20"/>
        </w:rPr>
        <w:fldChar w:fldCharType="end"/>
      </w:r>
      <w:r>
        <w:rPr>
          <w:szCs w:val="20"/>
        </w:rPr>
        <w:t xml:space="preserve"> Yes</w:t>
      </w:r>
    </w:p>
    <w:p w:rsidR="00A6491A" w:rsidRPr="00753C44" w:rsidRDefault="00F53792"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A6491A">
        <w:rPr>
          <w:szCs w:val="20"/>
        </w:rPr>
        <w:t xml:space="preserve"> No</w:t>
      </w:r>
      <w:r w:rsidR="00A6491A" w:rsidRPr="00753C44">
        <w:rPr>
          <w:szCs w:val="20"/>
        </w:rPr>
        <w:t xml:space="preserve">  </w:t>
      </w:r>
    </w:p>
    <w:p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rsidR="00A6491A" w:rsidRPr="00753C44" w:rsidRDefault="00A6491A" w:rsidP="00F53792">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60041">
        <w:rPr>
          <w:szCs w:val="20"/>
        </w:rPr>
      </w:r>
      <w:r w:rsidR="00C60041">
        <w:rPr>
          <w:szCs w:val="20"/>
        </w:rPr>
        <w:fldChar w:fldCharType="separate"/>
      </w:r>
      <w:r w:rsidRPr="00753C44">
        <w:rPr>
          <w:szCs w:val="20"/>
        </w:rPr>
        <w:fldChar w:fldCharType="end"/>
      </w:r>
      <w:r w:rsidR="00F53792">
        <w:rPr>
          <w:szCs w:val="20"/>
        </w:rPr>
        <w:t xml:space="preserve"> Yes</w:t>
      </w:r>
      <w:r w:rsidRPr="00753C44">
        <w:rPr>
          <w:szCs w:val="20"/>
        </w:rPr>
        <w:fldChar w:fldCharType="begin">
          <w:ffData>
            <w:name w:val=""/>
            <w:enabled/>
            <w:calcOnExit w:val="0"/>
            <w:checkBox>
              <w:sizeAuto/>
              <w:default w:val="0"/>
            </w:checkBox>
          </w:ffData>
        </w:fldChar>
      </w:r>
      <w:r w:rsidRPr="00753C44">
        <w:rPr>
          <w:szCs w:val="20"/>
        </w:rPr>
        <w:instrText xml:space="preserve"> FORMCHECKBOX </w:instrText>
      </w:r>
      <w:r w:rsidR="00C60041">
        <w:rPr>
          <w:szCs w:val="20"/>
        </w:rPr>
      </w:r>
      <w:r w:rsidR="00C60041">
        <w:rPr>
          <w:szCs w:val="20"/>
        </w:rPr>
        <w:fldChar w:fldCharType="separate"/>
      </w:r>
      <w:r w:rsidRPr="00753C44">
        <w:rPr>
          <w:szCs w:val="20"/>
        </w:rPr>
        <w:fldChar w:fldCharType="end"/>
      </w:r>
      <w:r>
        <w:rPr>
          <w:szCs w:val="20"/>
        </w:rPr>
        <w:t xml:space="preserve"> No</w:t>
      </w:r>
      <w:r w:rsidRPr="00753C44">
        <w:rPr>
          <w:szCs w:val="20"/>
        </w:rPr>
        <w:t xml:space="preserve">  </w:t>
      </w:r>
    </w:p>
    <w:p w:rsidR="00E04FB3" w:rsidRDefault="00E04FB3" w:rsidP="005C333E">
      <w:pPr>
        <w:spacing w:before="0" w:after="0"/>
        <w:ind w:left="426"/>
        <w:rPr>
          <w:b/>
          <w:szCs w:val="20"/>
        </w:rPr>
      </w:pPr>
      <w:r w:rsidRPr="00154B00">
        <w:rPr>
          <w:b/>
          <w:szCs w:val="20"/>
        </w:rPr>
        <w:br w:type="page"/>
      </w:r>
    </w:p>
    <w:p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rsidR="000B3CD0" w:rsidRDefault="000B3CD0" w:rsidP="00730C04">
      <w:pPr>
        <w:pStyle w:val="Heading2"/>
      </w:pPr>
      <w:r w:rsidRPr="00154B00">
        <w:t>Application title</w:t>
      </w:r>
      <w:r w:rsidR="00A8732C">
        <w:t xml:space="preserve"> </w:t>
      </w:r>
    </w:p>
    <w:p w:rsidR="009056C5" w:rsidRPr="009056C5" w:rsidRDefault="0089003D" w:rsidP="00A6491A">
      <w:pPr>
        <w:ind w:left="284"/>
      </w:pPr>
      <w:proofErr w:type="gramStart"/>
      <w:r>
        <w:t>Programmed cell death ligand 1 (</w:t>
      </w:r>
      <w:r w:rsidR="00F53792">
        <w:t>PD-L1</w:t>
      </w:r>
      <w:r>
        <w:t xml:space="preserve">) testing to determine </w:t>
      </w:r>
      <w:r w:rsidR="00024E50">
        <w:t xml:space="preserve">PBS </w:t>
      </w:r>
      <w:r>
        <w:t xml:space="preserve">access to </w:t>
      </w:r>
      <w:proofErr w:type="spellStart"/>
      <w:r>
        <w:t>durvalumab</w:t>
      </w:r>
      <w:proofErr w:type="spellEnd"/>
      <w:r>
        <w:t xml:space="preserve"> or </w:t>
      </w:r>
      <w:proofErr w:type="spellStart"/>
      <w:r w:rsidR="005868C7">
        <w:t>durvalumab</w:t>
      </w:r>
      <w:proofErr w:type="spellEnd"/>
      <w:r w:rsidR="005868C7">
        <w:t>/</w:t>
      </w:r>
      <w:proofErr w:type="spellStart"/>
      <w:r w:rsidR="005868C7">
        <w:t>tremelimumab</w:t>
      </w:r>
      <w:proofErr w:type="spellEnd"/>
      <w:r w:rsidR="005868C7">
        <w:t xml:space="preserve"> as 1</w:t>
      </w:r>
      <w:r w:rsidR="005868C7" w:rsidRPr="005868C7">
        <w:rPr>
          <w:vertAlign w:val="superscript"/>
        </w:rPr>
        <w:t>st</w:t>
      </w:r>
      <w:r>
        <w:t xml:space="preserve"> line therapy for patients with </w:t>
      </w:r>
      <w:proofErr w:type="spellStart"/>
      <w:r w:rsidR="00800131">
        <w:t>unresectable</w:t>
      </w:r>
      <w:proofErr w:type="spellEnd"/>
      <w:r w:rsidR="00800131">
        <w:t xml:space="preserve"> Stage IV urothelial cancer</w:t>
      </w:r>
      <w:r w:rsidR="007952BC">
        <w:t>.</w:t>
      </w:r>
      <w:proofErr w:type="gramEnd"/>
    </w:p>
    <w:p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BB67DB" w:rsidRPr="001E13F0" w:rsidRDefault="00BB67DB" w:rsidP="00BB67DB">
      <w:pPr>
        <w:ind w:left="360"/>
        <w:rPr>
          <w:vertAlign w:val="superscript"/>
        </w:rPr>
      </w:pPr>
      <w:r>
        <w:t xml:space="preserve">In Australia in 2013, bladder cancer was the eighth most commonly diagnosed </w:t>
      </w:r>
      <w:r w:rsidR="00F21050">
        <w:t xml:space="preserve">cancer in men </w:t>
      </w:r>
      <w:r>
        <w:t>(age-standardised rate 16.5 cases per 100,000) but was much less common in women (age-standardised rate 4.1 cases per 100,000).</w:t>
      </w:r>
      <w:r>
        <w:rPr>
          <w:vertAlign w:val="superscript"/>
        </w:rPr>
        <w:t>1</w:t>
      </w:r>
      <w:r>
        <w:t xml:space="preserve"> The 5-year relative survival </w:t>
      </w:r>
      <w:r w:rsidR="00F21050">
        <w:t xml:space="preserve">for bladder cancer patients </w:t>
      </w:r>
      <w:r>
        <w:t>has sl</w:t>
      </w:r>
      <w:r w:rsidR="00F21050">
        <w:t xml:space="preserve">owly declined </w:t>
      </w:r>
      <w:r>
        <w:t>from 1984-2013.</w:t>
      </w:r>
      <w:r>
        <w:rPr>
          <w:vertAlign w:val="superscript"/>
        </w:rPr>
        <w:t>1</w:t>
      </w:r>
    </w:p>
    <w:p w:rsidR="00BB67DB" w:rsidRPr="00597537" w:rsidRDefault="00BB67DB" w:rsidP="00BB67DB">
      <w:pPr>
        <w:ind w:left="360"/>
      </w:pPr>
      <w:r>
        <w:t>Bladder cancer is rare under the age of 50 and usually presents in old age.  Risk factors for bladder cancer include cigarette smoking, carcinogenic chemical exposure, genetic predisposition and prior radiotherapy/</w:t>
      </w:r>
      <w:proofErr w:type="spellStart"/>
      <w:r>
        <w:t>chemoradiation</w:t>
      </w:r>
      <w:proofErr w:type="spellEnd"/>
      <w:r>
        <w:t xml:space="preserve"> in the pelvis/lower abdomen.  More than 90% of bladder cancers form in the lining of the urinary tract (the </w:t>
      </w:r>
      <w:proofErr w:type="spellStart"/>
      <w:r>
        <w:t>urothelium</w:t>
      </w:r>
      <w:proofErr w:type="spellEnd"/>
      <w:r>
        <w:t>) and are known as urothelial carcinomas, or transitional cell carcinomas.</w:t>
      </w:r>
      <w:r>
        <w:rPr>
          <w:vertAlign w:val="superscript"/>
        </w:rPr>
        <w:t>2</w:t>
      </w:r>
      <w:proofErr w:type="gramStart"/>
      <w:r>
        <w:rPr>
          <w:vertAlign w:val="superscript"/>
        </w:rPr>
        <w:t>,3</w:t>
      </w:r>
      <w:proofErr w:type="gramEnd"/>
      <w:r>
        <w:t xml:space="preserve">  Urothelial cancers most commonly occur in the bladder, but may also be found in the renal pelvis, ureters and urethra.</w:t>
      </w:r>
    </w:p>
    <w:p w:rsidR="00BB67DB" w:rsidRPr="00A6087F" w:rsidRDefault="00BB67DB" w:rsidP="00F21050">
      <w:pPr>
        <w:ind w:left="360"/>
      </w:pPr>
      <w:r>
        <w:t>Bladder cancer is a highly immunogenic tumour type</w:t>
      </w:r>
      <w:proofErr w:type="gramStart"/>
      <w:r>
        <w:t>,</w:t>
      </w:r>
      <w:r>
        <w:rPr>
          <w:vertAlign w:val="superscript"/>
        </w:rPr>
        <w:t>4</w:t>
      </w:r>
      <w:proofErr w:type="gramEnd"/>
      <w:r>
        <w:t xml:space="preserve"> consequently immunotherapy treatments for bladder cancer</w:t>
      </w:r>
      <w:r w:rsidR="00F21050">
        <w:t xml:space="preserve"> may alter the disease process.  </w:t>
      </w:r>
      <w:r>
        <w:t xml:space="preserve">This Application proposes </w:t>
      </w:r>
      <w:proofErr w:type="spellStart"/>
      <w:r>
        <w:t>durvalumab</w:t>
      </w:r>
      <w:proofErr w:type="spellEnd"/>
      <w:r>
        <w:t xml:space="preserve"> or </w:t>
      </w:r>
      <w:proofErr w:type="spellStart"/>
      <w:r>
        <w:t>durvalumab</w:t>
      </w:r>
      <w:proofErr w:type="spellEnd"/>
      <w:r>
        <w:t>/</w:t>
      </w:r>
      <w:proofErr w:type="spellStart"/>
      <w:r>
        <w:t>tremelimumab</w:t>
      </w:r>
      <w:proofErr w:type="spellEnd"/>
      <w:r>
        <w:t xml:space="preserve"> as first line treatment for patients with </w:t>
      </w:r>
      <w:proofErr w:type="spellStart"/>
      <w:r>
        <w:t>unresectable</w:t>
      </w:r>
      <w:proofErr w:type="spellEnd"/>
      <w:r>
        <w:t xml:space="preserve"> Stage IV transitional cell carcinoma (transitional cell and mixed transitional/non-transitional cell </w:t>
      </w:r>
      <w:proofErr w:type="spellStart"/>
      <w:r>
        <w:t>histologies</w:t>
      </w:r>
      <w:proofErr w:type="spellEnd"/>
      <w:r>
        <w:t xml:space="preserve">) of the </w:t>
      </w:r>
      <w:proofErr w:type="spellStart"/>
      <w:r>
        <w:t>urothelium</w:t>
      </w:r>
      <w:proofErr w:type="spellEnd"/>
      <w:r>
        <w:t xml:space="preserve"> (including renal pelvis, ureters, urinary bladder and urethra).</w:t>
      </w:r>
    </w:p>
    <w:p w:rsidR="00BB67DB" w:rsidRPr="00CF2CF8" w:rsidRDefault="00BB67DB" w:rsidP="00BB67DB">
      <w:pPr>
        <w:ind w:left="360"/>
        <w:rPr>
          <w:sz w:val="16"/>
          <w:szCs w:val="16"/>
        </w:rPr>
      </w:pPr>
      <w:r w:rsidRPr="00CF2CF8">
        <w:rPr>
          <w:szCs w:val="20"/>
          <w:vertAlign w:val="superscript"/>
        </w:rPr>
        <w:t>1</w:t>
      </w:r>
      <w:r w:rsidRPr="00CF2CF8">
        <w:rPr>
          <w:sz w:val="16"/>
          <w:szCs w:val="16"/>
        </w:rPr>
        <w:t>Australian Institute of Health and Welfare (AIHW) Cancer in Australia 2017, p.82-83</w:t>
      </w:r>
    </w:p>
    <w:p w:rsidR="00BB67DB" w:rsidRPr="00F11F13" w:rsidRDefault="00BB67DB" w:rsidP="00BB67DB">
      <w:pPr>
        <w:ind w:left="360"/>
        <w:rPr>
          <w:sz w:val="16"/>
          <w:szCs w:val="16"/>
        </w:rPr>
      </w:pPr>
      <w:r>
        <w:rPr>
          <w:vertAlign w:val="superscript"/>
        </w:rPr>
        <w:t>2</w:t>
      </w:r>
      <w:r>
        <w:t xml:space="preserve"> </w:t>
      </w:r>
      <w:r w:rsidRPr="00F11F13">
        <w:rPr>
          <w:sz w:val="16"/>
          <w:szCs w:val="16"/>
        </w:rPr>
        <w:t>Bladder cancer – transitional cell carcinoma Fact Sheet Urological Society of Australia and New Zealand (http://www.usanz.org.au/uploads/65337/ufiles/bladder-cancer.pdf)</w:t>
      </w:r>
    </w:p>
    <w:p w:rsidR="00BB67DB" w:rsidRPr="00F11F13" w:rsidRDefault="00BB67DB" w:rsidP="00BB67DB">
      <w:pPr>
        <w:ind w:left="360"/>
        <w:rPr>
          <w:sz w:val="16"/>
          <w:szCs w:val="16"/>
        </w:rPr>
      </w:pPr>
      <w:r>
        <w:rPr>
          <w:szCs w:val="20"/>
          <w:vertAlign w:val="superscript"/>
        </w:rPr>
        <w:t>3</w:t>
      </w:r>
      <w:r w:rsidRPr="00F11F13">
        <w:rPr>
          <w:sz w:val="16"/>
          <w:szCs w:val="16"/>
        </w:rPr>
        <w:t xml:space="preserve"> Cancer Australia Bladder Cancer https://canceraustralia.gov.au/affected-can</w:t>
      </w:r>
      <w:r>
        <w:rPr>
          <w:sz w:val="16"/>
          <w:szCs w:val="16"/>
        </w:rPr>
        <w:t>cer/cancer-types/bladder-cancer</w:t>
      </w:r>
    </w:p>
    <w:p w:rsidR="00BB67DB" w:rsidRPr="00F21050" w:rsidRDefault="00BB67DB" w:rsidP="00F21050">
      <w:pPr>
        <w:ind w:left="360"/>
        <w:rPr>
          <w:sz w:val="16"/>
          <w:szCs w:val="16"/>
        </w:rPr>
      </w:pPr>
      <w:r>
        <w:rPr>
          <w:szCs w:val="20"/>
          <w:vertAlign w:val="superscript"/>
        </w:rPr>
        <w:t>4</w:t>
      </w:r>
      <w:r w:rsidRPr="00F11F13">
        <w:rPr>
          <w:szCs w:val="20"/>
          <w:vertAlign w:val="superscript"/>
        </w:rPr>
        <w:t xml:space="preserve"> </w:t>
      </w:r>
      <w:r w:rsidRPr="00F11F13">
        <w:rPr>
          <w:sz w:val="16"/>
          <w:szCs w:val="16"/>
        </w:rPr>
        <w:t xml:space="preserve">Schumacher T and </w:t>
      </w:r>
      <w:proofErr w:type="spellStart"/>
      <w:r w:rsidRPr="00F11F13">
        <w:rPr>
          <w:sz w:val="16"/>
          <w:szCs w:val="16"/>
        </w:rPr>
        <w:t>Schrieber</w:t>
      </w:r>
      <w:proofErr w:type="spellEnd"/>
      <w:r w:rsidRPr="00F11F13">
        <w:rPr>
          <w:sz w:val="16"/>
          <w:szCs w:val="16"/>
        </w:rPr>
        <w:t xml:space="preserve"> R. Science 3 April 2015</w:t>
      </w:r>
    </w:p>
    <w:p w:rsidR="0081511E" w:rsidRDefault="000955E7" w:rsidP="00EF7FC9">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A415C3" w:rsidRDefault="00EF7FC9" w:rsidP="00A415C3">
      <w:pPr>
        <w:ind w:left="426"/>
      </w:pPr>
      <w:r w:rsidRPr="00244BA7">
        <w:t xml:space="preserve">PD-L1 is expressed </w:t>
      </w:r>
      <w:r w:rsidR="00CD410A">
        <w:t xml:space="preserve">on </w:t>
      </w:r>
      <w:r w:rsidR="00572449">
        <w:t xml:space="preserve">the surface of </w:t>
      </w:r>
      <w:r w:rsidR="00DF3D4A">
        <w:t>tumour cells</w:t>
      </w:r>
      <w:r w:rsidR="00CD410A">
        <w:t xml:space="preserve"> </w:t>
      </w:r>
      <w:r w:rsidR="00A415C3">
        <w:t xml:space="preserve">and immune cells </w:t>
      </w:r>
      <w:r w:rsidR="00CD410A">
        <w:t>in</w:t>
      </w:r>
      <w:r w:rsidR="00393974">
        <w:t xml:space="preserve"> a broad range of cancer types, including </w:t>
      </w:r>
      <w:r w:rsidR="00A415C3">
        <w:t xml:space="preserve">urothelial </w:t>
      </w:r>
      <w:r w:rsidR="00DF3D4A">
        <w:t>cancer</w:t>
      </w:r>
      <w:r w:rsidR="00CD410A">
        <w:t xml:space="preserve">. </w:t>
      </w:r>
      <w:r w:rsidR="00393974">
        <w:t xml:space="preserve"> </w:t>
      </w:r>
      <w:r w:rsidR="00DF3D4A" w:rsidRPr="00BF42C4">
        <w:t>PD-L1 aids cancers in evading detection and elimin</w:t>
      </w:r>
      <w:r w:rsidR="0039480F">
        <w:t>ation by the immune system by su</w:t>
      </w:r>
      <w:r w:rsidR="00DF3D4A" w:rsidRPr="00BF42C4">
        <w:t>pressing the anti-tumo</w:t>
      </w:r>
      <w:r w:rsidR="00DF3D4A">
        <w:t>u</w:t>
      </w:r>
      <w:r w:rsidR="00A415C3">
        <w:t>r T-</w:t>
      </w:r>
      <w:r w:rsidR="00DF3D4A" w:rsidRPr="00BF42C4">
        <w:t xml:space="preserve">cell response.  </w:t>
      </w:r>
      <w:r w:rsidR="005C4D2B">
        <w:t>The level of PD-L1</w:t>
      </w:r>
      <w:r w:rsidR="00A415C3">
        <w:t xml:space="preserve"> expression can be assessed using </w:t>
      </w:r>
      <w:proofErr w:type="spellStart"/>
      <w:r w:rsidR="00A415C3">
        <w:t>immunohistochemical</w:t>
      </w:r>
      <w:proofErr w:type="spellEnd"/>
      <w:r w:rsidR="00A415C3">
        <w:t xml:space="preserve"> (IHC) testing with antibodies that bind specifically to the PD-L1 expressed on </w:t>
      </w:r>
      <w:r w:rsidR="00E17B73">
        <w:t xml:space="preserve">the surface of </w:t>
      </w:r>
      <w:r w:rsidR="00A415C3">
        <w:t xml:space="preserve">tumour cells or immune cells.  </w:t>
      </w:r>
    </w:p>
    <w:p w:rsidR="00D959A6" w:rsidRDefault="00D733F2" w:rsidP="00C65096">
      <w:pPr>
        <w:ind w:left="357"/>
        <w:rPr>
          <w:szCs w:val="20"/>
        </w:rPr>
      </w:pPr>
      <w:proofErr w:type="spellStart"/>
      <w:r>
        <w:t>D</w:t>
      </w:r>
      <w:r w:rsidR="00DF3D4A" w:rsidRPr="00BF42C4">
        <w:t>urv</w:t>
      </w:r>
      <w:r>
        <w:t>alumab</w:t>
      </w:r>
      <w:proofErr w:type="spellEnd"/>
      <w:r w:rsidR="0039480F">
        <w:t xml:space="preserve"> </w:t>
      </w:r>
      <w:r>
        <w:t>(</w:t>
      </w:r>
      <w:r w:rsidR="00DF3D4A">
        <w:t>MEDI4736) is a human monoclonal antibody</w:t>
      </w:r>
      <w:r w:rsidR="00DF3D4A" w:rsidRPr="00BF42C4">
        <w:t xml:space="preserve"> that inhibits binding of </w:t>
      </w:r>
      <w:r w:rsidR="00DF3D4A">
        <w:t>PD-L1</w:t>
      </w:r>
      <w:r w:rsidR="00DF3D4A" w:rsidRPr="00BF42C4">
        <w:t xml:space="preserve"> to programmed cell death receptor 1 (PD-1). </w:t>
      </w:r>
      <w:r w:rsidR="00DF3D4A">
        <w:t xml:space="preserve"> </w:t>
      </w:r>
      <w:proofErr w:type="spellStart"/>
      <w:r w:rsidR="00D959A6" w:rsidRPr="00CD531D">
        <w:rPr>
          <w:szCs w:val="20"/>
        </w:rPr>
        <w:t>Tremel</w:t>
      </w:r>
      <w:r w:rsidR="00D959A6">
        <w:rPr>
          <w:szCs w:val="20"/>
        </w:rPr>
        <w:t>imumab</w:t>
      </w:r>
      <w:proofErr w:type="spellEnd"/>
      <w:r w:rsidR="00D959A6">
        <w:rPr>
          <w:szCs w:val="20"/>
        </w:rPr>
        <w:t xml:space="preserve"> (MEDI1123) is a human monoclonal antibody</w:t>
      </w:r>
      <w:r w:rsidR="00D959A6" w:rsidRPr="00CD531D">
        <w:rPr>
          <w:szCs w:val="20"/>
        </w:rPr>
        <w:t xml:space="preserve"> which specifically binds to cytotoxic T-lymphocyte antigen -4 </w:t>
      </w:r>
      <w:r w:rsidR="00F37355">
        <w:rPr>
          <w:szCs w:val="20"/>
        </w:rPr>
        <w:t>(CTLA-4),</w:t>
      </w:r>
      <w:r w:rsidR="00D959A6">
        <w:rPr>
          <w:szCs w:val="20"/>
        </w:rPr>
        <w:t xml:space="preserve"> </w:t>
      </w:r>
      <w:r w:rsidR="00D959A6" w:rsidRPr="00CD531D">
        <w:rPr>
          <w:szCs w:val="20"/>
        </w:rPr>
        <w:t>prolonging T cell activation a</w:t>
      </w:r>
      <w:r w:rsidR="00F37355">
        <w:rPr>
          <w:szCs w:val="20"/>
        </w:rPr>
        <w:t>nd proliferation and enhancing T-</w:t>
      </w:r>
      <w:r w:rsidR="00D959A6" w:rsidRPr="00CD531D">
        <w:rPr>
          <w:szCs w:val="20"/>
        </w:rPr>
        <w:t>cell anti</w:t>
      </w:r>
      <w:r w:rsidR="00D959A6">
        <w:rPr>
          <w:szCs w:val="20"/>
        </w:rPr>
        <w:t>-</w:t>
      </w:r>
      <w:r w:rsidR="00D959A6" w:rsidRPr="00CD531D">
        <w:rPr>
          <w:szCs w:val="20"/>
        </w:rPr>
        <w:t>tumour activity.</w:t>
      </w:r>
      <w:r w:rsidR="00DE38F3">
        <w:rPr>
          <w:szCs w:val="20"/>
        </w:rPr>
        <w:t xml:space="preserve">  </w:t>
      </w:r>
    </w:p>
    <w:p w:rsidR="00F37355" w:rsidRDefault="00DE38F3" w:rsidP="00BB67DB">
      <w:pPr>
        <w:ind w:left="357"/>
        <w:rPr>
          <w:szCs w:val="20"/>
        </w:rPr>
      </w:pPr>
      <w:r>
        <w:t xml:space="preserve">This application is a </w:t>
      </w:r>
      <w:r w:rsidRPr="0096525B">
        <w:rPr>
          <w:b/>
        </w:rPr>
        <w:t>co-dependent</w:t>
      </w:r>
      <w:r>
        <w:t xml:space="preserve"> request for MBS listing of PD-L1 testing to determine </w:t>
      </w:r>
      <w:r w:rsidR="00800131">
        <w:t xml:space="preserve">which Stage IV </w:t>
      </w:r>
      <w:proofErr w:type="spellStart"/>
      <w:r w:rsidR="00800131">
        <w:t>unresectable</w:t>
      </w:r>
      <w:proofErr w:type="spellEnd"/>
      <w:r w:rsidR="00800131">
        <w:t xml:space="preserve"> urothelial cancer </w:t>
      </w:r>
      <w:r w:rsidR="00C93594">
        <w:t xml:space="preserve">patients have a high </w:t>
      </w:r>
      <w:r w:rsidR="00E17B73">
        <w:t>level of PD-L1</w:t>
      </w:r>
      <w:r w:rsidR="009E2BFB">
        <w:t xml:space="preserve"> expression </w:t>
      </w:r>
      <w:r w:rsidR="009E2BFB">
        <w:rPr>
          <w:szCs w:val="20"/>
        </w:rPr>
        <w:t>(defined as tumour cells ≥ 25% or immune cells ≥ 25%)*</w:t>
      </w:r>
      <w:r w:rsidR="00C93594">
        <w:t xml:space="preserve"> in order to qualify for requested PBS access to </w:t>
      </w:r>
      <w:r w:rsidR="00024E50">
        <w:t>1</w:t>
      </w:r>
      <w:r w:rsidR="00024E50" w:rsidRPr="00024E50">
        <w:rPr>
          <w:vertAlign w:val="superscript"/>
        </w:rPr>
        <w:t>st</w:t>
      </w:r>
      <w:r w:rsidR="00024E50">
        <w:t xml:space="preserve"> line </w:t>
      </w:r>
      <w:proofErr w:type="spellStart"/>
      <w:r w:rsidR="00C93594">
        <w:t>durvalumab</w:t>
      </w:r>
      <w:proofErr w:type="spellEnd"/>
      <w:r w:rsidR="00C93594">
        <w:t xml:space="preserve"> </w:t>
      </w:r>
      <w:r w:rsidR="0096525B">
        <w:t xml:space="preserve">monotherapy </w:t>
      </w:r>
      <w:r w:rsidR="009E2BFB">
        <w:t xml:space="preserve">treatment, and which Stage IV </w:t>
      </w:r>
      <w:proofErr w:type="spellStart"/>
      <w:r w:rsidR="009E2BFB">
        <w:t>unresectable</w:t>
      </w:r>
      <w:proofErr w:type="spellEnd"/>
      <w:r w:rsidR="009E2BFB">
        <w:t xml:space="preserve"> urothelial cancer</w:t>
      </w:r>
      <w:r w:rsidR="00C93594">
        <w:t xml:space="preserve"> </w:t>
      </w:r>
      <w:r w:rsidR="009D0C32">
        <w:t>patients have a low</w:t>
      </w:r>
      <w:r w:rsidR="00C93594">
        <w:t xml:space="preserve"> level of PD-L1 gene expression </w:t>
      </w:r>
      <w:r w:rsidR="009E2BFB">
        <w:rPr>
          <w:szCs w:val="20"/>
        </w:rPr>
        <w:t xml:space="preserve">(defined as tumour cells &lt; 25% or immune cells &lt; 25%)* </w:t>
      </w:r>
      <w:r w:rsidR="00C93594">
        <w:t>in order to quali</w:t>
      </w:r>
      <w:r w:rsidR="009D0C32">
        <w:t xml:space="preserve">fy for </w:t>
      </w:r>
      <w:r w:rsidR="0096525B">
        <w:t xml:space="preserve">requested </w:t>
      </w:r>
      <w:r w:rsidR="009D0C32">
        <w:t xml:space="preserve">PBS access to </w:t>
      </w:r>
      <w:r w:rsidR="00024E50">
        <w:t>1</w:t>
      </w:r>
      <w:r w:rsidR="00024E50" w:rsidRPr="00024E50">
        <w:rPr>
          <w:vertAlign w:val="superscript"/>
        </w:rPr>
        <w:t>st</w:t>
      </w:r>
      <w:r w:rsidR="00024E50">
        <w:t xml:space="preserve"> line </w:t>
      </w:r>
      <w:proofErr w:type="spellStart"/>
      <w:r w:rsidR="009D0C32">
        <w:t>durvalumab</w:t>
      </w:r>
      <w:proofErr w:type="spellEnd"/>
      <w:r w:rsidR="009D0C32">
        <w:t>/</w:t>
      </w:r>
      <w:proofErr w:type="spellStart"/>
      <w:r w:rsidR="009D0C32">
        <w:t>tremelimumab</w:t>
      </w:r>
      <w:proofErr w:type="spellEnd"/>
      <w:r w:rsidR="009D0C32">
        <w:t xml:space="preserve"> combination </w:t>
      </w:r>
      <w:r w:rsidR="00C93594">
        <w:t>treatment</w:t>
      </w:r>
      <w:r w:rsidR="0096525B">
        <w:t>.</w:t>
      </w:r>
      <w:r w:rsidR="00BB67DB">
        <w:rPr>
          <w:szCs w:val="20"/>
        </w:rPr>
        <w:t xml:space="preserve">  </w:t>
      </w:r>
    </w:p>
    <w:p w:rsidR="00DE38F3" w:rsidRPr="00792903" w:rsidRDefault="00BB67DB" w:rsidP="00792903">
      <w:pPr>
        <w:ind w:left="357"/>
        <w:rPr>
          <w:sz w:val="16"/>
          <w:szCs w:val="16"/>
        </w:rPr>
      </w:pPr>
      <w:r w:rsidRPr="002471A6">
        <w:rPr>
          <w:sz w:val="16"/>
          <w:szCs w:val="16"/>
        </w:rPr>
        <w:t>*When the immune cell area represents ≤1% of the total tumour area PD-L1 expression is defined as high when baseline tumour expression was tumour cells ≥ 25% and/or immune cells = 100% and PD-L1 low/negative when baseline tumour expression was tumour cells &lt; 25% and immune cells &lt;100%.</w:t>
      </w:r>
    </w:p>
    <w:p w:rsidR="00D11EB1" w:rsidRPr="0011036E" w:rsidRDefault="00DE38F3"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lastRenderedPageBreak/>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D27E1F"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C60041">
        <w:rPr>
          <w:szCs w:val="20"/>
        </w:rPr>
      </w:r>
      <w:r w:rsidR="00C60041">
        <w:rPr>
          <w:szCs w:val="20"/>
        </w:rPr>
        <w:fldChar w:fldCharType="separate"/>
      </w:r>
      <w:r>
        <w:rPr>
          <w:szCs w:val="20"/>
        </w:rPr>
        <w:fldChar w:fldCharType="end"/>
      </w:r>
      <w:bookmarkEnd w:id="2"/>
      <w:r w:rsidR="006B6390">
        <w:rPr>
          <w:szCs w:val="20"/>
        </w:rPr>
        <w:t xml:space="preserve"> Yes</w:t>
      </w:r>
    </w:p>
    <w:p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60041">
        <w:rPr>
          <w:szCs w:val="20"/>
        </w:rPr>
      </w:r>
      <w:r w:rsidR="00C60041">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60041">
        <w:rPr>
          <w:szCs w:val="20"/>
        </w:rPr>
      </w:r>
      <w:r w:rsidR="00C60041">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rsidR="00753C44" w:rsidRDefault="00D27E1F"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rsidR="00D27E1F" w:rsidRPr="00753C44" w:rsidRDefault="00F233CB" w:rsidP="00A6491A">
      <w:pPr>
        <w:spacing w:before="0" w:after="0"/>
        <w:ind w:left="284"/>
        <w:rPr>
          <w:szCs w:val="20"/>
        </w:rPr>
      </w:pPr>
      <w:r>
        <w:rPr>
          <w:szCs w:val="20"/>
        </w:rPr>
        <w:t xml:space="preserve">There are a number of MBS items for </w:t>
      </w:r>
      <w:proofErr w:type="spellStart"/>
      <w:r w:rsidR="00154775">
        <w:rPr>
          <w:szCs w:val="20"/>
        </w:rPr>
        <w:t>immunohistochemical</w:t>
      </w:r>
      <w:proofErr w:type="spellEnd"/>
      <w:r w:rsidR="00154775">
        <w:rPr>
          <w:szCs w:val="20"/>
        </w:rPr>
        <w:t xml:space="preserve"> (</w:t>
      </w:r>
      <w:r>
        <w:rPr>
          <w:szCs w:val="20"/>
        </w:rPr>
        <w:t>IHC</w:t>
      </w:r>
      <w:r w:rsidR="00154775">
        <w:rPr>
          <w:szCs w:val="20"/>
        </w:rPr>
        <w:t>)</w:t>
      </w:r>
      <w:r>
        <w:rPr>
          <w:szCs w:val="20"/>
        </w:rPr>
        <w:t xml:space="preserve"> testing however none of these current items is specific for PD-L</w:t>
      </w:r>
      <w:r w:rsidR="002453EF">
        <w:rPr>
          <w:szCs w:val="20"/>
        </w:rPr>
        <w:t>1 testing of patients with urothelial cancer</w:t>
      </w:r>
      <w:r>
        <w:rPr>
          <w:szCs w:val="20"/>
        </w:rPr>
        <w:t xml:space="preserve"> to determine PBS access to PD-L1/PD-1 blockers.  </w:t>
      </w:r>
      <w:r w:rsidR="009B0A03">
        <w:rPr>
          <w:szCs w:val="20"/>
        </w:rPr>
        <w:t xml:space="preserve">At the time of this application </w:t>
      </w:r>
      <w:r w:rsidR="00D27E1F">
        <w:rPr>
          <w:szCs w:val="20"/>
        </w:rPr>
        <w:t xml:space="preserve">the medical service would </w:t>
      </w:r>
      <w:r>
        <w:rPr>
          <w:szCs w:val="20"/>
        </w:rPr>
        <w:t xml:space="preserve">still </w:t>
      </w:r>
      <w:r w:rsidR="00D27E1F">
        <w:rPr>
          <w:szCs w:val="20"/>
        </w:rPr>
        <w:t>require a new MBS item number, however should</w:t>
      </w:r>
      <w:r w:rsidR="00540407">
        <w:rPr>
          <w:szCs w:val="20"/>
        </w:rPr>
        <w:t xml:space="preserve"> MSAC </w:t>
      </w:r>
      <w:r w:rsidR="00E62556">
        <w:rPr>
          <w:szCs w:val="20"/>
        </w:rPr>
        <w:t>PICO Confirmation</w:t>
      </w:r>
      <w:r w:rsidR="002453EF">
        <w:rPr>
          <w:szCs w:val="20"/>
        </w:rPr>
        <w:t xml:space="preserve"> 1457</w:t>
      </w:r>
      <w:r w:rsidR="00D27E1F">
        <w:rPr>
          <w:szCs w:val="20"/>
        </w:rPr>
        <w:t xml:space="preserve"> lead to a new MBS item numb</w:t>
      </w:r>
      <w:r w:rsidR="009B0A03">
        <w:rPr>
          <w:szCs w:val="20"/>
        </w:rPr>
        <w:t xml:space="preserve">er for PD-L1 testing for access to </w:t>
      </w:r>
      <w:proofErr w:type="spellStart"/>
      <w:r w:rsidR="009B0A03">
        <w:rPr>
          <w:szCs w:val="20"/>
        </w:rPr>
        <w:t>pembrolizumab</w:t>
      </w:r>
      <w:proofErr w:type="spellEnd"/>
      <w:r w:rsidR="003A411C">
        <w:rPr>
          <w:szCs w:val="20"/>
        </w:rPr>
        <w:t xml:space="preserve"> in metastatic urothelial cancer patients</w:t>
      </w:r>
      <w:r w:rsidR="009B0A03">
        <w:rPr>
          <w:szCs w:val="20"/>
        </w:rPr>
        <w:t xml:space="preserve">, then the requested medical service may require an amendment to this MBS listing to include access to </w:t>
      </w:r>
      <w:proofErr w:type="spellStart"/>
      <w:r w:rsidR="009B0A03">
        <w:rPr>
          <w:szCs w:val="20"/>
        </w:rPr>
        <w:t>durvalumab</w:t>
      </w:r>
      <w:proofErr w:type="spellEnd"/>
      <w:r w:rsidR="009B0A03">
        <w:rPr>
          <w:szCs w:val="20"/>
        </w:rPr>
        <w:t xml:space="preserve"> or </w:t>
      </w:r>
      <w:proofErr w:type="spellStart"/>
      <w:r w:rsidR="009B0A03">
        <w:rPr>
          <w:szCs w:val="20"/>
        </w:rPr>
        <w:t>durvalumab</w:t>
      </w:r>
      <w:proofErr w:type="spellEnd"/>
      <w:r w:rsidR="009B0A03">
        <w:rPr>
          <w:szCs w:val="20"/>
        </w:rPr>
        <w:t>/</w:t>
      </w:r>
      <w:proofErr w:type="spellStart"/>
      <w:r w:rsidR="009B0A03">
        <w:rPr>
          <w:szCs w:val="20"/>
        </w:rPr>
        <w:t>tremelimumab</w:t>
      </w:r>
      <w:proofErr w:type="spellEnd"/>
      <w:r>
        <w:rPr>
          <w:szCs w:val="20"/>
        </w:rPr>
        <w:t>.</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3D795C" w:rsidRPr="00CB12EC" w:rsidRDefault="009B0A03" w:rsidP="00A6491A">
      <w:pPr>
        <w:ind w:left="284"/>
      </w:pPr>
      <w:r>
        <w:t>Not currently applicable</w:t>
      </w:r>
      <w:r w:rsidR="00F233CB">
        <w:t>.</w:t>
      </w:r>
    </w:p>
    <w:p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0041">
        <w:rPr>
          <w:b/>
          <w:szCs w:val="20"/>
        </w:rPr>
      </w:r>
      <w:r w:rsidR="00C6004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0041">
        <w:rPr>
          <w:b/>
          <w:szCs w:val="20"/>
        </w:rPr>
      </w:r>
      <w:r w:rsidR="00C6004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0041">
        <w:rPr>
          <w:b/>
          <w:szCs w:val="20"/>
        </w:rPr>
      </w:r>
      <w:r w:rsidR="00C6004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0041">
        <w:rPr>
          <w:b/>
          <w:szCs w:val="20"/>
        </w:rPr>
      </w:r>
      <w:r w:rsidR="00C6004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0041">
        <w:rPr>
          <w:b/>
          <w:szCs w:val="20"/>
        </w:rPr>
      </w:r>
      <w:r w:rsidR="00C60041">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0041">
        <w:rPr>
          <w:b/>
          <w:szCs w:val="20"/>
        </w:rPr>
      </w:r>
      <w:r w:rsidR="00C60041">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0041">
        <w:rPr>
          <w:b/>
          <w:szCs w:val="20"/>
        </w:rPr>
      </w:r>
      <w:r w:rsidR="00C6004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0041">
        <w:rPr>
          <w:b/>
          <w:szCs w:val="20"/>
        </w:rPr>
      </w:r>
      <w:r w:rsidR="00C6004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0041">
        <w:rPr>
          <w:b/>
          <w:szCs w:val="20"/>
        </w:rPr>
      </w:r>
      <w:r w:rsidR="00C60041">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60041">
        <w:rPr>
          <w:b/>
          <w:szCs w:val="20"/>
        </w:rPr>
      </w:r>
      <w:r w:rsidR="00C60041">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5B524F"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C60041">
        <w:rPr>
          <w:b/>
          <w:szCs w:val="20"/>
        </w:rPr>
      </w:r>
      <w:r w:rsidR="00C60041">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60041">
        <w:rPr>
          <w:b/>
          <w:szCs w:val="20"/>
        </w:rPr>
      </w:r>
      <w:r w:rsidR="00C60041">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5B524F"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60041">
        <w:rPr>
          <w:b/>
          <w:szCs w:val="20"/>
        </w:rPr>
      </w:r>
      <w:r w:rsidR="00C60041">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6B6390" w:rsidRPr="005B524F" w:rsidRDefault="005B524F" w:rsidP="005B524F">
      <w:pPr>
        <w:spacing w:before="0" w:after="200" w:line="276" w:lineRule="auto"/>
        <w:rPr>
          <w:rStyle w:val="Strong"/>
          <w:b w:val="0"/>
        </w:rPr>
      </w:pPr>
      <w:r>
        <w:rPr>
          <w:rStyle w:val="Strong"/>
          <w:b w:val="0"/>
        </w:rPr>
        <w:br w:type="page"/>
      </w:r>
    </w:p>
    <w:p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Is the proposed service seeking public funding other than the MBS?</w:t>
      </w:r>
    </w:p>
    <w:p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sidRPr="000A5B32">
        <w:rPr>
          <w:szCs w:val="20"/>
        </w:rPr>
        <w:t xml:space="preserve"> Yes</w:t>
      </w:r>
    </w:p>
    <w:p w:rsidR="00626365" w:rsidRDefault="005B524F"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0A5B32" w:rsidRPr="000A5B32">
        <w:rPr>
          <w:szCs w:val="20"/>
        </w:rPr>
        <w:t xml:space="preserve"> No</w:t>
      </w:r>
    </w:p>
    <w:p w:rsidR="00626365" w:rsidRPr="00626365" w:rsidRDefault="00F233CB" w:rsidP="00626365">
      <w:pPr>
        <w:spacing w:before="0" w:after="0"/>
        <w:ind w:left="284"/>
        <w:rPr>
          <w:rStyle w:val="Strong"/>
          <w:rFonts w:asciiTheme="minorHAnsi" w:eastAsiaTheme="minorHAnsi" w:hAnsiTheme="minorHAnsi" w:cstheme="minorBidi"/>
          <w:b w:val="0"/>
          <w:szCs w:val="20"/>
        </w:rPr>
      </w:pPr>
      <w:r>
        <w:rPr>
          <w:rStyle w:val="Strong"/>
          <w:rFonts w:asciiTheme="minorHAnsi" w:eastAsiaTheme="minorHAnsi" w:hAnsiTheme="minorHAnsi" w:cstheme="minorBidi"/>
          <w:b w:val="0"/>
          <w:szCs w:val="20"/>
        </w:rPr>
        <w:t xml:space="preserve">No other source of funding for PD-L1 testing other than the MBS is sought, however in this co-dependent submission public funding </w:t>
      </w:r>
      <w:r w:rsidR="00024E50">
        <w:rPr>
          <w:rStyle w:val="Strong"/>
          <w:rFonts w:asciiTheme="minorHAnsi" w:eastAsiaTheme="minorHAnsi" w:hAnsiTheme="minorHAnsi" w:cstheme="minorBidi"/>
          <w:b w:val="0"/>
          <w:szCs w:val="20"/>
        </w:rPr>
        <w:t xml:space="preserve">for PBS access to </w:t>
      </w:r>
      <w:proofErr w:type="spellStart"/>
      <w:r w:rsidR="00024E50">
        <w:rPr>
          <w:rStyle w:val="Strong"/>
          <w:rFonts w:asciiTheme="minorHAnsi" w:eastAsiaTheme="minorHAnsi" w:hAnsiTheme="minorHAnsi" w:cstheme="minorBidi"/>
          <w:b w:val="0"/>
          <w:szCs w:val="20"/>
        </w:rPr>
        <w:t>durvalumab</w:t>
      </w:r>
      <w:proofErr w:type="spellEnd"/>
      <w:r w:rsidR="00024E50">
        <w:rPr>
          <w:rStyle w:val="Strong"/>
          <w:rFonts w:asciiTheme="minorHAnsi" w:eastAsiaTheme="minorHAnsi" w:hAnsiTheme="minorHAnsi" w:cstheme="minorBidi"/>
          <w:b w:val="0"/>
          <w:szCs w:val="20"/>
        </w:rPr>
        <w:t xml:space="preserve"> or</w:t>
      </w:r>
      <w:r>
        <w:rPr>
          <w:rStyle w:val="Strong"/>
          <w:rFonts w:asciiTheme="minorHAnsi" w:eastAsiaTheme="minorHAnsi" w:hAnsiTheme="minorHAnsi" w:cstheme="minorBidi"/>
          <w:b w:val="0"/>
          <w:szCs w:val="20"/>
        </w:rPr>
        <w:t xml:space="preserve"> </w:t>
      </w:r>
      <w:proofErr w:type="spellStart"/>
      <w:r>
        <w:rPr>
          <w:rStyle w:val="Strong"/>
          <w:rFonts w:asciiTheme="minorHAnsi" w:eastAsiaTheme="minorHAnsi" w:hAnsiTheme="minorHAnsi" w:cstheme="minorBidi"/>
          <w:b w:val="0"/>
          <w:szCs w:val="20"/>
        </w:rPr>
        <w:t>durvalumab</w:t>
      </w:r>
      <w:proofErr w:type="spellEnd"/>
      <w:r>
        <w:rPr>
          <w:rStyle w:val="Strong"/>
          <w:rFonts w:asciiTheme="minorHAnsi" w:eastAsiaTheme="minorHAnsi" w:hAnsiTheme="minorHAnsi" w:cstheme="minorBidi"/>
          <w:b w:val="0"/>
          <w:szCs w:val="20"/>
        </w:rPr>
        <w:t>/</w:t>
      </w:r>
      <w:proofErr w:type="spellStart"/>
      <w:r>
        <w:rPr>
          <w:rStyle w:val="Strong"/>
          <w:rFonts w:asciiTheme="minorHAnsi" w:eastAsiaTheme="minorHAnsi" w:hAnsiTheme="minorHAnsi" w:cstheme="minorBidi"/>
          <w:b w:val="0"/>
          <w:szCs w:val="20"/>
        </w:rPr>
        <w:t>tremelimumab</w:t>
      </w:r>
      <w:proofErr w:type="spellEnd"/>
      <w:r>
        <w:rPr>
          <w:rStyle w:val="Strong"/>
          <w:rFonts w:asciiTheme="minorHAnsi" w:eastAsiaTheme="minorHAnsi" w:hAnsiTheme="minorHAnsi" w:cstheme="minorBidi"/>
          <w:b w:val="0"/>
          <w:szCs w:val="20"/>
        </w:rPr>
        <w:t xml:space="preserve"> is being sought.</w:t>
      </w:r>
    </w:p>
    <w:p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rsidR="000B3CD0" w:rsidRDefault="000B3CD0" w:rsidP="00730C04">
      <w:pPr>
        <w:pStyle w:val="Heading2"/>
      </w:pPr>
      <w:r w:rsidRPr="00154B00">
        <w:t xml:space="preserve">What is the type of </w:t>
      </w:r>
      <w:proofErr w:type="gramStart"/>
      <w:r w:rsidRPr="00154B00">
        <w:t>service:</w:t>
      </w:r>
      <w:proofErr w:type="gramEnd"/>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0041">
        <w:rPr>
          <w:b/>
          <w:szCs w:val="20"/>
        </w:rPr>
      </w:r>
      <w:r w:rsidR="00C60041">
        <w:rPr>
          <w:b/>
          <w:szCs w:val="20"/>
        </w:rPr>
        <w:fldChar w:fldCharType="separate"/>
      </w:r>
      <w:r w:rsidRPr="0027105F">
        <w:rPr>
          <w:b/>
          <w:szCs w:val="20"/>
        </w:rPr>
        <w:fldChar w:fldCharType="end"/>
      </w:r>
      <w:r w:rsidRPr="0027105F">
        <w:rPr>
          <w:b/>
          <w:szCs w:val="20"/>
        </w:rPr>
        <w:t xml:space="preserve"> </w:t>
      </w:r>
      <w:r>
        <w:t>Therapeutic medical service</w:t>
      </w:r>
    </w:p>
    <w:p w:rsidR="00A6594E" w:rsidRDefault="00EA3784" w:rsidP="00A6491A">
      <w:pPr>
        <w:spacing w:before="0" w:after="0"/>
        <w:ind w:left="284"/>
      </w:pPr>
      <w:r>
        <w:rPr>
          <w:b/>
          <w:szCs w:val="20"/>
        </w:rPr>
        <w:fldChar w:fldCharType="begin">
          <w:ffData>
            <w:name w:val=""/>
            <w:enabled/>
            <w:calcOnExit w:val="0"/>
            <w:checkBox>
              <w:sizeAuto/>
              <w:default w:val="0"/>
            </w:checkBox>
          </w:ffData>
        </w:fldChar>
      </w:r>
      <w:r>
        <w:rPr>
          <w:b/>
          <w:szCs w:val="20"/>
        </w:rPr>
        <w:instrText xml:space="preserve"> FORMCHECKBOX </w:instrText>
      </w:r>
      <w:r w:rsidR="00C60041">
        <w:rPr>
          <w:b/>
          <w:szCs w:val="20"/>
        </w:rPr>
      </w:r>
      <w:r w:rsidR="00C60041">
        <w:rPr>
          <w:b/>
          <w:szCs w:val="20"/>
        </w:rPr>
        <w:fldChar w:fldCharType="separate"/>
      </w:r>
      <w:r>
        <w:rPr>
          <w:b/>
          <w:szCs w:val="20"/>
        </w:rPr>
        <w:fldChar w:fldCharType="end"/>
      </w:r>
      <w:r w:rsidR="00A6594E" w:rsidRPr="0027105F">
        <w:rPr>
          <w:b/>
          <w:szCs w:val="20"/>
        </w:rPr>
        <w:t xml:space="preserve"> </w:t>
      </w:r>
      <w:r w:rsidR="00A6594E">
        <w:t>Investigative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0041">
        <w:rPr>
          <w:b/>
          <w:szCs w:val="20"/>
        </w:rPr>
      </w:r>
      <w:r w:rsidR="00C60041">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0041">
        <w:rPr>
          <w:b/>
          <w:szCs w:val="20"/>
        </w:rPr>
      </w:r>
      <w:r w:rsidR="00C60041">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0041">
        <w:rPr>
          <w:b/>
          <w:szCs w:val="20"/>
        </w:rPr>
      </w:r>
      <w:r w:rsidR="00C60041">
        <w:rPr>
          <w:b/>
          <w:szCs w:val="20"/>
        </w:rPr>
        <w:fldChar w:fldCharType="separate"/>
      </w:r>
      <w:r w:rsidRPr="0027105F">
        <w:rPr>
          <w:b/>
          <w:szCs w:val="20"/>
        </w:rPr>
        <w:fldChar w:fldCharType="end"/>
      </w:r>
      <w:r w:rsidRPr="0027105F">
        <w:rPr>
          <w:b/>
          <w:szCs w:val="20"/>
        </w:rPr>
        <w:t xml:space="preserve"> </w:t>
      </w:r>
      <w:r>
        <w:t>Allied health service</w:t>
      </w:r>
    </w:p>
    <w:p w:rsidR="00A6594E" w:rsidRDefault="0081511E"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60041">
        <w:rPr>
          <w:b/>
          <w:szCs w:val="20"/>
        </w:rPr>
      </w:r>
      <w:r w:rsidR="00C60041">
        <w:rPr>
          <w:b/>
          <w:szCs w:val="20"/>
        </w:rPr>
        <w:fldChar w:fldCharType="separate"/>
      </w:r>
      <w:r>
        <w:rPr>
          <w:b/>
          <w:szCs w:val="20"/>
        </w:rPr>
        <w:fldChar w:fldCharType="end"/>
      </w:r>
      <w:r w:rsidR="00A6594E" w:rsidRPr="0027105F">
        <w:rPr>
          <w:b/>
          <w:szCs w:val="20"/>
        </w:rPr>
        <w:t xml:space="preserve"> </w:t>
      </w:r>
      <w:r w:rsidR="00A6594E">
        <w:t>Co-dependent technology</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0041">
        <w:rPr>
          <w:b/>
          <w:szCs w:val="20"/>
        </w:rPr>
      </w:r>
      <w:r w:rsidR="00C60041">
        <w:rPr>
          <w:b/>
          <w:szCs w:val="20"/>
        </w:rPr>
        <w:fldChar w:fldCharType="separate"/>
      </w:r>
      <w:r w:rsidRPr="0027105F">
        <w:rPr>
          <w:b/>
          <w:szCs w:val="20"/>
        </w:rPr>
        <w:fldChar w:fldCharType="end"/>
      </w:r>
      <w:r w:rsidRPr="0027105F">
        <w:rPr>
          <w:b/>
          <w:szCs w:val="20"/>
        </w:rPr>
        <w:t xml:space="preserve"> </w:t>
      </w:r>
      <w:r>
        <w:t>Hybrid health technology</w:t>
      </w:r>
    </w:p>
    <w:p w:rsidR="00124B00" w:rsidRPr="00A6594E" w:rsidRDefault="00124B00" w:rsidP="00A6491A">
      <w:pPr>
        <w:spacing w:before="0" w:after="0"/>
        <w:ind w:left="284"/>
      </w:pPr>
    </w:p>
    <w:p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60041">
        <w:rPr>
          <w:b/>
          <w:szCs w:val="20"/>
        </w:rPr>
      </w:r>
      <w:r w:rsidR="00C60041">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60041">
        <w:rPr>
          <w:b/>
          <w:szCs w:val="20"/>
        </w:rPr>
      </w:r>
      <w:r w:rsidR="00C60041">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60041">
        <w:rPr>
          <w:b/>
          <w:szCs w:val="20"/>
        </w:rPr>
      </w:r>
      <w:r w:rsidR="00C60041">
        <w:rPr>
          <w:b/>
          <w:szCs w:val="20"/>
        </w:rPr>
        <w:fldChar w:fldCharType="separate"/>
      </w:r>
      <w:r w:rsidRPr="00AF4466">
        <w:rPr>
          <w:b/>
          <w:szCs w:val="20"/>
        </w:rPr>
        <w:fldChar w:fldCharType="end"/>
      </w:r>
      <w:r w:rsidRPr="00AF4466">
        <w:rPr>
          <w:b/>
          <w:szCs w:val="20"/>
        </w:rPr>
        <w:t xml:space="preserve"> </w:t>
      </w:r>
      <w:r>
        <w:t>Provides information about prognosis</w:t>
      </w:r>
    </w:p>
    <w:p w:rsidR="00A6594E" w:rsidRDefault="00695FB9"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C60041">
        <w:rPr>
          <w:b/>
          <w:szCs w:val="20"/>
        </w:rPr>
      </w:r>
      <w:r w:rsidR="00C60041">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rsidR="00F63A62" w:rsidRDefault="00A6594E"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60041">
        <w:rPr>
          <w:b/>
          <w:szCs w:val="20"/>
        </w:rPr>
      </w:r>
      <w:r w:rsidR="00C60041">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rsidR="00A6594E" w:rsidRDefault="00F63A62"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60041">
        <w:rPr>
          <w:b/>
          <w:szCs w:val="20"/>
        </w:rPr>
      </w:r>
      <w:r w:rsidR="00C60041">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 xml:space="preserve">mutations (and thus for which the Clinical Utility Card </w:t>
      </w:r>
      <w:proofErr w:type="spellStart"/>
      <w:r>
        <w:t>proforma</w:t>
      </w:r>
      <w:proofErr w:type="spellEnd"/>
      <w:r>
        <w:t xml:space="preserve"> might apply)</w:t>
      </w:r>
    </w:p>
    <w:p w:rsidR="002A40AE" w:rsidRDefault="002A40AE" w:rsidP="002F55EF">
      <w:pPr>
        <w:spacing w:before="0" w:after="0"/>
      </w:pPr>
    </w:p>
    <w:p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EA3784"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60041">
        <w:rPr>
          <w:b/>
          <w:szCs w:val="20"/>
        </w:rPr>
      </w:r>
      <w:r w:rsidR="00C60041">
        <w:rPr>
          <w:b/>
          <w:szCs w:val="20"/>
        </w:rPr>
        <w:fldChar w:fldCharType="separate"/>
      </w:r>
      <w:r>
        <w:rPr>
          <w:b/>
          <w:szCs w:val="20"/>
        </w:rPr>
        <w:fldChar w:fldCharType="end"/>
      </w:r>
      <w:r w:rsidR="00FE16C1" w:rsidRPr="0027105F">
        <w:rPr>
          <w:b/>
          <w:szCs w:val="20"/>
        </w:rPr>
        <w:t xml:space="preserve"> </w:t>
      </w:r>
      <w:r w:rsidR="00FE16C1">
        <w:t>Pharmaceutical / Biological</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0041">
        <w:rPr>
          <w:b/>
          <w:szCs w:val="20"/>
        </w:rPr>
      </w:r>
      <w:r w:rsidR="00C60041">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0041">
        <w:rPr>
          <w:b/>
          <w:szCs w:val="20"/>
        </w:rPr>
      </w:r>
      <w:r w:rsidR="00C60041">
        <w:rPr>
          <w:b/>
          <w:szCs w:val="20"/>
        </w:rPr>
        <w:fldChar w:fldCharType="separate"/>
      </w:r>
      <w:r w:rsidRPr="0027105F">
        <w:rPr>
          <w:b/>
          <w:szCs w:val="20"/>
        </w:rPr>
        <w:fldChar w:fldCharType="end"/>
      </w:r>
      <w:r w:rsidRPr="0027105F">
        <w:rPr>
          <w:b/>
          <w:szCs w:val="20"/>
        </w:rPr>
        <w:t xml:space="preserve"> </w:t>
      </w:r>
      <w:r>
        <w:t>No</w:t>
      </w:r>
    </w:p>
    <w:p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sidRPr="000A5B32">
        <w:rPr>
          <w:szCs w:val="20"/>
        </w:rPr>
        <w:t xml:space="preserve"> Yes</w:t>
      </w:r>
    </w:p>
    <w:p w:rsidR="00FE16C1" w:rsidRPr="00FE16C1" w:rsidRDefault="00EA378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FE16C1">
        <w:rPr>
          <w:szCs w:val="20"/>
        </w:rPr>
        <w:t xml:space="preserve"> No  </w:t>
      </w:r>
    </w:p>
    <w:p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r w:rsidR="00024E50">
        <w:t>: Not applicable</w:t>
      </w:r>
    </w:p>
    <w:p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rsidR="001E6919" w:rsidRDefault="00E52094"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1E6919">
        <w:rPr>
          <w:szCs w:val="20"/>
        </w:rPr>
        <w:t xml:space="preserve"> No</w:t>
      </w:r>
    </w:p>
    <w:p w:rsidR="001E6919" w:rsidRDefault="00E52094" w:rsidP="00A6491A">
      <w:pPr>
        <w:spacing w:before="0" w:after="0"/>
        <w:ind w:left="284"/>
      </w:pPr>
      <w:r>
        <w:t>An integrated co-dependent submission to MSAC/PBAC is proposed</w:t>
      </w:r>
      <w:r w:rsidR="007952BC">
        <w:t xml:space="preserve"> </w:t>
      </w:r>
      <w:r w:rsidR="00024E50">
        <w:t xml:space="preserve">for PD-L1 testing </w:t>
      </w:r>
      <w:r w:rsidR="007952BC">
        <w:t xml:space="preserve">to determine </w:t>
      </w:r>
      <w:r w:rsidR="00024E50">
        <w:t xml:space="preserve">PBS </w:t>
      </w:r>
      <w:r w:rsidR="007952BC">
        <w:t xml:space="preserve">access to </w:t>
      </w:r>
      <w:proofErr w:type="spellStart"/>
      <w:r w:rsidR="007952BC">
        <w:t>durvalumab</w:t>
      </w:r>
      <w:proofErr w:type="spellEnd"/>
      <w:r w:rsidR="007952BC">
        <w:t xml:space="preserve"> or </w:t>
      </w:r>
      <w:proofErr w:type="spellStart"/>
      <w:r w:rsidR="007952BC">
        <w:t>durvalumab</w:t>
      </w:r>
      <w:proofErr w:type="spellEnd"/>
      <w:r w:rsidR="007952BC">
        <w:t>/</w:t>
      </w:r>
      <w:proofErr w:type="spellStart"/>
      <w:r w:rsidR="007952BC">
        <w:t>tr</w:t>
      </w:r>
      <w:r w:rsidR="00A144DD">
        <w:t>emelimumab</w:t>
      </w:r>
      <w:proofErr w:type="spellEnd"/>
      <w:r w:rsidR="00A144DD">
        <w:t xml:space="preserve"> as </w:t>
      </w:r>
      <w:r w:rsidR="008B66D6">
        <w:t xml:space="preserve">first line treatment in patients with </w:t>
      </w:r>
      <w:proofErr w:type="spellStart"/>
      <w:r w:rsidR="008B66D6">
        <w:t>unresectable</w:t>
      </w:r>
      <w:proofErr w:type="spellEnd"/>
      <w:r w:rsidR="008B66D6">
        <w:t xml:space="preserve"> Stage IV urothelial cancer.</w:t>
      </w:r>
    </w:p>
    <w:p w:rsidR="002964DA" w:rsidRPr="007E39E4" w:rsidRDefault="002964DA" w:rsidP="00A6491A">
      <w:pPr>
        <w:spacing w:before="0" w:after="0"/>
        <w:ind w:left="284"/>
        <w:rPr>
          <w:szCs w:val="20"/>
        </w:rPr>
      </w:pPr>
    </w:p>
    <w:p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rsidR="008B66D6" w:rsidRDefault="001E6958" w:rsidP="00A6491A">
      <w:pPr>
        <w:spacing w:before="0" w:after="0"/>
        <w:ind w:left="284"/>
      </w:pPr>
      <w:r>
        <w:lastRenderedPageBreak/>
        <w:t xml:space="preserve">Trade name: </w:t>
      </w:r>
      <w:r w:rsidR="00A0309A">
        <w:t>T</w:t>
      </w:r>
      <w:r w:rsidR="002F06B6">
        <w:t xml:space="preserve">he tradename </w:t>
      </w:r>
      <w:r w:rsidR="00A0309A">
        <w:t xml:space="preserve">has yet to be determined for </w:t>
      </w:r>
      <w:proofErr w:type="spellStart"/>
      <w:r w:rsidR="002F06B6">
        <w:t>durvalumab</w:t>
      </w:r>
      <w:proofErr w:type="spellEnd"/>
      <w:r w:rsidR="00024E50">
        <w:t xml:space="preserve"> </w:t>
      </w:r>
      <w:r w:rsidR="004B2E55">
        <w:t>(also known as MEDI4736)</w:t>
      </w:r>
      <w:r w:rsidR="002F06B6">
        <w:t xml:space="preserve">.  </w:t>
      </w:r>
    </w:p>
    <w:p w:rsidR="001E6958" w:rsidRDefault="002F06B6" w:rsidP="00A6491A">
      <w:pPr>
        <w:spacing w:before="0" w:after="0"/>
        <w:ind w:left="284"/>
      </w:pPr>
      <w:r>
        <w:t xml:space="preserve">The tradename for </w:t>
      </w:r>
      <w:proofErr w:type="spellStart"/>
      <w:r>
        <w:t>tremelimumab</w:t>
      </w:r>
      <w:proofErr w:type="spellEnd"/>
      <w:r w:rsidR="004B2E55">
        <w:t xml:space="preserve"> (also known as MEDI1123)</w:t>
      </w:r>
      <w:r w:rsidR="00A144DD">
        <w:t xml:space="preserve"> has yet to be determined</w:t>
      </w:r>
      <w:r>
        <w:t>.</w:t>
      </w:r>
    </w:p>
    <w:p w:rsidR="001E6958" w:rsidRPr="001E6958" w:rsidRDefault="001E6958" w:rsidP="002F06B6">
      <w:pPr>
        <w:spacing w:before="0" w:after="0"/>
        <w:ind w:left="284"/>
      </w:pPr>
      <w:r>
        <w:t>Generic name</w:t>
      </w:r>
      <w:r w:rsidR="00A144DD">
        <w:t>s</w:t>
      </w:r>
      <w:r>
        <w:t xml:space="preserve">: </w:t>
      </w:r>
      <w:proofErr w:type="spellStart"/>
      <w:r w:rsidR="002F06B6">
        <w:t>durvalumab</w:t>
      </w:r>
      <w:proofErr w:type="spellEnd"/>
      <w:r w:rsidR="002F06B6">
        <w:t>;</w:t>
      </w:r>
      <w:r w:rsidR="004B2E55">
        <w:t xml:space="preserve"> </w:t>
      </w:r>
      <w:proofErr w:type="spellStart"/>
      <w:r w:rsidR="004B2E55">
        <w:t>tremelimumab</w:t>
      </w:r>
      <w:proofErr w:type="spellEnd"/>
    </w:p>
    <w:p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r w:rsidR="002F06B6">
        <w:t xml:space="preserve"> </w:t>
      </w:r>
      <w:r w:rsidR="002F06B6" w:rsidRPr="004B2E55">
        <w:rPr>
          <w:b w:val="0"/>
        </w:rPr>
        <w:t>Not applicable</w:t>
      </w:r>
    </w:p>
    <w:p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sidRPr="000A5B32">
        <w:rPr>
          <w:szCs w:val="20"/>
        </w:rPr>
        <w:t xml:space="preserve"> Yes</w:t>
      </w:r>
    </w:p>
    <w:p w:rsidR="001E6919" w:rsidRDefault="001E6958" w:rsidP="00102245">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sidR="00102245">
        <w:rPr>
          <w:szCs w:val="20"/>
        </w:rPr>
        <w:t xml:space="preserve"> No</w:t>
      </w:r>
    </w:p>
    <w:p w:rsidR="00102245" w:rsidRPr="001E6958" w:rsidRDefault="00102245" w:rsidP="00102245">
      <w:pPr>
        <w:spacing w:before="0" w:after="0"/>
        <w:ind w:left="284"/>
        <w:rPr>
          <w:szCs w:val="20"/>
        </w:rPr>
      </w:pPr>
    </w:p>
    <w:p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r w:rsidR="004B2E55">
        <w:rPr>
          <w:b w:val="0"/>
        </w:rPr>
        <w:t>Not applicable</w:t>
      </w:r>
    </w:p>
    <w:p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rsidR="009939DC" w:rsidRDefault="009939DC" w:rsidP="004B2E55">
      <w:pPr>
        <w:ind w:left="284"/>
      </w:pPr>
    </w:p>
    <w:p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r w:rsidR="00174EF4">
        <w:rPr>
          <w:b w:val="0"/>
        </w:rPr>
        <w:t xml:space="preserve"> Not applicable</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sidRPr="000A5B32">
        <w:rPr>
          <w:szCs w:val="20"/>
        </w:rPr>
        <w:t xml:space="preserve"> Yes</w:t>
      </w:r>
    </w:p>
    <w:p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Pr>
          <w:szCs w:val="20"/>
        </w:rPr>
        <w:t xml:space="preserve"> No  </w:t>
      </w:r>
    </w:p>
    <w:p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r w:rsidR="008B66D6">
        <w:t xml:space="preserve"> </w:t>
      </w:r>
      <w:r w:rsidR="008B66D6" w:rsidRPr="008B66D6">
        <w:rPr>
          <w:b w:val="0"/>
        </w:rPr>
        <w:t>Not applicable</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sidRPr="000A5B32">
        <w:rPr>
          <w:szCs w:val="20"/>
        </w:rPr>
        <w:t xml:space="preserve"> Yes</w:t>
      </w:r>
    </w:p>
    <w:p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Pr>
          <w:szCs w:val="20"/>
        </w:rPr>
        <w:t xml:space="preserve"> No  </w:t>
      </w:r>
    </w:p>
    <w:p w:rsidR="009939DC" w:rsidRDefault="00016B6E" w:rsidP="00530204">
      <w:pPr>
        <w:pStyle w:val="Heading2"/>
        <w:numPr>
          <w:ilvl w:val="0"/>
          <w:numId w:val="26"/>
        </w:numPr>
      </w:pPr>
      <w:r w:rsidRPr="009939DC">
        <w:t>If yes, please provide the name(s) of the spon</w:t>
      </w:r>
      <w:r w:rsidR="009939DC">
        <w:t>sor(s) and / or manufacturer(s):</w:t>
      </w:r>
      <w:r w:rsidR="008B66D6">
        <w:t xml:space="preserve"> </w:t>
      </w:r>
      <w:r w:rsidR="008B66D6" w:rsidRPr="008B66D6">
        <w:rPr>
          <w:b w:val="0"/>
        </w:rPr>
        <w:t>Not applicable</w:t>
      </w:r>
    </w:p>
    <w:p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rsidR="009939DC" w:rsidRDefault="009939DC" w:rsidP="00A6491A">
      <w:pPr>
        <w:spacing w:before="0" w:after="0"/>
        <w:ind w:left="284"/>
      </w:pPr>
      <w:r>
        <w:t xml:space="preserve">Single use consumables: </w:t>
      </w:r>
      <w:r w:rsidR="00174EF4">
        <w:t xml:space="preserve">Commercially available </w:t>
      </w:r>
      <w:r w:rsidR="00160CC2">
        <w:t xml:space="preserve">PD-L1 test </w:t>
      </w:r>
      <w:r w:rsidR="007778E3">
        <w:t>kits are single use items.</w:t>
      </w:r>
    </w:p>
    <w:p w:rsidR="00174EF4" w:rsidRDefault="009939DC" w:rsidP="00A6491A">
      <w:pPr>
        <w:spacing w:before="0" w:after="0"/>
        <w:ind w:left="284"/>
      </w:pPr>
      <w:r>
        <w:t>Multi-use consumables:</w:t>
      </w:r>
      <w:r w:rsidRPr="009939DC">
        <w:t xml:space="preserve"> </w:t>
      </w:r>
      <w:r w:rsidR="007778E3">
        <w:t xml:space="preserve">Instrumentation/software, such as </w:t>
      </w:r>
      <w:r w:rsidR="00154775">
        <w:t xml:space="preserve">the </w:t>
      </w:r>
      <w:proofErr w:type="spellStart"/>
      <w:r w:rsidR="00154775">
        <w:t>Ventana</w:t>
      </w:r>
      <w:proofErr w:type="spellEnd"/>
      <w:r w:rsidR="00154775">
        <w:t xml:space="preserve"> </w:t>
      </w:r>
      <w:proofErr w:type="spellStart"/>
      <w:r w:rsidR="00154775">
        <w:t>BenchMark</w:t>
      </w:r>
      <w:proofErr w:type="spellEnd"/>
      <w:r w:rsidR="00154775">
        <w:t xml:space="preserve"> ULTRA IHC automated slide </w:t>
      </w:r>
      <w:proofErr w:type="spellStart"/>
      <w:r w:rsidR="00154775">
        <w:t>stainer</w:t>
      </w:r>
      <w:proofErr w:type="spellEnd"/>
      <w:r w:rsidR="00154775">
        <w:t xml:space="preserve"> </w:t>
      </w:r>
      <w:r w:rsidR="007778E3">
        <w:t>are multi-use consumables.</w:t>
      </w:r>
    </w:p>
    <w:p w:rsidR="00174EF4" w:rsidRDefault="00174EF4" w:rsidP="00A6491A">
      <w:pPr>
        <w:spacing w:before="0" w:after="0"/>
        <w:ind w:left="284"/>
      </w:pPr>
    </w:p>
    <w:p w:rsidR="00F301F1" w:rsidRPr="00855944" w:rsidRDefault="00F301F1" w:rsidP="00A6491A">
      <w:pPr>
        <w:spacing w:before="0" w:after="0"/>
        <w:ind w:left="284"/>
      </w:pPr>
      <w:r w:rsidRPr="00855944">
        <w:br w:type="page"/>
      </w:r>
    </w:p>
    <w:p w:rsidR="00226777" w:rsidRPr="00C776B1" w:rsidRDefault="00530204" w:rsidP="00B5731D">
      <w:pPr>
        <w:pStyle w:val="Heading1"/>
      </w:pPr>
      <w:r>
        <w:lastRenderedPageBreak/>
        <w:t>PART 3</w:t>
      </w:r>
      <w:r w:rsidR="00F93784">
        <w:t xml:space="preserve"> – </w:t>
      </w:r>
      <w:r w:rsidR="00226777" w:rsidRPr="00C776B1">
        <w:t>INFORMATION ABOUT REGULATORY REQUIREMENTS</w:t>
      </w:r>
    </w:p>
    <w:p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A26343" w:rsidRPr="00A26343" w:rsidRDefault="00A26343" w:rsidP="00A6491A">
      <w:pPr>
        <w:spacing w:before="0" w:after="0"/>
        <w:ind w:left="284"/>
        <w:rPr>
          <w:szCs w:val="20"/>
        </w:rPr>
      </w:pPr>
      <w:r w:rsidRPr="00A26343">
        <w:rPr>
          <w:szCs w:val="20"/>
        </w:rPr>
        <w:t>Type of therapeutic good</w:t>
      </w:r>
      <w:r w:rsidR="004D1CBD">
        <w:rPr>
          <w:szCs w:val="20"/>
        </w:rPr>
        <w:t xml:space="preserve">: Pharmaceutical products – PD-L1 blocker </w:t>
      </w:r>
      <w:proofErr w:type="spellStart"/>
      <w:r w:rsidR="004D1CBD">
        <w:rPr>
          <w:szCs w:val="20"/>
        </w:rPr>
        <w:t>durvalumab</w:t>
      </w:r>
      <w:proofErr w:type="spellEnd"/>
      <w:r w:rsidR="00A0309A">
        <w:rPr>
          <w:szCs w:val="20"/>
        </w:rPr>
        <w:t xml:space="preserve"> (</w:t>
      </w:r>
      <w:r w:rsidR="00154775">
        <w:rPr>
          <w:szCs w:val="20"/>
        </w:rPr>
        <w:t>MEDI 4736)</w:t>
      </w:r>
      <w:r w:rsidR="004D1CBD">
        <w:rPr>
          <w:szCs w:val="20"/>
        </w:rPr>
        <w:t>; CTLA</w:t>
      </w:r>
      <w:r w:rsidR="005D122A">
        <w:rPr>
          <w:szCs w:val="20"/>
        </w:rPr>
        <w:t>-4</w:t>
      </w:r>
      <w:r w:rsidR="004D1CBD">
        <w:rPr>
          <w:szCs w:val="20"/>
        </w:rPr>
        <w:t xml:space="preserve"> blocker </w:t>
      </w:r>
      <w:proofErr w:type="spellStart"/>
      <w:r w:rsidR="004D1CBD">
        <w:rPr>
          <w:szCs w:val="20"/>
        </w:rPr>
        <w:t>tremelimumab</w:t>
      </w:r>
      <w:proofErr w:type="spellEnd"/>
      <w:r w:rsidR="00891269">
        <w:rPr>
          <w:szCs w:val="20"/>
        </w:rPr>
        <w:t xml:space="preserve"> (MEDI1123)</w:t>
      </w:r>
    </w:p>
    <w:p w:rsidR="00A26343" w:rsidRPr="00A26343" w:rsidRDefault="00A26343" w:rsidP="00A6491A">
      <w:pPr>
        <w:spacing w:before="0" w:after="0"/>
        <w:ind w:left="284"/>
        <w:rPr>
          <w:szCs w:val="20"/>
        </w:rPr>
      </w:pPr>
      <w:r w:rsidRPr="00A26343">
        <w:rPr>
          <w:szCs w:val="20"/>
        </w:rPr>
        <w:t>Manufacturer’s name</w:t>
      </w:r>
      <w:r>
        <w:rPr>
          <w:szCs w:val="20"/>
        </w:rPr>
        <w:t xml:space="preserve">: </w:t>
      </w:r>
      <w:r w:rsidR="004D1CBD">
        <w:rPr>
          <w:szCs w:val="20"/>
        </w:rPr>
        <w:t>AstraZeneca Pty Ltd</w:t>
      </w:r>
    </w:p>
    <w:p w:rsidR="00A26343" w:rsidRDefault="00A26343" w:rsidP="00A6491A">
      <w:pPr>
        <w:spacing w:before="0" w:after="0"/>
        <w:ind w:left="284"/>
        <w:rPr>
          <w:szCs w:val="20"/>
        </w:rPr>
      </w:pPr>
      <w:r w:rsidRPr="00A26343">
        <w:rPr>
          <w:szCs w:val="20"/>
        </w:rPr>
        <w:t>Sponsor’s name</w:t>
      </w:r>
      <w:r>
        <w:rPr>
          <w:szCs w:val="20"/>
        </w:rPr>
        <w:t xml:space="preserve">: </w:t>
      </w:r>
      <w:r w:rsidR="004D1CBD">
        <w:rPr>
          <w:szCs w:val="20"/>
        </w:rPr>
        <w:t>AstraZeneca Pty Ltd</w:t>
      </w:r>
    </w:p>
    <w:p w:rsidR="004D1CBD" w:rsidRDefault="004D1CBD" w:rsidP="00A6491A">
      <w:pPr>
        <w:spacing w:before="0" w:after="0"/>
        <w:ind w:left="284"/>
        <w:rPr>
          <w:szCs w:val="20"/>
        </w:rPr>
      </w:pPr>
    </w:p>
    <w:p w:rsidR="004D1CBD" w:rsidRPr="00A26343" w:rsidRDefault="004D1CBD" w:rsidP="004D1CBD">
      <w:pPr>
        <w:spacing w:before="0" w:after="0"/>
        <w:ind w:left="284"/>
        <w:rPr>
          <w:szCs w:val="20"/>
        </w:rPr>
      </w:pPr>
      <w:r w:rsidRPr="00A26343">
        <w:rPr>
          <w:szCs w:val="20"/>
        </w:rPr>
        <w:t>Type of therapeutic good</w:t>
      </w:r>
      <w:r w:rsidR="00891269">
        <w:rPr>
          <w:szCs w:val="20"/>
        </w:rPr>
        <w:t xml:space="preserve">: </w:t>
      </w:r>
      <w:r w:rsidR="008F5652">
        <w:rPr>
          <w:szCs w:val="20"/>
        </w:rPr>
        <w:t xml:space="preserve">In-vitro diagnostic test: </w:t>
      </w:r>
      <w:r w:rsidR="00891269">
        <w:t>Roche/</w:t>
      </w:r>
      <w:proofErr w:type="spellStart"/>
      <w:r w:rsidR="00891269" w:rsidRPr="00AB1DEF">
        <w:t>Ventana</w:t>
      </w:r>
      <w:proofErr w:type="spellEnd"/>
      <w:r w:rsidR="00891269" w:rsidRPr="00AB1DEF">
        <w:t xml:space="preserve"> SP263 PD-L1 IHC assay</w:t>
      </w:r>
    </w:p>
    <w:p w:rsidR="004D1CBD" w:rsidRPr="00A26343" w:rsidRDefault="004D1CBD" w:rsidP="004D1CBD">
      <w:pPr>
        <w:spacing w:before="0" w:after="0"/>
        <w:ind w:left="284"/>
        <w:rPr>
          <w:szCs w:val="20"/>
        </w:rPr>
      </w:pPr>
      <w:r w:rsidRPr="00A26343">
        <w:rPr>
          <w:szCs w:val="20"/>
        </w:rPr>
        <w:t>Manufacturer’s name</w:t>
      </w:r>
      <w:r>
        <w:rPr>
          <w:szCs w:val="20"/>
        </w:rPr>
        <w:t xml:space="preserve">: </w:t>
      </w:r>
      <w:r w:rsidR="003130E1">
        <w:rPr>
          <w:szCs w:val="20"/>
        </w:rPr>
        <w:t>Roche Diagnostics Pty Limited</w:t>
      </w:r>
    </w:p>
    <w:p w:rsidR="004D1CBD" w:rsidRDefault="004D1CBD" w:rsidP="004D1CBD">
      <w:pPr>
        <w:spacing w:before="0" w:after="0"/>
        <w:ind w:left="284"/>
        <w:rPr>
          <w:szCs w:val="20"/>
        </w:rPr>
      </w:pPr>
      <w:r w:rsidRPr="00A26343">
        <w:rPr>
          <w:szCs w:val="20"/>
        </w:rPr>
        <w:t>Sponsor’s name</w:t>
      </w:r>
      <w:r>
        <w:rPr>
          <w:szCs w:val="20"/>
        </w:rPr>
        <w:t>:</w:t>
      </w:r>
      <w:r w:rsidR="003130E1">
        <w:rPr>
          <w:szCs w:val="20"/>
        </w:rPr>
        <w:t xml:space="preserve"> </w:t>
      </w:r>
      <w:r>
        <w:rPr>
          <w:szCs w:val="20"/>
        </w:rPr>
        <w:t>Roche Diagnostics Pty Limited</w:t>
      </w:r>
    </w:p>
    <w:p w:rsidR="00891269" w:rsidRDefault="00891269" w:rsidP="004D1CBD">
      <w:pPr>
        <w:spacing w:before="0" w:after="0"/>
        <w:ind w:left="284"/>
        <w:rPr>
          <w:szCs w:val="20"/>
        </w:rPr>
      </w:pPr>
    </w:p>
    <w:p w:rsidR="00891269" w:rsidRPr="00A26343" w:rsidRDefault="00891269" w:rsidP="004D1CBD">
      <w:pPr>
        <w:spacing w:before="0" w:after="0"/>
        <w:ind w:left="284"/>
        <w:rPr>
          <w:szCs w:val="20"/>
        </w:rPr>
      </w:pPr>
      <w:r>
        <w:rPr>
          <w:szCs w:val="20"/>
        </w:rPr>
        <w:t xml:space="preserve">A comparison to alternative commercial PD-L1 test kits and other PD-L1 test methods </w:t>
      </w:r>
      <w:r w:rsidR="00B50FEF">
        <w:rPr>
          <w:szCs w:val="20"/>
        </w:rPr>
        <w:t xml:space="preserve">for urothelial cancer </w:t>
      </w:r>
      <w:r>
        <w:rPr>
          <w:szCs w:val="20"/>
        </w:rPr>
        <w:t>will be conducted as part of a submission based on this application.</w:t>
      </w:r>
    </w:p>
    <w:p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160CC2"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615F42" w:rsidRPr="000A5B32">
        <w:rPr>
          <w:szCs w:val="20"/>
        </w:rPr>
        <w:t xml:space="preserve"> </w:t>
      </w:r>
      <w:r w:rsidR="00615F42" w:rsidRPr="00615F42">
        <w:rPr>
          <w:szCs w:val="20"/>
        </w:rPr>
        <w:t>Class III</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sidRPr="000A5B32">
        <w:rPr>
          <w:szCs w:val="20"/>
        </w:rPr>
        <w:t xml:space="preserve"> </w:t>
      </w:r>
      <w:r w:rsidRPr="00615F42">
        <w:rPr>
          <w:szCs w:val="20"/>
        </w:rPr>
        <w:t>AIMD</w:t>
      </w:r>
    </w:p>
    <w:p w:rsidR="005E2CE3"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sidRPr="000A5B32">
        <w:rPr>
          <w:szCs w:val="20"/>
        </w:rPr>
        <w:t xml:space="preserve"> </w:t>
      </w:r>
      <w:r w:rsidRPr="00615F42">
        <w:rPr>
          <w:szCs w:val="20"/>
        </w:rPr>
        <w:t>N/A</w:t>
      </w:r>
    </w:p>
    <w:p w:rsidR="008F5652" w:rsidRPr="00154B00" w:rsidRDefault="008F5652" w:rsidP="00A6491A">
      <w:pPr>
        <w:spacing w:before="0" w:after="0"/>
        <w:ind w:left="284"/>
        <w:rPr>
          <w:szCs w:val="20"/>
        </w:rPr>
      </w:pPr>
      <w:r>
        <w:rPr>
          <w:szCs w:val="20"/>
        </w:rPr>
        <w:t xml:space="preserve">The PD-L1 IVD test required </w:t>
      </w:r>
      <w:proofErr w:type="gramStart"/>
      <w:r>
        <w:rPr>
          <w:szCs w:val="20"/>
        </w:rPr>
        <w:t>to determine</w:t>
      </w:r>
      <w:proofErr w:type="gramEnd"/>
      <w:r>
        <w:rPr>
          <w:szCs w:val="20"/>
        </w:rPr>
        <w:t xml:space="preserve"> PD-L1 status and eligibility for PBS </w:t>
      </w:r>
      <w:proofErr w:type="spellStart"/>
      <w:r>
        <w:rPr>
          <w:szCs w:val="20"/>
        </w:rPr>
        <w:t>durvalumab</w:t>
      </w:r>
      <w:proofErr w:type="spellEnd"/>
      <w:r>
        <w:rPr>
          <w:szCs w:val="20"/>
        </w:rPr>
        <w:t xml:space="preserve"> or </w:t>
      </w:r>
      <w:proofErr w:type="spellStart"/>
      <w:r>
        <w:rPr>
          <w:szCs w:val="20"/>
        </w:rPr>
        <w:t>d</w:t>
      </w:r>
      <w:r w:rsidR="00B50FEF">
        <w:rPr>
          <w:szCs w:val="20"/>
        </w:rPr>
        <w:t>urvalumab</w:t>
      </w:r>
      <w:proofErr w:type="spellEnd"/>
      <w:r w:rsidR="00B50FEF">
        <w:rPr>
          <w:szCs w:val="20"/>
        </w:rPr>
        <w:t>/</w:t>
      </w:r>
      <w:proofErr w:type="spellStart"/>
      <w:r w:rsidR="00B50FEF">
        <w:rPr>
          <w:szCs w:val="20"/>
        </w:rPr>
        <w:t>tremelimumab</w:t>
      </w:r>
      <w:proofErr w:type="spellEnd"/>
      <w:r w:rsidR="00B50FEF">
        <w:rPr>
          <w:szCs w:val="20"/>
        </w:rPr>
        <w:t xml:space="preserve"> for urothelial cancer</w:t>
      </w:r>
      <w:r>
        <w:rPr>
          <w:szCs w:val="20"/>
        </w:rPr>
        <w:t xml:space="preserve"> patients would be classified as a Class 3 IVD.</w:t>
      </w:r>
    </w:p>
    <w:p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Pr="00615F42" w:rsidRDefault="00160CC2"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615F42">
        <w:rPr>
          <w:szCs w:val="20"/>
        </w:rPr>
        <w:t xml:space="preserve"> No</w:t>
      </w:r>
    </w:p>
    <w:p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Pr>
          <w:szCs w:val="20"/>
        </w:rPr>
        <w:t xml:space="preserve"> Yes (if yes, please provide details below)</w:t>
      </w:r>
    </w:p>
    <w:p w:rsidR="0043654D" w:rsidRDefault="008709AE"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43654D">
        <w:rPr>
          <w:szCs w:val="20"/>
        </w:rPr>
        <w:t xml:space="preserve"> No</w:t>
      </w:r>
    </w:p>
    <w:p w:rsidR="008709AE" w:rsidRPr="008709AE" w:rsidRDefault="008709AE" w:rsidP="003130E1">
      <w:pPr>
        <w:spacing w:before="0" w:after="0"/>
        <w:rPr>
          <w:szCs w:val="20"/>
        </w:rPr>
      </w:pPr>
    </w:p>
    <w:p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fldChar w:fldCharType="begin">
          <w:ffData>
            <w:name w:val=""/>
            <w:enabled/>
            <w:calcOnExit w:val="0"/>
            <w:textInput>
              <w:default w:val="Insert ARTG number here"/>
            </w:textInput>
          </w:ffData>
        </w:fldChar>
      </w:r>
      <w:r>
        <w:instrText xml:space="preserve"> FORMTEXT </w:instrText>
      </w:r>
      <w:r>
        <w:fldChar w:fldCharType="separate"/>
      </w:r>
      <w:r>
        <w:rPr>
          <w:noProof/>
        </w:rPr>
        <w:t>Insert ARTG number here</w:t>
      </w:r>
      <w:r>
        <w:fldChar w:fldCharType="end"/>
      </w:r>
    </w:p>
    <w:p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fldChar w:fldCharType="begin">
          <w:ffData>
            <w:name w:val=""/>
            <w:enabled/>
            <w:calcOnExit w:val="0"/>
            <w:textInput>
              <w:default w:val="Insert approved indication(s) here"/>
            </w:textInput>
          </w:ffData>
        </w:fldChar>
      </w:r>
      <w:r>
        <w:instrText xml:space="preserve"> FORMTEXT </w:instrText>
      </w:r>
      <w:r>
        <w:fldChar w:fldCharType="separate"/>
      </w:r>
      <w:r>
        <w:rPr>
          <w:noProof/>
        </w:rPr>
        <w:t>Insert approved indication(s) here</w:t>
      </w:r>
      <w:r>
        <w:fldChar w:fldCharType="end"/>
      </w:r>
    </w:p>
    <w:p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fldChar w:fldCharType="begin">
          <w:ffData>
            <w:name w:val=""/>
            <w:enabled/>
            <w:calcOnExit w:val="0"/>
            <w:textInput>
              <w:default w:val="Insert approved purpose(s) here"/>
            </w:textInput>
          </w:ffData>
        </w:fldChar>
      </w:r>
      <w:r>
        <w:instrText xml:space="preserve"> FORMTEXT </w:instrText>
      </w:r>
      <w:r>
        <w:fldChar w:fldCharType="separate"/>
      </w:r>
      <w:r>
        <w:rPr>
          <w:noProof/>
        </w:rPr>
        <w:t>Insert approved purpose(s) here</w:t>
      </w:r>
      <w:r>
        <w:fldChar w:fldCharType="end"/>
      </w:r>
    </w:p>
    <w:p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Pr>
          <w:szCs w:val="20"/>
        </w:rPr>
        <w:t xml:space="preserve"> Yes (please provide details below)</w:t>
      </w:r>
    </w:p>
    <w:p w:rsidR="0047581D" w:rsidRDefault="003130E1"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47581D">
        <w:rPr>
          <w:szCs w:val="20"/>
        </w:rPr>
        <w:t xml:space="preserve"> No</w:t>
      </w:r>
    </w:p>
    <w:p w:rsidR="0047581D" w:rsidRDefault="0047581D" w:rsidP="0047581D">
      <w:pPr>
        <w:spacing w:before="0" w:after="0"/>
        <w:rPr>
          <w:b/>
          <w:szCs w:val="20"/>
        </w:rPr>
      </w:pPr>
    </w:p>
    <w:p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0A110D" w:rsidRDefault="007A2F89"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0A110D">
        <w:rPr>
          <w:szCs w:val="20"/>
        </w:rPr>
        <w:t xml:space="preserve"> Yes (please provide details below)</w:t>
      </w:r>
    </w:p>
    <w:p w:rsidR="000A110D" w:rsidRDefault="000A110D" w:rsidP="000A110D">
      <w:pPr>
        <w:spacing w:before="0" w:after="0"/>
        <w:ind w:left="284"/>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Pr>
          <w:szCs w:val="20"/>
        </w:rPr>
        <w:t xml:space="preserve"> No</w:t>
      </w:r>
    </w:p>
    <w:p w:rsidR="000A110D" w:rsidRPr="00FA4D94" w:rsidRDefault="00FA4D94" w:rsidP="00971EDB">
      <w:pPr>
        <w:spacing w:before="0" w:after="0"/>
        <w:rPr>
          <w:b/>
          <w:szCs w:val="20"/>
        </w:rPr>
      </w:pPr>
      <w:r w:rsidRPr="00FA4D94">
        <w:rPr>
          <w:b/>
          <w:szCs w:val="20"/>
        </w:rPr>
        <w:t>Redacted</w:t>
      </w:r>
    </w:p>
    <w:p w:rsidR="00971EDB" w:rsidRPr="00971EDB" w:rsidRDefault="00971EDB" w:rsidP="00971EDB">
      <w:pPr>
        <w:spacing w:before="0" w:after="0"/>
        <w:rPr>
          <w:szCs w:val="20"/>
        </w:rPr>
      </w:pPr>
      <w:r w:rsidRPr="00971EDB">
        <w:rPr>
          <w:szCs w:val="20"/>
        </w:rPr>
        <w:t>Estimated date of submission to TGA</w:t>
      </w:r>
      <w:r>
        <w:rPr>
          <w:szCs w:val="20"/>
        </w:rPr>
        <w:t xml:space="preserve">:  </w:t>
      </w:r>
      <w:r w:rsidR="00FA4D94" w:rsidRPr="00FA4D94">
        <w:rPr>
          <w:b/>
          <w:szCs w:val="20"/>
        </w:rPr>
        <w:t>Redacted</w:t>
      </w:r>
    </w:p>
    <w:p w:rsidR="00971EDB" w:rsidRPr="00971EDB" w:rsidRDefault="00971EDB" w:rsidP="00971EDB">
      <w:pPr>
        <w:spacing w:before="0" w:after="0"/>
        <w:rPr>
          <w:szCs w:val="20"/>
        </w:rPr>
      </w:pPr>
      <w:r w:rsidRPr="00971EDB">
        <w:rPr>
          <w:szCs w:val="20"/>
        </w:rPr>
        <w:t>Proposed indication(s), if applicable</w:t>
      </w:r>
      <w:r>
        <w:rPr>
          <w:szCs w:val="20"/>
        </w:rPr>
        <w:t xml:space="preserve">:  </w:t>
      </w:r>
      <w:r w:rsidR="003F50DF">
        <w:rPr>
          <w:szCs w:val="20"/>
        </w:rPr>
        <w:t>1</w:t>
      </w:r>
      <w:r w:rsidR="003F50DF" w:rsidRPr="003F50DF">
        <w:rPr>
          <w:szCs w:val="20"/>
          <w:vertAlign w:val="superscript"/>
        </w:rPr>
        <w:t>st</w:t>
      </w:r>
      <w:r w:rsidR="00B13167">
        <w:rPr>
          <w:szCs w:val="20"/>
        </w:rPr>
        <w:t xml:space="preserve"> line </w:t>
      </w:r>
      <w:proofErr w:type="spellStart"/>
      <w:r w:rsidR="00B13167">
        <w:rPr>
          <w:szCs w:val="20"/>
        </w:rPr>
        <w:t>unresectable</w:t>
      </w:r>
      <w:proofErr w:type="spellEnd"/>
      <w:r w:rsidR="00B13167">
        <w:rPr>
          <w:szCs w:val="20"/>
        </w:rPr>
        <w:t xml:space="preserve"> Stage IV urothelial cancer</w:t>
      </w:r>
    </w:p>
    <w:p w:rsidR="00971EDB" w:rsidRPr="00971EDB" w:rsidRDefault="00971EDB" w:rsidP="00971EDB">
      <w:pPr>
        <w:spacing w:before="0" w:after="0"/>
        <w:rPr>
          <w:szCs w:val="20"/>
        </w:rPr>
      </w:pPr>
      <w:r w:rsidRPr="00971EDB">
        <w:rPr>
          <w:szCs w:val="20"/>
        </w:rPr>
        <w:t>Proposed purpose(s), if applicable</w:t>
      </w:r>
      <w:r>
        <w:rPr>
          <w:szCs w:val="20"/>
        </w:rPr>
        <w:t xml:space="preserve">:  </w:t>
      </w:r>
      <w:r w:rsidR="001D0D92">
        <w:t>PD-L1 testing to determine PBS acces</w:t>
      </w:r>
      <w:r w:rsidR="008E2BB4">
        <w:t xml:space="preserve">s to </w:t>
      </w:r>
      <w:proofErr w:type="spellStart"/>
      <w:r w:rsidR="008E2BB4">
        <w:t>durvalumab</w:t>
      </w:r>
      <w:proofErr w:type="spellEnd"/>
      <w:r w:rsidR="008E2BB4">
        <w:t xml:space="preserve"> monotherapy or </w:t>
      </w:r>
      <w:proofErr w:type="spellStart"/>
      <w:r w:rsidR="001D0D92">
        <w:t>durvalumab</w:t>
      </w:r>
      <w:proofErr w:type="spellEnd"/>
      <w:r w:rsidR="001D0D92">
        <w:t>/</w:t>
      </w:r>
      <w:proofErr w:type="spellStart"/>
      <w:r w:rsidR="001D0D92">
        <w:t>tremelimumab</w:t>
      </w:r>
      <w:proofErr w:type="spellEnd"/>
      <w:r w:rsidR="001D0D92">
        <w:t xml:space="preserve"> combination therapy</w:t>
      </w:r>
    </w:p>
    <w:p w:rsidR="00F83A9D" w:rsidRPr="00154B00" w:rsidRDefault="00F83A9D" w:rsidP="00F83A9D">
      <w:pPr>
        <w:rPr>
          <w:szCs w:val="20"/>
        </w:rPr>
      </w:pPr>
    </w:p>
    <w:p w:rsidR="00DD308E" w:rsidRDefault="00DD308E">
      <w:pPr>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rsidR="00DD308E" w:rsidRPr="00C776B1" w:rsidRDefault="00B17CBE" w:rsidP="00F222BE">
      <w:pPr>
        <w:pStyle w:val="Heading1"/>
      </w:pPr>
      <w:r>
        <w:lastRenderedPageBreak/>
        <w:t>PART 4</w:t>
      </w:r>
      <w:r w:rsidR="00DD308E">
        <w:t xml:space="preserve"> – SUMMARY</w:t>
      </w:r>
      <w:r w:rsidR="00DD308E" w:rsidRPr="00C776B1">
        <w:t xml:space="preserve"> OF EVIDENCE</w:t>
      </w:r>
    </w:p>
    <w:p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375"/>
        <w:gridCol w:w="2052"/>
        <w:gridCol w:w="1508"/>
        <w:gridCol w:w="3121"/>
        <w:gridCol w:w="5562"/>
        <w:gridCol w:w="1556"/>
      </w:tblGrid>
      <w:tr w:rsidR="00DD308E" w:rsidTr="00417740">
        <w:trPr>
          <w:cantSplit/>
          <w:tblHeader/>
        </w:trPr>
        <w:tc>
          <w:tcPr>
            <w:tcW w:w="132" w:type="pct"/>
          </w:tcPr>
          <w:p w:rsidR="00DD308E" w:rsidRDefault="00DD308E" w:rsidP="00855944">
            <w:pPr>
              <w:pStyle w:val="TableHEADER"/>
            </w:pPr>
          </w:p>
        </w:tc>
        <w:tc>
          <w:tcPr>
            <w:tcW w:w="724" w:type="pct"/>
          </w:tcPr>
          <w:p w:rsidR="00DD308E" w:rsidRDefault="00DD308E" w:rsidP="00855944">
            <w:pPr>
              <w:pStyle w:val="TableHEADER"/>
            </w:pPr>
            <w:r>
              <w:t>Type of study design*</w:t>
            </w:r>
          </w:p>
        </w:tc>
        <w:tc>
          <w:tcPr>
            <w:tcW w:w="532" w:type="pct"/>
          </w:tcPr>
          <w:p w:rsidR="00DD308E" w:rsidRDefault="00DD308E" w:rsidP="00855944">
            <w:pPr>
              <w:pStyle w:val="TableHEADER"/>
            </w:pPr>
            <w:r>
              <w:t>Title of journal article  or research project (including any trial identifier or study lead if relevant)</w:t>
            </w:r>
          </w:p>
        </w:tc>
        <w:tc>
          <w:tcPr>
            <w:tcW w:w="1101" w:type="pct"/>
          </w:tcPr>
          <w:p w:rsidR="00DD308E" w:rsidRDefault="00DD308E" w:rsidP="00855944">
            <w:pPr>
              <w:pStyle w:val="TableHEADER"/>
            </w:pPr>
            <w:r>
              <w:t>Short description of research  (max 50 words)**</w:t>
            </w:r>
          </w:p>
        </w:tc>
        <w:tc>
          <w:tcPr>
            <w:tcW w:w="1962" w:type="pct"/>
          </w:tcPr>
          <w:p w:rsidR="00DD308E" w:rsidRDefault="00DD308E" w:rsidP="00855944">
            <w:pPr>
              <w:pStyle w:val="TableHEADER"/>
            </w:pPr>
            <w:r w:rsidRPr="00E82F54">
              <w:t xml:space="preserve">Website link to </w:t>
            </w:r>
            <w:r>
              <w:t>journal article or research (if available)</w:t>
            </w:r>
          </w:p>
        </w:tc>
        <w:tc>
          <w:tcPr>
            <w:tcW w:w="549" w:type="pct"/>
          </w:tcPr>
          <w:p w:rsidR="00DD308E" w:rsidRDefault="00DD308E" w:rsidP="00855944">
            <w:pPr>
              <w:pStyle w:val="TableHEADER"/>
            </w:pPr>
            <w:r w:rsidRPr="00E82F54">
              <w:t>Date</w:t>
            </w:r>
            <w:r>
              <w:t xml:space="preserve"> of publication</w:t>
            </w:r>
            <w:r w:rsidRPr="00E82F54">
              <w:t>*</w:t>
            </w:r>
            <w:r>
              <w:t>**</w:t>
            </w:r>
          </w:p>
        </w:tc>
      </w:tr>
      <w:tr w:rsidR="00DD308E" w:rsidTr="00417740">
        <w:trPr>
          <w:cantSplit/>
        </w:trPr>
        <w:tc>
          <w:tcPr>
            <w:tcW w:w="132" w:type="pct"/>
          </w:tcPr>
          <w:p w:rsidR="00DD308E" w:rsidRPr="00965B6B" w:rsidRDefault="00885AFE" w:rsidP="00DD308E">
            <w:pPr>
              <w:rPr>
                <w:szCs w:val="20"/>
              </w:rPr>
            </w:pPr>
            <w:r>
              <w:rPr>
                <w:szCs w:val="20"/>
              </w:rPr>
              <w:t>1</w:t>
            </w:r>
            <w:r w:rsidR="00DD308E">
              <w:rPr>
                <w:szCs w:val="20"/>
              </w:rPr>
              <w:t>.</w:t>
            </w:r>
          </w:p>
        </w:tc>
        <w:tc>
          <w:tcPr>
            <w:tcW w:w="724" w:type="pct"/>
          </w:tcPr>
          <w:p w:rsidR="00DD308E" w:rsidRDefault="007054DB" w:rsidP="000D504C">
            <w:pPr>
              <w:rPr>
                <w:b/>
                <w:szCs w:val="20"/>
              </w:rPr>
            </w:pPr>
            <w:r>
              <w:t>Phase I dose finding/Phase II dose expansion</w:t>
            </w:r>
            <w:r w:rsidR="000D504C">
              <w:t xml:space="preserve"> trial of </w:t>
            </w:r>
            <w:proofErr w:type="spellStart"/>
            <w:r w:rsidR="000D504C">
              <w:t>durvalumab</w:t>
            </w:r>
            <w:proofErr w:type="spellEnd"/>
            <w:r w:rsidR="000D504C">
              <w:t xml:space="preserve"> in multiple solid tumo</w:t>
            </w:r>
            <w:r w:rsidR="00D90B5F">
              <w:t>ur types including urothelial bladder cancer</w:t>
            </w:r>
            <w:r w:rsidR="000D504C">
              <w:t xml:space="preserve">.  </w:t>
            </w:r>
          </w:p>
        </w:tc>
        <w:tc>
          <w:tcPr>
            <w:tcW w:w="532" w:type="pct"/>
          </w:tcPr>
          <w:p w:rsidR="000D504C" w:rsidRDefault="000D504C" w:rsidP="000D504C">
            <w:r>
              <w:t>Study</w:t>
            </w:r>
            <w:r w:rsidR="004372F4">
              <w:t xml:space="preserve"> 1108 </w:t>
            </w:r>
          </w:p>
          <w:p w:rsidR="00DD308E" w:rsidRDefault="00DD308E" w:rsidP="00DD308E">
            <w:pPr>
              <w:rPr>
                <w:b/>
                <w:szCs w:val="20"/>
              </w:rPr>
            </w:pPr>
          </w:p>
        </w:tc>
        <w:tc>
          <w:tcPr>
            <w:tcW w:w="1101" w:type="pct"/>
          </w:tcPr>
          <w:p w:rsidR="0095086B" w:rsidRPr="00414D4F" w:rsidRDefault="00627A2F" w:rsidP="00E723C9">
            <w:r>
              <w:t xml:space="preserve">Safety and efficacy of </w:t>
            </w:r>
            <w:proofErr w:type="spellStart"/>
            <w:r>
              <w:t>durvalumab</w:t>
            </w:r>
            <w:proofErr w:type="spellEnd"/>
            <w:r>
              <w:t xml:space="preserve"> in the Phase II dose expansion cohort of </w:t>
            </w:r>
            <w:r w:rsidR="00AF7A4F">
              <w:t xml:space="preserve">191 </w:t>
            </w:r>
            <w:r w:rsidR="001B15CE">
              <w:t>patients with urothelial</w:t>
            </w:r>
            <w:r>
              <w:t xml:space="preserve"> cancer.  Patients were treated with </w:t>
            </w:r>
            <w:proofErr w:type="spellStart"/>
            <w:r>
              <w:t>d</w:t>
            </w:r>
            <w:r w:rsidR="000D504C">
              <w:t>urvalumab</w:t>
            </w:r>
            <w:proofErr w:type="spellEnd"/>
            <w:r w:rsidR="000D504C">
              <w:t xml:space="preserve"> 10</w:t>
            </w:r>
            <w:r>
              <w:t xml:space="preserve"> mg/kg q2w</w:t>
            </w:r>
            <w:r w:rsidR="007054DB">
              <w:t xml:space="preserve"> for up to one year</w:t>
            </w:r>
            <w:r>
              <w:t>.</w:t>
            </w:r>
            <w:r w:rsidR="000D504C">
              <w:t xml:space="preserve">  PD-L1 expression </w:t>
            </w:r>
            <w:r>
              <w:t xml:space="preserve">was determined at baseline </w:t>
            </w:r>
            <w:r w:rsidR="00CB2666">
              <w:t>(</w:t>
            </w:r>
            <w:r w:rsidR="000D504C">
              <w:t>PD-L1 high cut-off ≥2</w:t>
            </w:r>
            <w:r w:rsidR="00CB2666">
              <w:t>5% tumour cells or immune cells; PD-L1 low &lt;25% tumour cells or immune cells)</w:t>
            </w:r>
            <w:r w:rsidR="007054DB">
              <w:t xml:space="preserve"> using </w:t>
            </w:r>
            <w:r w:rsidR="000D504C">
              <w:t>SP263 assay</w:t>
            </w:r>
            <w:r w:rsidR="00414D4F">
              <w:t xml:space="preserve"> </w:t>
            </w:r>
            <w:r w:rsidR="00604CFE">
              <w:t xml:space="preserve">optimised for use on the </w:t>
            </w:r>
            <w:proofErr w:type="spellStart"/>
            <w:r w:rsidR="00604CFE">
              <w:t>BenchMark</w:t>
            </w:r>
            <w:proofErr w:type="spellEnd"/>
            <w:r w:rsidR="00604CFE">
              <w:t xml:space="preserve"> ULTRA platform </w:t>
            </w:r>
            <w:r w:rsidR="00414D4F">
              <w:t>[</w:t>
            </w:r>
            <w:proofErr w:type="spellStart"/>
            <w:r w:rsidR="00414D4F">
              <w:t>Ventana</w:t>
            </w:r>
            <w:proofErr w:type="spellEnd"/>
            <w:r w:rsidR="00414D4F">
              <w:t xml:space="preserve"> Medical Systems Inc</w:t>
            </w:r>
            <w:r w:rsidR="000D504C">
              <w:t>.</w:t>
            </w:r>
            <w:r w:rsidR="00414D4F">
              <w:t>]</w:t>
            </w:r>
            <w:r w:rsidR="00CB2666">
              <w:t>.</w:t>
            </w:r>
            <w:r w:rsidR="000D504C">
              <w:t xml:space="preserve">  </w:t>
            </w:r>
            <w:r w:rsidR="00C06770">
              <w:t>The p</w:t>
            </w:r>
            <w:r w:rsidR="0095086B">
              <w:t>rimary endpoint was safety and tolerability; secondary endpoints included objective response rate (ORR) and overall survival (OS)</w:t>
            </w:r>
            <w:r w:rsidR="00C06770">
              <w:t>.</w:t>
            </w:r>
          </w:p>
        </w:tc>
        <w:tc>
          <w:tcPr>
            <w:tcW w:w="1962" w:type="pct"/>
          </w:tcPr>
          <w:p w:rsidR="004372F4" w:rsidRDefault="00C60041" w:rsidP="00DD308E">
            <w:hyperlink r:id="rId13" w:tooltip="Link to clinical trials website" w:history="1">
              <w:r w:rsidR="004372F4" w:rsidRPr="00572150">
                <w:rPr>
                  <w:rStyle w:val="Hyperlink"/>
                </w:rPr>
                <w:t>www.clinicaltrials.gov</w:t>
              </w:r>
            </w:hyperlink>
          </w:p>
          <w:p w:rsidR="004372F4" w:rsidRDefault="004372F4" w:rsidP="00DD308E">
            <w:r>
              <w:t>NCT01693562</w:t>
            </w:r>
          </w:p>
          <w:p w:rsidR="00417740" w:rsidRDefault="00C60041" w:rsidP="00DD308E">
            <w:hyperlink r:id="rId14" w:tooltip="Link to Journal Of Clinical Oncology" w:history="1">
              <w:r w:rsidR="00417740" w:rsidRPr="009903A8">
                <w:rPr>
                  <w:rStyle w:val="Hyperlink"/>
                </w:rPr>
                <w:t>http://ascopubs.org/doi/pdf/10.1200/JCO.2016.67.9761</w:t>
              </w:r>
            </w:hyperlink>
          </w:p>
          <w:p w:rsidR="009F31ED" w:rsidRDefault="00E824E2" w:rsidP="00496A6E">
            <w:pPr>
              <w:rPr>
                <w:szCs w:val="20"/>
              </w:rPr>
            </w:pPr>
            <w:proofErr w:type="spellStart"/>
            <w:r>
              <w:rPr>
                <w:szCs w:val="20"/>
              </w:rPr>
              <w:t>Massard</w:t>
            </w:r>
            <w:proofErr w:type="spellEnd"/>
            <w:r>
              <w:rPr>
                <w:szCs w:val="20"/>
              </w:rPr>
              <w:t xml:space="preserve"> </w:t>
            </w:r>
            <w:r w:rsidR="00CB2666">
              <w:rPr>
                <w:szCs w:val="20"/>
              </w:rPr>
              <w:t xml:space="preserve">C, Gordon MS </w:t>
            </w:r>
            <w:r w:rsidRPr="00CB2666">
              <w:rPr>
                <w:i/>
                <w:szCs w:val="20"/>
              </w:rPr>
              <w:t>et al</w:t>
            </w:r>
            <w:r>
              <w:rPr>
                <w:szCs w:val="20"/>
              </w:rPr>
              <w:t xml:space="preserve"> </w:t>
            </w:r>
            <w:r w:rsidR="00CB2666">
              <w:rPr>
                <w:szCs w:val="20"/>
              </w:rPr>
              <w:t xml:space="preserve">Safety and efficacy of </w:t>
            </w:r>
            <w:proofErr w:type="spellStart"/>
            <w:r w:rsidR="00CB2666">
              <w:rPr>
                <w:szCs w:val="20"/>
              </w:rPr>
              <w:t>durvalumab</w:t>
            </w:r>
            <w:proofErr w:type="spellEnd"/>
            <w:r w:rsidR="00CB2666">
              <w:rPr>
                <w:szCs w:val="20"/>
              </w:rPr>
              <w:t xml:space="preserve"> (MEDI4736), an an</w:t>
            </w:r>
            <w:r w:rsidR="00EB07F0">
              <w:rPr>
                <w:szCs w:val="20"/>
              </w:rPr>
              <w:t>ti-programmed cell death ligand-</w:t>
            </w:r>
            <w:r w:rsidR="00CB2666">
              <w:rPr>
                <w:szCs w:val="20"/>
              </w:rPr>
              <w:t>1 Immune checkpoint inhibitor</w:t>
            </w:r>
            <w:r w:rsidR="00EB07F0">
              <w:rPr>
                <w:szCs w:val="20"/>
              </w:rPr>
              <w:t xml:space="preserve">, in patients with advanced urothelial bladder cancer. </w:t>
            </w:r>
            <w:r w:rsidR="00EB07F0" w:rsidRPr="00EB07F0">
              <w:rPr>
                <w:i/>
                <w:szCs w:val="20"/>
              </w:rPr>
              <w:t xml:space="preserve">J. </w:t>
            </w:r>
            <w:proofErr w:type="spellStart"/>
            <w:r w:rsidR="00EB07F0" w:rsidRPr="00EB07F0">
              <w:rPr>
                <w:i/>
                <w:szCs w:val="20"/>
              </w:rPr>
              <w:t>Clin</w:t>
            </w:r>
            <w:proofErr w:type="spellEnd"/>
            <w:r w:rsidR="00EB07F0" w:rsidRPr="00EB07F0">
              <w:rPr>
                <w:i/>
                <w:szCs w:val="20"/>
              </w:rPr>
              <w:t xml:space="preserve">. </w:t>
            </w:r>
            <w:proofErr w:type="spellStart"/>
            <w:r w:rsidR="00EB07F0" w:rsidRPr="00EB07F0">
              <w:rPr>
                <w:i/>
                <w:szCs w:val="20"/>
              </w:rPr>
              <w:t>Oncol</w:t>
            </w:r>
            <w:proofErr w:type="spellEnd"/>
            <w:r w:rsidR="00EB07F0" w:rsidRPr="00EB07F0">
              <w:rPr>
                <w:i/>
                <w:szCs w:val="20"/>
              </w:rPr>
              <w:t>.</w:t>
            </w:r>
            <w:r w:rsidR="00EB07F0">
              <w:rPr>
                <w:szCs w:val="20"/>
              </w:rPr>
              <w:t xml:space="preserve"> </w:t>
            </w:r>
            <w:r w:rsidR="00EB07F0" w:rsidRPr="00EB07F0">
              <w:rPr>
                <w:szCs w:val="20"/>
              </w:rPr>
              <w:t>2016 Sep 10</w:t>
            </w:r>
            <w:proofErr w:type="gramStart"/>
            <w:r w:rsidR="00EB07F0" w:rsidRPr="00EB07F0">
              <w:rPr>
                <w:szCs w:val="20"/>
              </w:rPr>
              <w:t>;34</w:t>
            </w:r>
            <w:proofErr w:type="gramEnd"/>
            <w:r w:rsidR="00EB07F0" w:rsidRPr="00EB07F0">
              <w:rPr>
                <w:szCs w:val="20"/>
              </w:rPr>
              <w:t>(26):3119-25</w:t>
            </w:r>
            <w:r w:rsidR="00EB07F0">
              <w:rPr>
                <w:szCs w:val="20"/>
              </w:rPr>
              <w:t>.</w:t>
            </w:r>
          </w:p>
          <w:p w:rsidR="00A26C62" w:rsidRDefault="00C60041" w:rsidP="00496A6E">
            <w:pPr>
              <w:rPr>
                <w:szCs w:val="20"/>
              </w:rPr>
            </w:pPr>
            <w:hyperlink r:id="rId15" w:tooltip="Link to article entitled: Updated efficacy and tolerability of durvalumab in locally advanced or metastatic urothelial carcinoma (UC)." w:history="1">
              <w:r w:rsidR="00AF7A4F" w:rsidRPr="00EB011C">
                <w:rPr>
                  <w:rStyle w:val="Hyperlink"/>
                  <w:szCs w:val="20"/>
                </w:rPr>
                <w:t>http://abstracts.asco.org/199/AbstView_199_189860.html</w:t>
              </w:r>
            </w:hyperlink>
          </w:p>
          <w:p w:rsidR="00AF7A4F" w:rsidRPr="009F31ED" w:rsidRDefault="00AF7A4F" w:rsidP="00496A6E">
            <w:pPr>
              <w:rPr>
                <w:szCs w:val="20"/>
              </w:rPr>
            </w:pPr>
            <w:r>
              <w:rPr>
                <w:szCs w:val="20"/>
              </w:rPr>
              <w:t xml:space="preserve">Hahn NM, Powles T, </w:t>
            </w:r>
            <w:proofErr w:type="spellStart"/>
            <w:r>
              <w:rPr>
                <w:szCs w:val="20"/>
              </w:rPr>
              <w:t>Massard</w:t>
            </w:r>
            <w:proofErr w:type="spellEnd"/>
            <w:r>
              <w:rPr>
                <w:szCs w:val="20"/>
              </w:rPr>
              <w:t xml:space="preserve"> C. </w:t>
            </w:r>
            <w:r w:rsidRPr="00AF7A4F">
              <w:rPr>
                <w:i/>
                <w:szCs w:val="20"/>
              </w:rPr>
              <w:t>et al</w:t>
            </w:r>
            <w:r w:rsidR="00257621">
              <w:rPr>
                <w:i/>
                <w:szCs w:val="20"/>
              </w:rPr>
              <w:t>.</w:t>
            </w:r>
            <w:r>
              <w:rPr>
                <w:szCs w:val="20"/>
              </w:rPr>
              <w:t xml:space="preserve"> </w:t>
            </w:r>
            <w:r w:rsidR="00257621">
              <w:rPr>
                <w:szCs w:val="20"/>
              </w:rPr>
              <w:t xml:space="preserve"> </w:t>
            </w:r>
            <w:r>
              <w:rPr>
                <w:szCs w:val="20"/>
              </w:rPr>
              <w:t>Update</w:t>
            </w:r>
            <w:r w:rsidR="00257621">
              <w:rPr>
                <w:szCs w:val="20"/>
              </w:rPr>
              <w:t>d</w:t>
            </w:r>
            <w:r>
              <w:rPr>
                <w:szCs w:val="20"/>
              </w:rPr>
              <w:t xml:space="preserve"> efficacy and tolerability of </w:t>
            </w:r>
            <w:proofErr w:type="spellStart"/>
            <w:r>
              <w:rPr>
                <w:szCs w:val="20"/>
              </w:rPr>
              <w:t>durvalumab</w:t>
            </w:r>
            <w:proofErr w:type="spellEnd"/>
            <w:r>
              <w:rPr>
                <w:szCs w:val="20"/>
              </w:rPr>
              <w:t xml:space="preserve"> in locally advanced or metastatic urothelial carcinoma (UC).  ASCO 2017 Annual Meeting </w:t>
            </w:r>
            <w:r w:rsidR="00BD7870">
              <w:rPr>
                <w:szCs w:val="20"/>
              </w:rPr>
              <w:t>Abstract 4525.</w:t>
            </w:r>
          </w:p>
        </w:tc>
        <w:tc>
          <w:tcPr>
            <w:tcW w:w="549" w:type="pct"/>
          </w:tcPr>
          <w:p w:rsidR="00DD308E" w:rsidRPr="00E82F54" w:rsidRDefault="00B23803" w:rsidP="00DD308E">
            <w:pPr>
              <w:rPr>
                <w:b/>
                <w:szCs w:val="20"/>
              </w:rPr>
            </w:pPr>
            <w:r>
              <w:t>2016</w:t>
            </w:r>
            <w:r w:rsidR="00A26C62">
              <w:t>/2017</w:t>
            </w:r>
          </w:p>
        </w:tc>
      </w:tr>
      <w:tr w:rsidR="00DD308E" w:rsidTr="00417740">
        <w:trPr>
          <w:cantSplit/>
        </w:trPr>
        <w:tc>
          <w:tcPr>
            <w:tcW w:w="132" w:type="pct"/>
          </w:tcPr>
          <w:p w:rsidR="00DD308E" w:rsidRPr="00965B6B" w:rsidRDefault="00DD308E" w:rsidP="00DD308E">
            <w:pPr>
              <w:rPr>
                <w:szCs w:val="20"/>
              </w:rPr>
            </w:pPr>
          </w:p>
        </w:tc>
        <w:tc>
          <w:tcPr>
            <w:tcW w:w="724" w:type="pct"/>
          </w:tcPr>
          <w:p w:rsidR="00DD308E" w:rsidRPr="00FA3C8E" w:rsidRDefault="00E824E2" w:rsidP="00DD308E">
            <w:pPr>
              <w:rPr>
                <w:szCs w:val="20"/>
              </w:rPr>
            </w:pPr>
            <w:r w:rsidRPr="00FA3C8E">
              <w:rPr>
                <w:szCs w:val="20"/>
              </w:rPr>
              <w:t xml:space="preserve">PD-L1 Assay </w:t>
            </w:r>
            <w:r w:rsidR="00EE234C">
              <w:rPr>
                <w:szCs w:val="20"/>
              </w:rPr>
              <w:t xml:space="preserve">Development and </w:t>
            </w:r>
            <w:r w:rsidRPr="00FA3C8E">
              <w:rPr>
                <w:szCs w:val="20"/>
              </w:rPr>
              <w:t>Validation</w:t>
            </w:r>
            <w:r w:rsidR="00EE234C">
              <w:rPr>
                <w:szCs w:val="20"/>
              </w:rPr>
              <w:t xml:space="preserve"> in Urothelial Cancer</w:t>
            </w:r>
          </w:p>
        </w:tc>
        <w:tc>
          <w:tcPr>
            <w:tcW w:w="532" w:type="pct"/>
          </w:tcPr>
          <w:p w:rsidR="00DD308E" w:rsidRPr="00EE234C" w:rsidRDefault="00EE234C" w:rsidP="00E824E2">
            <w:pPr>
              <w:rPr>
                <w:szCs w:val="20"/>
              </w:rPr>
            </w:pPr>
            <w:r w:rsidRPr="00EE234C">
              <w:rPr>
                <w:szCs w:val="20"/>
              </w:rPr>
              <w:t>PD-L1 Diagnostic Assay for Urothelial Cancer</w:t>
            </w:r>
          </w:p>
        </w:tc>
        <w:tc>
          <w:tcPr>
            <w:tcW w:w="1101" w:type="pct"/>
          </w:tcPr>
          <w:p w:rsidR="00DD308E" w:rsidRPr="00EE234C" w:rsidRDefault="00EE234C" w:rsidP="00206DCC">
            <w:pPr>
              <w:rPr>
                <w:szCs w:val="20"/>
              </w:rPr>
            </w:pPr>
            <w:r>
              <w:rPr>
                <w:szCs w:val="20"/>
              </w:rPr>
              <w:t>This poster describe</w:t>
            </w:r>
            <w:r w:rsidR="000864D5">
              <w:rPr>
                <w:szCs w:val="20"/>
              </w:rPr>
              <w:t>s the development and validation of a</w:t>
            </w:r>
            <w:r w:rsidRPr="00EE234C">
              <w:rPr>
                <w:szCs w:val="20"/>
              </w:rPr>
              <w:t xml:space="preserve">n </w:t>
            </w:r>
            <w:proofErr w:type="spellStart"/>
            <w:r w:rsidRPr="00EE234C">
              <w:rPr>
                <w:szCs w:val="20"/>
              </w:rPr>
              <w:t>immunohistochemical</w:t>
            </w:r>
            <w:proofErr w:type="spellEnd"/>
            <w:r w:rsidRPr="00EE234C">
              <w:rPr>
                <w:szCs w:val="20"/>
              </w:rPr>
              <w:t xml:space="preserve"> PD-L1 diagnostic assay for treatment with </w:t>
            </w:r>
            <w:proofErr w:type="spellStart"/>
            <w:r w:rsidRPr="00EE234C">
              <w:rPr>
                <w:szCs w:val="20"/>
              </w:rPr>
              <w:t>durvalumab</w:t>
            </w:r>
            <w:proofErr w:type="spellEnd"/>
            <w:r w:rsidRPr="00EE234C">
              <w:rPr>
                <w:szCs w:val="20"/>
              </w:rPr>
              <w:t xml:space="preserve"> in urothelial cancer patients</w:t>
            </w:r>
          </w:p>
        </w:tc>
        <w:tc>
          <w:tcPr>
            <w:tcW w:w="1962" w:type="pct"/>
          </w:tcPr>
          <w:p w:rsidR="00257621" w:rsidRDefault="000864D5" w:rsidP="00496A6E">
            <w:pPr>
              <w:rPr>
                <w:szCs w:val="20"/>
              </w:rPr>
            </w:pPr>
            <w:proofErr w:type="spellStart"/>
            <w:r>
              <w:rPr>
                <w:szCs w:val="20"/>
              </w:rPr>
              <w:t>Zajac</w:t>
            </w:r>
            <w:proofErr w:type="spellEnd"/>
            <w:r>
              <w:rPr>
                <w:szCs w:val="20"/>
              </w:rPr>
              <w:t xml:space="preserve"> M, </w:t>
            </w:r>
            <w:proofErr w:type="spellStart"/>
            <w:r>
              <w:rPr>
                <w:szCs w:val="20"/>
              </w:rPr>
              <w:t>Boothman</w:t>
            </w:r>
            <w:proofErr w:type="spellEnd"/>
            <w:r>
              <w:rPr>
                <w:szCs w:val="20"/>
              </w:rPr>
              <w:t xml:space="preserve"> </w:t>
            </w:r>
            <w:proofErr w:type="gramStart"/>
            <w:r>
              <w:rPr>
                <w:szCs w:val="20"/>
              </w:rPr>
              <w:t>AM</w:t>
            </w:r>
            <w:proofErr w:type="gramEnd"/>
            <w:r>
              <w:rPr>
                <w:szCs w:val="20"/>
              </w:rPr>
              <w:t>, et al. A</w:t>
            </w:r>
            <w:r w:rsidRPr="00EE234C">
              <w:rPr>
                <w:szCs w:val="20"/>
              </w:rPr>
              <w:t xml:space="preserve">n </w:t>
            </w:r>
            <w:proofErr w:type="spellStart"/>
            <w:r w:rsidRPr="00EE234C">
              <w:rPr>
                <w:szCs w:val="20"/>
              </w:rPr>
              <w:t>immunohistochemical</w:t>
            </w:r>
            <w:proofErr w:type="spellEnd"/>
            <w:r w:rsidRPr="00EE234C">
              <w:rPr>
                <w:szCs w:val="20"/>
              </w:rPr>
              <w:t xml:space="preserve"> PD-L1 diagnostic assay for treatment with </w:t>
            </w:r>
            <w:proofErr w:type="spellStart"/>
            <w:r w:rsidRPr="00EE234C">
              <w:rPr>
                <w:szCs w:val="20"/>
              </w:rPr>
              <w:t>durvalumab</w:t>
            </w:r>
            <w:proofErr w:type="spellEnd"/>
            <w:r w:rsidRPr="00EE234C">
              <w:rPr>
                <w:szCs w:val="20"/>
              </w:rPr>
              <w:t xml:space="preserve"> in urothelial cancer patients</w:t>
            </w:r>
            <w:r>
              <w:rPr>
                <w:szCs w:val="20"/>
              </w:rPr>
              <w:t xml:space="preserve">.  </w:t>
            </w:r>
          </w:p>
          <w:p w:rsidR="000864D5" w:rsidRPr="00496A6E" w:rsidRDefault="000864D5" w:rsidP="00496A6E">
            <w:pPr>
              <w:rPr>
                <w:szCs w:val="20"/>
              </w:rPr>
            </w:pPr>
            <w:r>
              <w:rPr>
                <w:szCs w:val="20"/>
              </w:rPr>
              <w:t>European Society of Medical Oncology (ESMO) Symposium on Immuno-oncology, Lausanne, Switzerland 4-6 November 2016 Poster 26P</w:t>
            </w:r>
            <w:r w:rsidR="00257621">
              <w:rPr>
                <w:szCs w:val="20"/>
              </w:rPr>
              <w:t xml:space="preserve"> (PDF can be supplied on request)</w:t>
            </w:r>
          </w:p>
        </w:tc>
        <w:tc>
          <w:tcPr>
            <w:tcW w:w="549" w:type="pct"/>
          </w:tcPr>
          <w:p w:rsidR="00DD308E" w:rsidRPr="00FA3C8E" w:rsidRDefault="00FA3C8E" w:rsidP="00DD308E">
            <w:pPr>
              <w:rPr>
                <w:szCs w:val="20"/>
              </w:rPr>
            </w:pPr>
            <w:r w:rsidRPr="00FA3C8E">
              <w:rPr>
                <w:szCs w:val="20"/>
              </w:rPr>
              <w:t>2016</w:t>
            </w:r>
          </w:p>
        </w:tc>
      </w:tr>
    </w:tbl>
    <w:p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rsidR="00DD308E" w:rsidRDefault="00DD308E" w:rsidP="00C26404">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ook w:val="04A0" w:firstRow="1" w:lastRow="0" w:firstColumn="1" w:lastColumn="0" w:noHBand="0" w:noVBand="1"/>
        <w:tblCaption w:val="Summary of Evidence - Yet to be Published"/>
      </w:tblPr>
      <w:tblGrid>
        <w:gridCol w:w="427"/>
        <w:gridCol w:w="3028"/>
        <w:gridCol w:w="2446"/>
        <w:gridCol w:w="3745"/>
        <w:gridCol w:w="3045"/>
        <w:gridCol w:w="1483"/>
      </w:tblGrid>
      <w:tr w:rsidR="004C49EF" w:rsidTr="008E0FE7">
        <w:trPr>
          <w:cantSplit/>
          <w:tblHeader/>
        </w:trPr>
        <w:tc>
          <w:tcPr>
            <w:tcW w:w="151" w:type="pct"/>
          </w:tcPr>
          <w:p w:rsidR="004C49EF" w:rsidRDefault="004C49EF" w:rsidP="00855944">
            <w:pPr>
              <w:pStyle w:val="TableHEADER"/>
            </w:pPr>
          </w:p>
        </w:tc>
        <w:tc>
          <w:tcPr>
            <w:tcW w:w="1068" w:type="pct"/>
          </w:tcPr>
          <w:p w:rsidR="004C49EF" w:rsidRDefault="004C49EF" w:rsidP="00855944">
            <w:pPr>
              <w:pStyle w:val="TableHEADER"/>
            </w:pPr>
            <w:r>
              <w:t>Type of study design*</w:t>
            </w:r>
          </w:p>
        </w:tc>
        <w:tc>
          <w:tcPr>
            <w:tcW w:w="863" w:type="pct"/>
          </w:tcPr>
          <w:p w:rsidR="004C49EF" w:rsidRDefault="004C49EF" w:rsidP="00855944">
            <w:pPr>
              <w:pStyle w:val="TableHEADER"/>
            </w:pPr>
            <w:r>
              <w:t>Title of research (including any trial identifier if relevant)</w:t>
            </w:r>
          </w:p>
        </w:tc>
        <w:tc>
          <w:tcPr>
            <w:tcW w:w="1321" w:type="pct"/>
          </w:tcPr>
          <w:p w:rsidR="004C49EF" w:rsidRDefault="00367C1B" w:rsidP="00855944">
            <w:pPr>
              <w:pStyle w:val="TableHEADER"/>
            </w:pPr>
            <w:r>
              <w:t xml:space="preserve">Short description of research </w:t>
            </w:r>
            <w:r w:rsidR="004C49EF">
              <w:t>(max 50 words)**</w:t>
            </w:r>
          </w:p>
        </w:tc>
        <w:tc>
          <w:tcPr>
            <w:tcW w:w="1074" w:type="pct"/>
          </w:tcPr>
          <w:p w:rsidR="004C49EF" w:rsidRDefault="004C49EF" w:rsidP="00855944">
            <w:pPr>
              <w:pStyle w:val="TableHEADER"/>
            </w:pPr>
            <w:r w:rsidRPr="00E82F54">
              <w:t xml:space="preserve">Website link to </w:t>
            </w:r>
            <w:r>
              <w:t>research (if available)</w:t>
            </w:r>
          </w:p>
        </w:tc>
        <w:tc>
          <w:tcPr>
            <w:tcW w:w="523" w:type="pct"/>
          </w:tcPr>
          <w:p w:rsidR="004C49EF" w:rsidRDefault="004C49EF" w:rsidP="00855944">
            <w:pPr>
              <w:pStyle w:val="TableHEADER"/>
            </w:pPr>
            <w:r w:rsidRPr="00E82F54">
              <w:t>Date*</w:t>
            </w:r>
            <w:r>
              <w:t>**</w:t>
            </w:r>
          </w:p>
        </w:tc>
      </w:tr>
      <w:tr w:rsidR="004C49EF" w:rsidTr="008E0FE7">
        <w:trPr>
          <w:cantSplit/>
        </w:trPr>
        <w:tc>
          <w:tcPr>
            <w:tcW w:w="151" w:type="pct"/>
          </w:tcPr>
          <w:p w:rsidR="004C49EF" w:rsidRPr="00965B6B" w:rsidRDefault="004C49EF" w:rsidP="00526478">
            <w:pPr>
              <w:rPr>
                <w:szCs w:val="20"/>
              </w:rPr>
            </w:pPr>
            <w:r w:rsidRPr="00965B6B">
              <w:rPr>
                <w:szCs w:val="20"/>
              </w:rPr>
              <w:t>1</w:t>
            </w:r>
            <w:r>
              <w:rPr>
                <w:szCs w:val="20"/>
              </w:rPr>
              <w:t>.</w:t>
            </w:r>
          </w:p>
        </w:tc>
        <w:tc>
          <w:tcPr>
            <w:tcW w:w="1068" w:type="pct"/>
          </w:tcPr>
          <w:p w:rsidR="004C49EF" w:rsidRPr="008E0FE7" w:rsidRDefault="008E0FE7" w:rsidP="004F6DF3">
            <w:pPr>
              <w:rPr>
                <w:szCs w:val="20"/>
              </w:rPr>
            </w:pPr>
            <w:r>
              <w:rPr>
                <w:szCs w:val="20"/>
              </w:rPr>
              <w:t>A Phase III, randomised, open-label, controlled, multi-centre</w:t>
            </w:r>
            <w:r w:rsidR="00AC7B72">
              <w:rPr>
                <w:szCs w:val="20"/>
              </w:rPr>
              <w:t xml:space="preserve">, global study of first line MEDI4736 monotherapy and MEDI4736 in combination with </w:t>
            </w:r>
            <w:proofErr w:type="spellStart"/>
            <w:r w:rsidR="00AC7B72">
              <w:rPr>
                <w:szCs w:val="20"/>
              </w:rPr>
              <w:t>tremelimumab</w:t>
            </w:r>
            <w:proofErr w:type="spellEnd"/>
            <w:r w:rsidR="00AC7B72">
              <w:rPr>
                <w:szCs w:val="20"/>
              </w:rPr>
              <w:t xml:space="preserve"> versus standard of care chemotherapy in patients with </w:t>
            </w:r>
            <w:proofErr w:type="spellStart"/>
            <w:r w:rsidR="00AC7B72">
              <w:rPr>
                <w:szCs w:val="20"/>
              </w:rPr>
              <w:t>unresecta</w:t>
            </w:r>
            <w:r w:rsidR="008355B3">
              <w:rPr>
                <w:szCs w:val="20"/>
              </w:rPr>
              <w:t>ble</w:t>
            </w:r>
            <w:proofErr w:type="spellEnd"/>
            <w:r w:rsidR="008355B3">
              <w:rPr>
                <w:szCs w:val="20"/>
              </w:rPr>
              <w:t xml:space="preserve"> Stage IV urothelial </w:t>
            </w:r>
            <w:r w:rsidR="00AC7B72">
              <w:rPr>
                <w:szCs w:val="20"/>
              </w:rPr>
              <w:t>cancer</w:t>
            </w:r>
          </w:p>
        </w:tc>
        <w:tc>
          <w:tcPr>
            <w:tcW w:w="863" w:type="pct"/>
          </w:tcPr>
          <w:p w:rsidR="004C49EF" w:rsidRPr="00885AFE" w:rsidRDefault="008E0FE7" w:rsidP="00526478">
            <w:pPr>
              <w:rPr>
                <w:szCs w:val="20"/>
              </w:rPr>
            </w:pPr>
            <w:r>
              <w:rPr>
                <w:szCs w:val="20"/>
              </w:rPr>
              <w:t>DANUBE</w:t>
            </w:r>
          </w:p>
        </w:tc>
        <w:tc>
          <w:tcPr>
            <w:tcW w:w="1321" w:type="pct"/>
          </w:tcPr>
          <w:p w:rsidR="004C49EF" w:rsidRPr="008355B3" w:rsidRDefault="008355B3" w:rsidP="00885AFE">
            <w:pPr>
              <w:rPr>
                <w:szCs w:val="20"/>
              </w:rPr>
            </w:pPr>
            <w:r w:rsidRPr="008355B3">
              <w:rPr>
                <w:szCs w:val="20"/>
              </w:rPr>
              <w:t>Approximately 335 patients will be randomised to each of the three treatment arms</w:t>
            </w:r>
            <w:r w:rsidR="002C22E3">
              <w:rPr>
                <w:szCs w:val="20"/>
              </w:rPr>
              <w:t>;</w:t>
            </w:r>
            <w:r w:rsidRPr="008355B3">
              <w:rPr>
                <w:szCs w:val="20"/>
              </w:rPr>
              <w:t xml:space="preserve"> </w:t>
            </w:r>
            <w:r w:rsidR="001047F3">
              <w:rPr>
                <w:szCs w:val="20"/>
              </w:rPr>
              <w:t>MEDI4736 monotherapy (1.5 g IV q4w</w:t>
            </w:r>
            <w:r w:rsidR="0097392F">
              <w:rPr>
                <w:szCs w:val="20"/>
              </w:rPr>
              <w:t>)</w:t>
            </w:r>
            <w:r w:rsidR="001047F3">
              <w:rPr>
                <w:szCs w:val="20"/>
              </w:rPr>
              <w:t xml:space="preserve">, MEDI4736 (1.5 g IV q4w) in combination with </w:t>
            </w:r>
            <w:proofErr w:type="spellStart"/>
            <w:r w:rsidR="001047F3">
              <w:rPr>
                <w:szCs w:val="20"/>
              </w:rPr>
              <w:t>tremelimumab</w:t>
            </w:r>
            <w:proofErr w:type="spellEnd"/>
            <w:r w:rsidR="001047F3">
              <w:rPr>
                <w:szCs w:val="20"/>
              </w:rPr>
              <w:t xml:space="preserve"> (75 mg IV q4w</w:t>
            </w:r>
            <w:r w:rsidR="0097392F">
              <w:rPr>
                <w:szCs w:val="20"/>
              </w:rPr>
              <w:t xml:space="preserve"> for up to 4 cycles</w:t>
            </w:r>
            <w:r w:rsidR="001047F3">
              <w:rPr>
                <w:szCs w:val="20"/>
              </w:rPr>
              <w:t>)</w:t>
            </w:r>
            <w:r w:rsidR="0097392F">
              <w:rPr>
                <w:szCs w:val="20"/>
              </w:rPr>
              <w:t xml:space="preserve"> followed by </w:t>
            </w:r>
            <w:r w:rsidR="002C22E3">
              <w:rPr>
                <w:szCs w:val="20"/>
              </w:rPr>
              <w:t>MEDI4736 (1.5 g IV q4w), and standard of care (cisplatin/</w:t>
            </w:r>
            <w:r w:rsidR="001B708A">
              <w:rPr>
                <w:szCs w:val="20"/>
              </w:rPr>
              <w:t xml:space="preserve">gemcitabine or carboplatin/gemcitabine) </w:t>
            </w:r>
            <w:r w:rsidR="002C22E3">
              <w:rPr>
                <w:szCs w:val="20"/>
              </w:rPr>
              <w:t xml:space="preserve">as first line therapy in </w:t>
            </w:r>
            <w:r w:rsidR="001B708A">
              <w:rPr>
                <w:szCs w:val="20"/>
              </w:rPr>
              <w:t xml:space="preserve">patients with </w:t>
            </w:r>
            <w:proofErr w:type="spellStart"/>
            <w:r w:rsidR="001B708A">
              <w:rPr>
                <w:szCs w:val="20"/>
              </w:rPr>
              <w:t>unresectable</w:t>
            </w:r>
            <w:proofErr w:type="spellEnd"/>
            <w:r w:rsidR="001B708A">
              <w:rPr>
                <w:szCs w:val="20"/>
              </w:rPr>
              <w:t xml:space="preserve"> Stage IV transitional cell carcinoma of the </w:t>
            </w:r>
            <w:proofErr w:type="spellStart"/>
            <w:r w:rsidR="001B708A">
              <w:rPr>
                <w:szCs w:val="20"/>
              </w:rPr>
              <w:t>urothelium</w:t>
            </w:r>
            <w:proofErr w:type="spellEnd"/>
            <w:r w:rsidR="001B708A">
              <w:rPr>
                <w:szCs w:val="20"/>
              </w:rPr>
              <w:t xml:space="preserve"> (including renal pelvis, ureters, urinary bladder and urethra).  Patients will be stratified according to cisplatin eligibility</w:t>
            </w:r>
            <w:r w:rsidR="0057202F">
              <w:rPr>
                <w:szCs w:val="20"/>
              </w:rPr>
              <w:t xml:space="preserve"> (eligible or ineligible), PD-L1 status (low or high depending on </w:t>
            </w:r>
            <w:proofErr w:type="spellStart"/>
            <w:r w:rsidR="0057202F">
              <w:rPr>
                <w:szCs w:val="20"/>
              </w:rPr>
              <w:t>Ventana</w:t>
            </w:r>
            <w:proofErr w:type="spellEnd"/>
            <w:r w:rsidR="0057202F">
              <w:rPr>
                <w:szCs w:val="20"/>
              </w:rPr>
              <w:t xml:space="preserve"> SP263 IHC Assay) and presence or absence of visceral metastases.</w:t>
            </w:r>
          </w:p>
        </w:tc>
        <w:tc>
          <w:tcPr>
            <w:tcW w:w="1074" w:type="pct"/>
          </w:tcPr>
          <w:p w:rsidR="00654C85" w:rsidRDefault="00C60041" w:rsidP="00885AFE">
            <w:pPr>
              <w:rPr>
                <w:rStyle w:val="Hyperlink"/>
              </w:rPr>
            </w:pPr>
            <w:hyperlink r:id="rId16" w:tooltip="Link to clinical trials website" w:history="1">
              <w:r w:rsidR="00654C85" w:rsidRPr="00572150">
                <w:rPr>
                  <w:rStyle w:val="Hyperlink"/>
                </w:rPr>
                <w:t>www.clinicaltrials.gov</w:t>
              </w:r>
            </w:hyperlink>
            <w:bookmarkStart w:id="3" w:name="_GoBack"/>
            <w:bookmarkEnd w:id="3"/>
          </w:p>
          <w:p w:rsidR="004C49EF" w:rsidRPr="00654C85" w:rsidRDefault="00654C85" w:rsidP="00885AFE">
            <w:pPr>
              <w:rPr>
                <w:rFonts w:ascii="Calibri" w:hAnsi="Calibri"/>
                <w:b/>
                <w:szCs w:val="20"/>
              </w:rPr>
            </w:pPr>
            <w:r w:rsidRPr="00654C85">
              <w:rPr>
                <w:rFonts w:ascii="Calibri" w:hAnsi="Calibri" w:cs="Arial"/>
                <w:lang w:val="en"/>
              </w:rPr>
              <w:t>NCT02516241</w:t>
            </w:r>
          </w:p>
        </w:tc>
        <w:tc>
          <w:tcPr>
            <w:tcW w:w="523" w:type="pct"/>
          </w:tcPr>
          <w:p w:rsidR="004C49EF" w:rsidRPr="00885AFE" w:rsidRDefault="00304494" w:rsidP="00526478">
            <w:pPr>
              <w:rPr>
                <w:szCs w:val="20"/>
              </w:rPr>
            </w:pPr>
            <w:r>
              <w:rPr>
                <w:szCs w:val="20"/>
              </w:rPr>
              <w:t>2018</w:t>
            </w:r>
          </w:p>
        </w:tc>
      </w:tr>
    </w:tbl>
    <w:p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A727B6" w:rsidRPr="00A727B6" w:rsidRDefault="006044DF" w:rsidP="00A727B6">
      <w:pPr>
        <w:ind w:left="426"/>
      </w:pPr>
      <w:r>
        <w:t xml:space="preserve">The group of health professionals who provide the medical service </w:t>
      </w:r>
      <w:r w:rsidR="00F1552C">
        <w:t>(PD-L1 testing) are the Royal College of Pathologists of Australasia (RCPA).  A statement from the RCPA on the clinical relevance of the test is pro</w:t>
      </w:r>
      <w:r w:rsidR="006D3D41">
        <w:t>vided as an attachment to this A</w:t>
      </w:r>
      <w:r w:rsidR="00F1552C">
        <w:t>pplication.</w:t>
      </w:r>
    </w:p>
    <w:p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EA173C" w:rsidRDefault="00F1552C" w:rsidP="00A727B6">
      <w:pPr>
        <w:ind w:left="426"/>
      </w:pPr>
      <w:r>
        <w:t>Not applicable, the comparator for PD-L1 testing is no PD-L1 testing.</w:t>
      </w:r>
    </w:p>
    <w:p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F91977" w:rsidRDefault="00192F83" w:rsidP="00093E78">
      <w:pPr>
        <w:ind w:left="426"/>
        <w:rPr>
          <w:szCs w:val="20"/>
        </w:rPr>
      </w:pPr>
      <w:r>
        <w:t xml:space="preserve">The consumers for PD-L1 testing and treatment with </w:t>
      </w:r>
      <w:proofErr w:type="spellStart"/>
      <w:r>
        <w:t>durvalumab</w:t>
      </w:r>
      <w:proofErr w:type="spellEnd"/>
      <w:r>
        <w:t xml:space="preserve"> or </w:t>
      </w:r>
      <w:proofErr w:type="spellStart"/>
      <w:r>
        <w:t>durvalumab</w:t>
      </w:r>
      <w:proofErr w:type="spellEnd"/>
      <w:r>
        <w:t>/</w:t>
      </w:r>
      <w:proofErr w:type="spellStart"/>
      <w:r>
        <w:t>tremelimumab</w:t>
      </w:r>
      <w:proofErr w:type="spellEnd"/>
      <w:r>
        <w:t xml:space="preserve"> are patients with </w:t>
      </w:r>
      <w:proofErr w:type="spellStart"/>
      <w:r w:rsidR="009C3E57">
        <w:t>unresectable</w:t>
      </w:r>
      <w:proofErr w:type="spellEnd"/>
      <w:r w:rsidR="009C3E57">
        <w:t xml:space="preserve"> Stage IV </w:t>
      </w:r>
      <w:r w:rsidR="00AC7B72">
        <w:t>uro</w:t>
      </w:r>
      <w:r w:rsidR="009C3E57">
        <w:t>thelial</w:t>
      </w:r>
      <w:r w:rsidR="00AC7B72">
        <w:t xml:space="preserve"> cancer</w:t>
      </w:r>
      <w:r>
        <w:t xml:space="preserve">.  </w:t>
      </w:r>
      <w:r w:rsidR="00643E47">
        <w:t xml:space="preserve">The main consumer organisation representing </w:t>
      </w:r>
      <w:r w:rsidR="009C3E57">
        <w:t>these patients is Rare Cancers Australia (RCA).  A letter from RCA</w:t>
      </w:r>
      <w:r w:rsidR="00093E78">
        <w:t xml:space="preserve"> supporting this application is provided as an attachment</w:t>
      </w:r>
      <w:r w:rsidR="006D3D41">
        <w:t xml:space="preserve"> to this Application</w:t>
      </w:r>
      <w:r w:rsidR="00093E78">
        <w:t>.</w:t>
      </w:r>
    </w:p>
    <w:p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rsidR="00093E78" w:rsidRDefault="00F91977" w:rsidP="00EE6450">
      <w:pPr>
        <w:ind w:left="426"/>
      </w:pPr>
      <w:r>
        <w:t xml:space="preserve">There are alternative </w:t>
      </w:r>
      <w:r w:rsidR="00601BDE">
        <w:t>products to the Roche Diagnostics PD-L1 assay available for</w:t>
      </w:r>
      <w:r w:rsidR="00093E78">
        <w:t xml:space="preserve"> PD-L1 testing in Australia.  </w:t>
      </w:r>
    </w:p>
    <w:p w:rsidR="00EE6450" w:rsidRDefault="00FF7C11" w:rsidP="00EE6450">
      <w:pPr>
        <w:ind w:left="426"/>
      </w:pPr>
      <w:r>
        <w:t>Two Class 3</w:t>
      </w:r>
      <w:r w:rsidR="006B5D56">
        <w:t xml:space="preserve"> in-vitro diagnostic devices GMDN CT1056 </w:t>
      </w:r>
      <w:proofErr w:type="spellStart"/>
      <w:r w:rsidR="006B5D56">
        <w:t>Immunohistology</w:t>
      </w:r>
      <w:proofErr w:type="spellEnd"/>
      <w:r w:rsidR="006B5D56">
        <w:t xml:space="preserve"> cell marker IVD were registered in Australia in November 2016 by Agilent Technologies Australia Pty Limited (ARTG 282595 17/11/16 and ARTG 282596</w:t>
      </w:r>
      <w:r w:rsidR="00733EC2">
        <w:t xml:space="preserve"> 17/11/16</w:t>
      </w:r>
      <w:r w:rsidR="006B5D56">
        <w:t>)</w:t>
      </w:r>
      <w:r w:rsidR="00DE48EA">
        <w:t xml:space="preserve"> with manufacturer DAKO</w:t>
      </w:r>
      <w:r w:rsidR="006B5D56">
        <w:t>.</w:t>
      </w:r>
    </w:p>
    <w:p w:rsidR="00682A89" w:rsidRDefault="00682A89" w:rsidP="00EE6450">
      <w:pPr>
        <w:ind w:left="426"/>
      </w:pPr>
      <w:r>
        <w:t xml:space="preserve">It is also possible that pathology laboratories within the larger cancer </w:t>
      </w:r>
      <w:r w:rsidR="00775974">
        <w:t xml:space="preserve">hospitals or medical </w:t>
      </w:r>
      <w:r>
        <w:t>research institutes may develop in-house PD-L1 testing methods during 2017.</w:t>
      </w:r>
    </w:p>
    <w:p w:rsidR="006B5D56" w:rsidRDefault="006B5D56" w:rsidP="00EE6450">
      <w:pPr>
        <w:ind w:left="426"/>
        <w:rPr>
          <w:szCs w:val="20"/>
        </w:rPr>
      </w:pPr>
      <w:r>
        <w:t>There is no “gol</w:t>
      </w:r>
      <w:r w:rsidR="00093E78">
        <w:t>d standard” PD-L1 assay established</w:t>
      </w:r>
      <w:r>
        <w:t xml:space="preserve"> at present.  A comparison of the evidentiary standard </w:t>
      </w:r>
      <w:r w:rsidR="001462BC">
        <w:t>Roche/</w:t>
      </w:r>
      <w:proofErr w:type="spellStart"/>
      <w:r w:rsidR="00093E78">
        <w:t>Ventana</w:t>
      </w:r>
      <w:proofErr w:type="spellEnd"/>
      <w:r w:rsidR="00093E78">
        <w:t xml:space="preserve"> </w:t>
      </w:r>
      <w:r w:rsidR="00093E78" w:rsidRPr="00AB1DEF">
        <w:t>SP263 PD-L1 IHC assay</w:t>
      </w:r>
      <w:r w:rsidR="00093E78">
        <w:t xml:space="preserve"> </w:t>
      </w:r>
      <w:r w:rsidR="001462BC">
        <w:t>used in the AstraZeneca trials</w:t>
      </w:r>
      <w:r w:rsidR="00DE48EA">
        <w:t xml:space="preserve"> </w:t>
      </w:r>
      <w:r w:rsidR="00AC6045">
        <w:t xml:space="preserve">and </w:t>
      </w:r>
      <w:r w:rsidR="00DE48EA">
        <w:t xml:space="preserve">alternative </w:t>
      </w:r>
      <w:r w:rsidR="00AC6045">
        <w:t xml:space="preserve">PD-L1 </w:t>
      </w:r>
      <w:r w:rsidR="00DE48EA">
        <w:t>testing meth</w:t>
      </w:r>
      <w:r w:rsidR="00AC6045">
        <w:t xml:space="preserve">ods </w:t>
      </w:r>
      <w:r w:rsidR="0076550B">
        <w:t xml:space="preserve">in urothelial cancer </w:t>
      </w:r>
      <w:r w:rsidR="00DE48EA">
        <w:t>would be conducted in the co-dependent s</w:t>
      </w:r>
      <w:r w:rsidR="004F591B">
        <w:t>ubmission based on</w:t>
      </w:r>
      <w:r w:rsidR="003723E8">
        <w:t xml:space="preserve"> this application.</w:t>
      </w:r>
    </w:p>
    <w:p w:rsidR="00E82F54" w:rsidRDefault="00E82F54" w:rsidP="00530204">
      <w:pPr>
        <w:pStyle w:val="Heading2"/>
      </w:pPr>
      <w:r w:rsidRPr="00154B00">
        <w:t>Nominate two experts who could be approached about the proposed medical service and the current clinical management of the service(s):</w:t>
      </w:r>
    </w:p>
    <w:p w:rsidR="00A96329" w:rsidRPr="00A96329" w:rsidRDefault="00A96329" w:rsidP="00A96329"/>
    <w:p w:rsidR="00A6636D" w:rsidRPr="00987ABE" w:rsidRDefault="00A6636D" w:rsidP="00A6636D">
      <w:pPr>
        <w:ind w:left="426"/>
        <w:rPr>
          <w:szCs w:val="20"/>
        </w:rPr>
      </w:pPr>
      <w:r w:rsidRPr="00982B26">
        <w:rPr>
          <w:b/>
          <w:szCs w:val="20"/>
        </w:rPr>
        <w:t>Name of expert 1</w:t>
      </w:r>
      <w:r w:rsidR="002C06B4">
        <w:rPr>
          <w:szCs w:val="20"/>
        </w:rPr>
        <w:t xml:space="preserve">: </w:t>
      </w:r>
      <w:r w:rsidR="001462BC" w:rsidRPr="001462BC">
        <w:rPr>
          <w:b/>
          <w:szCs w:val="20"/>
        </w:rPr>
        <w:t>Redacted</w:t>
      </w:r>
    </w:p>
    <w:p w:rsidR="00A6636D" w:rsidRPr="00987ABE" w:rsidRDefault="001462BC" w:rsidP="00A6636D">
      <w:pPr>
        <w:ind w:left="426"/>
        <w:rPr>
          <w:szCs w:val="20"/>
        </w:rPr>
      </w:pPr>
      <w:r>
        <w:rPr>
          <w:szCs w:val="20"/>
        </w:rPr>
        <w:t>Telephone number(s):</w:t>
      </w:r>
    </w:p>
    <w:p w:rsidR="00A6636D" w:rsidRPr="00987ABE" w:rsidRDefault="001462BC" w:rsidP="00A6636D">
      <w:pPr>
        <w:ind w:left="426"/>
        <w:rPr>
          <w:szCs w:val="20"/>
        </w:rPr>
      </w:pPr>
      <w:r>
        <w:rPr>
          <w:szCs w:val="20"/>
        </w:rPr>
        <w:t>Email address:</w:t>
      </w:r>
    </w:p>
    <w:p w:rsidR="00A6636D" w:rsidRPr="00987ABE" w:rsidRDefault="00A6636D" w:rsidP="00A6636D">
      <w:pPr>
        <w:ind w:left="426"/>
        <w:rPr>
          <w:szCs w:val="20"/>
        </w:rPr>
      </w:pPr>
      <w:r>
        <w:rPr>
          <w:szCs w:val="20"/>
        </w:rPr>
        <w:t xml:space="preserve">Justification of expertise: </w:t>
      </w:r>
    </w:p>
    <w:p w:rsidR="00A6636D" w:rsidRPr="00987ABE" w:rsidRDefault="00A6636D" w:rsidP="00A6636D">
      <w:pPr>
        <w:ind w:left="426"/>
        <w:rPr>
          <w:szCs w:val="20"/>
        </w:rPr>
      </w:pPr>
      <w:r w:rsidRPr="00982B26">
        <w:rPr>
          <w:b/>
          <w:szCs w:val="20"/>
        </w:rPr>
        <w:t>Name of expert 2</w:t>
      </w:r>
      <w:r w:rsidR="001462BC">
        <w:rPr>
          <w:szCs w:val="20"/>
        </w:rPr>
        <w:t xml:space="preserve">: </w:t>
      </w:r>
      <w:r w:rsidR="001462BC" w:rsidRPr="001462BC">
        <w:rPr>
          <w:b/>
          <w:szCs w:val="20"/>
        </w:rPr>
        <w:t>Redacted</w:t>
      </w:r>
    </w:p>
    <w:p w:rsidR="00A6636D" w:rsidRPr="00987ABE" w:rsidRDefault="001462BC" w:rsidP="00A6636D">
      <w:pPr>
        <w:ind w:left="426"/>
        <w:rPr>
          <w:szCs w:val="20"/>
        </w:rPr>
      </w:pPr>
      <w:r>
        <w:rPr>
          <w:szCs w:val="20"/>
        </w:rPr>
        <w:t>Telephone number(s):</w:t>
      </w:r>
    </w:p>
    <w:p w:rsidR="00A6636D" w:rsidRPr="00987ABE" w:rsidRDefault="00A6636D" w:rsidP="00A6636D">
      <w:pPr>
        <w:ind w:left="426"/>
        <w:rPr>
          <w:szCs w:val="20"/>
        </w:rPr>
      </w:pPr>
      <w:r>
        <w:rPr>
          <w:szCs w:val="20"/>
        </w:rPr>
        <w:t xml:space="preserve">Email address: </w:t>
      </w:r>
    </w:p>
    <w:p w:rsidR="00A6636D" w:rsidRPr="00154B00" w:rsidRDefault="00A6636D" w:rsidP="00A6636D">
      <w:pPr>
        <w:ind w:left="426"/>
        <w:rPr>
          <w:szCs w:val="20"/>
        </w:rPr>
      </w:pPr>
      <w:r>
        <w:rPr>
          <w:szCs w:val="20"/>
        </w:rPr>
        <w:t xml:space="preserve">Justification of expertise: </w:t>
      </w:r>
    </w:p>
    <w:p w:rsidR="003433D1" w:rsidRPr="001462BC" w:rsidRDefault="00E82F54">
      <w:pPr>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r w:rsidR="003433D1">
        <w:rPr>
          <w:b/>
          <w:sz w:val="32"/>
          <w:szCs w:val="32"/>
        </w:rPr>
        <w:br w:type="page"/>
      </w:r>
    </w:p>
    <w:p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rsidR="0021185D" w:rsidRPr="005C3AE7" w:rsidRDefault="005C3AE7" w:rsidP="005C3AE7">
      <w:pPr>
        <w:pStyle w:val="Subtitle"/>
      </w:pPr>
      <w:r w:rsidRPr="005C3AE7">
        <w:t xml:space="preserve">PART 6a – </w:t>
      </w:r>
      <w:r w:rsidR="0021185D" w:rsidRPr="005C3AE7">
        <w:t>INFORMATION ABOUT THE PROPOSED POPULATION</w:t>
      </w:r>
    </w:p>
    <w:p w:rsidR="0021185D"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9355BE" w:rsidRPr="001E13F0" w:rsidRDefault="00147BA1" w:rsidP="004E3252">
      <w:pPr>
        <w:ind w:left="360"/>
        <w:rPr>
          <w:vertAlign w:val="superscript"/>
        </w:rPr>
      </w:pPr>
      <w:r>
        <w:t>In Australia</w:t>
      </w:r>
      <w:r w:rsidR="00C17F04">
        <w:t xml:space="preserve"> in 2013</w:t>
      </w:r>
      <w:r>
        <w:t>, b</w:t>
      </w:r>
      <w:r w:rsidR="00C17F04">
        <w:t>ladder cancer wa</w:t>
      </w:r>
      <w:r w:rsidR="00417C63">
        <w:t xml:space="preserve">s the eighth most commonly diagnosed </w:t>
      </w:r>
      <w:r w:rsidR="004E3252">
        <w:t xml:space="preserve">cancer in men, </w:t>
      </w:r>
      <w:r w:rsidR="00C17F04">
        <w:t>with an incidence of 1957</w:t>
      </w:r>
      <w:r w:rsidR="00417C63">
        <w:t xml:space="preserve"> cases (age-standardised rate </w:t>
      </w:r>
      <w:r w:rsidR="00C17F04">
        <w:t>16.5</w:t>
      </w:r>
      <w:r w:rsidR="00417C63">
        <w:t xml:space="preserve"> </w:t>
      </w:r>
      <w:r w:rsidR="00C17F04">
        <w:t xml:space="preserve">cases </w:t>
      </w:r>
      <w:r w:rsidR="00417C63">
        <w:t xml:space="preserve">per 100,000) </w:t>
      </w:r>
      <w:r w:rsidR="00CF2CF8">
        <w:t xml:space="preserve">but </w:t>
      </w:r>
      <w:r w:rsidR="00C17F04">
        <w:t>wa</w:t>
      </w:r>
      <w:r w:rsidR="00970708">
        <w:t>s much less common</w:t>
      </w:r>
      <w:r w:rsidR="00A05DA1">
        <w:t xml:space="preserve"> in women (</w:t>
      </w:r>
      <w:r w:rsidR="00C17F04">
        <w:t xml:space="preserve">incidence of 598 cases and </w:t>
      </w:r>
      <w:r w:rsidR="00A05DA1">
        <w:t xml:space="preserve">age-standardised rate </w:t>
      </w:r>
      <w:r w:rsidR="00C17F04">
        <w:t>4.1</w:t>
      </w:r>
      <w:r w:rsidR="00A05DA1">
        <w:t xml:space="preserve"> </w:t>
      </w:r>
      <w:r w:rsidR="00C17F04">
        <w:t xml:space="preserve">cases </w:t>
      </w:r>
      <w:r w:rsidR="00A05DA1">
        <w:t>per 100,000)</w:t>
      </w:r>
      <w:r w:rsidR="004E3252">
        <w:t>.</w:t>
      </w:r>
      <w:r w:rsidR="00651F82">
        <w:rPr>
          <w:vertAlign w:val="superscript"/>
        </w:rPr>
        <w:t>1</w:t>
      </w:r>
      <w:r w:rsidR="004E3252">
        <w:t xml:space="preserve"> </w:t>
      </w:r>
      <w:r w:rsidR="00651F82">
        <w:t>In Australia in 2014, mortality from bladder cancer was 735</w:t>
      </w:r>
      <w:r w:rsidR="009355BE">
        <w:t xml:space="preserve"> deaths</w:t>
      </w:r>
      <w:r w:rsidR="00651F82">
        <w:t xml:space="preserve"> (age-standardised rate 6.1 deaths per 100,000) </w:t>
      </w:r>
      <w:r w:rsidR="009355BE">
        <w:t xml:space="preserve">and 305 deaths (age-standardised rate 1.9 cases per 100,000) in </w:t>
      </w:r>
      <w:r w:rsidR="00651F82">
        <w:t>women.</w:t>
      </w:r>
      <w:r w:rsidR="00651F82">
        <w:rPr>
          <w:vertAlign w:val="superscript"/>
        </w:rPr>
        <w:t>1</w:t>
      </w:r>
      <w:r w:rsidR="00651F82">
        <w:t xml:space="preserve">  </w:t>
      </w:r>
      <w:r w:rsidR="005A3144">
        <w:t>The 5-year relative survival at diagnosis</w:t>
      </w:r>
      <w:r w:rsidR="008F3E47">
        <w:t xml:space="preserve"> in 2009-2013 wa</w:t>
      </w:r>
      <w:r w:rsidR="005A3144">
        <w:t>s 55.5% in males and 46.1% in females.</w:t>
      </w:r>
      <w:r w:rsidR="001E13F0">
        <w:t xml:space="preserve">  The 5</w:t>
      </w:r>
      <w:r w:rsidR="008F3E47">
        <w:t>-year relative survival has slowly declined during the 30 year</w:t>
      </w:r>
      <w:r w:rsidR="001E13F0">
        <w:t>s from</w:t>
      </w:r>
      <w:r w:rsidR="008F3E47">
        <w:t xml:space="preserve"> 1984-2013.</w:t>
      </w:r>
      <w:r w:rsidR="001E13F0">
        <w:rPr>
          <w:vertAlign w:val="superscript"/>
        </w:rPr>
        <w:t>1</w:t>
      </w:r>
    </w:p>
    <w:p w:rsidR="004E3252" w:rsidRPr="00597537" w:rsidRDefault="004E3252" w:rsidP="004E3252">
      <w:pPr>
        <w:ind w:left="360"/>
      </w:pPr>
      <w:r>
        <w:t>Bladder cancer is rare under the age of 50 and usually presents in old age.  Risk factors for bladder cancer include cigarette smoking, carcinogenic chemical exposure, genetic predisposition and prior radiotherapy/</w:t>
      </w:r>
      <w:proofErr w:type="spellStart"/>
      <w:r>
        <w:t>chemoradiation</w:t>
      </w:r>
      <w:proofErr w:type="spellEnd"/>
      <w:r>
        <w:t xml:space="preserve"> in the pelvis/lower abdomen.  More than 90% of bladder cancers f</w:t>
      </w:r>
      <w:r w:rsidR="00E32F4F">
        <w:t>orm in the lining of the urinary tract</w:t>
      </w:r>
      <w:r>
        <w:t xml:space="preserve"> (the </w:t>
      </w:r>
      <w:proofErr w:type="spellStart"/>
      <w:r>
        <w:t>urothelium</w:t>
      </w:r>
      <w:proofErr w:type="spellEnd"/>
      <w:r>
        <w:t>) and are known as urothelial carcinomas, or transitional cell carcinomas.</w:t>
      </w:r>
      <w:r w:rsidR="009355BE">
        <w:rPr>
          <w:vertAlign w:val="superscript"/>
        </w:rPr>
        <w:t>2</w:t>
      </w:r>
      <w:proofErr w:type="gramStart"/>
      <w:r w:rsidR="009355BE">
        <w:rPr>
          <w:vertAlign w:val="superscript"/>
        </w:rPr>
        <w:t>,3</w:t>
      </w:r>
      <w:proofErr w:type="gramEnd"/>
      <w:r w:rsidR="00597537">
        <w:t xml:space="preserve">  Urothelial cancers most commonly occur in the bladder, but </w:t>
      </w:r>
      <w:r w:rsidR="00D03432">
        <w:t>may</w:t>
      </w:r>
      <w:r w:rsidR="00597537">
        <w:t xml:space="preserve"> </w:t>
      </w:r>
      <w:r w:rsidR="00D03432">
        <w:t xml:space="preserve">also </w:t>
      </w:r>
      <w:r w:rsidR="00597537">
        <w:t xml:space="preserve">be found in the </w:t>
      </w:r>
      <w:r w:rsidR="00D03432">
        <w:t>renal pelvis, ureters and urethra.</w:t>
      </w:r>
    </w:p>
    <w:p w:rsidR="004E3252" w:rsidRDefault="004E3252" w:rsidP="004E3252">
      <w:pPr>
        <w:ind w:left="360"/>
      </w:pPr>
      <w:r>
        <w:t>Bl</w:t>
      </w:r>
      <w:r w:rsidR="00D03432">
        <w:t>adder cancer is</w:t>
      </w:r>
      <w:r>
        <w:t xml:space="preserve"> a highly immunogenic tumour type</w:t>
      </w:r>
      <w:proofErr w:type="gramStart"/>
      <w:r>
        <w:t>,</w:t>
      </w:r>
      <w:r w:rsidR="009355BE">
        <w:rPr>
          <w:vertAlign w:val="superscript"/>
        </w:rPr>
        <w:t>4</w:t>
      </w:r>
      <w:proofErr w:type="gramEnd"/>
      <w:r>
        <w:t xml:space="preserve"> consequently immunotherapy treatments for bladder cancer may alter the disease process.</w:t>
      </w:r>
    </w:p>
    <w:p w:rsidR="002D48E7" w:rsidRPr="00D8103C" w:rsidRDefault="004E3252" w:rsidP="002D48E7">
      <w:pPr>
        <w:ind w:left="360"/>
        <w:rPr>
          <w:vertAlign w:val="superscript"/>
        </w:rPr>
      </w:pPr>
      <w:r>
        <w:t>At the initial diagnosis of bladder cancer approximately 70% of cases are diagnosed as non-muscle-invasive bladder cancer (NMIBC) and approximately 30% as muscle-invasive bladder cancer (MIBC).</w:t>
      </w:r>
      <w:proofErr w:type="gramStart"/>
      <w:r w:rsidR="009355BE">
        <w:rPr>
          <w:vertAlign w:val="superscript"/>
        </w:rPr>
        <w:t>5</w:t>
      </w:r>
      <w:r>
        <w:t xml:space="preserve">  </w:t>
      </w:r>
      <w:r w:rsidR="00E96809">
        <w:t>Treatment</w:t>
      </w:r>
      <w:proofErr w:type="gramEnd"/>
      <w:r w:rsidR="00E96809">
        <w:t xml:space="preserve"> for non-</w:t>
      </w:r>
      <w:r w:rsidR="001550CF">
        <w:t>muscle invasive bladder cancer is transurethral resection of the bladder tumour</w:t>
      </w:r>
      <w:r w:rsidR="00CA190B">
        <w:t xml:space="preserve"> and </w:t>
      </w:r>
      <w:proofErr w:type="spellStart"/>
      <w:r w:rsidR="00CA190B">
        <w:t>intravesical</w:t>
      </w:r>
      <w:proofErr w:type="spellEnd"/>
      <w:r w:rsidR="00CA190B">
        <w:t xml:space="preserve"> chemotherapy or immunotherapy with Bacillus </w:t>
      </w:r>
      <w:proofErr w:type="spellStart"/>
      <w:r w:rsidR="00CA190B">
        <w:t>Calmette</w:t>
      </w:r>
      <w:proofErr w:type="spellEnd"/>
      <w:r w:rsidR="00CA190B">
        <w:t xml:space="preserve">-Guerin (BCG).  </w:t>
      </w:r>
      <w:r w:rsidR="002D48E7">
        <w:t>Up to 15% of patients diagnosed with non-muscle invasive bladder cancer go on to develop muscle invasive bladder cancer.</w:t>
      </w:r>
      <w:r w:rsidR="00D8103C">
        <w:rPr>
          <w:vertAlign w:val="superscript"/>
        </w:rPr>
        <w:t>6</w:t>
      </w:r>
    </w:p>
    <w:p w:rsidR="00E030C1" w:rsidRDefault="00CA190B" w:rsidP="004E3252">
      <w:pPr>
        <w:ind w:left="360"/>
        <w:rPr>
          <w:vertAlign w:val="superscript"/>
        </w:rPr>
      </w:pPr>
      <w:r>
        <w:t xml:space="preserve">Standard treatment for muscle-invasive bladder cancer </w:t>
      </w:r>
      <w:r w:rsidR="00970708">
        <w:t xml:space="preserve">is radical cystectomy (removal of the bladder), with lymphadenectomy if required, followed by chemotherapy.  </w:t>
      </w:r>
      <w:r w:rsidR="002D48E7">
        <w:t xml:space="preserve">Cisplatin-containing doublet chemotherapy such as cisplatin/gemcitabine or combination methotrexate, vinblastine, </w:t>
      </w:r>
      <w:proofErr w:type="spellStart"/>
      <w:proofErr w:type="gramStart"/>
      <w:r w:rsidR="002D48E7">
        <w:t>adriamycin</w:t>
      </w:r>
      <w:proofErr w:type="spellEnd"/>
      <w:proofErr w:type="gramEnd"/>
      <w:r w:rsidR="002D48E7">
        <w:t xml:space="preserve"> and cisplatin (MVAC) </w:t>
      </w:r>
      <w:r w:rsidR="002C0FAD">
        <w:t xml:space="preserve">are standard </w:t>
      </w:r>
      <w:r w:rsidR="002D48E7">
        <w:t>t</w:t>
      </w:r>
      <w:r w:rsidR="002C0FAD">
        <w:t>r</w:t>
      </w:r>
      <w:r w:rsidR="002D48E7">
        <w:t xml:space="preserve">eatments in advanced surgically </w:t>
      </w:r>
      <w:proofErr w:type="spellStart"/>
      <w:r w:rsidR="002D48E7">
        <w:t>unresectable</w:t>
      </w:r>
      <w:proofErr w:type="spellEnd"/>
      <w:r w:rsidR="002D48E7">
        <w:t xml:space="preserve"> and </w:t>
      </w:r>
      <w:r w:rsidR="002C0FAD">
        <w:t xml:space="preserve">metastatic </w:t>
      </w:r>
      <w:r w:rsidR="00A43F9F">
        <w:t xml:space="preserve">(Stage IV disease) </w:t>
      </w:r>
      <w:r w:rsidR="002C0FAD">
        <w:t xml:space="preserve">patients </w:t>
      </w:r>
      <w:r w:rsidR="002D48E7">
        <w:t xml:space="preserve">able to tolerate cisplatin.  </w:t>
      </w:r>
      <w:r w:rsidR="00E030C1">
        <w:t>Approximately 50% of patients are ineligible for cisplatin treatment</w:t>
      </w:r>
      <w:proofErr w:type="gramStart"/>
      <w:r w:rsidR="00E030C1">
        <w:t>,</w:t>
      </w:r>
      <w:r w:rsidR="009355BE">
        <w:rPr>
          <w:vertAlign w:val="superscript"/>
        </w:rPr>
        <w:t>6</w:t>
      </w:r>
      <w:proofErr w:type="gramEnd"/>
      <w:r w:rsidR="00E030C1">
        <w:t xml:space="preserve"> due predominantly to renal dysfunction, poor performance status, or other </w:t>
      </w:r>
      <w:r w:rsidR="009378A6">
        <w:t xml:space="preserve">comorbidities including </w:t>
      </w:r>
      <w:r w:rsidR="00E030C1">
        <w:t xml:space="preserve">audiometric hearing </w:t>
      </w:r>
      <w:r w:rsidR="009378A6">
        <w:t>loss, peripheral neuropathy and</w:t>
      </w:r>
      <w:r w:rsidR="00E030C1">
        <w:t xml:space="preserve"> heart failure. </w:t>
      </w:r>
      <w:r w:rsidR="002C0FAD">
        <w:t xml:space="preserve"> Patients unfit for cisplatin-based chemotherapy may be offered a carboplatin-based regimen such as carboplatin/gemcitabine, a single agent </w:t>
      </w:r>
      <w:proofErr w:type="spellStart"/>
      <w:r w:rsidR="002C0FAD">
        <w:t>taxane</w:t>
      </w:r>
      <w:proofErr w:type="spellEnd"/>
      <w:r w:rsidR="002C0FAD">
        <w:t xml:space="preserve"> or gemcitabine.</w:t>
      </w:r>
      <w:r w:rsidR="002C0FAD">
        <w:rPr>
          <w:vertAlign w:val="superscript"/>
        </w:rPr>
        <w:t>6</w:t>
      </w:r>
    </w:p>
    <w:p w:rsidR="00A6087F" w:rsidRPr="00A6087F" w:rsidRDefault="00A6087F" w:rsidP="00A6087F">
      <w:pPr>
        <w:ind w:left="360"/>
      </w:pPr>
      <w:r>
        <w:t>This Application proposes</w:t>
      </w:r>
      <w:r w:rsidR="00930F32">
        <w:t xml:space="preserve"> </w:t>
      </w:r>
      <w:proofErr w:type="spellStart"/>
      <w:r w:rsidR="00930F32">
        <w:t>durvalumab</w:t>
      </w:r>
      <w:proofErr w:type="spellEnd"/>
      <w:r w:rsidR="00930F32">
        <w:t xml:space="preserve"> or </w:t>
      </w:r>
      <w:proofErr w:type="spellStart"/>
      <w:r w:rsidR="00930F32">
        <w:t>durvalumab</w:t>
      </w:r>
      <w:proofErr w:type="spellEnd"/>
      <w:r w:rsidR="00930F32">
        <w:t>/</w:t>
      </w:r>
      <w:proofErr w:type="spellStart"/>
      <w:r w:rsidR="00930F32">
        <w:t>tremelimumab</w:t>
      </w:r>
      <w:proofErr w:type="spellEnd"/>
      <w:r w:rsidR="00930F32">
        <w:t xml:space="preserve"> as</w:t>
      </w:r>
      <w:r>
        <w:t xml:space="preserve"> </w:t>
      </w:r>
      <w:r w:rsidR="00930F32">
        <w:t xml:space="preserve">first line </w:t>
      </w:r>
      <w:r>
        <w:t xml:space="preserve">treatment for patients </w:t>
      </w:r>
      <w:r w:rsidR="00930F32">
        <w:t xml:space="preserve">with </w:t>
      </w:r>
      <w:proofErr w:type="spellStart"/>
      <w:r w:rsidR="00930F32">
        <w:t>unresectable</w:t>
      </w:r>
      <w:proofErr w:type="spellEnd"/>
      <w:r w:rsidR="00930F32">
        <w:t xml:space="preserve"> Stage IV </w:t>
      </w:r>
      <w:r w:rsidR="00D17DC9">
        <w:t xml:space="preserve">transitional cell carcinoma (transitional cell and mixed transitional/non-transitional cell </w:t>
      </w:r>
      <w:proofErr w:type="spellStart"/>
      <w:r w:rsidR="00D17DC9">
        <w:t>histologies</w:t>
      </w:r>
      <w:proofErr w:type="spellEnd"/>
      <w:r w:rsidR="00D17DC9">
        <w:t xml:space="preserve">) of the </w:t>
      </w:r>
      <w:proofErr w:type="spellStart"/>
      <w:r w:rsidR="00D17DC9">
        <w:t>urothelium</w:t>
      </w:r>
      <w:proofErr w:type="spellEnd"/>
      <w:r w:rsidR="00D17DC9">
        <w:t xml:space="preserve"> (including renal pelvis, ureters, urinary bladder and urethra).</w:t>
      </w:r>
    </w:p>
    <w:p w:rsidR="009355BE" w:rsidRPr="00CF2CF8" w:rsidRDefault="00CF2CF8" w:rsidP="004E3252">
      <w:pPr>
        <w:ind w:left="360"/>
        <w:rPr>
          <w:sz w:val="16"/>
          <w:szCs w:val="16"/>
        </w:rPr>
      </w:pPr>
      <w:r w:rsidRPr="00CF2CF8">
        <w:rPr>
          <w:szCs w:val="20"/>
          <w:vertAlign w:val="superscript"/>
        </w:rPr>
        <w:t>1</w:t>
      </w:r>
      <w:r w:rsidR="009355BE" w:rsidRPr="00CF2CF8">
        <w:rPr>
          <w:sz w:val="16"/>
          <w:szCs w:val="16"/>
        </w:rPr>
        <w:t>Australian Institute of Health and Welfare (AIHW) Cancer in Australia 2017, p.82-83</w:t>
      </w:r>
    </w:p>
    <w:p w:rsidR="00F11F13" w:rsidRPr="00F11F13" w:rsidRDefault="009355BE" w:rsidP="00F11F13">
      <w:pPr>
        <w:ind w:left="360"/>
        <w:rPr>
          <w:sz w:val="16"/>
          <w:szCs w:val="16"/>
        </w:rPr>
      </w:pPr>
      <w:r>
        <w:rPr>
          <w:vertAlign w:val="superscript"/>
        </w:rPr>
        <w:t>2</w:t>
      </w:r>
      <w:r w:rsidR="00F11F13">
        <w:t xml:space="preserve"> </w:t>
      </w:r>
      <w:r w:rsidR="00F11F13" w:rsidRPr="00F11F13">
        <w:rPr>
          <w:sz w:val="16"/>
          <w:szCs w:val="16"/>
        </w:rPr>
        <w:t>Bladder cancer – transitional cell carcinoma Fact Sheet Urological Society of Australia and New Zealand (http://www.usanz.org.au/uploads/65337/ufiles/bladder-cancer.pdf)</w:t>
      </w:r>
    </w:p>
    <w:p w:rsidR="00F11F13" w:rsidRPr="00F11F13" w:rsidRDefault="009355BE" w:rsidP="00F11F13">
      <w:pPr>
        <w:ind w:left="360"/>
        <w:rPr>
          <w:sz w:val="16"/>
          <w:szCs w:val="16"/>
        </w:rPr>
      </w:pPr>
      <w:r>
        <w:rPr>
          <w:szCs w:val="20"/>
          <w:vertAlign w:val="superscript"/>
        </w:rPr>
        <w:t>3</w:t>
      </w:r>
      <w:r w:rsidR="00F11F13" w:rsidRPr="00F11F13">
        <w:rPr>
          <w:sz w:val="16"/>
          <w:szCs w:val="16"/>
        </w:rPr>
        <w:t xml:space="preserve"> Cancer Australia Bladder Cancer https://canceraustralia.gov.au/affected-can</w:t>
      </w:r>
      <w:r w:rsidR="00597537">
        <w:rPr>
          <w:sz w:val="16"/>
          <w:szCs w:val="16"/>
        </w:rPr>
        <w:t>cer/cancer-types/bladder-cancer</w:t>
      </w:r>
    </w:p>
    <w:p w:rsidR="00F11F13" w:rsidRDefault="009355BE" w:rsidP="00F11F13">
      <w:pPr>
        <w:ind w:left="360"/>
        <w:rPr>
          <w:sz w:val="16"/>
          <w:szCs w:val="16"/>
        </w:rPr>
      </w:pPr>
      <w:r>
        <w:rPr>
          <w:szCs w:val="20"/>
          <w:vertAlign w:val="superscript"/>
        </w:rPr>
        <w:t>4</w:t>
      </w:r>
      <w:r w:rsidR="00F11F13" w:rsidRPr="00F11F13">
        <w:rPr>
          <w:szCs w:val="20"/>
          <w:vertAlign w:val="superscript"/>
        </w:rPr>
        <w:t xml:space="preserve"> </w:t>
      </w:r>
      <w:r w:rsidR="00F11F13" w:rsidRPr="00F11F13">
        <w:rPr>
          <w:sz w:val="16"/>
          <w:szCs w:val="16"/>
        </w:rPr>
        <w:t xml:space="preserve">Schumacher T and </w:t>
      </w:r>
      <w:proofErr w:type="spellStart"/>
      <w:r w:rsidR="00F11F13" w:rsidRPr="00F11F13">
        <w:rPr>
          <w:sz w:val="16"/>
          <w:szCs w:val="16"/>
        </w:rPr>
        <w:t>Schrieber</w:t>
      </w:r>
      <w:proofErr w:type="spellEnd"/>
      <w:r w:rsidR="00F11F13" w:rsidRPr="00F11F13">
        <w:rPr>
          <w:sz w:val="16"/>
          <w:szCs w:val="16"/>
        </w:rPr>
        <w:t xml:space="preserve"> R. Science 3 April 2015</w:t>
      </w:r>
    </w:p>
    <w:p w:rsidR="00FA745D" w:rsidRDefault="009355BE" w:rsidP="005B3EC4">
      <w:pPr>
        <w:ind w:left="360"/>
        <w:rPr>
          <w:sz w:val="16"/>
          <w:szCs w:val="16"/>
        </w:rPr>
      </w:pPr>
      <w:proofErr w:type="gramStart"/>
      <w:r>
        <w:rPr>
          <w:szCs w:val="20"/>
          <w:vertAlign w:val="superscript"/>
        </w:rPr>
        <w:t>5</w:t>
      </w:r>
      <w:r w:rsidR="005B3EC4">
        <w:rPr>
          <w:sz w:val="16"/>
          <w:szCs w:val="16"/>
        </w:rPr>
        <w:t xml:space="preserve">Babjuk M, </w:t>
      </w:r>
      <w:proofErr w:type="spellStart"/>
      <w:r w:rsidR="005B3EC4">
        <w:rPr>
          <w:sz w:val="16"/>
          <w:szCs w:val="16"/>
        </w:rPr>
        <w:t>Böhle</w:t>
      </w:r>
      <w:proofErr w:type="spellEnd"/>
      <w:r w:rsidR="005B3EC4">
        <w:rPr>
          <w:sz w:val="16"/>
          <w:szCs w:val="16"/>
        </w:rPr>
        <w:t xml:space="preserve"> A, Burger M et al. Guidelines on </w:t>
      </w:r>
      <w:r w:rsidR="00FA745D" w:rsidRPr="00FA745D">
        <w:rPr>
          <w:sz w:val="16"/>
          <w:szCs w:val="16"/>
        </w:rPr>
        <w:t>non-muscle-invasive bladder cancer (Ta, T1, and CIS).</w:t>
      </w:r>
      <w:proofErr w:type="gramEnd"/>
      <w:r w:rsidR="00FA745D" w:rsidRPr="00FA745D">
        <w:rPr>
          <w:sz w:val="16"/>
          <w:szCs w:val="16"/>
        </w:rPr>
        <w:t xml:space="preserve"> EAU Guidelines Offic</w:t>
      </w:r>
      <w:r w:rsidR="005B3EC4">
        <w:rPr>
          <w:sz w:val="16"/>
          <w:szCs w:val="16"/>
        </w:rPr>
        <w:t xml:space="preserve">e, Arnhem, </w:t>
      </w:r>
      <w:proofErr w:type="gramStart"/>
      <w:r w:rsidR="005B3EC4">
        <w:rPr>
          <w:sz w:val="16"/>
          <w:szCs w:val="16"/>
        </w:rPr>
        <w:t>The</w:t>
      </w:r>
      <w:proofErr w:type="gramEnd"/>
      <w:r w:rsidR="005B3EC4">
        <w:rPr>
          <w:sz w:val="16"/>
          <w:szCs w:val="16"/>
        </w:rPr>
        <w:t xml:space="preserve"> </w:t>
      </w:r>
      <w:r w:rsidR="00FA745D" w:rsidRPr="00FA745D">
        <w:rPr>
          <w:sz w:val="16"/>
          <w:szCs w:val="16"/>
        </w:rPr>
        <w:t xml:space="preserve">Netherlands. </w:t>
      </w:r>
      <w:proofErr w:type="gramStart"/>
      <w:r w:rsidR="00FA745D" w:rsidRPr="00FA745D">
        <w:rPr>
          <w:sz w:val="16"/>
          <w:szCs w:val="16"/>
        </w:rPr>
        <w:t>European Association of Urology; 2014.</w:t>
      </w:r>
      <w:proofErr w:type="gramEnd"/>
    </w:p>
    <w:p w:rsidR="009378A6" w:rsidRPr="00F11F13" w:rsidRDefault="009355BE" w:rsidP="00F11F13">
      <w:pPr>
        <w:ind w:left="360"/>
        <w:rPr>
          <w:sz w:val="16"/>
          <w:szCs w:val="16"/>
        </w:rPr>
      </w:pPr>
      <w:proofErr w:type="gramStart"/>
      <w:r>
        <w:rPr>
          <w:szCs w:val="20"/>
          <w:vertAlign w:val="superscript"/>
        </w:rPr>
        <w:t>6</w:t>
      </w:r>
      <w:r w:rsidR="009378A6">
        <w:rPr>
          <w:sz w:val="16"/>
          <w:szCs w:val="16"/>
        </w:rPr>
        <w:t xml:space="preserve">Bellmunt J, </w:t>
      </w:r>
      <w:proofErr w:type="spellStart"/>
      <w:r w:rsidR="009378A6">
        <w:rPr>
          <w:sz w:val="16"/>
          <w:szCs w:val="16"/>
        </w:rPr>
        <w:t>Orsola</w:t>
      </w:r>
      <w:proofErr w:type="spellEnd"/>
      <w:r w:rsidR="009378A6">
        <w:rPr>
          <w:sz w:val="16"/>
          <w:szCs w:val="16"/>
        </w:rPr>
        <w:t xml:space="preserve"> A, </w:t>
      </w:r>
      <w:proofErr w:type="spellStart"/>
      <w:r w:rsidR="009378A6">
        <w:rPr>
          <w:sz w:val="16"/>
          <w:szCs w:val="16"/>
        </w:rPr>
        <w:t>Leow</w:t>
      </w:r>
      <w:proofErr w:type="spellEnd"/>
      <w:r w:rsidR="009378A6">
        <w:rPr>
          <w:sz w:val="16"/>
          <w:szCs w:val="16"/>
        </w:rPr>
        <w:t xml:space="preserve"> JJ, et al.</w:t>
      </w:r>
      <w:proofErr w:type="gramEnd"/>
      <w:r w:rsidR="009378A6">
        <w:rPr>
          <w:sz w:val="16"/>
          <w:szCs w:val="16"/>
        </w:rPr>
        <w:t xml:space="preserve">  Bladder cancer: ESMO Practice Guidelines for diagnosis, treatment and follow-up.  Ann. </w:t>
      </w:r>
      <w:proofErr w:type="spellStart"/>
      <w:r w:rsidR="009378A6">
        <w:rPr>
          <w:sz w:val="16"/>
          <w:szCs w:val="16"/>
        </w:rPr>
        <w:t>Oncol</w:t>
      </w:r>
      <w:proofErr w:type="spellEnd"/>
      <w:r w:rsidR="009378A6">
        <w:rPr>
          <w:sz w:val="16"/>
          <w:szCs w:val="16"/>
        </w:rPr>
        <w:t>. 2014, 25(Suppl.3):</w:t>
      </w:r>
      <w:r w:rsidR="008F0973">
        <w:rPr>
          <w:sz w:val="16"/>
          <w:szCs w:val="16"/>
        </w:rPr>
        <w:t>iii40-8.</w:t>
      </w:r>
    </w:p>
    <w:p w:rsidR="00AA5FDA" w:rsidRPr="00154B00" w:rsidRDefault="00AA5FDA" w:rsidP="00530204">
      <w:pPr>
        <w:pStyle w:val="Heading2"/>
      </w:pPr>
      <w:r w:rsidRPr="00154B00">
        <w:lastRenderedPageBreak/>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7F2B5F" w:rsidRDefault="009F22BE" w:rsidP="00E357B9">
      <w:pPr>
        <w:ind w:left="426"/>
      </w:pPr>
      <w:r>
        <w:t>A patient suspected of having urothelial cancer may have presented in general practice, or been referred to a urologist for symptoms such as painless haematuria (seen in 80% of patients), dysuria, frequency or urgency.</w:t>
      </w:r>
      <w:r w:rsidR="00E47F15">
        <w:rPr>
          <w:vertAlign w:val="superscript"/>
        </w:rPr>
        <w:t>1</w:t>
      </w:r>
      <w:r>
        <w:t xml:space="preserve">  Symptoms of metastatic disease such as bone or flank pain are rare.  </w:t>
      </w:r>
      <w:r w:rsidR="009064C8">
        <w:t xml:space="preserve">Medical history, physical examination, and laboratory tests including full blood count and renal function will be carried out.  </w:t>
      </w:r>
      <w:r w:rsidR="00863CD7">
        <w:t>Bladder ultrasonography may also be completed.  A diagnosis of urothelial cancer is usually based on cystoscopy and evaluation of the resected tissue.</w:t>
      </w:r>
      <w:r w:rsidR="00863CD7">
        <w:rPr>
          <w:vertAlign w:val="superscript"/>
        </w:rPr>
        <w:t xml:space="preserve">1 </w:t>
      </w:r>
      <w:r w:rsidR="00863CD7">
        <w:t xml:space="preserve"> </w:t>
      </w:r>
      <w:r w:rsidR="009064C8">
        <w:t xml:space="preserve"> </w:t>
      </w:r>
      <w:proofErr w:type="gramStart"/>
      <w:r w:rsidR="005153DF">
        <w:t>The</w:t>
      </w:r>
      <w:proofErr w:type="gramEnd"/>
      <w:r w:rsidR="005153DF">
        <w:t xml:space="preserve"> </w:t>
      </w:r>
      <w:r w:rsidR="009064C8">
        <w:t xml:space="preserve">resected </w:t>
      </w:r>
      <w:r w:rsidR="005153DF">
        <w:t xml:space="preserve">biopsy material is </w:t>
      </w:r>
      <w:r w:rsidR="00982AF2">
        <w:t>forwarded to a p</w:t>
      </w:r>
      <w:r w:rsidR="00561CBB">
        <w:t xml:space="preserve">athology laboratory.  </w:t>
      </w:r>
      <w:r w:rsidR="009064C8">
        <w:t xml:space="preserve">Management of urothelial cancer is based on pathological findings from the biopsy, with attention to histology, grade and depth of invasion.  </w:t>
      </w:r>
      <w:r w:rsidR="00561CBB">
        <w:t xml:space="preserve">The correct staging </w:t>
      </w:r>
      <w:r w:rsidR="009064C8">
        <w:t xml:space="preserve">is determined using computerised tomography </w:t>
      </w:r>
      <w:r w:rsidR="007F2B5F">
        <w:t>(CT) or magnetic resonance imaging (MRI)</w:t>
      </w:r>
      <w:r w:rsidR="00561CBB">
        <w:t xml:space="preserve">.  </w:t>
      </w:r>
      <w:r w:rsidR="007F2B5F">
        <w:t>In patients at high risk of metastases additional tests may be undertaken, such as bone scans and chest imaging.</w:t>
      </w:r>
    </w:p>
    <w:p w:rsidR="007B5566" w:rsidRDefault="00561CBB" w:rsidP="00E357B9">
      <w:pPr>
        <w:ind w:left="426"/>
      </w:pPr>
      <w:r>
        <w:t xml:space="preserve">If the patient has Stage </w:t>
      </w:r>
      <w:r w:rsidR="005153DF">
        <w:t xml:space="preserve">IV disease </w:t>
      </w:r>
      <w:r>
        <w:t xml:space="preserve">at diagnosis </w:t>
      </w:r>
      <w:r w:rsidR="007F2B5F">
        <w:t xml:space="preserve">and is a suitable candidate for systemic treatment </w:t>
      </w:r>
      <w:r w:rsidR="005153DF">
        <w:t>then the most appropriate 1</w:t>
      </w:r>
      <w:r w:rsidR="005153DF" w:rsidRPr="00E54B85">
        <w:rPr>
          <w:vertAlign w:val="superscript"/>
        </w:rPr>
        <w:t>st</w:t>
      </w:r>
      <w:r w:rsidR="005153DF">
        <w:t xml:space="preserve"> line systemic treatment needs to be determined.  </w:t>
      </w:r>
      <w:r w:rsidR="007B5566">
        <w:t>These patients are proposed to be eligible for PD-L1 testing to determine the most appropriate 1</w:t>
      </w:r>
      <w:r w:rsidR="007B5566" w:rsidRPr="007B5566">
        <w:rPr>
          <w:vertAlign w:val="superscript"/>
        </w:rPr>
        <w:t>st</w:t>
      </w:r>
      <w:r w:rsidR="007B5566">
        <w:t xml:space="preserve"> line treatment.</w:t>
      </w:r>
    </w:p>
    <w:p w:rsidR="00AA5FDA" w:rsidRDefault="007B5566" w:rsidP="00E357B9">
      <w:pPr>
        <w:ind w:left="426"/>
      </w:pPr>
      <w:r>
        <w:rPr>
          <w:szCs w:val="20"/>
        </w:rPr>
        <w:t xml:space="preserve">The majority of patients will be diagnosed with earlier stage disease and may </w:t>
      </w:r>
      <w:r>
        <w:t>undergo other potentially curative treatment options including tumour resection, cystectomy, neo-adjuvant or adjuvant chemotherapy or radiotherapy.  Approximately 50% of these patients will eventually relapse to Stage IV disease.  At this point</w:t>
      </w:r>
      <w:r w:rsidR="004E5AD0">
        <w:t>, in patients who are suitable candidates for systemic anticancer treatment,</w:t>
      </w:r>
      <w:r>
        <w:t xml:space="preserve"> it is proposed an additional biopsy would be required to provide </w:t>
      </w:r>
      <w:r w:rsidR="004E5AD0">
        <w:t xml:space="preserve">tissue for PD-L1 testing in order to </w:t>
      </w:r>
      <w:r w:rsidR="009F3751">
        <w:t>determine the most appropriate first</w:t>
      </w:r>
      <w:r w:rsidR="004E5AD0">
        <w:t xml:space="preserve"> line treatment.  Use of archived tissue samples from the time of urothelial cancer diagnosis are unlikely to be suitable in most cases as subsequent treatments such as radiotherapy may impact PD-L1 status.</w:t>
      </w:r>
    </w:p>
    <w:p w:rsidR="004E5AD0" w:rsidRPr="004E5AD0" w:rsidRDefault="004E5AD0" w:rsidP="004E5AD0">
      <w:pPr>
        <w:ind w:left="360"/>
        <w:rPr>
          <w:sz w:val="16"/>
          <w:szCs w:val="16"/>
        </w:rPr>
      </w:pPr>
      <w:proofErr w:type="gramStart"/>
      <w:r>
        <w:rPr>
          <w:szCs w:val="20"/>
          <w:vertAlign w:val="superscript"/>
        </w:rPr>
        <w:t>1</w:t>
      </w:r>
      <w:r>
        <w:rPr>
          <w:sz w:val="16"/>
          <w:szCs w:val="16"/>
        </w:rPr>
        <w:t xml:space="preserve">Bellmunt J, </w:t>
      </w:r>
      <w:proofErr w:type="spellStart"/>
      <w:r>
        <w:rPr>
          <w:sz w:val="16"/>
          <w:szCs w:val="16"/>
        </w:rPr>
        <w:t>Orsola</w:t>
      </w:r>
      <w:proofErr w:type="spellEnd"/>
      <w:r>
        <w:rPr>
          <w:sz w:val="16"/>
          <w:szCs w:val="16"/>
        </w:rPr>
        <w:t xml:space="preserve"> A, </w:t>
      </w:r>
      <w:proofErr w:type="spellStart"/>
      <w:r>
        <w:rPr>
          <w:sz w:val="16"/>
          <w:szCs w:val="16"/>
        </w:rPr>
        <w:t>Leow</w:t>
      </w:r>
      <w:proofErr w:type="spellEnd"/>
      <w:r>
        <w:rPr>
          <w:sz w:val="16"/>
          <w:szCs w:val="16"/>
        </w:rPr>
        <w:t xml:space="preserve"> JJ, et al.</w:t>
      </w:r>
      <w:proofErr w:type="gramEnd"/>
      <w:r>
        <w:rPr>
          <w:sz w:val="16"/>
          <w:szCs w:val="16"/>
        </w:rPr>
        <w:t xml:space="preserve">  Bladder cancer: ESMO Practice Guidelines for diagnosis, treatment and follow-up.  Ann. </w:t>
      </w:r>
      <w:proofErr w:type="spellStart"/>
      <w:r>
        <w:rPr>
          <w:sz w:val="16"/>
          <w:szCs w:val="16"/>
        </w:rPr>
        <w:t>Oncol</w:t>
      </w:r>
      <w:proofErr w:type="spellEnd"/>
      <w:r>
        <w:rPr>
          <w:sz w:val="16"/>
          <w:szCs w:val="16"/>
        </w:rPr>
        <w:t>. 2014, 25(Suppl.3):iii40-8.</w:t>
      </w:r>
    </w:p>
    <w:p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4E5AD0" w:rsidRDefault="009F3D7E" w:rsidP="00274F91">
      <w:pPr>
        <w:ind w:left="360"/>
      </w:pPr>
      <w:r>
        <w:rPr>
          <w:szCs w:val="20"/>
        </w:rPr>
        <w:t xml:space="preserve">A proportion (approximately 30%) of urothelial cancer patients will be diagnosed with Stage IV disease.  The majority of patients will be diagnosed with earlier stage disease and may </w:t>
      </w:r>
      <w:r>
        <w:t xml:space="preserve">undergo other potentially curative treatment options including tumour resection, cystectomy, neo-adjuvant or adjuvant chemotherapy or radiotherapy.  Approximately 50% of these patients will eventually relapse to Stage IV disease.  The proposed medical service would be delivered for patients diagnosed with, </w:t>
      </w:r>
      <w:r w:rsidR="009F3751">
        <w:t>or progressing</w:t>
      </w:r>
      <w:r>
        <w:t xml:space="preserve"> to, Stage IV urothelial cancer, </w:t>
      </w:r>
      <w:r w:rsidR="008C452A">
        <w:t xml:space="preserve">who are eligible candidates for </w:t>
      </w:r>
      <w:r w:rsidR="00274F91">
        <w:t xml:space="preserve">systemic anticancer treatment </w:t>
      </w:r>
      <w:r>
        <w:t xml:space="preserve">prior to the selection </w:t>
      </w:r>
      <w:r w:rsidR="008C452A">
        <w:t>of 1</w:t>
      </w:r>
      <w:r w:rsidR="008C452A" w:rsidRPr="008C452A">
        <w:rPr>
          <w:vertAlign w:val="superscript"/>
        </w:rPr>
        <w:t>st</w:t>
      </w:r>
      <w:r w:rsidR="008C452A">
        <w:t xml:space="preserve"> </w:t>
      </w:r>
      <w:r w:rsidR="00274F91">
        <w:t>line therapy</w:t>
      </w:r>
      <w:r w:rsidR="008C452A">
        <w:t xml:space="preserve">. </w:t>
      </w:r>
    </w:p>
    <w:p w:rsidR="008C452A" w:rsidRPr="00274F91" w:rsidRDefault="009F3D7E" w:rsidP="00274F91">
      <w:pPr>
        <w:ind w:left="360"/>
        <w:rPr>
          <w:szCs w:val="20"/>
        </w:rPr>
      </w:pPr>
      <w:r>
        <w:t>Please refer to the Microsoft Visio Attachment to this application, “1LUC Algorithms”, and “Current” drawing for an editable version of the flowchart below.</w:t>
      </w:r>
    </w:p>
    <w:p w:rsidR="008C452A" w:rsidRPr="008C452A" w:rsidRDefault="00FF1855" w:rsidP="008C452A">
      <w:pPr>
        <w:ind w:left="357"/>
      </w:pPr>
      <w:r>
        <w:object w:dxaOrig="10069" w:dyaOrig="7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iagram showing current clinical management pathway before patients would be eligible for the proposed medical service" style="width:450.75pt;height:314.25pt;mso-position-horizontal:absolute" o:ole="">
            <v:imagedata r:id="rId17" o:title=""/>
          </v:shape>
          <o:OLEObject Type="Embed" ProgID="Visio.Drawing.15" ShapeID="_x0000_i1029" DrawAspect="Content" ObjectID="_1568551002" r:id="rId18"/>
        </w:object>
      </w:r>
    </w:p>
    <w:p w:rsidR="00274F91" w:rsidRDefault="00274F91" w:rsidP="008C452A">
      <w:pPr>
        <w:ind w:left="426"/>
      </w:pPr>
    </w:p>
    <w:p w:rsidR="008C452A" w:rsidRDefault="008C452A" w:rsidP="008C452A">
      <w:pPr>
        <w:ind w:left="426"/>
      </w:pPr>
      <w:r>
        <w:br w:type="page"/>
      </w:r>
    </w:p>
    <w:p w:rsidR="003A3944" w:rsidRPr="008C452A" w:rsidRDefault="003A3944" w:rsidP="008C452A">
      <w:pPr>
        <w:ind w:left="426"/>
        <w:rPr>
          <w:szCs w:val="20"/>
        </w:rPr>
      </w:pPr>
    </w:p>
    <w:p w:rsidR="002A50FD" w:rsidRPr="00881F93" w:rsidRDefault="005C3AE7" w:rsidP="005C3AE7">
      <w:pPr>
        <w:pStyle w:val="Subtitle"/>
      </w:pPr>
      <w:r>
        <w:t xml:space="preserve">PART 6b – </w:t>
      </w:r>
      <w:r w:rsidR="002A50FD" w:rsidRPr="00881F93">
        <w:t>INFORMATION ABOUT THE INTERVENTION</w:t>
      </w:r>
    </w:p>
    <w:p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244BA7" w:rsidRDefault="00244BA7" w:rsidP="00F44F44">
      <w:pPr>
        <w:ind w:left="360"/>
        <w:rPr>
          <w:i/>
        </w:rPr>
      </w:pPr>
      <w:r>
        <w:rPr>
          <w:i/>
        </w:rPr>
        <w:t>Targeting PD-L1</w:t>
      </w:r>
    </w:p>
    <w:p w:rsidR="00274F91" w:rsidRDefault="00244BA7" w:rsidP="00274F91">
      <w:pPr>
        <w:ind w:left="360"/>
      </w:pPr>
      <w:r w:rsidRPr="00244BA7">
        <w:t>PD-L1 is expressed in a broad range of cancers with a high frequency, up to 88% in some types of cancers.</w:t>
      </w:r>
      <w:r w:rsidR="00806344">
        <w:t xml:space="preserve"> </w:t>
      </w:r>
      <w:r w:rsidRPr="00244BA7">
        <w:t xml:space="preserve"> </w:t>
      </w:r>
      <w:r w:rsidR="00274F91">
        <w:t xml:space="preserve">Bladder cancer is a highly immunogenic tumour </w:t>
      </w:r>
      <w:proofErr w:type="gramStart"/>
      <w:r w:rsidR="00274F91">
        <w:t>type,</w:t>
      </w:r>
      <w:proofErr w:type="gramEnd"/>
      <w:r w:rsidR="00274F91">
        <w:t xml:space="preserve"> consequently immunotherapy treatments for bladder cancer may alter the disease process.</w:t>
      </w:r>
    </w:p>
    <w:p w:rsidR="002A50FD" w:rsidRPr="008D4952" w:rsidRDefault="008B2B46" w:rsidP="00F44F44">
      <w:pPr>
        <w:ind w:firstLine="360"/>
        <w:rPr>
          <w:i/>
        </w:rPr>
      </w:pPr>
      <w:r w:rsidRPr="008D4952">
        <w:rPr>
          <w:i/>
        </w:rPr>
        <w:t>PD-L1 testing</w:t>
      </w:r>
    </w:p>
    <w:p w:rsidR="008B2B46" w:rsidRDefault="00E6128A" w:rsidP="00E357B9">
      <w:pPr>
        <w:ind w:left="426"/>
      </w:pPr>
      <w:r>
        <w:t xml:space="preserve">The </w:t>
      </w:r>
      <w:r w:rsidR="009F3751">
        <w:t xml:space="preserve">level of PD-L1 </w:t>
      </w:r>
      <w:r>
        <w:t xml:space="preserve">expression can be assessed using </w:t>
      </w:r>
      <w:proofErr w:type="spellStart"/>
      <w:r>
        <w:t>immunohistochemical</w:t>
      </w:r>
      <w:proofErr w:type="spellEnd"/>
      <w:r>
        <w:t xml:space="preserve"> (IHC) testing with antibodies that bind specifically to the PD-L1 protein.  </w:t>
      </w:r>
    </w:p>
    <w:p w:rsidR="00ED5BF3" w:rsidRDefault="00ED5BF3" w:rsidP="00E357B9">
      <w:pPr>
        <w:ind w:left="426"/>
      </w:pPr>
      <w:r>
        <w:t xml:space="preserve">Tumour biopsy material needs to be sectioned and dried before the IHC staining process.  The IHC staining needs to be </w:t>
      </w:r>
      <w:proofErr w:type="gramStart"/>
      <w:r w:rsidR="00B421C4">
        <w:t>conducted,</w:t>
      </w:r>
      <w:proofErr w:type="gramEnd"/>
      <w:r w:rsidR="00B421C4">
        <w:t xml:space="preserve"> </w:t>
      </w:r>
      <w:r>
        <w:t xml:space="preserve">interpreted and reported by a professional </w:t>
      </w:r>
      <w:r w:rsidR="009F3751">
        <w:t xml:space="preserve">anatomical </w:t>
      </w:r>
      <w:r>
        <w:t>pathologist.</w:t>
      </w:r>
      <w:r w:rsidR="00B421C4">
        <w:t xml:space="preserve">  The test results can then be used to determine 1</w:t>
      </w:r>
      <w:r w:rsidR="00B421C4" w:rsidRPr="00B421C4">
        <w:rPr>
          <w:vertAlign w:val="superscript"/>
        </w:rPr>
        <w:t>st</w:t>
      </w:r>
      <w:r w:rsidR="00B421C4">
        <w:t xml:space="preserve"> line treatment selection.</w:t>
      </w:r>
    </w:p>
    <w:p w:rsidR="002960B8" w:rsidRDefault="00244BA7" w:rsidP="002960B8">
      <w:pPr>
        <w:ind w:left="426"/>
      </w:pPr>
      <w:r>
        <w:t xml:space="preserve">The evidentiary standard in the AstraZeneca </w:t>
      </w:r>
      <w:r w:rsidR="00F44F44">
        <w:t>urothelial cancer DANUBE clinical trial</w:t>
      </w:r>
      <w:r w:rsidR="008D093B">
        <w:t xml:space="preserve"> </w:t>
      </w:r>
      <w:r>
        <w:t>is the Roche/</w:t>
      </w:r>
      <w:proofErr w:type="spellStart"/>
      <w:r w:rsidR="00AB1DEF" w:rsidRPr="00AB1DEF">
        <w:t>Ventana</w:t>
      </w:r>
      <w:proofErr w:type="spellEnd"/>
      <w:r w:rsidR="00AB1DEF" w:rsidRPr="00AB1DEF">
        <w:t xml:space="preserve"> SP263 PD-L1 IHC assay</w:t>
      </w:r>
      <w:r>
        <w:t xml:space="preserve">.  </w:t>
      </w:r>
      <w:r w:rsidR="002960B8">
        <w:t>Roche/</w:t>
      </w:r>
      <w:proofErr w:type="spellStart"/>
      <w:r w:rsidR="002960B8">
        <w:t>Ventana</w:t>
      </w:r>
      <w:proofErr w:type="spellEnd"/>
      <w:r w:rsidR="002960B8">
        <w:t xml:space="preserve"> SP263 PD-L1 assay is a sensitive, specific and robust IHC assay for the detection of PD-L1 protein using a rabbit monoclonal primary antibody.</w:t>
      </w:r>
      <w:r w:rsidR="002960B8" w:rsidRPr="002960B8">
        <w:t xml:space="preserve"> </w:t>
      </w:r>
      <w:r w:rsidR="002960B8">
        <w:t>This assay has the following specifications:</w:t>
      </w:r>
    </w:p>
    <w:p w:rsidR="002960B8" w:rsidRDefault="002960B8" w:rsidP="002960B8">
      <w:pPr>
        <w:ind w:firstLine="426"/>
      </w:pPr>
      <w:r>
        <w:t>Tissue: formalin-fixed, paraffin-embedded tissue</w:t>
      </w:r>
    </w:p>
    <w:p w:rsidR="002960B8" w:rsidRDefault="002960B8" w:rsidP="002960B8">
      <w:pPr>
        <w:ind w:left="426"/>
      </w:pPr>
      <w:r>
        <w:t xml:space="preserve">Reagents: SP263 (rabbit monoclonal primary antibody); </w:t>
      </w:r>
      <w:proofErr w:type="spellStart"/>
      <w:r>
        <w:t>OptiView</w:t>
      </w:r>
      <w:proofErr w:type="spellEnd"/>
      <w:r>
        <w:t xml:space="preserve"> DAB IHC Detection Kit (indirect, biotin-free system for detection of the rabbit primary antibody)</w:t>
      </w:r>
    </w:p>
    <w:p w:rsidR="00FC54A1" w:rsidRDefault="002960B8" w:rsidP="002960B8">
      <w:pPr>
        <w:ind w:left="426"/>
      </w:pPr>
      <w:r>
        <w:t xml:space="preserve">Instrument/software: </w:t>
      </w:r>
      <w:proofErr w:type="spellStart"/>
      <w:r>
        <w:t>BenchMark</w:t>
      </w:r>
      <w:proofErr w:type="spellEnd"/>
      <w:r>
        <w:t xml:space="preserve"> ULTRA IHC automated slide </w:t>
      </w:r>
      <w:proofErr w:type="spellStart"/>
      <w:r>
        <w:t>stainer</w:t>
      </w:r>
      <w:proofErr w:type="spellEnd"/>
    </w:p>
    <w:p w:rsidR="00F76716" w:rsidRDefault="00F76716" w:rsidP="00E357B9">
      <w:pPr>
        <w:ind w:left="426"/>
      </w:pPr>
      <w:r>
        <w:t>The submission will includ</w:t>
      </w:r>
      <w:r w:rsidR="00F44F44">
        <w:t>e comparative data on the DANUBE</w:t>
      </w:r>
      <w:r>
        <w:t xml:space="preserve"> trial based PD-L1 testing </w:t>
      </w:r>
      <w:r w:rsidR="00AD27CE">
        <w:t>method (</w:t>
      </w:r>
      <w:r w:rsidR="007D30D4">
        <w:t>Roche/</w:t>
      </w:r>
      <w:proofErr w:type="spellStart"/>
      <w:r w:rsidR="007D30D4">
        <w:t>Ventana</w:t>
      </w:r>
      <w:proofErr w:type="spellEnd"/>
      <w:r w:rsidR="007D30D4">
        <w:t xml:space="preserve"> </w:t>
      </w:r>
      <w:r w:rsidR="007D30D4" w:rsidRPr="00AB1DEF">
        <w:t>SP263 PD-L1 IHC assay</w:t>
      </w:r>
      <w:r w:rsidR="007D30D4">
        <w:t xml:space="preserve"> to be registered as a Class 3 IVD</w:t>
      </w:r>
      <w:r w:rsidR="008D093B">
        <w:t xml:space="preserve"> in Australia</w:t>
      </w:r>
      <w:r w:rsidR="00AD27CE">
        <w:t xml:space="preserve">), other commercial PD-L1 test kits available in Australia (such as </w:t>
      </w:r>
      <w:r w:rsidR="007D30D4">
        <w:t>the DAKO/Agilent Technologies</w:t>
      </w:r>
      <w:r w:rsidR="008D093B">
        <w:t xml:space="preserve"> 22C3</w:t>
      </w:r>
      <w:r w:rsidR="007D30D4">
        <w:t xml:space="preserve"> </w:t>
      </w:r>
      <w:r w:rsidR="008D093B">
        <w:t xml:space="preserve">PD-L1 </w:t>
      </w:r>
      <w:proofErr w:type="spellStart"/>
      <w:r w:rsidR="008D093B" w:rsidRPr="008D093B">
        <w:t>pharmDx</w:t>
      </w:r>
      <w:proofErr w:type="spellEnd"/>
      <w:r w:rsidR="008D093B" w:rsidRPr="008D093B">
        <w:t xml:space="preserve"> </w:t>
      </w:r>
      <w:r w:rsidR="008D093B">
        <w:t xml:space="preserve">assay Class 3 </w:t>
      </w:r>
      <w:r w:rsidR="007D30D4">
        <w:t>IVD)</w:t>
      </w:r>
      <w:r w:rsidR="00B421C4">
        <w:t>, and other published PD-L1 test methods</w:t>
      </w:r>
      <w:r w:rsidR="00F44F44">
        <w:t xml:space="preserve"> in urothelial cancer</w:t>
      </w:r>
      <w:r w:rsidR="007D30D4">
        <w:t>.</w:t>
      </w:r>
    </w:p>
    <w:p w:rsidR="008B2B46" w:rsidRPr="00BF42C4" w:rsidRDefault="008B2B46" w:rsidP="00E357B9">
      <w:pPr>
        <w:ind w:left="426"/>
        <w:rPr>
          <w:i/>
        </w:rPr>
      </w:pPr>
      <w:proofErr w:type="spellStart"/>
      <w:r w:rsidRPr="00BF42C4">
        <w:rPr>
          <w:i/>
        </w:rPr>
        <w:t>Durvalumab</w:t>
      </w:r>
      <w:proofErr w:type="spellEnd"/>
    </w:p>
    <w:p w:rsidR="00BF42C4" w:rsidRDefault="009727D9" w:rsidP="00E357B9">
      <w:pPr>
        <w:ind w:left="426"/>
      </w:pPr>
      <w:proofErr w:type="spellStart"/>
      <w:r>
        <w:t>Durvalumab</w:t>
      </w:r>
      <w:proofErr w:type="spellEnd"/>
      <w:r>
        <w:t xml:space="preserve"> (</w:t>
      </w:r>
      <w:r w:rsidR="00BF42C4" w:rsidRPr="00BF42C4">
        <w:t xml:space="preserve">MEDI4736) is a human </w:t>
      </w:r>
      <w:proofErr w:type="spellStart"/>
      <w:r w:rsidR="00BF42C4" w:rsidRPr="00BF42C4">
        <w:t>mAb</w:t>
      </w:r>
      <w:proofErr w:type="spellEnd"/>
      <w:r w:rsidR="00BF42C4" w:rsidRPr="00BF42C4">
        <w:t xml:space="preserve"> of the IgG1 kappa subclass that inhibits binding of programmed cell death ligand 1 (PD-L1) to programmed cell death receptor 1 (PD-1). </w:t>
      </w:r>
      <w:r w:rsidR="00BF42C4">
        <w:t xml:space="preserve"> </w:t>
      </w:r>
      <w:proofErr w:type="spellStart"/>
      <w:r w:rsidR="00BF42C4" w:rsidRPr="00BF42C4">
        <w:t>Durvalumab</w:t>
      </w:r>
      <w:proofErr w:type="spellEnd"/>
      <w:r w:rsidR="00BF42C4" w:rsidRPr="00BF42C4">
        <w:t xml:space="preserve"> specifically binds human PD-L1.  PD-L1 is a member of the B7 family of transmembrane proteins which delivers inhibitory signals to T lymphocytes. </w:t>
      </w:r>
      <w:r w:rsidR="00BF42C4">
        <w:t xml:space="preserve"> </w:t>
      </w:r>
      <w:r w:rsidR="00BF42C4" w:rsidRPr="00BF42C4">
        <w:t>It is expressed on various immune cell types and is frequently detected on a broad range of cancer cells.  PD-L1 aids cancers in evading detection and elimination by the immune system by repressing the anti-tumo</w:t>
      </w:r>
      <w:r w:rsidR="00BF42C4">
        <w:t>u</w:t>
      </w:r>
      <w:r w:rsidR="00BF42C4" w:rsidRPr="00BF42C4">
        <w:t xml:space="preserve">r T cell response.  </w:t>
      </w:r>
      <w:proofErr w:type="spellStart"/>
      <w:r w:rsidR="00BF42C4" w:rsidRPr="00BF42C4">
        <w:t>Durvalumab</w:t>
      </w:r>
      <w:proofErr w:type="spellEnd"/>
      <w:r w:rsidR="00BF42C4" w:rsidRPr="00BF42C4">
        <w:t xml:space="preserve"> prevents PD-L1 from interacting with its receptors, thus relieving its immunosuppressive effects and enhancing the cytotoxic activity of anti</w:t>
      </w:r>
      <w:r w:rsidR="009149F6">
        <w:t>-</w:t>
      </w:r>
      <w:r w:rsidR="00BF42C4" w:rsidRPr="00BF42C4">
        <w:t xml:space="preserve">tumour T cells.  </w:t>
      </w:r>
      <w:r w:rsidR="009C1BB6" w:rsidRPr="009C1BB6">
        <w:t>On May 1, 2017, the U.S. Food and Drug Administration granted accel</w:t>
      </w:r>
      <w:r w:rsidR="009C1BB6">
        <w:t xml:space="preserve">erated approval to </w:t>
      </w:r>
      <w:proofErr w:type="spellStart"/>
      <w:r w:rsidR="009C1BB6">
        <w:t>durvalumab</w:t>
      </w:r>
      <w:proofErr w:type="spellEnd"/>
      <w:r w:rsidR="009C1BB6">
        <w:t xml:space="preserve"> </w:t>
      </w:r>
      <w:r w:rsidR="009C1BB6" w:rsidRPr="009C1BB6">
        <w:t>for the treatment of patients with locally advanced or metastatic urothelial carcinoma who have disease progression during or following platinum-containing chemotherapy or who have disease progression within 12 months of neoadjuvant or adjuvant treatment with platinum-containing chemotherapy.</w:t>
      </w:r>
    </w:p>
    <w:p w:rsidR="008B2B46" w:rsidRPr="00BF42C4" w:rsidRDefault="008B2B46" w:rsidP="00E357B9">
      <w:pPr>
        <w:ind w:left="426"/>
        <w:rPr>
          <w:i/>
        </w:rPr>
      </w:pPr>
      <w:proofErr w:type="spellStart"/>
      <w:r w:rsidRPr="00BF42C4">
        <w:rPr>
          <w:i/>
        </w:rPr>
        <w:t>Tremelimumab</w:t>
      </w:r>
      <w:proofErr w:type="spellEnd"/>
    </w:p>
    <w:p w:rsidR="008B2B46" w:rsidRDefault="00CD531D" w:rsidP="00E357B9">
      <w:pPr>
        <w:ind w:left="426"/>
        <w:rPr>
          <w:szCs w:val="20"/>
        </w:rPr>
      </w:pPr>
      <w:proofErr w:type="spellStart"/>
      <w:r w:rsidRPr="00CD531D">
        <w:rPr>
          <w:szCs w:val="20"/>
        </w:rPr>
        <w:t>Tremelimumab</w:t>
      </w:r>
      <w:proofErr w:type="spellEnd"/>
      <w:r w:rsidRPr="00CD531D">
        <w:rPr>
          <w:szCs w:val="20"/>
        </w:rPr>
        <w:t xml:space="preserve"> (MEDI1123) is a human </w:t>
      </w:r>
      <w:proofErr w:type="spellStart"/>
      <w:r w:rsidRPr="00CD531D">
        <w:rPr>
          <w:szCs w:val="20"/>
        </w:rPr>
        <w:t>mAb</w:t>
      </w:r>
      <w:proofErr w:type="spellEnd"/>
      <w:r w:rsidRPr="00CD531D">
        <w:rPr>
          <w:szCs w:val="20"/>
        </w:rPr>
        <w:t xml:space="preserve"> of the IgG2 kappa subclass which specifically binds to cytotoxic T-lymphocyte antigen -4 (CTLA-4), a cell surface receptor that is expressed exclusively on activated T cells. </w:t>
      </w:r>
      <w:r w:rsidR="009149F6">
        <w:rPr>
          <w:szCs w:val="20"/>
        </w:rPr>
        <w:t xml:space="preserve"> </w:t>
      </w:r>
      <w:proofErr w:type="gramStart"/>
      <w:r w:rsidRPr="00CD531D">
        <w:rPr>
          <w:szCs w:val="20"/>
        </w:rPr>
        <w:t>Upon binding to one of the B7 ligands (CD86 or CD80), CTLA-4 triggers signals that inhibit T cell activity, primarily during the early stages of T cell activation.</w:t>
      </w:r>
      <w:proofErr w:type="gramEnd"/>
      <w:r w:rsidRPr="00CD531D">
        <w:rPr>
          <w:szCs w:val="20"/>
        </w:rPr>
        <w:t xml:space="preserve"> </w:t>
      </w:r>
      <w:r w:rsidR="009149F6">
        <w:rPr>
          <w:szCs w:val="20"/>
        </w:rPr>
        <w:t xml:space="preserve"> </w:t>
      </w:r>
      <w:proofErr w:type="spellStart"/>
      <w:r w:rsidRPr="00CD531D">
        <w:rPr>
          <w:szCs w:val="20"/>
        </w:rPr>
        <w:t>Tremelimumab</w:t>
      </w:r>
      <w:proofErr w:type="spellEnd"/>
      <w:r w:rsidRPr="00CD531D">
        <w:rPr>
          <w:szCs w:val="20"/>
        </w:rPr>
        <w:t xml:space="preserve"> blocks the CTLA-4 binding to CD80 and CD86, thereby removing the inhibitory signal induced </w:t>
      </w:r>
      <w:r w:rsidR="008D4952">
        <w:rPr>
          <w:szCs w:val="20"/>
        </w:rPr>
        <w:t>by CTLA-4,</w:t>
      </w:r>
      <w:r w:rsidRPr="00CD531D">
        <w:rPr>
          <w:szCs w:val="20"/>
        </w:rPr>
        <w:t xml:space="preserve"> prolonging T cell activation and proliferation and enhancing T cell anti</w:t>
      </w:r>
      <w:r w:rsidR="008D4952">
        <w:rPr>
          <w:szCs w:val="20"/>
        </w:rPr>
        <w:t>-</w:t>
      </w:r>
      <w:r w:rsidRPr="00CD531D">
        <w:rPr>
          <w:szCs w:val="20"/>
        </w:rPr>
        <w:t>tumour activity.</w:t>
      </w:r>
    </w:p>
    <w:p w:rsidR="00CD531D" w:rsidRPr="00CD531D" w:rsidRDefault="00CD531D" w:rsidP="009C379D">
      <w:pPr>
        <w:ind w:firstLine="426"/>
        <w:rPr>
          <w:i/>
          <w:szCs w:val="20"/>
        </w:rPr>
      </w:pPr>
      <w:proofErr w:type="spellStart"/>
      <w:r w:rsidRPr="00CD531D">
        <w:rPr>
          <w:i/>
          <w:szCs w:val="20"/>
        </w:rPr>
        <w:t>Durvalumab</w:t>
      </w:r>
      <w:proofErr w:type="spellEnd"/>
      <w:r w:rsidRPr="00CD531D">
        <w:rPr>
          <w:i/>
          <w:szCs w:val="20"/>
        </w:rPr>
        <w:t>/</w:t>
      </w:r>
      <w:proofErr w:type="spellStart"/>
      <w:r w:rsidRPr="00CD531D">
        <w:rPr>
          <w:i/>
          <w:szCs w:val="20"/>
        </w:rPr>
        <w:t>tremelimumab</w:t>
      </w:r>
      <w:proofErr w:type="spellEnd"/>
    </w:p>
    <w:p w:rsidR="00CD531D" w:rsidRDefault="00CD531D" w:rsidP="007531EA">
      <w:pPr>
        <w:ind w:left="426"/>
        <w:rPr>
          <w:szCs w:val="20"/>
        </w:rPr>
      </w:pPr>
      <w:r w:rsidRPr="00CD531D">
        <w:rPr>
          <w:szCs w:val="20"/>
        </w:rPr>
        <w:t xml:space="preserve">Targeting both the PD-1 and CTLA-4 pathways may have additive or synergistic activity because the mechanisms of action of the PD-1 and CTLA-4 pathways are non-redundant: whereas PD-1 contributes to </w:t>
      </w:r>
      <w:r w:rsidRPr="00CD531D">
        <w:rPr>
          <w:szCs w:val="20"/>
        </w:rPr>
        <w:lastRenderedPageBreak/>
        <w:t xml:space="preserve">T-cell exhaustion in peripheral tissues, CTLA-4 inhibits at earlier points in </w:t>
      </w:r>
      <w:r w:rsidR="009C379D">
        <w:rPr>
          <w:szCs w:val="20"/>
        </w:rPr>
        <w:t xml:space="preserve">T-cell </w:t>
      </w:r>
      <w:proofErr w:type="gramStart"/>
      <w:r w:rsidR="009C379D">
        <w:rPr>
          <w:szCs w:val="20"/>
        </w:rPr>
        <w:t>activation</w:t>
      </w:r>
      <w:r w:rsidRPr="00CD531D">
        <w:rPr>
          <w:szCs w:val="20"/>
        </w:rPr>
        <w:t>.</w:t>
      </w:r>
      <w:r w:rsidR="009C379D">
        <w:rPr>
          <w:szCs w:val="20"/>
          <w:vertAlign w:val="superscript"/>
        </w:rPr>
        <w:t>1</w:t>
      </w:r>
      <w:r w:rsidRPr="00CD531D">
        <w:rPr>
          <w:szCs w:val="20"/>
        </w:rPr>
        <w:t xml:space="preserve"> </w:t>
      </w:r>
      <w:r w:rsidR="009C379D">
        <w:rPr>
          <w:szCs w:val="20"/>
        </w:rPr>
        <w:t xml:space="preserve"> </w:t>
      </w:r>
      <w:r w:rsidRPr="00CD531D">
        <w:rPr>
          <w:szCs w:val="20"/>
        </w:rPr>
        <w:t>In</w:t>
      </w:r>
      <w:proofErr w:type="gramEnd"/>
      <w:r w:rsidRPr="00CD531D">
        <w:rPr>
          <w:szCs w:val="20"/>
        </w:rPr>
        <w:t xml:space="preserve"> addition, CTLA-4 antagonists have been shown to upregulate PD-1 and vice versa, further strengthening the rationale for combination therapy.</w:t>
      </w:r>
    </w:p>
    <w:p w:rsidR="009C379D" w:rsidRDefault="009C379D" w:rsidP="007513E7">
      <w:pPr>
        <w:ind w:left="426"/>
      </w:pPr>
      <w:r>
        <w:t xml:space="preserve">This application is a </w:t>
      </w:r>
      <w:r w:rsidRPr="0096525B">
        <w:rPr>
          <w:b/>
        </w:rPr>
        <w:t>co-dependent</w:t>
      </w:r>
      <w:r>
        <w:t xml:space="preserve"> request for MBS listing of PD-L1 testing to determine wh</w:t>
      </w:r>
      <w:r w:rsidR="00A27EA9">
        <w:t xml:space="preserve">ich </w:t>
      </w:r>
      <w:proofErr w:type="spellStart"/>
      <w:r w:rsidR="00A27EA9">
        <w:t>unresectable</w:t>
      </w:r>
      <w:proofErr w:type="spellEnd"/>
      <w:r w:rsidR="00A27EA9">
        <w:t xml:space="preserve"> Stage IV urothelial cancer</w:t>
      </w:r>
      <w:r>
        <w:t xml:space="preserve"> patients have a high level of PD-L1 gene expression (defined as </w:t>
      </w:r>
      <w:r w:rsidR="00A27EA9">
        <w:t xml:space="preserve">tumour cells PD-L1 ≥25% or immune cells </w:t>
      </w:r>
      <w:r>
        <w:t>PD-L1 ≥25%)</w:t>
      </w:r>
      <w:r w:rsidR="00A27EA9">
        <w:t>*</w:t>
      </w:r>
      <w:r>
        <w:t xml:space="preserve"> in order to qualify for requested PBS access to 1</w:t>
      </w:r>
      <w:r w:rsidRPr="00024E50">
        <w:rPr>
          <w:vertAlign w:val="superscript"/>
        </w:rPr>
        <w:t>st</w:t>
      </w:r>
      <w:r>
        <w:t xml:space="preserve"> line </w:t>
      </w:r>
      <w:proofErr w:type="spellStart"/>
      <w:r>
        <w:t>durvalumab</w:t>
      </w:r>
      <w:proofErr w:type="spellEnd"/>
      <w:r>
        <w:t xml:space="preserve"> monotherapy treatment, and whi</w:t>
      </w:r>
      <w:r w:rsidR="00A27EA9">
        <w:t xml:space="preserve">ch </w:t>
      </w:r>
      <w:proofErr w:type="spellStart"/>
      <w:r w:rsidR="00A27EA9">
        <w:t>unresectable</w:t>
      </w:r>
      <w:proofErr w:type="spellEnd"/>
      <w:r w:rsidR="00A27EA9">
        <w:t xml:space="preserve"> Stage IV urothelial cancer </w:t>
      </w:r>
      <w:r>
        <w:t xml:space="preserve">patients have a low level of PD-L1 gene expression (defined as </w:t>
      </w:r>
      <w:r w:rsidR="00A27EA9">
        <w:t xml:space="preserve">tumour cells </w:t>
      </w:r>
      <w:r w:rsidR="00452027">
        <w:t xml:space="preserve">PD-L1 &lt;25% </w:t>
      </w:r>
      <w:r w:rsidR="00A27EA9">
        <w:t xml:space="preserve">or immune cells </w:t>
      </w:r>
      <w:r>
        <w:t>PD-L1 &lt;25%)</w:t>
      </w:r>
      <w:r w:rsidR="00A27EA9">
        <w:t>*</w:t>
      </w:r>
      <w:r>
        <w:t xml:space="preserve"> in order to qualify for requested PBS access to 1</w:t>
      </w:r>
      <w:r w:rsidRPr="00024E50">
        <w:rPr>
          <w:vertAlign w:val="superscript"/>
        </w:rPr>
        <w:t>st</w:t>
      </w:r>
      <w:r>
        <w:t xml:space="preserve"> line </w:t>
      </w:r>
      <w:proofErr w:type="spellStart"/>
      <w:r>
        <w:t>durvalumab</w:t>
      </w:r>
      <w:proofErr w:type="spellEnd"/>
      <w:r>
        <w:t>/</w:t>
      </w:r>
      <w:proofErr w:type="spellStart"/>
      <w:r>
        <w:t>tremelimumab</w:t>
      </w:r>
      <w:proofErr w:type="spellEnd"/>
      <w:r>
        <w:t xml:space="preserve"> combination treatment.  </w:t>
      </w:r>
    </w:p>
    <w:p w:rsidR="00A27EA9" w:rsidRPr="00A27EA9" w:rsidRDefault="00A27EA9" w:rsidP="00A27EA9">
      <w:pPr>
        <w:ind w:left="357"/>
        <w:rPr>
          <w:sz w:val="16"/>
          <w:szCs w:val="16"/>
        </w:rPr>
      </w:pPr>
      <w:r w:rsidRPr="002471A6">
        <w:rPr>
          <w:sz w:val="16"/>
          <w:szCs w:val="16"/>
        </w:rPr>
        <w:t>*When the immune cell area represents ≤1% of the total tumour area PD-L1 expression is defined as high when baseline tumour expression was tumour cells ≥ 25% and/or immune cells = 100% and PD-L1 low/negative when baseline tumour expression was tumour cells &lt; 25% and immune cells &lt;100%.</w:t>
      </w:r>
    </w:p>
    <w:p w:rsidR="007531EA" w:rsidRPr="00071D47" w:rsidRDefault="00071D47" w:rsidP="007531EA">
      <w:pPr>
        <w:ind w:left="426"/>
        <w:rPr>
          <w:szCs w:val="20"/>
        </w:rPr>
      </w:pPr>
      <w:proofErr w:type="gramStart"/>
      <w:r>
        <w:rPr>
          <w:szCs w:val="20"/>
          <w:vertAlign w:val="superscript"/>
        </w:rPr>
        <w:t>1</w:t>
      </w:r>
      <w:r w:rsidRPr="00071D47">
        <w:t xml:space="preserve"> </w:t>
      </w:r>
      <w:proofErr w:type="spellStart"/>
      <w:r w:rsidRPr="00071D47">
        <w:rPr>
          <w:sz w:val="16"/>
          <w:szCs w:val="16"/>
        </w:rPr>
        <w:t>Pardoll</w:t>
      </w:r>
      <w:proofErr w:type="spellEnd"/>
      <w:r w:rsidRPr="00071D47">
        <w:rPr>
          <w:sz w:val="16"/>
          <w:szCs w:val="16"/>
        </w:rPr>
        <w:t xml:space="preserve"> DM.</w:t>
      </w:r>
      <w:proofErr w:type="gramEnd"/>
      <w:r w:rsidRPr="00071D47">
        <w:rPr>
          <w:sz w:val="16"/>
          <w:szCs w:val="16"/>
        </w:rPr>
        <w:t xml:space="preserve"> </w:t>
      </w:r>
      <w:proofErr w:type="gramStart"/>
      <w:r w:rsidRPr="00071D47">
        <w:rPr>
          <w:sz w:val="16"/>
          <w:szCs w:val="16"/>
        </w:rPr>
        <w:t>The blockade of immune checkpoints in cancer immunotherapy.</w:t>
      </w:r>
      <w:proofErr w:type="gramEnd"/>
      <w:r w:rsidRPr="00071D47">
        <w:rPr>
          <w:sz w:val="16"/>
          <w:szCs w:val="16"/>
        </w:rPr>
        <w:t xml:space="preserve"> Nat Rev Cancer 2012</w:t>
      </w:r>
      <w:proofErr w:type="gramStart"/>
      <w:r w:rsidRPr="00071D47">
        <w:rPr>
          <w:sz w:val="16"/>
          <w:szCs w:val="16"/>
        </w:rPr>
        <w:t>;12</w:t>
      </w:r>
      <w:proofErr w:type="gramEnd"/>
      <w:r w:rsidRPr="00071D47">
        <w:rPr>
          <w:sz w:val="16"/>
          <w:szCs w:val="16"/>
        </w:rPr>
        <w:t>(4):252-64</w:t>
      </w:r>
    </w:p>
    <w:p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2A6753" w:rsidRDefault="00C06386" w:rsidP="00E357B9">
      <w:pPr>
        <w:ind w:left="426"/>
      </w:pPr>
      <w:r w:rsidRPr="00724EE7">
        <w:t>Commercial PD-L1 testing kits such as t</w:t>
      </w:r>
      <w:r w:rsidR="009F6337" w:rsidRPr="00724EE7">
        <w:t>he Roche</w:t>
      </w:r>
      <w:r w:rsidRPr="00724EE7">
        <w:t>/</w:t>
      </w:r>
      <w:proofErr w:type="spellStart"/>
      <w:r w:rsidRPr="00724EE7">
        <w:t>Ventana</w:t>
      </w:r>
      <w:proofErr w:type="spellEnd"/>
      <w:r w:rsidRPr="00724EE7">
        <w:t xml:space="preserve"> </w:t>
      </w:r>
      <w:r w:rsidR="00C87975">
        <w:t>SP 263 PD-L1 assay</w:t>
      </w:r>
      <w:r w:rsidRPr="00724EE7">
        <w:t xml:space="preserve"> </w:t>
      </w:r>
      <w:r w:rsidR="00C87975">
        <w:t>and the A</w:t>
      </w:r>
      <w:r w:rsidR="006344E8">
        <w:t xml:space="preserve">gilent Technologies Pty Limited/DAKO PD-L1 22C3 </w:t>
      </w:r>
      <w:proofErr w:type="spellStart"/>
      <w:r w:rsidR="006344E8">
        <w:t>pharmDx</w:t>
      </w:r>
      <w:proofErr w:type="spellEnd"/>
      <w:r w:rsidR="006344E8">
        <w:t xml:space="preserve"> assay</w:t>
      </w:r>
      <w:r w:rsidR="006344E8" w:rsidRPr="00724EE7">
        <w:t xml:space="preserve"> </w:t>
      </w:r>
      <w:r w:rsidRPr="00724EE7">
        <w:t>have</w:t>
      </w:r>
      <w:r w:rsidR="009F6337" w:rsidRPr="00724EE7">
        <w:t xml:space="preserve"> registered trademark</w:t>
      </w:r>
      <w:r w:rsidRPr="00724EE7">
        <w:t>s</w:t>
      </w:r>
      <w:r w:rsidR="00C87975">
        <w:t xml:space="preserve">.  </w:t>
      </w:r>
      <w:r w:rsidR="00CF13A7">
        <w:t xml:space="preserve">The key component of PD-L1 assays are the different proprietary antibodies used to bind to PD-L1 on tumour tissue in the IHC assay.  </w:t>
      </w:r>
      <w:r w:rsidR="00E53E62">
        <w:t xml:space="preserve">The antibodies may also have trademarks.  </w:t>
      </w:r>
      <w:r w:rsidR="009D185A">
        <w:t>Proprietary equipment/software such as t</w:t>
      </w:r>
      <w:r w:rsidR="00C87975">
        <w:t>he Roche/</w:t>
      </w:r>
      <w:proofErr w:type="spellStart"/>
      <w:r w:rsidR="00C87975">
        <w:t>Ventana</w:t>
      </w:r>
      <w:proofErr w:type="spellEnd"/>
      <w:r w:rsidR="00C87975">
        <w:t xml:space="preserve"> </w:t>
      </w:r>
      <w:proofErr w:type="spellStart"/>
      <w:r w:rsidR="00C87975">
        <w:t>BenchM</w:t>
      </w:r>
      <w:r w:rsidR="009F6337" w:rsidRPr="00724EE7">
        <w:t>ark</w:t>
      </w:r>
      <w:proofErr w:type="spellEnd"/>
      <w:r w:rsidR="009F6337" w:rsidRPr="00724EE7">
        <w:t xml:space="preserve"> ULTRA </w:t>
      </w:r>
      <w:r w:rsidRPr="00724EE7">
        <w:t xml:space="preserve">reader and the DAKO readers </w:t>
      </w:r>
      <w:r w:rsidR="009D185A">
        <w:t xml:space="preserve">also </w:t>
      </w:r>
      <w:proofErr w:type="gramStart"/>
      <w:r w:rsidRPr="00724EE7">
        <w:t>have</w:t>
      </w:r>
      <w:proofErr w:type="gramEnd"/>
      <w:r w:rsidRPr="00724EE7">
        <w:t xml:space="preserve"> trademarks.</w:t>
      </w:r>
      <w:r w:rsidR="005D2049">
        <w:t xml:space="preserve"> </w:t>
      </w:r>
    </w:p>
    <w:p w:rsidR="00DF0A5A" w:rsidRPr="00154B00" w:rsidRDefault="00600838" w:rsidP="00E357B9">
      <w:pPr>
        <w:ind w:left="426"/>
        <w:rPr>
          <w:szCs w:val="20"/>
        </w:rPr>
      </w:pPr>
      <w:r>
        <w:t>A re</w:t>
      </w:r>
      <w:r w:rsidR="00AD259F">
        <w:t xml:space="preserve">gistered trade mark for </w:t>
      </w:r>
      <w:proofErr w:type="spellStart"/>
      <w:r w:rsidR="00AD259F">
        <w:t>durvalumab</w:t>
      </w:r>
      <w:proofErr w:type="spellEnd"/>
      <w:r>
        <w:t xml:space="preserve"> is being sought</w:t>
      </w:r>
      <w:r w:rsidR="00DF0A5A">
        <w:t xml:space="preserve">.  A registered trademark will be sought for </w:t>
      </w:r>
      <w:proofErr w:type="spellStart"/>
      <w:r w:rsidR="00DF0A5A">
        <w:t>tremelim</w:t>
      </w:r>
      <w:r w:rsidR="00C87975">
        <w:t>umab</w:t>
      </w:r>
      <w:proofErr w:type="spellEnd"/>
      <w:r w:rsidR="00DF0A5A">
        <w:t>.</w:t>
      </w:r>
    </w:p>
    <w:p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4827F8" w:rsidRDefault="00C06386" w:rsidP="00CF13A7">
      <w:pPr>
        <w:ind w:left="426"/>
      </w:pPr>
      <w:r>
        <w:t xml:space="preserve">Yes, </w:t>
      </w:r>
      <w:r w:rsidR="00724EE7">
        <w:t xml:space="preserve">inclusion of </w:t>
      </w:r>
      <w:r>
        <w:t xml:space="preserve">PD-L1 testing </w:t>
      </w:r>
      <w:r w:rsidR="00CF13A7">
        <w:t xml:space="preserve">on the MBS </w:t>
      </w:r>
      <w:r w:rsidR="00724EE7">
        <w:t>to determi</w:t>
      </w:r>
      <w:r w:rsidR="00CF13A7">
        <w:t xml:space="preserve">ne eligibility for PBS access to </w:t>
      </w:r>
      <w:proofErr w:type="spellStart"/>
      <w:r w:rsidR="00CF13A7">
        <w:t>durvalumab</w:t>
      </w:r>
      <w:proofErr w:type="spellEnd"/>
      <w:r w:rsidR="00CF13A7">
        <w:t xml:space="preserve"> or </w:t>
      </w:r>
      <w:proofErr w:type="spellStart"/>
      <w:r w:rsidR="00724EE7">
        <w:t>durvalumab</w:t>
      </w:r>
      <w:proofErr w:type="spellEnd"/>
      <w:r w:rsidR="00724EE7">
        <w:t>/</w:t>
      </w:r>
      <w:proofErr w:type="spellStart"/>
      <w:r w:rsidR="00724EE7">
        <w:t>tremelimumab</w:t>
      </w:r>
      <w:proofErr w:type="spellEnd"/>
      <w:r w:rsidR="00724EE7">
        <w:t xml:space="preserve"> treatment would represent a new approach to </w:t>
      </w:r>
      <w:proofErr w:type="spellStart"/>
      <w:r w:rsidR="00065697">
        <w:t>unresectable</w:t>
      </w:r>
      <w:proofErr w:type="spellEnd"/>
      <w:r w:rsidR="00065697">
        <w:t xml:space="preserve"> Stage IV urothelial cancer </w:t>
      </w:r>
      <w:r w:rsidR="00724EE7">
        <w:t xml:space="preserve">patient management.  </w:t>
      </w:r>
      <w:r w:rsidR="00CF13A7" w:rsidRPr="004F591B">
        <w:t>In alignment with the evidence from the</w:t>
      </w:r>
      <w:r w:rsidR="00065697">
        <w:t xml:space="preserve"> DANUBE trial, patients with </w:t>
      </w:r>
      <w:proofErr w:type="spellStart"/>
      <w:r w:rsidR="00065697">
        <w:t>unresecta</w:t>
      </w:r>
      <w:r w:rsidR="0058026C">
        <w:t>ble</w:t>
      </w:r>
      <w:proofErr w:type="spellEnd"/>
      <w:r w:rsidR="0058026C">
        <w:t xml:space="preserve"> Stage IV urothelial cancer and high</w:t>
      </w:r>
      <w:r w:rsidR="005C4D2B">
        <w:t xml:space="preserve"> </w:t>
      </w:r>
      <w:r w:rsidR="005C4D2B">
        <w:rPr>
          <w:szCs w:val="20"/>
        </w:rPr>
        <w:t>(defined as tumour cells ≥ 25% or immune cells ≥ 25%)</w:t>
      </w:r>
      <w:r w:rsidR="00776CE0">
        <w:t>*</w:t>
      </w:r>
      <w:r w:rsidR="0058026C">
        <w:t xml:space="preserve"> levels of PD-L1 expression w</w:t>
      </w:r>
      <w:r w:rsidR="00065697">
        <w:t xml:space="preserve">ould be </w:t>
      </w:r>
      <w:r w:rsidR="009D185A">
        <w:t xml:space="preserve">eligible for </w:t>
      </w:r>
      <w:r w:rsidR="005B2B4E">
        <w:t>1</w:t>
      </w:r>
      <w:r w:rsidR="005B2B4E" w:rsidRPr="005B2B4E">
        <w:rPr>
          <w:vertAlign w:val="superscript"/>
        </w:rPr>
        <w:t>st</w:t>
      </w:r>
      <w:r w:rsidR="005B2B4E">
        <w:t xml:space="preserve"> line </w:t>
      </w:r>
      <w:r w:rsidR="009D185A">
        <w:t xml:space="preserve">PBS </w:t>
      </w:r>
      <w:proofErr w:type="spellStart"/>
      <w:r w:rsidR="009D185A">
        <w:t>durvalumab</w:t>
      </w:r>
      <w:proofErr w:type="spellEnd"/>
      <w:r w:rsidR="009D185A">
        <w:t xml:space="preserve"> </w:t>
      </w:r>
      <w:r w:rsidR="00065697">
        <w:t xml:space="preserve">monotherapy </w:t>
      </w:r>
      <w:r w:rsidR="00776CE0">
        <w:t>and</w:t>
      </w:r>
      <w:r w:rsidR="009D185A">
        <w:t xml:space="preserve"> </w:t>
      </w:r>
      <w:r w:rsidR="0058026C">
        <w:t>patients with low</w:t>
      </w:r>
      <w:r w:rsidR="005D122A">
        <w:t xml:space="preserve"> </w:t>
      </w:r>
      <w:r w:rsidR="005D122A">
        <w:rPr>
          <w:szCs w:val="20"/>
        </w:rPr>
        <w:t>(defined as tumour cells &lt; 25% or immune cells &lt; 25%)</w:t>
      </w:r>
      <w:r w:rsidR="00776CE0">
        <w:t>*</w:t>
      </w:r>
      <w:r w:rsidR="0058026C">
        <w:t xml:space="preserve"> levels of </w:t>
      </w:r>
      <w:r w:rsidR="00776CE0">
        <w:t xml:space="preserve">PD-L1 expression would be eligible for </w:t>
      </w:r>
      <w:proofErr w:type="spellStart"/>
      <w:r w:rsidR="009D185A">
        <w:t>durvalumab</w:t>
      </w:r>
      <w:proofErr w:type="spellEnd"/>
      <w:r w:rsidR="009D185A">
        <w:t>/</w:t>
      </w:r>
      <w:proofErr w:type="spellStart"/>
      <w:r w:rsidR="009D185A">
        <w:t>treme</w:t>
      </w:r>
      <w:r w:rsidR="00DA7E43">
        <w:t>limumab</w:t>
      </w:r>
      <w:proofErr w:type="spellEnd"/>
      <w:r w:rsidR="00DA7E43">
        <w:t xml:space="preserve"> combination therapy.  </w:t>
      </w:r>
    </w:p>
    <w:p w:rsidR="00776CE0" w:rsidRDefault="00DA7E43" w:rsidP="00CF13A7">
      <w:pPr>
        <w:ind w:left="426"/>
      </w:pPr>
      <w:r>
        <w:t>Some</w:t>
      </w:r>
      <w:r w:rsidR="009D185A">
        <w:t xml:space="preserve"> important differe</w:t>
      </w:r>
      <w:r w:rsidR="00D65226">
        <w:t>nce</w:t>
      </w:r>
      <w:r>
        <w:t>s</w:t>
      </w:r>
      <w:r w:rsidR="00D65226">
        <w:t xml:space="preserve"> to MSAC Application 1457</w:t>
      </w:r>
      <w:r w:rsidR="001C30A4">
        <w:t xml:space="preserve">/PICO Confirmation </w:t>
      </w:r>
      <w:r w:rsidR="00E7186D">
        <w:t>1457</w:t>
      </w:r>
      <w:r w:rsidR="009D185A">
        <w:t xml:space="preserve"> </w:t>
      </w:r>
      <w:r w:rsidR="00B33387">
        <w:t>should be noted.  In</w:t>
      </w:r>
      <w:r w:rsidR="003A0EE8">
        <w:t xml:space="preserve"> </w:t>
      </w:r>
      <w:r w:rsidR="00E7186D">
        <w:t>PICO Confirmation</w:t>
      </w:r>
      <w:r w:rsidR="003A0EE8">
        <w:t xml:space="preserve"> </w:t>
      </w:r>
      <w:r w:rsidR="00D65226">
        <w:t>1457</w:t>
      </w:r>
      <w:r w:rsidR="00B33387">
        <w:t xml:space="preserve"> </w:t>
      </w:r>
      <w:r w:rsidR="00BB0587">
        <w:t xml:space="preserve">PD-L1 </w:t>
      </w:r>
      <w:r w:rsidR="00D65226">
        <w:t xml:space="preserve">testing is proposed </w:t>
      </w:r>
      <w:r w:rsidR="00565CF1">
        <w:t xml:space="preserve">for locally advanced or metastatic urothelial cancer patients who are ineligible </w:t>
      </w:r>
      <w:r>
        <w:t>for cisplatin-base</w:t>
      </w:r>
      <w:r w:rsidR="005D122A">
        <w:t>d therapy</w:t>
      </w:r>
      <w:r w:rsidR="00D4755D">
        <w:t>, whereas</w:t>
      </w:r>
      <w:r w:rsidR="00887FC8">
        <w:t xml:space="preserve"> the DANUBE trial includes cisplatin eligible as well as ineligible patients</w:t>
      </w:r>
      <w:r w:rsidR="005D122A">
        <w:t>.  P</w:t>
      </w:r>
      <w:r w:rsidR="00B33387">
        <w:t xml:space="preserve">atients with </w:t>
      </w:r>
      <w:r w:rsidR="00CC1EAD">
        <w:t xml:space="preserve">positive PD-L1 expression </w:t>
      </w:r>
      <w:r w:rsidR="00E7186D">
        <w:t xml:space="preserve">(defined as </w:t>
      </w:r>
      <w:r w:rsidR="00E7186D">
        <w:rPr>
          <w:rFonts w:cstheme="minorHAnsi"/>
        </w:rPr>
        <w:t>≥</w:t>
      </w:r>
      <w:r w:rsidR="00E7186D">
        <w:t xml:space="preserve">10% combined performance score) </w:t>
      </w:r>
      <w:r w:rsidR="00CC1EAD">
        <w:t xml:space="preserve">receive </w:t>
      </w:r>
      <w:proofErr w:type="spellStart"/>
      <w:r w:rsidR="00CC1EAD">
        <w:t>pembrolizumab</w:t>
      </w:r>
      <w:proofErr w:type="spellEnd"/>
      <w:r w:rsidR="00CC1EAD">
        <w:t xml:space="preserve"> </w:t>
      </w:r>
      <w:r w:rsidR="005B2B4E">
        <w:t>1</w:t>
      </w:r>
      <w:r w:rsidR="005B2B4E" w:rsidRPr="005B2B4E">
        <w:rPr>
          <w:vertAlign w:val="superscript"/>
        </w:rPr>
        <w:t>st</w:t>
      </w:r>
      <w:r w:rsidR="005B2B4E">
        <w:t xml:space="preserve"> line </w:t>
      </w:r>
      <w:r w:rsidR="00CC1EAD">
        <w:t xml:space="preserve">and patients with </w:t>
      </w:r>
      <w:r w:rsidR="00565CF1">
        <w:t>negative</w:t>
      </w:r>
      <w:r w:rsidR="00F76371">
        <w:t xml:space="preserve"> PD-L1 </w:t>
      </w:r>
      <w:r w:rsidR="00B33387">
        <w:t xml:space="preserve">expression </w:t>
      </w:r>
      <w:r w:rsidR="00F76371">
        <w:t xml:space="preserve">(defined as </w:t>
      </w:r>
      <w:r w:rsidR="00F76371">
        <w:rPr>
          <w:rFonts w:cstheme="minorHAnsi"/>
        </w:rPr>
        <w:t>≥</w:t>
      </w:r>
      <w:r w:rsidR="00F76371">
        <w:t xml:space="preserve">1% and &lt;10% </w:t>
      </w:r>
      <w:r w:rsidR="004827F8">
        <w:t xml:space="preserve">combined performance score) </w:t>
      </w:r>
      <w:r w:rsidR="003A0EE8">
        <w:t>receiv</w:t>
      </w:r>
      <w:r w:rsidR="006B1901">
        <w:t xml:space="preserve">e carboplatin/gemcitabine </w:t>
      </w:r>
      <w:r w:rsidR="005B2B4E">
        <w:t>as 1</w:t>
      </w:r>
      <w:r w:rsidR="005B2B4E" w:rsidRPr="005B2B4E">
        <w:rPr>
          <w:vertAlign w:val="superscript"/>
        </w:rPr>
        <w:t>st</w:t>
      </w:r>
      <w:r w:rsidR="005B2B4E">
        <w:t xml:space="preserve"> line </w:t>
      </w:r>
      <w:r w:rsidR="003A0EE8">
        <w:t>therapy</w:t>
      </w:r>
      <w:r w:rsidR="006B1901">
        <w:t xml:space="preserve">.  </w:t>
      </w:r>
    </w:p>
    <w:p w:rsidR="00DF0C51" w:rsidRDefault="006B1901" w:rsidP="00CF13A7">
      <w:pPr>
        <w:ind w:left="426"/>
      </w:pPr>
      <w:r>
        <w:t>In the current A</w:t>
      </w:r>
      <w:r w:rsidR="00B33387">
        <w:t xml:space="preserve">pplication </w:t>
      </w:r>
      <w:r w:rsidR="00BB0587">
        <w:t xml:space="preserve">it is proposed that </w:t>
      </w:r>
      <w:r w:rsidR="009D185A">
        <w:t xml:space="preserve">PD-L1 testing </w:t>
      </w:r>
      <w:r w:rsidR="00BB0587">
        <w:t xml:space="preserve">is used to determine whether </w:t>
      </w:r>
      <w:proofErr w:type="spellStart"/>
      <w:r w:rsidR="00BB0587">
        <w:t>durvalumab</w:t>
      </w:r>
      <w:proofErr w:type="spellEnd"/>
      <w:r w:rsidR="00BB0587">
        <w:t xml:space="preserve"> </w:t>
      </w:r>
      <w:r w:rsidR="00CD731D">
        <w:t xml:space="preserve">monotherapy or </w:t>
      </w:r>
      <w:proofErr w:type="spellStart"/>
      <w:r w:rsidR="00BB0587">
        <w:t>durvalumab</w:t>
      </w:r>
      <w:proofErr w:type="spellEnd"/>
      <w:r w:rsidR="00BB0587">
        <w:t>/</w:t>
      </w:r>
      <w:proofErr w:type="spellStart"/>
      <w:r w:rsidR="00BB0587">
        <w:t>tremelimumab</w:t>
      </w:r>
      <w:proofErr w:type="spellEnd"/>
      <w:r w:rsidR="00BB0587">
        <w:t xml:space="preserve"> </w:t>
      </w:r>
      <w:r w:rsidR="00CD731D">
        <w:t xml:space="preserve">combination therapy would be the preferred </w:t>
      </w:r>
      <w:r w:rsidR="00876593">
        <w:t>1</w:t>
      </w:r>
      <w:r w:rsidR="00876593" w:rsidRPr="00876593">
        <w:rPr>
          <w:vertAlign w:val="superscript"/>
        </w:rPr>
        <w:t>st</w:t>
      </w:r>
      <w:r w:rsidR="00876593">
        <w:t xml:space="preserve"> line </w:t>
      </w:r>
      <w:r w:rsidR="00CD731D">
        <w:t>treatment choice</w:t>
      </w:r>
      <w:r w:rsidR="00CC1EAD">
        <w:t>.  P</w:t>
      </w:r>
      <w:r>
        <w:t>latinum-based chemotherapy is displaced to later lines of therapy</w:t>
      </w:r>
      <w:r w:rsidR="00CD731D">
        <w:t>.</w:t>
      </w:r>
    </w:p>
    <w:p w:rsidR="00776CE0" w:rsidRPr="00776CE0" w:rsidRDefault="00776CE0" w:rsidP="00776CE0">
      <w:pPr>
        <w:ind w:left="357"/>
        <w:rPr>
          <w:sz w:val="16"/>
          <w:szCs w:val="16"/>
        </w:rPr>
      </w:pPr>
      <w:r w:rsidRPr="002471A6">
        <w:rPr>
          <w:sz w:val="16"/>
          <w:szCs w:val="16"/>
        </w:rPr>
        <w:t>*When the immune cell area represents ≤1% of the total tumour area PD-L1 expression is defined as high when baseline tumour expression was tumour cells ≥ 25% and/or immune cells = 100% and PD-L1 low/negative when baseline tumour expression was tumour cells &lt; 25% and immune cells &lt;100%.</w:t>
      </w:r>
    </w:p>
    <w:p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CC09D7" w:rsidRPr="00154B00" w:rsidRDefault="00C23FC7" w:rsidP="00E357B9">
      <w:pPr>
        <w:ind w:left="426"/>
        <w:rPr>
          <w:szCs w:val="20"/>
        </w:rPr>
      </w:pPr>
      <w:r>
        <w:t>P</w:t>
      </w:r>
      <w:r w:rsidR="00DE6ACF">
        <w:t xml:space="preserve">atients </w:t>
      </w:r>
      <w:r w:rsidR="00E31DF3">
        <w:t>proposed for PD-L1</w:t>
      </w:r>
      <w:r>
        <w:t xml:space="preserve"> expression testing would be</w:t>
      </w:r>
      <w:r w:rsidR="00DE6ACF">
        <w:t xml:space="preserve"> suitable candidates for syst</w:t>
      </w:r>
      <w:r>
        <w:t>emic anticancer therapy who</w:t>
      </w:r>
      <w:r w:rsidR="00DE6ACF">
        <w:t xml:space="preserve"> have been </w:t>
      </w:r>
      <w:r w:rsidR="005B2B4E">
        <w:t xml:space="preserve">either </w:t>
      </w:r>
      <w:r w:rsidR="00DE6ACF">
        <w:t xml:space="preserve">diagnosed with </w:t>
      </w:r>
      <w:proofErr w:type="spellStart"/>
      <w:r w:rsidR="00DE6ACF">
        <w:t>unresectable</w:t>
      </w:r>
      <w:proofErr w:type="spellEnd"/>
      <w:r w:rsidR="00DE6ACF">
        <w:t xml:space="preserve"> Stage IV </w:t>
      </w:r>
      <w:r w:rsidR="005B2B4E">
        <w:t xml:space="preserve">urothelial cancer, or </w:t>
      </w:r>
      <w:r w:rsidR="00901627">
        <w:t>progressed</w:t>
      </w:r>
      <w:r w:rsidR="00DE6ACF">
        <w:t xml:space="preserve"> to Stage IV disease from earlier stage disease</w:t>
      </w:r>
      <w:r>
        <w:t>.</w:t>
      </w:r>
      <w:r w:rsidR="003F26B2">
        <w:t xml:space="preserve">  </w:t>
      </w:r>
      <w:r w:rsidR="00876593">
        <w:t>It is expected in the substantial majority</w:t>
      </w:r>
      <w:r w:rsidR="00EE04BC">
        <w:t xml:space="preserve"> of cases that a patient would require </w:t>
      </w:r>
      <w:r w:rsidR="00876593">
        <w:t>PD-L1 test</w:t>
      </w:r>
      <w:r w:rsidR="00EE04BC">
        <w:t>ing only once</w:t>
      </w:r>
      <w:r>
        <w:t xml:space="preserve">, at the time of Stage IV disease, </w:t>
      </w:r>
      <w:r w:rsidR="00876593">
        <w:t xml:space="preserve">to determine the </w:t>
      </w:r>
      <w:r w:rsidR="00EE04BC">
        <w:lastRenderedPageBreak/>
        <w:t xml:space="preserve">appropriate </w:t>
      </w:r>
      <w:r w:rsidR="00876593">
        <w:t>1</w:t>
      </w:r>
      <w:r w:rsidR="00876593" w:rsidRPr="00876593">
        <w:rPr>
          <w:vertAlign w:val="superscript"/>
        </w:rPr>
        <w:t>st</w:t>
      </w:r>
      <w:r w:rsidR="00876593">
        <w:t xml:space="preserve"> line </w:t>
      </w:r>
      <w:r w:rsidR="000C75A0">
        <w:t xml:space="preserve">treatment choice.  </w:t>
      </w:r>
      <w:r>
        <w:t xml:space="preserve">For patients diagnosed with </w:t>
      </w:r>
      <w:proofErr w:type="spellStart"/>
      <w:r>
        <w:t>unresectable</w:t>
      </w:r>
      <w:proofErr w:type="spellEnd"/>
      <w:r>
        <w:t xml:space="preserve"> Stage IV disease PD-L1 testing could use tumour material from the same biopsy confirming the urothelial cancer diag</w:t>
      </w:r>
      <w:r w:rsidR="00901627">
        <w:t>nosis.  For patients who progress</w:t>
      </w:r>
      <w:r>
        <w:t xml:space="preserve"> to </w:t>
      </w:r>
      <w:proofErr w:type="spellStart"/>
      <w:r>
        <w:t>unresectable</w:t>
      </w:r>
      <w:proofErr w:type="spellEnd"/>
      <w:r>
        <w:t xml:space="preserve"> </w:t>
      </w:r>
      <w:r w:rsidR="007F1D0D">
        <w:t xml:space="preserve">Stage IV </w:t>
      </w:r>
      <w:r>
        <w:t xml:space="preserve">disease from </w:t>
      </w:r>
      <w:r w:rsidR="007F1D0D">
        <w:t>earlier stage disease, a new biopsy would be required to provide new tissue for PD-L1 testing and determine the most appropriate 1</w:t>
      </w:r>
      <w:r w:rsidR="007F1D0D" w:rsidRPr="007F1D0D">
        <w:rPr>
          <w:vertAlign w:val="superscript"/>
        </w:rPr>
        <w:t>st</w:t>
      </w:r>
      <w:r w:rsidR="007F1D0D">
        <w:t xml:space="preserve"> line treatment.  Use of archived tissue from the original urothelial cancer diagnosis is unlikely to be suitable as subsequent therapies (such as radiotherapy) may have altered PD-L1 status.</w:t>
      </w:r>
    </w:p>
    <w:p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791C8D" w:rsidRPr="00154B00" w:rsidRDefault="007D38D0" w:rsidP="00884E69">
      <w:pPr>
        <w:ind w:left="426"/>
        <w:rPr>
          <w:szCs w:val="20"/>
        </w:rPr>
      </w:pPr>
      <w:r>
        <w:t xml:space="preserve">For </w:t>
      </w:r>
      <w:r w:rsidR="00517BA4">
        <w:t>p</w:t>
      </w:r>
      <w:r>
        <w:t xml:space="preserve">atients diagnosed with </w:t>
      </w:r>
      <w:proofErr w:type="spellStart"/>
      <w:r>
        <w:t>unresectable</w:t>
      </w:r>
      <w:proofErr w:type="spellEnd"/>
      <w:r>
        <w:t xml:space="preserve"> Stage IV </w:t>
      </w:r>
      <w:r w:rsidR="000178B2">
        <w:t xml:space="preserve">urothelial cancer the PD-L1 testing could be done using the tumour material from the same biopsy confirming the urothelial cancer diagnosis, consequently additional services would not be needed in this case.  </w:t>
      </w:r>
      <w:r w:rsidR="00901627">
        <w:t>For patients who progress</w:t>
      </w:r>
      <w:r w:rsidR="007F1D0D">
        <w:t xml:space="preserve"> to </w:t>
      </w:r>
      <w:proofErr w:type="spellStart"/>
      <w:r w:rsidR="007F1D0D">
        <w:t>unresectable</w:t>
      </w:r>
      <w:proofErr w:type="spellEnd"/>
      <w:r w:rsidR="007F1D0D">
        <w:t xml:space="preserve"> Stage IV disease from earlier stage disease, a new biopsy would be required to provide new tissue for PD-L1 testing and determine the most appropriate 1</w:t>
      </w:r>
      <w:r w:rsidR="007F1D0D" w:rsidRPr="007F1D0D">
        <w:rPr>
          <w:vertAlign w:val="superscript"/>
        </w:rPr>
        <w:t>st</w:t>
      </w:r>
      <w:r w:rsidR="007F1D0D">
        <w:t xml:space="preserve"> line treatment.  </w:t>
      </w:r>
    </w:p>
    <w:p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B17E26" w:rsidRPr="00154B00" w:rsidRDefault="001D556F" w:rsidP="00884E69">
      <w:pPr>
        <w:ind w:left="426"/>
        <w:rPr>
          <w:szCs w:val="20"/>
        </w:rPr>
      </w:pPr>
      <w:r>
        <w:t xml:space="preserve">PD-L1 testing should be conducted </w:t>
      </w:r>
      <w:r w:rsidR="00613400">
        <w:t xml:space="preserve">and the results interpreted and reported </w:t>
      </w:r>
      <w:r>
        <w:t xml:space="preserve">by suitably qualified and trained </w:t>
      </w:r>
      <w:r w:rsidR="004827F8">
        <w:t xml:space="preserve">anatomical </w:t>
      </w:r>
      <w:r>
        <w:t>pathologists.</w:t>
      </w:r>
    </w:p>
    <w:p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B17E26" w:rsidRPr="00154B00" w:rsidRDefault="001D556F" w:rsidP="00884E69">
      <w:pPr>
        <w:ind w:left="426"/>
        <w:rPr>
          <w:szCs w:val="20"/>
        </w:rPr>
      </w:pPr>
      <w:r>
        <w:t>Not applicable.</w:t>
      </w:r>
    </w:p>
    <w:p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EA0E25" w:rsidRPr="00154B00" w:rsidRDefault="001D556F" w:rsidP="00820DEB">
      <w:pPr>
        <w:ind w:left="426"/>
        <w:rPr>
          <w:szCs w:val="20"/>
        </w:rPr>
      </w:pPr>
      <w:r>
        <w:t>PD-L1 testing to determine 1</w:t>
      </w:r>
      <w:r w:rsidRPr="001D556F">
        <w:rPr>
          <w:vertAlign w:val="superscript"/>
        </w:rPr>
        <w:t>st</w:t>
      </w:r>
      <w:r>
        <w:t xml:space="preserve"> line access to </w:t>
      </w:r>
      <w:proofErr w:type="spellStart"/>
      <w:r>
        <w:t>durvalumab</w:t>
      </w:r>
      <w:proofErr w:type="spellEnd"/>
      <w:r>
        <w:t xml:space="preserve"> or </w:t>
      </w:r>
      <w:proofErr w:type="spellStart"/>
      <w:r>
        <w:t>durvaluma</w:t>
      </w:r>
      <w:r w:rsidR="00440CAC">
        <w:t>b</w:t>
      </w:r>
      <w:proofErr w:type="spellEnd"/>
      <w:r w:rsidR="00440CAC">
        <w:t>/</w:t>
      </w:r>
      <w:proofErr w:type="spellStart"/>
      <w:r w:rsidR="00440CAC">
        <w:t>tremelimumab</w:t>
      </w:r>
      <w:proofErr w:type="spellEnd"/>
      <w:r w:rsidR="00440CAC">
        <w:t xml:space="preserve"> should be conducted and reported by</w:t>
      </w:r>
      <w:r w:rsidR="004276FD">
        <w:t xml:space="preserve"> </w:t>
      </w:r>
      <w:r w:rsidR="00440CAC">
        <w:t xml:space="preserve">suitably qualified </w:t>
      </w:r>
      <w:r w:rsidR="004276FD">
        <w:t xml:space="preserve">and trained </w:t>
      </w:r>
      <w:r w:rsidR="002435B4">
        <w:t xml:space="preserve">anatomical </w:t>
      </w:r>
      <w:r w:rsidR="00440CAC">
        <w:t>pathologist</w:t>
      </w:r>
      <w:r w:rsidR="004276FD">
        <w:t>s</w:t>
      </w:r>
      <w:r w:rsidR="003C57E3">
        <w:t xml:space="preserve">. </w:t>
      </w:r>
      <w:r w:rsidR="00440CAC">
        <w:t xml:space="preserve"> The decision to conduct the PD-L1 test should made by the urologi</w:t>
      </w:r>
      <w:r w:rsidR="00542FE8">
        <w:t>st or medical oncologist, with consideration of</w:t>
      </w:r>
      <w:r w:rsidR="00440CAC">
        <w:t xml:space="preserve"> the staging of the disease</w:t>
      </w:r>
      <w:r w:rsidR="00C50716">
        <w:t>,</w:t>
      </w:r>
      <w:r w:rsidR="00440CAC">
        <w:t xml:space="preserve"> </w:t>
      </w:r>
      <w:r w:rsidR="00C50716">
        <w:t xml:space="preserve">either </w:t>
      </w:r>
      <w:r w:rsidR="00440CAC">
        <w:t>at the time of diagnosis</w:t>
      </w:r>
      <w:r w:rsidR="00901627">
        <w:t xml:space="preserve"> or after progression</w:t>
      </w:r>
      <w:r w:rsidR="004276FD">
        <w:t xml:space="preserve"> from earlier stage disease.  The suitability of the patient as a candidate for systemic anticancer treatment must be assessed </w:t>
      </w:r>
      <w:r w:rsidR="0040218F">
        <w:t>by the medical oncologist.  There may be other relevant tests (</w:t>
      </w:r>
      <w:proofErr w:type="spellStart"/>
      <w:r w:rsidR="0040218F">
        <w:t>eg</w:t>
      </w:r>
      <w:proofErr w:type="spellEnd"/>
      <w:r w:rsidR="0040218F">
        <w:t>. renal function tests) that need to be performed or repeated by the urologist or medical oncologist to</w:t>
      </w:r>
      <w:r w:rsidR="00542FE8">
        <w:t xml:space="preserve"> inform subsequent patient management</w:t>
      </w:r>
      <w:r w:rsidR="00440CAC">
        <w:t xml:space="preserve">.  </w:t>
      </w:r>
      <w:r w:rsidR="00EA7DD0">
        <w:t xml:space="preserve">PD-L1 testing </w:t>
      </w:r>
      <w:r w:rsidR="004276FD">
        <w:t>to determine 1</w:t>
      </w:r>
      <w:r w:rsidR="004276FD" w:rsidRPr="004276FD">
        <w:rPr>
          <w:vertAlign w:val="superscript"/>
        </w:rPr>
        <w:t>st</w:t>
      </w:r>
      <w:r w:rsidR="004276FD">
        <w:t xml:space="preserve"> line treatment </w:t>
      </w:r>
      <w:r w:rsidR="0040218F">
        <w:t xml:space="preserve">should therefore be based on a referral request from a medical oncologist or urologist and should not be </w:t>
      </w:r>
      <w:r w:rsidR="008F6261">
        <w:t>pathologist determinable</w:t>
      </w:r>
      <w:r w:rsidR="004276FD">
        <w:t>.</w:t>
      </w:r>
    </w:p>
    <w:p w:rsidR="00EA0E25" w:rsidRPr="006808EF" w:rsidRDefault="00EA0E25" w:rsidP="006808EF">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6808EF" w:rsidRPr="00154B00" w:rsidRDefault="006808EF" w:rsidP="006808EF">
      <w:pPr>
        <w:ind w:left="426"/>
        <w:rPr>
          <w:szCs w:val="20"/>
        </w:rPr>
      </w:pPr>
      <w:r>
        <w:t xml:space="preserve">PD-L1 testing should be conducted by suitably qualified professional pathologists who have been trained to conduct </w:t>
      </w:r>
      <w:proofErr w:type="spellStart"/>
      <w:r>
        <w:t>immunohistochemical</w:t>
      </w:r>
      <w:proofErr w:type="spellEnd"/>
      <w:r>
        <w:t xml:space="preserve"> testing specifically for PD-L1 following Australian national accreditation standards (NATA accreditation).  A Quality Assurance Program</w:t>
      </w:r>
      <w:r w:rsidR="00CD731D">
        <w:t xml:space="preserve"> conducted</w:t>
      </w:r>
      <w:r>
        <w:t xml:space="preserve"> by the </w:t>
      </w:r>
      <w:r w:rsidR="00CD731D">
        <w:t>Royal College of Pathologists of (RCPA) would also enhance the service delivery.</w:t>
      </w:r>
    </w:p>
    <w:p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Pr>
          <w:szCs w:val="20"/>
        </w:rPr>
        <w:t xml:space="preserve"> </w:t>
      </w:r>
      <w:r>
        <w:t>Inpatient private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Pr>
          <w:szCs w:val="20"/>
        </w:rPr>
        <w:t xml:space="preserve"> </w:t>
      </w:r>
      <w:r>
        <w:t>Inpatient public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Pr>
          <w:szCs w:val="20"/>
        </w:rPr>
        <w:t xml:space="preserve"> </w:t>
      </w:r>
      <w:r>
        <w:t>Outpatient clinic</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Pr>
          <w:szCs w:val="20"/>
        </w:rPr>
        <w:t xml:space="preserve"> </w:t>
      </w:r>
      <w:r>
        <w:t>Emergency Department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Pr>
          <w:szCs w:val="20"/>
        </w:rPr>
        <w:t xml:space="preserve"> </w:t>
      </w:r>
      <w:r>
        <w:t>Consulting rooms</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Pr>
          <w:szCs w:val="20"/>
        </w:rPr>
        <w:t xml:space="preserve"> </w:t>
      </w:r>
      <w:r>
        <w:t>Day surgery centre</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Pr>
          <w:szCs w:val="20"/>
        </w:rPr>
        <w:t xml:space="preserve"> </w:t>
      </w:r>
      <w:r>
        <w:t>Residential aged care facility</w:t>
      </w:r>
    </w:p>
    <w:p w:rsidR="000A478F" w:rsidRDefault="00CD731D"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0A478F">
        <w:rPr>
          <w:szCs w:val="20"/>
        </w:rPr>
        <w:t xml:space="preserve"> </w:t>
      </w:r>
      <w:r w:rsidR="000A478F">
        <w:t>Patient’s home</w:t>
      </w:r>
    </w:p>
    <w:p w:rsidR="000A478F" w:rsidRDefault="00CD731D"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0A478F">
        <w:rPr>
          <w:szCs w:val="20"/>
        </w:rPr>
        <w:t xml:space="preserve"> </w:t>
      </w:r>
      <w:r w:rsidR="000A478F">
        <w:t>Laboratory</w:t>
      </w:r>
    </w:p>
    <w:p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0041">
        <w:rPr>
          <w:szCs w:val="20"/>
        </w:rPr>
      </w:r>
      <w:r w:rsidR="00C60041">
        <w:rPr>
          <w:szCs w:val="20"/>
        </w:rPr>
        <w:fldChar w:fldCharType="separate"/>
      </w:r>
      <w:r w:rsidRPr="000A5B32">
        <w:rPr>
          <w:szCs w:val="20"/>
        </w:rPr>
        <w:fldChar w:fldCharType="end"/>
      </w:r>
      <w:r>
        <w:rPr>
          <w:szCs w:val="20"/>
        </w:rPr>
        <w:t xml:space="preserve"> </w:t>
      </w:r>
      <w:r>
        <w:t>Other – please specify below</w:t>
      </w:r>
    </w:p>
    <w:p w:rsidR="005F3F07" w:rsidRDefault="00CD731D" w:rsidP="0073597B">
      <w:pPr>
        <w:ind w:left="426"/>
        <w:rPr>
          <w:b/>
          <w:szCs w:val="20"/>
        </w:rPr>
      </w:pPr>
      <w:r>
        <w:t xml:space="preserve">The medical service will be conducted in pathology laboratories which may be </w:t>
      </w:r>
      <w:r w:rsidR="00696F7D">
        <w:t xml:space="preserve">private companies, or may be domiciled </w:t>
      </w:r>
      <w:r>
        <w:t>within privat</w:t>
      </w:r>
      <w:r w:rsidR="00696F7D">
        <w:t>e or public research institutes or</w:t>
      </w:r>
      <w:r>
        <w:t xml:space="preserve"> hospi</w:t>
      </w:r>
      <w:r w:rsidR="00696F7D">
        <w:t>tals.</w:t>
      </w:r>
    </w:p>
    <w:p w:rsidR="003433D1" w:rsidRPr="005C3AE7" w:rsidRDefault="00E048ED" w:rsidP="005C3AE7">
      <w:pPr>
        <w:pStyle w:val="ListParagraph"/>
        <w:numPr>
          <w:ilvl w:val="0"/>
          <w:numId w:val="29"/>
        </w:numPr>
        <w:rPr>
          <w:b/>
          <w:szCs w:val="20"/>
        </w:rPr>
      </w:pPr>
      <w:r w:rsidRPr="005C3AE7">
        <w:rPr>
          <w:b/>
          <w:szCs w:val="20"/>
        </w:rPr>
        <w:lastRenderedPageBreak/>
        <w:t>Where the proposed medical service is provided in more than one setting, please describ</w:t>
      </w:r>
      <w:r w:rsidR="00AE1188" w:rsidRPr="005C3AE7">
        <w:rPr>
          <w:b/>
          <w:szCs w:val="20"/>
        </w:rPr>
        <w:t>e the rationale related to each:</w:t>
      </w:r>
    </w:p>
    <w:p w:rsidR="0073597B" w:rsidRDefault="00696F7D" w:rsidP="0073597B">
      <w:pPr>
        <w:ind w:left="426"/>
        <w:rPr>
          <w:b/>
          <w:szCs w:val="20"/>
        </w:rPr>
      </w:pPr>
      <w:r>
        <w:t>Not applicable.</w:t>
      </w:r>
    </w:p>
    <w:p w:rsidR="003E30FB" w:rsidRDefault="003E30FB" w:rsidP="00530204">
      <w:pPr>
        <w:pStyle w:val="Heading2"/>
      </w:pPr>
      <w:r>
        <w:t xml:space="preserve">Is the </w:t>
      </w:r>
      <w:r w:rsidRPr="001B29A1">
        <w:t>proposed</w:t>
      </w:r>
      <w:r>
        <w:t xml:space="preserve"> medical service intended to be entirely rendered in Australia?</w:t>
      </w:r>
    </w:p>
    <w:p w:rsidR="000A478F" w:rsidRDefault="00696F7D"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0A478F">
        <w:rPr>
          <w:szCs w:val="20"/>
        </w:rPr>
        <w:t xml:space="preserve"> Yes</w:t>
      </w:r>
    </w:p>
    <w:p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60041">
        <w:rPr>
          <w:szCs w:val="20"/>
        </w:rPr>
      </w:r>
      <w:r w:rsidR="00C60041">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3E30FB" w:rsidRPr="000A478F" w:rsidRDefault="001B29A1" w:rsidP="000A478F">
      <w:pPr>
        <w:ind w:left="426"/>
      </w:pPr>
      <w:r>
        <w:fldChar w:fldCharType="begin">
          <w:ffData>
            <w:name w:val="Text1"/>
            <w:enabled/>
            <w:calcOnExit w:val="0"/>
            <w:textInput>
              <w:default w:val="Specify further details here"/>
            </w:textInput>
          </w:ffData>
        </w:fldChar>
      </w:r>
      <w:bookmarkStart w:id="4" w:name="Text1"/>
      <w:r>
        <w:instrText xml:space="preserve"> FORMTEXT </w:instrText>
      </w:r>
      <w:r>
        <w:fldChar w:fldCharType="separate"/>
      </w:r>
      <w:r>
        <w:rPr>
          <w:noProof/>
        </w:rPr>
        <w:t>Specify further details here</w:t>
      </w:r>
      <w:r>
        <w:fldChar w:fldCharType="end"/>
      </w:r>
      <w:bookmarkEnd w:id="4"/>
      <w:r w:rsidR="00C50716">
        <w:t xml:space="preserve">. </w:t>
      </w:r>
      <w:r w:rsidR="00820DEB">
        <w:t xml:space="preserve"> Not applicable</w:t>
      </w:r>
    </w:p>
    <w:p w:rsidR="000A478F" w:rsidRDefault="000A478F" w:rsidP="00881F93">
      <w:pPr>
        <w:rPr>
          <w:b/>
          <w:i/>
          <w:szCs w:val="20"/>
          <w:u w:val="single"/>
        </w:rPr>
      </w:pPr>
      <w:r>
        <w:rPr>
          <w:b/>
          <w:i/>
          <w:szCs w:val="20"/>
          <w:u w:val="single"/>
        </w:rPr>
        <w:br w:type="page"/>
      </w:r>
    </w:p>
    <w:p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003FD6" w:rsidRDefault="00A32D33" w:rsidP="001B29A1">
      <w:pPr>
        <w:ind w:left="426"/>
      </w:pPr>
      <w:r>
        <w:t xml:space="preserve">The comparator for </w:t>
      </w:r>
      <w:r w:rsidR="00696F7D">
        <w:t xml:space="preserve">PD-L1 testing </w:t>
      </w:r>
      <w:r>
        <w:t>in Stage IV urothelial cancer to determine 1</w:t>
      </w:r>
      <w:r w:rsidRPr="00A32D33">
        <w:rPr>
          <w:vertAlign w:val="superscript"/>
        </w:rPr>
        <w:t>st</w:t>
      </w:r>
      <w:r>
        <w:t xml:space="preserve"> line treatment is no </w:t>
      </w:r>
      <w:r w:rsidR="00696F7D">
        <w:t>PD-L1 testing</w:t>
      </w:r>
      <w:r w:rsidR="00820DEB">
        <w:t xml:space="preserve">, as </w:t>
      </w:r>
      <w:r w:rsidR="00003FD6">
        <w:t xml:space="preserve">IHC </w:t>
      </w:r>
      <w:r w:rsidR="00820DEB">
        <w:t xml:space="preserve">testing </w:t>
      </w:r>
      <w:r w:rsidR="00901627">
        <w:t xml:space="preserve">for PD-L1 </w:t>
      </w:r>
      <w:r w:rsidR="00003FD6">
        <w:t xml:space="preserve">expression </w:t>
      </w:r>
      <w:r>
        <w:t xml:space="preserve">in urothelial cancer patients </w:t>
      </w:r>
      <w:r w:rsidR="00820DEB">
        <w:t>is not currently carr</w:t>
      </w:r>
      <w:r w:rsidR="00003FD6">
        <w:t>ied out as a standard laboratory procedure in Australia</w:t>
      </w:r>
      <w:r w:rsidR="00696F7D">
        <w:t xml:space="preserve">.  </w:t>
      </w:r>
    </w:p>
    <w:p w:rsidR="004D3030" w:rsidRDefault="00003FD6" w:rsidP="004D3030">
      <w:pPr>
        <w:ind w:left="426"/>
      </w:pPr>
      <w:r>
        <w:t>The comparator</w:t>
      </w:r>
      <w:r w:rsidR="00696F7D">
        <w:t xml:space="preserve"> for 1</w:t>
      </w:r>
      <w:r w:rsidR="00696F7D" w:rsidRPr="00696F7D">
        <w:rPr>
          <w:vertAlign w:val="superscript"/>
        </w:rPr>
        <w:t>st</w:t>
      </w:r>
      <w:r>
        <w:t xml:space="preserve"> line </w:t>
      </w:r>
      <w:proofErr w:type="spellStart"/>
      <w:r>
        <w:t>durvalumab</w:t>
      </w:r>
      <w:proofErr w:type="spellEnd"/>
      <w:r>
        <w:t xml:space="preserve"> monotherapy or </w:t>
      </w:r>
      <w:proofErr w:type="spellStart"/>
      <w:r w:rsidR="00696F7D">
        <w:t>durvalumab</w:t>
      </w:r>
      <w:proofErr w:type="spellEnd"/>
      <w:r w:rsidR="00696F7D">
        <w:t>/</w:t>
      </w:r>
      <w:proofErr w:type="spellStart"/>
      <w:r w:rsidR="00696F7D">
        <w:t>tremelimumab</w:t>
      </w:r>
      <w:proofErr w:type="spellEnd"/>
      <w:r w:rsidR="00696F7D">
        <w:t xml:space="preserve"> </w:t>
      </w:r>
      <w:r>
        <w:t xml:space="preserve">combination treatment </w:t>
      </w:r>
      <w:r w:rsidR="00A32D33">
        <w:t xml:space="preserve">in urothelial cancer patients </w:t>
      </w:r>
      <w:r>
        <w:t>is</w:t>
      </w:r>
      <w:r w:rsidR="00696F7D">
        <w:t xml:space="preserve"> currently 1</w:t>
      </w:r>
      <w:r w:rsidR="00696F7D" w:rsidRPr="00696F7D">
        <w:rPr>
          <w:vertAlign w:val="superscript"/>
        </w:rPr>
        <w:t>st</w:t>
      </w:r>
      <w:r>
        <w:t xml:space="preserve"> line platinum-based</w:t>
      </w:r>
      <w:r w:rsidR="00696F7D">
        <w:t xml:space="preserve"> chemotherapy.  </w:t>
      </w:r>
      <w:r w:rsidR="00BE065C">
        <w:t xml:space="preserve">The preferred platinum doublet regimen will depend on whether the patient can tolerate cisplatin treatment or not.  Cisplatin/gemcitabine is </w:t>
      </w:r>
      <w:r w:rsidR="00101E17">
        <w:t xml:space="preserve">the most commonly used regimen, although a small proportion of patients may receive MVAC (methotrexate, vinblastine, </w:t>
      </w:r>
      <w:proofErr w:type="spellStart"/>
      <w:r w:rsidR="00101E17">
        <w:t>adriamycin</w:t>
      </w:r>
      <w:proofErr w:type="spellEnd"/>
      <w:r w:rsidR="00101E17">
        <w:t xml:space="preserve"> and cisplatin).</w:t>
      </w:r>
      <w:r w:rsidR="00955C4D">
        <w:rPr>
          <w:vertAlign w:val="superscript"/>
        </w:rPr>
        <w:t>1</w:t>
      </w:r>
      <w:proofErr w:type="gramStart"/>
      <w:r w:rsidR="00955C4D">
        <w:rPr>
          <w:vertAlign w:val="superscript"/>
        </w:rPr>
        <w:t>,2</w:t>
      </w:r>
      <w:proofErr w:type="gramEnd"/>
      <w:r w:rsidR="00101E17">
        <w:t xml:space="preserve">  In</w:t>
      </w:r>
      <w:r w:rsidR="00955C4D">
        <w:t xml:space="preserve"> approximately 50% of patients </w:t>
      </w:r>
      <w:r w:rsidR="00101E17">
        <w:t>unable to tolerate cisplatin-based regimens because of impaired renal function or significant co-morbidities</w:t>
      </w:r>
      <w:r w:rsidR="00955C4D">
        <w:t xml:space="preserve"> carboplatin/gemcitabine is the preferred regimen.</w:t>
      </w:r>
    </w:p>
    <w:p w:rsidR="00A95844" w:rsidRPr="00F97BC9" w:rsidRDefault="004D3030" w:rsidP="001B29A1">
      <w:pPr>
        <w:ind w:left="426"/>
      </w:pPr>
      <w:r>
        <w:t>The DANUBE</w:t>
      </w:r>
      <w:r w:rsidR="00F97BC9">
        <w:t xml:space="preserve"> study population c</w:t>
      </w:r>
      <w:r w:rsidR="00A32D33">
        <w:t>omprises Stage IV urothelial cancer patients</w:t>
      </w:r>
      <w:r w:rsidR="00F97BC9">
        <w:t xml:space="preserve">, and it is this patient group who are </w:t>
      </w:r>
      <w:r w:rsidR="00741789">
        <w:t>the proposed</w:t>
      </w:r>
      <w:r w:rsidR="00F97BC9">
        <w:t xml:space="preserve"> candidates for </w:t>
      </w:r>
      <w:r w:rsidR="00A32D33">
        <w:t xml:space="preserve">PD-L1 testing to determine </w:t>
      </w:r>
      <w:r w:rsidR="002305BA">
        <w:t xml:space="preserve">access to </w:t>
      </w:r>
      <w:proofErr w:type="spellStart"/>
      <w:r w:rsidR="00A37644">
        <w:t>durvalumab</w:t>
      </w:r>
      <w:proofErr w:type="spellEnd"/>
      <w:r w:rsidR="00A37644">
        <w:t xml:space="preserve"> or </w:t>
      </w:r>
      <w:proofErr w:type="spellStart"/>
      <w:r w:rsidR="00A37644">
        <w:t>durvalumab</w:t>
      </w:r>
      <w:proofErr w:type="spellEnd"/>
      <w:r w:rsidR="00A37644">
        <w:t>/</w:t>
      </w:r>
      <w:proofErr w:type="spellStart"/>
      <w:r w:rsidR="00A37644">
        <w:t>tremelimumab</w:t>
      </w:r>
      <w:proofErr w:type="spellEnd"/>
      <w:r w:rsidR="00A37644">
        <w:t xml:space="preserve"> treatment.</w:t>
      </w:r>
    </w:p>
    <w:p w:rsidR="00E60529" w:rsidRDefault="004B5912" w:rsidP="001B29A1">
      <w:pPr>
        <w:ind w:left="426"/>
      </w:pPr>
      <w:r>
        <w:t xml:space="preserve">A future comparator for </w:t>
      </w:r>
      <w:proofErr w:type="spellStart"/>
      <w:r>
        <w:t>durvalumab</w:t>
      </w:r>
      <w:proofErr w:type="spellEnd"/>
      <w:r>
        <w:t xml:space="preserve"> monotherapy treatment could be 1</w:t>
      </w:r>
      <w:r w:rsidRPr="004B5912">
        <w:rPr>
          <w:vertAlign w:val="superscript"/>
        </w:rPr>
        <w:t>st</w:t>
      </w:r>
      <w:r>
        <w:t xml:space="preserve"> line </w:t>
      </w:r>
      <w:proofErr w:type="spellStart"/>
      <w:r>
        <w:t>pembrolizumab</w:t>
      </w:r>
      <w:proofErr w:type="spellEnd"/>
      <w:r>
        <w:t xml:space="preserve"> monotherapy treatment in p</w:t>
      </w:r>
      <w:r w:rsidR="00ED3DAE">
        <w:t>atients who have</w:t>
      </w:r>
      <w:r w:rsidR="007C5382">
        <w:t xml:space="preserve"> a high level of PD-L1 </w:t>
      </w:r>
      <w:r>
        <w:t>expr</w:t>
      </w:r>
      <w:r w:rsidR="004D3030">
        <w:t>ession</w:t>
      </w:r>
      <w:r w:rsidR="0015320C">
        <w:t xml:space="preserve"> and are ineligible for cisplatin treatment</w:t>
      </w:r>
      <w:r w:rsidR="00633A28">
        <w:t xml:space="preserve"> </w:t>
      </w:r>
      <w:r w:rsidR="003F4A4F">
        <w:t xml:space="preserve">(refer MSAC PICO Confirmation </w:t>
      </w:r>
      <w:r w:rsidR="00633A28">
        <w:t>1457).</w:t>
      </w:r>
      <w:r w:rsidR="00ED3DAE">
        <w:t xml:space="preserve">  </w:t>
      </w:r>
      <w:r w:rsidR="00195699">
        <w:t xml:space="preserve">A comparison of </w:t>
      </w:r>
      <w:proofErr w:type="spellStart"/>
      <w:r w:rsidR="00195699">
        <w:t>durvalumab</w:t>
      </w:r>
      <w:proofErr w:type="spellEnd"/>
      <w:r w:rsidR="00195699">
        <w:t xml:space="preserve"> to </w:t>
      </w:r>
      <w:proofErr w:type="spellStart"/>
      <w:r w:rsidR="00195699">
        <w:t>pembrolizumab</w:t>
      </w:r>
      <w:proofErr w:type="spellEnd"/>
      <w:r w:rsidR="00195699">
        <w:t xml:space="preserve"> will be included in a submission based on this application.</w:t>
      </w:r>
      <w:r w:rsidR="007C5382">
        <w:t xml:space="preserve">  It should be noted that the </w:t>
      </w:r>
      <w:r w:rsidR="00016798">
        <w:t xml:space="preserve">first </w:t>
      </w:r>
      <w:r w:rsidR="007C5382">
        <w:t xml:space="preserve">line </w:t>
      </w:r>
      <w:proofErr w:type="spellStart"/>
      <w:r w:rsidR="007C5382">
        <w:t>durvalumab</w:t>
      </w:r>
      <w:proofErr w:type="spellEnd"/>
      <w:r w:rsidR="007C5382">
        <w:t xml:space="preserve"> treatment arm of the DANUBE study includes both cisplatin-eligible and cisplatin-ineligible patients, whereas the </w:t>
      </w:r>
      <w:proofErr w:type="spellStart"/>
      <w:r w:rsidR="007C5382">
        <w:t>pembrolizumab</w:t>
      </w:r>
      <w:proofErr w:type="spellEnd"/>
      <w:r w:rsidR="007C5382">
        <w:t xml:space="preserve"> trial includes only cisplatin ineligible </w:t>
      </w:r>
      <w:r w:rsidR="00633A28">
        <w:t>patients.</w:t>
      </w:r>
    </w:p>
    <w:p w:rsidR="00D029EC" w:rsidRPr="00F11F13" w:rsidRDefault="00D029EC" w:rsidP="00D029EC">
      <w:pPr>
        <w:ind w:left="360"/>
        <w:rPr>
          <w:sz w:val="16"/>
          <w:szCs w:val="16"/>
        </w:rPr>
      </w:pPr>
      <w:proofErr w:type="gramStart"/>
      <w:r>
        <w:rPr>
          <w:vertAlign w:val="superscript"/>
        </w:rPr>
        <w:t>1</w:t>
      </w:r>
      <w:r>
        <w:rPr>
          <w:sz w:val="16"/>
          <w:szCs w:val="16"/>
        </w:rPr>
        <w:t xml:space="preserve">Bellmunt J, </w:t>
      </w:r>
      <w:proofErr w:type="spellStart"/>
      <w:r>
        <w:rPr>
          <w:sz w:val="16"/>
          <w:szCs w:val="16"/>
        </w:rPr>
        <w:t>Orsola</w:t>
      </w:r>
      <w:proofErr w:type="spellEnd"/>
      <w:r>
        <w:rPr>
          <w:sz w:val="16"/>
          <w:szCs w:val="16"/>
        </w:rPr>
        <w:t xml:space="preserve"> A, </w:t>
      </w:r>
      <w:proofErr w:type="spellStart"/>
      <w:r>
        <w:rPr>
          <w:sz w:val="16"/>
          <w:szCs w:val="16"/>
        </w:rPr>
        <w:t>Leow</w:t>
      </w:r>
      <w:proofErr w:type="spellEnd"/>
      <w:r>
        <w:rPr>
          <w:sz w:val="16"/>
          <w:szCs w:val="16"/>
        </w:rPr>
        <w:t xml:space="preserve"> JJ, et al.</w:t>
      </w:r>
      <w:proofErr w:type="gramEnd"/>
      <w:r>
        <w:rPr>
          <w:sz w:val="16"/>
          <w:szCs w:val="16"/>
        </w:rPr>
        <w:t xml:space="preserve">  Bladder cancer: ESMO Practice Guidelines for diagnosis, treatment and follow-up.  Ann. </w:t>
      </w:r>
      <w:proofErr w:type="spellStart"/>
      <w:r>
        <w:rPr>
          <w:sz w:val="16"/>
          <w:szCs w:val="16"/>
        </w:rPr>
        <w:t>Oncol</w:t>
      </w:r>
      <w:proofErr w:type="spellEnd"/>
      <w:r>
        <w:rPr>
          <w:sz w:val="16"/>
          <w:szCs w:val="16"/>
        </w:rPr>
        <w:t>. 2014, 25(Suppl.3):iii40-8.</w:t>
      </w:r>
    </w:p>
    <w:p w:rsidR="00955C4D" w:rsidRPr="00D029EC" w:rsidRDefault="00D029EC" w:rsidP="00D029EC">
      <w:pPr>
        <w:ind w:left="360"/>
      </w:pPr>
      <w:r>
        <w:rPr>
          <w:vertAlign w:val="superscript"/>
        </w:rPr>
        <w:t>2</w:t>
      </w:r>
      <w:r w:rsidRPr="00D77DC6">
        <w:rPr>
          <w:sz w:val="16"/>
          <w:szCs w:val="16"/>
        </w:rPr>
        <w:t>Australian clinical expert opinion (AstraZeneca Bladder Cancer Advisory Board)</w:t>
      </w:r>
    </w:p>
    <w:p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60041">
        <w:rPr>
          <w:szCs w:val="20"/>
        </w:rPr>
      </w:r>
      <w:r w:rsidR="00C60041">
        <w:rPr>
          <w:szCs w:val="20"/>
        </w:rPr>
        <w:fldChar w:fldCharType="separate"/>
      </w:r>
      <w:r w:rsidRPr="00753C44">
        <w:rPr>
          <w:szCs w:val="20"/>
        </w:rPr>
        <w:fldChar w:fldCharType="end"/>
      </w:r>
      <w:r>
        <w:rPr>
          <w:szCs w:val="20"/>
        </w:rPr>
        <w:t xml:space="preserve"> Yes (please provide all relevant MBS item numbers below)</w:t>
      </w:r>
    </w:p>
    <w:p w:rsidR="000159B9" w:rsidRDefault="004B5912"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6A1038">
        <w:rPr>
          <w:szCs w:val="20"/>
        </w:rPr>
        <w:t xml:space="preserve"> No  </w:t>
      </w:r>
    </w:p>
    <w:p w:rsidR="000159B9" w:rsidRDefault="001B29A1" w:rsidP="001B29A1">
      <w:pPr>
        <w:ind w:left="426"/>
      </w:pPr>
      <w:r>
        <w:fldChar w:fldCharType="begin">
          <w:ffData>
            <w:name w:val=""/>
            <w:enabled/>
            <w:calcOnExit w:val="0"/>
            <w:textInput>
              <w:default w:val="Specify item number/s here"/>
            </w:textInput>
          </w:ffData>
        </w:fldChar>
      </w:r>
      <w:r>
        <w:instrText xml:space="preserve"> FORMTEXT </w:instrText>
      </w:r>
      <w:r>
        <w:fldChar w:fldCharType="separate"/>
      </w:r>
      <w:r>
        <w:rPr>
          <w:noProof/>
        </w:rPr>
        <w:t>Specify item number/s here</w:t>
      </w:r>
      <w:r>
        <w:fldChar w:fldCharType="end"/>
      </w:r>
      <w:r w:rsidR="00FC5FFD">
        <w:t>:</w:t>
      </w:r>
    </w:p>
    <w:p w:rsidR="00FC5FFD" w:rsidRPr="00154B00" w:rsidRDefault="00633A28" w:rsidP="001B29A1">
      <w:pPr>
        <w:ind w:left="426"/>
        <w:rPr>
          <w:szCs w:val="20"/>
        </w:rPr>
      </w:pPr>
      <w:r>
        <w:t xml:space="preserve">IHC testing for PD-L1 </w:t>
      </w:r>
      <w:r w:rsidR="00FC5FFD">
        <w:t>expression is not currently listed as an MBS item</w:t>
      </w:r>
      <w:r w:rsidR="002305BA">
        <w:t xml:space="preserve"> for any tumour type</w:t>
      </w:r>
      <w:r w:rsidR="00FC5FFD">
        <w:t xml:space="preserve">.  PD-L1 testing </w:t>
      </w:r>
      <w:r w:rsidR="002305BA">
        <w:t xml:space="preserve">to determine access to </w:t>
      </w:r>
      <w:proofErr w:type="spellStart"/>
      <w:r w:rsidR="002305BA">
        <w:t>pembrolizumab</w:t>
      </w:r>
      <w:proofErr w:type="spellEnd"/>
      <w:r w:rsidR="002305BA">
        <w:t xml:space="preserve"> in cisplatin-ineligible </w:t>
      </w:r>
      <w:r w:rsidR="00D029EC">
        <w:t xml:space="preserve">locally advanced or metastatic </w:t>
      </w:r>
      <w:r w:rsidR="002305BA">
        <w:t xml:space="preserve">urothelial cancer patients </w:t>
      </w:r>
      <w:r w:rsidR="00FC5FFD">
        <w:t xml:space="preserve">may be listed on the MBS in the future as </w:t>
      </w:r>
      <w:r w:rsidR="00016798">
        <w:t>an outcome of MSAC PICO Confirmation</w:t>
      </w:r>
      <w:r w:rsidR="00FC6DC0">
        <w:t xml:space="preserve"> 1457</w:t>
      </w:r>
      <w:r w:rsidR="00FC5FFD">
        <w:t>.  Other forms of IHC testing (not specific for PD-L1) are listed as MBS items.</w:t>
      </w:r>
    </w:p>
    <w:p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rsidR="0043438A" w:rsidRDefault="0043438A" w:rsidP="0043438A">
      <w:pPr>
        <w:ind w:left="360"/>
        <w:rPr>
          <w:szCs w:val="20"/>
        </w:rPr>
      </w:pPr>
      <w:r>
        <w:rPr>
          <w:szCs w:val="20"/>
        </w:rPr>
        <w:t xml:space="preserve">A proportion (approximately 30%) of urothelial cancer patients will be diagnosed with Stage IV disease.  </w:t>
      </w:r>
      <w:r w:rsidR="00285C2A">
        <w:rPr>
          <w:szCs w:val="20"/>
        </w:rPr>
        <w:t>For patients with Stage IV disease about 80% will be suitable candidates for 1</w:t>
      </w:r>
      <w:r w:rsidR="00285C2A" w:rsidRPr="00DA0458">
        <w:rPr>
          <w:szCs w:val="20"/>
          <w:vertAlign w:val="superscript"/>
        </w:rPr>
        <w:t>st</w:t>
      </w:r>
      <w:r w:rsidR="00285C2A">
        <w:rPr>
          <w:szCs w:val="20"/>
        </w:rPr>
        <w:t xml:space="preserve"> line systemic treatment, and 20% would receive best supportive care only.  </w:t>
      </w:r>
      <w:r>
        <w:rPr>
          <w:szCs w:val="20"/>
        </w:rPr>
        <w:t xml:space="preserve">The majority of patients will be diagnosed with earlier stage disease and may </w:t>
      </w:r>
      <w:r>
        <w:t xml:space="preserve">undergo other potentially curative treatment options including tumour resection, cystectomy, neo-adjuvant or adjuvant chemotherapy or radiotherapy.  Approximately 50% of these </w:t>
      </w:r>
      <w:r w:rsidR="00016798">
        <w:t>patients will eventually progress</w:t>
      </w:r>
      <w:r>
        <w:t xml:space="preserve"> to Stage IV disease.  </w:t>
      </w:r>
      <w:r>
        <w:rPr>
          <w:szCs w:val="20"/>
        </w:rPr>
        <w:t>The standard of care 1</w:t>
      </w:r>
      <w:r w:rsidRPr="00BA38F2">
        <w:rPr>
          <w:szCs w:val="20"/>
          <w:vertAlign w:val="superscript"/>
        </w:rPr>
        <w:t>st</w:t>
      </w:r>
      <w:r>
        <w:rPr>
          <w:szCs w:val="20"/>
        </w:rPr>
        <w:t xml:space="preserve"> line treatment </w:t>
      </w:r>
      <w:r w:rsidR="00285C2A">
        <w:rPr>
          <w:szCs w:val="20"/>
        </w:rPr>
        <w:t xml:space="preserve">for patients with Stage IV urothelial cancer </w:t>
      </w:r>
      <w:r>
        <w:rPr>
          <w:szCs w:val="20"/>
        </w:rPr>
        <w:t>is currently a platinum doublet such as cisplatin/gemcitabine (for patients who are eligible for cisplatin) or carbopl</w:t>
      </w:r>
      <w:r w:rsidR="00285C2A">
        <w:rPr>
          <w:szCs w:val="20"/>
        </w:rPr>
        <w:t>atin/gemcitabine (for cisplatin-</w:t>
      </w:r>
      <w:r>
        <w:rPr>
          <w:szCs w:val="20"/>
        </w:rPr>
        <w:t xml:space="preserve">ineligible patients).  A </w:t>
      </w:r>
      <w:r w:rsidR="00285C2A">
        <w:rPr>
          <w:szCs w:val="20"/>
        </w:rPr>
        <w:t xml:space="preserve">small </w:t>
      </w:r>
      <w:r>
        <w:rPr>
          <w:szCs w:val="20"/>
        </w:rPr>
        <w:t xml:space="preserve">proportion </w:t>
      </w:r>
      <w:r w:rsidR="00285C2A">
        <w:rPr>
          <w:szCs w:val="20"/>
        </w:rPr>
        <w:t xml:space="preserve">(approximately 10%) </w:t>
      </w:r>
      <w:r>
        <w:rPr>
          <w:szCs w:val="20"/>
        </w:rPr>
        <w:t xml:space="preserve">of patients </w:t>
      </w:r>
      <w:r w:rsidR="00285C2A">
        <w:rPr>
          <w:szCs w:val="20"/>
        </w:rPr>
        <w:t>who receive 1</w:t>
      </w:r>
      <w:r w:rsidR="00285C2A" w:rsidRPr="00285C2A">
        <w:rPr>
          <w:szCs w:val="20"/>
          <w:vertAlign w:val="superscript"/>
        </w:rPr>
        <w:t>st</w:t>
      </w:r>
      <w:r w:rsidR="00285C2A">
        <w:rPr>
          <w:szCs w:val="20"/>
        </w:rPr>
        <w:t xml:space="preserve"> line chemotherapy </w:t>
      </w:r>
      <w:r>
        <w:rPr>
          <w:szCs w:val="20"/>
        </w:rPr>
        <w:t xml:space="preserve">may not experience further </w:t>
      </w:r>
      <w:r>
        <w:rPr>
          <w:szCs w:val="20"/>
        </w:rPr>
        <w:lastRenderedPageBreak/>
        <w:t>progression of disease (“cure”)</w:t>
      </w:r>
      <w:r>
        <w:rPr>
          <w:szCs w:val="20"/>
          <w:vertAlign w:val="superscript"/>
        </w:rPr>
        <w:t>1</w:t>
      </w:r>
      <w:r>
        <w:rPr>
          <w:szCs w:val="20"/>
        </w:rPr>
        <w:t>, however the majority of patients eventually progress and receive best supportive care only or subsequent lines of chemotherapy.</w:t>
      </w:r>
    </w:p>
    <w:p w:rsidR="0043438A" w:rsidRPr="00DA0458" w:rsidRDefault="0043438A" w:rsidP="0043438A">
      <w:pPr>
        <w:ind w:left="360"/>
        <w:rPr>
          <w:szCs w:val="20"/>
        </w:rPr>
      </w:pPr>
      <w:r w:rsidRPr="00B23BF8">
        <w:rPr>
          <w:szCs w:val="20"/>
          <w:vertAlign w:val="superscript"/>
        </w:rPr>
        <w:t>1</w:t>
      </w:r>
      <w:r w:rsidRPr="00D77DC6">
        <w:rPr>
          <w:sz w:val="16"/>
          <w:szCs w:val="16"/>
        </w:rPr>
        <w:t>Australian clinical expert opinion (AstraZeneca Bladder Cancer Advisory Board)</w:t>
      </w:r>
    </w:p>
    <w:p w:rsidR="004117A3" w:rsidRDefault="004117A3" w:rsidP="00285C2A">
      <w:pPr>
        <w:ind w:left="360"/>
      </w:pPr>
      <w:r>
        <w:t xml:space="preserve">Please refer to the Microsoft Visio Attachment to this application, </w:t>
      </w:r>
      <w:r w:rsidR="00B23BF8">
        <w:t>“</w:t>
      </w:r>
      <w:r w:rsidR="00C5521A">
        <w:t xml:space="preserve">1LUC </w:t>
      </w:r>
      <w:r w:rsidR="00200340">
        <w:t>Algorithms</w:t>
      </w:r>
      <w:r w:rsidR="00B23BF8">
        <w:t>”</w:t>
      </w:r>
      <w:r w:rsidR="00200340">
        <w:t xml:space="preserve">, and </w:t>
      </w:r>
      <w:r w:rsidR="0070464E">
        <w:t>“Proposed</w:t>
      </w:r>
      <w:r>
        <w:t>” drawing for an editable version of the flowchart below.</w:t>
      </w:r>
    </w:p>
    <w:p w:rsidR="00E560F5" w:rsidRDefault="00E560F5" w:rsidP="00285C2A">
      <w:pPr>
        <w:ind w:left="360"/>
      </w:pPr>
    </w:p>
    <w:p w:rsidR="004117A3" w:rsidRDefault="00E560F5" w:rsidP="001B29A1">
      <w:pPr>
        <w:ind w:left="426"/>
        <w:rPr>
          <w:szCs w:val="20"/>
          <w:highlight w:val="yellow"/>
        </w:rPr>
      </w:pPr>
      <w:r w:rsidRPr="00E560F5">
        <w:rPr>
          <w:noProof/>
          <w:lang w:eastAsia="en-AU"/>
        </w:rPr>
        <w:drawing>
          <wp:inline distT="0" distB="0" distL="0" distR="0">
            <wp:extent cx="5731510" cy="5185001"/>
            <wp:effectExtent l="0" t="0" r="2540" b="0"/>
            <wp:docPr id="6" name="Picture 6" descr="Diagram showing current clinical management pathways that patients may follow after they receive the medical service" title="Clinical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5185001"/>
                    </a:xfrm>
                    <a:prstGeom prst="rect">
                      <a:avLst/>
                    </a:prstGeom>
                    <a:noFill/>
                    <a:ln>
                      <a:noFill/>
                    </a:ln>
                  </pic:spPr>
                </pic:pic>
              </a:graphicData>
            </a:graphic>
          </wp:inline>
        </w:drawing>
      </w:r>
    </w:p>
    <w:p w:rsidR="0043438A" w:rsidRDefault="0043438A" w:rsidP="001B29A1">
      <w:pPr>
        <w:ind w:left="426"/>
        <w:rPr>
          <w:szCs w:val="20"/>
          <w:highlight w:val="yellow"/>
        </w:rPr>
      </w:pPr>
    </w:p>
    <w:p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A02C2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1B29A1">
        <w:rPr>
          <w:szCs w:val="20"/>
        </w:rPr>
        <w:t xml:space="preserve"> Yes </w:t>
      </w:r>
    </w:p>
    <w:p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60041">
        <w:rPr>
          <w:szCs w:val="20"/>
        </w:rPr>
      </w:r>
      <w:r w:rsidR="00C60041">
        <w:rPr>
          <w:szCs w:val="20"/>
        </w:rPr>
        <w:fldChar w:fldCharType="separate"/>
      </w:r>
      <w:r w:rsidRPr="00753C44">
        <w:rPr>
          <w:szCs w:val="20"/>
        </w:rPr>
        <w:fldChar w:fldCharType="end"/>
      </w:r>
      <w:r>
        <w:rPr>
          <w:szCs w:val="20"/>
        </w:rPr>
        <w:t xml:space="preserve"> No</w:t>
      </w:r>
    </w:p>
    <w:p w:rsidR="00A02C23" w:rsidRDefault="00A02C23" w:rsidP="001B29A1">
      <w:pPr>
        <w:spacing w:before="0" w:after="0"/>
        <w:ind w:left="426"/>
        <w:rPr>
          <w:szCs w:val="20"/>
        </w:rPr>
      </w:pPr>
    </w:p>
    <w:p w:rsidR="003C47B6" w:rsidRDefault="00A02C23" w:rsidP="001B29A1">
      <w:pPr>
        <w:spacing w:before="0" w:after="0"/>
        <w:ind w:left="426"/>
        <w:rPr>
          <w:szCs w:val="20"/>
        </w:rPr>
      </w:pPr>
      <w:r>
        <w:rPr>
          <w:szCs w:val="20"/>
        </w:rPr>
        <w:t xml:space="preserve">The proposed medical service (PD-L1 </w:t>
      </w:r>
      <w:r w:rsidR="00633A28">
        <w:rPr>
          <w:szCs w:val="20"/>
        </w:rPr>
        <w:t xml:space="preserve">expression </w:t>
      </w:r>
      <w:r>
        <w:rPr>
          <w:szCs w:val="20"/>
        </w:rPr>
        <w:t>testing) will be used instead of the comparator (no testing).</w:t>
      </w:r>
      <w:r w:rsidR="00BC7B7D">
        <w:rPr>
          <w:szCs w:val="20"/>
        </w:rPr>
        <w:t xml:space="preserve">  The proposed 1</w:t>
      </w:r>
      <w:r w:rsidR="00BC7B7D" w:rsidRPr="00BC7B7D">
        <w:rPr>
          <w:szCs w:val="20"/>
          <w:vertAlign w:val="superscript"/>
        </w:rPr>
        <w:t>st</w:t>
      </w:r>
      <w:r w:rsidR="00BC7B7D">
        <w:rPr>
          <w:szCs w:val="20"/>
        </w:rPr>
        <w:t xml:space="preserve"> line treatments </w:t>
      </w:r>
      <w:proofErr w:type="spellStart"/>
      <w:r w:rsidR="00BC7B7D">
        <w:rPr>
          <w:szCs w:val="20"/>
        </w:rPr>
        <w:t>durvalumab</w:t>
      </w:r>
      <w:proofErr w:type="spellEnd"/>
      <w:r w:rsidR="00BC7B7D">
        <w:rPr>
          <w:szCs w:val="20"/>
        </w:rPr>
        <w:t xml:space="preserve"> monotherapy or </w:t>
      </w:r>
      <w:proofErr w:type="spellStart"/>
      <w:r w:rsidR="00BC7B7D">
        <w:rPr>
          <w:szCs w:val="20"/>
        </w:rPr>
        <w:t>durvalumab</w:t>
      </w:r>
      <w:proofErr w:type="spellEnd"/>
      <w:r w:rsidR="00BC7B7D">
        <w:rPr>
          <w:szCs w:val="20"/>
        </w:rPr>
        <w:t>/</w:t>
      </w:r>
      <w:proofErr w:type="spellStart"/>
      <w:r w:rsidR="00BC7B7D">
        <w:rPr>
          <w:szCs w:val="20"/>
        </w:rPr>
        <w:t>tremelimumab</w:t>
      </w:r>
      <w:proofErr w:type="spellEnd"/>
      <w:r w:rsidR="00BC7B7D">
        <w:rPr>
          <w:szCs w:val="20"/>
        </w:rPr>
        <w:t xml:space="preserve"> combination therapy would be used instead of 1</w:t>
      </w:r>
      <w:r w:rsidR="00BC7B7D" w:rsidRPr="00BC7B7D">
        <w:rPr>
          <w:szCs w:val="20"/>
          <w:vertAlign w:val="superscript"/>
        </w:rPr>
        <w:t>st</w:t>
      </w:r>
      <w:r w:rsidR="00BC7B7D">
        <w:rPr>
          <w:szCs w:val="20"/>
        </w:rPr>
        <w:t xml:space="preserve"> line platinum-based chemotherapy</w:t>
      </w:r>
      <w:r w:rsidR="001C40DC">
        <w:rPr>
          <w:szCs w:val="20"/>
        </w:rPr>
        <w:t>.  Platinum-based chemotherapy would be displaced as the 1</w:t>
      </w:r>
      <w:r w:rsidR="001C40DC" w:rsidRPr="001C40DC">
        <w:rPr>
          <w:szCs w:val="20"/>
          <w:vertAlign w:val="superscript"/>
        </w:rPr>
        <w:t>st</w:t>
      </w:r>
      <w:r w:rsidR="001C40DC">
        <w:rPr>
          <w:szCs w:val="20"/>
        </w:rPr>
        <w:t xml:space="preserve"> line preferred </w:t>
      </w:r>
      <w:proofErr w:type="gramStart"/>
      <w:r w:rsidR="001C40DC">
        <w:rPr>
          <w:szCs w:val="20"/>
        </w:rPr>
        <w:t>treatment,</w:t>
      </w:r>
      <w:proofErr w:type="gramEnd"/>
      <w:r w:rsidR="001C40DC">
        <w:rPr>
          <w:szCs w:val="20"/>
        </w:rPr>
        <w:t xml:space="preserve"> however it would remain an option for subsequent treatment lines.  </w:t>
      </w:r>
    </w:p>
    <w:p w:rsidR="00A02C23" w:rsidRDefault="001C40DC" w:rsidP="001B29A1">
      <w:pPr>
        <w:spacing w:before="0" w:after="0"/>
        <w:ind w:left="426"/>
        <w:rPr>
          <w:szCs w:val="20"/>
        </w:rPr>
      </w:pPr>
      <w:r>
        <w:rPr>
          <w:szCs w:val="20"/>
        </w:rPr>
        <w:t xml:space="preserve">For the comparison of </w:t>
      </w:r>
      <w:proofErr w:type="spellStart"/>
      <w:r>
        <w:rPr>
          <w:szCs w:val="20"/>
        </w:rPr>
        <w:t>durvalumab</w:t>
      </w:r>
      <w:proofErr w:type="spellEnd"/>
      <w:r>
        <w:rPr>
          <w:szCs w:val="20"/>
        </w:rPr>
        <w:t xml:space="preserve"> and </w:t>
      </w:r>
      <w:proofErr w:type="spellStart"/>
      <w:r>
        <w:rPr>
          <w:szCs w:val="20"/>
        </w:rPr>
        <w:t>pembrolizumab</w:t>
      </w:r>
      <w:proofErr w:type="spellEnd"/>
      <w:r>
        <w:rPr>
          <w:szCs w:val="20"/>
        </w:rPr>
        <w:t xml:space="preserve"> monotherapy, </w:t>
      </w:r>
      <w:proofErr w:type="spellStart"/>
      <w:r>
        <w:rPr>
          <w:szCs w:val="20"/>
        </w:rPr>
        <w:t>durvalumab</w:t>
      </w:r>
      <w:proofErr w:type="spellEnd"/>
      <w:r>
        <w:rPr>
          <w:szCs w:val="20"/>
        </w:rPr>
        <w:t xml:space="preserve"> would be used instead of </w:t>
      </w:r>
      <w:proofErr w:type="spellStart"/>
      <w:r>
        <w:rPr>
          <w:szCs w:val="20"/>
        </w:rPr>
        <w:t>pembrolizumab</w:t>
      </w:r>
      <w:proofErr w:type="spellEnd"/>
      <w:r>
        <w:rPr>
          <w:szCs w:val="20"/>
        </w:rPr>
        <w:t xml:space="preserve"> in a proportion of patients.</w:t>
      </w:r>
    </w:p>
    <w:p w:rsidR="00E70D86" w:rsidRPr="00154B00" w:rsidRDefault="00E70D86" w:rsidP="005C3AE7">
      <w:pPr>
        <w:pStyle w:val="Heading2"/>
        <w:numPr>
          <w:ilvl w:val="0"/>
          <w:numId w:val="30"/>
        </w:numPr>
      </w:pPr>
      <w:r w:rsidRPr="00154B00">
        <w:lastRenderedPageBreak/>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rsidR="003433D1" w:rsidRPr="001B29A1" w:rsidRDefault="00BC7B7D" w:rsidP="001B29A1">
      <w:pPr>
        <w:ind w:left="426"/>
        <w:rPr>
          <w:szCs w:val="20"/>
        </w:rPr>
      </w:pPr>
      <w:proofErr w:type="gramStart"/>
      <w:r>
        <w:t xml:space="preserve">Up to </w:t>
      </w:r>
      <w:r w:rsidR="00A02C23">
        <w:t>100% substitution</w:t>
      </w:r>
      <w:r w:rsidR="001C40DC">
        <w:t xml:space="preserve"> of no testing with PD-L1 </w:t>
      </w:r>
      <w:r w:rsidR="00641FBC">
        <w:t>testing.</w:t>
      </w:r>
      <w:proofErr w:type="gramEnd"/>
      <w:r w:rsidR="00641FBC">
        <w:t xml:space="preserve">  </w:t>
      </w:r>
      <w:proofErr w:type="gramStart"/>
      <w:r w:rsidR="00641FBC">
        <w:t xml:space="preserve">Up to 100% substitution of platinum-based chemotherapy with </w:t>
      </w:r>
      <w:proofErr w:type="spellStart"/>
      <w:r w:rsidR="00641FBC">
        <w:t>durvalumab</w:t>
      </w:r>
      <w:proofErr w:type="spellEnd"/>
      <w:r w:rsidR="00641FBC">
        <w:t xml:space="preserve"> or </w:t>
      </w:r>
      <w:proofErr w:type="spellStart"/>
      <w:r w:rsidR="00641FBC">
        <w:t>durval</w:t>
      </w:r>
      <w:r w:rsidR="00F60365">
        <w:t>umab</w:t>
      </w:r>
      <w:proofErr w:type="spellEnd"/>
      <w:r w:rsidR="00F60365">
        <w:t>/</w:t>
      </w:r>
      <w:proofErr w:type="spellStart"/>
      <w:r w:rsidR="00F60365">
        <w:t>tremelimumab</w:t>
      </w:r>
      <w:proofErr w:type="spellEnd"/>
      <w:r w:rsidR="00F60365">
        <w:t>.</w:t>
      </w:r>
      <w:proofErr w:type="gramEnd"/>
      <w:r w:rsidR="00F60365">
        <w:t xml:space="preserve">  </w:t>
      </w:r>
      <w:proofErr w:type="spellStart"/>
      <w:r w:rsidR="00F60365">
        <w:t>Durvalumab</w:t>
      </w:r>
      <w:proofErr w:type="spellEnd"/>
      <w:r w:rsidR="00F60365">
        <w:t xml:space="preserve"> c</w:t>
      </w:r>
      <w:r w:rsidR="00641FBC">
        <w:t xml:space="preserve">ould be used instead of </w:t>
      </w:r>
      <w:proofErr w:type="spellStart"/>
      <w:r w:rsidR="00641FBC">
        <w:t>pembrolizumab</w:t>
      </w:r>
      <w:proofErr w:type="spellEnd"/>
      <w:r w:rsidR="00641FBC">
        <w:t xml:space="preserve"> in a proportion of patients.</w:t>
      </w:r>
    </w:p>
    <w:p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016798" w:rsidRDefault="003C47B6" w:rsidP="0043438A">
      <w:pPr>
        <w:ind w:left="357"/>
        <w:rPr>
          <w:szCs w:val="20"/>
        </w:rPr>
      </w:pPr>
      <w:r>
        <w:rPr>
          <w:szCs w:val="20"/>
        </w:rPr>
        <w:t>A proportion (approximately 30%) of urothelial cancer patients will be diagnosed with Stage IV disease.  PD-L1 testing is proposed in patients who have Stage IV disease at the time of diagnosis</w:t>
      </w:r>
      <w:r w:rsidR="00F60365">
        <w:rPr>
          <w:szCs w:val="20"/>
        </w:rPr>
        <w:t xml:space="preserve"> if the patient is a suitable candidate for systemic anticancer treatment</w:t>
      </w:r>
      <w:r>
        <w:rPr>
          <w:szCs w:val="20"/>
        </w:rPr>
        <w:t xml:space="preserve">.  </w:t>
      </w:r>
    </w:p>
    <w:p w:rsidR="003C47B6" w:rsidRDefault="003C47B6" w:rsidP="0043438A">
      <w:pPr>
        <w:ind w:left="357"/>
        <w:rPr>
          <w:szCs w:val="20"/>
        </w:rPr>
      </w:pPr>
      <w:r>
        <w:rPr>
          <w:szCs w:val="20"/>
        </w:rPr>
        <w:t>The majority of patients will be diagnosed with earlier stage disease</w:t>
      </w:r>
      <w:r w:rsidR="00D64209">
        <w:rPr>
          <w:szCs w:val="20"/>
        </w:rPr>
        <w:t>.</w:t>
      </w:r>
      <w:r>
        <w:t xml:space="preserve">  </w:t>
      </w:r>
      <w:r w:rsidR="00D64209">
        <w:t xml:space="preserve">PD-L1 testing is not proposed for patients diagnosed with earlier stage disease as </w:t>
      </w:r>
      <w:r w:rsidR="00842C9F">
        <w:t xml:space="preserve">other potentially curative </w:t>
      </w:r>
      <w:r w:rsidR="00D64209">
        <w:t xml:space="preserve">treatment options </w:t>
      </w:r>
      <w:r w:rsidR="00842C9F">
        <w:t xml:space="preserve">are preferred, </w:t>
      </w:r>
      <w:r w:rsidR="00D64209">
        <w:t xml:space="preserve">such as </w:t>
      </w:r>
      <w:r w:rsidR="00842C9F">
        <w:t xml:space="preserve">resection of the tumour, BCG treatment, </w:t>
      </w:r>
      <w:r w:rsidR="00D64209">
        <w:t>cystectomy</w:t>
      </w:r>
      <w:r w:rsidR="00842C9F">
        <w:t>, neo-adjuvant or adjuv</w:t>
      </w:r>
      <w:r w:rsidR="005F45D0">
        <w:t xml:space="preserve">ant chemotherapy or </w:t>
      </w:r>
      <w:r w:rsidR="00842C9F">
        <w:t>radiotherapy.</w:t>
      </w:r>
      <w:r w:rsidR="00D64209">
        <w:t xml:space="preserve"> </w:t>
      </w:r>
      <w:r w:rsidR="00842C9F">
        <w:t xml:space="preserve"> </w:t>
      </w:r>
      <w:r w:rsidR="001F4129">
        <w:t xml:space="preserve">Some of these treatment options are </w:t>
      </w:r>
      <w:r w:rsidR="009D581E">
        <w:t xml:space="preserve">also </w:t>
      </w:r>
      <w:r w:rsidR="001F4129">
        <w:t xml:space="preserve">known to affect PD-L1 status </w:t>
      </w:r>
      <w:r w:rsidR="009D581E">
        <w:t xml:space="preserve">so testing PD-L1 status in earlier stage disease is not appropriate.  </w:t>
      </w:r>
      <w:r w:rsidR="00AA2A2C">
        <w:t>However, a</w:t>
      </w:r>
      <w:r>
        <w:t xml:space="preserve">pproximately 50% of </w:t>
      </w:r>
      <w:r w:rsidR="00016798">
        <w:t>these patients will eventually progress</w:t>
      </w:r>
      <w:r>
        <w:t xml:space="preserve"> to Stage IV disease.  </w:t>
      </w:r>
      <w:r>
        <w:rPr>
          <w:szCs w:val="20"/>
        </w:rPr>
        <w:t xml:space="preserve">For patients </w:t>
      </w:r>
      <w:r w:rsidR="00016798">
        <w:rPr>
          <w:szCs w:val="20"/>
        </w:rPr>
        <w:t>who progress</w:t>
      </w:r>
      <w:r w:rsidR="0080363F">
        <w:rPr>
          <w:szCs w:val="20"/>
        </w:rPr>
        <w:t xml:space="preserve"> to</w:t>
      </w:r>
      <w:r>
        <w:rPr>
          <w:szCs w:val="20"/>
        </w:rPr>
        <w:t xml:space="preserve"> Stage IV disease about 80% will be suitable candidates for 1</w:t>
      </w:r>
      <w:r w:rsidRPr="00DA0458">
        <w:rPr>
          <w:szCs w:val="20"/>
          <w:vertAlign w:val="superscript"/>
        </w:rPr>
        <w:t>st</w:t>
      </w:r>
      <w:r>
        <w:rPr>
          <w:szCs w:val="20"/>
        </w:rPr>
        <w:t xml:space="preserve"> line systemic treatment, and 20% would receive best supportive care only.  </w:t>
      </w:r>
      <w:r w:rsidR="00092403">
        <w:rPr>
          <w:szCs w:val="20"/>
        </w:rPr>
        <w:t xml:space="preserve">PD-L1 testing is </w:t>
      </w:r>
      <w:r w:rsidR="009D581E">
        <w:rPr>
          <w:szCs w:val="20"/>
        </w:rPr>
        <w:t xml:space="preserve">also </w:t>
      </w:r>
      <w:r w:rsidR="00092403">
        <w:rPr>
          <w:szCs w:val="20"/>
        </w:rPr>
        <w:t xml:space="preserve">proposed for </w:t>
      </w:r>
      <w:r w:rsidR="009D581E">
        <w:rPr>
          <w:szCs w:val="20"/>
        </w:rPr>
        <w:t xml:space="preserve">patients who progress </w:t>
      </w:r>
      <w:r w:rsidR="0080363F">
        <w:rPr>
          <w:szCs w:val="20"/>
        </w:rPr>
        <w:t xml:space="preserve">to Stage IV </w:t>
      </w:r>
      <w:r w:rsidR="009D581E">
        <w:rPr>
          <w:szCs w:val="20"/>
        </w:rPr>
        <w:t xml:space="preserve">from earlier stage disease and </w:t>
      </w:r>
      <w:r w:rsidR="00092403">
        <w:rPr>
          <w:szCs w:val="20"/>
        </w:rPr>
        <w:t>are suitable candidates for 1</w:t>
      </w:r>
      <w:r w:rsidR="00092403" w:rsidRPr="00092403">
        <w:rPr>
          <w:szCs w:val="20"/>
          <w:vertAlign w:val="superscript"/>
        </w:rPr>
        <w:t>st</w:t>
      </w:r>
      <w:r w:rsidR="00092403">
        <w:rPr>
          <w:szCs w:val="20"/>
        </w:rPr>
        <w:t xml:space="preserve"> line systemic treatment.  </w:t>
      </w:r>
      <w:r w:rsidR="005F45D0">
        <w:rPr>
          <w:szCs w:val="20"/>
        </w:rPr>
        <w:t xml:space="preserve">Another biopsy to obtain tissue for PD-L1 testing </w:t>
      </w:r>
      <w:r w:rsidR="0080363F">
        <w:rPr>
          <w:szCs w:val="20"/>
        </w:rPr>
        <w:t xml:space="preserve">at the time of progression to Stage IV </w:t>
      </w:r>
      <w:r w:rsidR="005F45D0">
        <w:rPr>
          <w:szCs w:val="20"/>
        </w:rPr>
        <w:t xml:space="preserve">would be required in these patients.  </w:t>
      </w:r>
      <w:r w:rsidR="00014CDF">
        <w:rPr>
          <w:szCs w:val="20"/>
        </w:rPr>
        <w:t xml:space="preserve">It is proposed that patients with high levels of PD-L1 expression </w:t>
      </w:r>
      <w:r w:rsidR="008210D6">
        <w:rPr>
          <w:szCs w:val="20"/>
        </w:rPr>
        <w:t xml:space="preserve">(tumour cells ≥ 25% or immune cells ≥ 25%)* </w:t>
      </w:r>
      <w:r w:rsidR="00014CDF">
        <w:rPr>
          <w:szCs w:val="20"/>
        </w:rPr>
        <w:t xml:space="preserve">would receive </w:t>
      </w:r>
      <w:proofErr w:type="spellStart"/>
      <w:r w:rsidR="00014CDF">
        <w:rPr>
          <w:szCs w:val="20"/>
        </w:rPr>
        <w:t>durvalumab</w:t>
      </w:r>
      <w:proofErr w:type="spellEnd"/>
      <w:r w:rsidR="00014CDF">
        <w:rPr>
          <w:szCs w:val="20"/>
        </w:rPr>
        <w:t xml:space="preserve"> monotherapy and patients with low levels of PD-L1 expression </w:t>
      </w:r>
      <w:r w:rsidR="008210D6">
        <w:rPr>
          <w:szCs w:val="20"/>
        </w:rPr>
        <w:t xml:space="preserve">(tumour cells &lt; 25% or immune cells &lt; 25%)* </w:t>
      </w:r>
      <w:r w:rsidR="00014CDF">
        <w:rPr>
          <w:szCs w:val="20"/>
        </w:rPr>
        <w:t xml:space="preserve">would receive combination therapy with </w:t>
      </w:r>
      <w:proofErr w:type="spellStart"/>
      <w:r w:rsidR="00014CDF">
        <w:rPr>
          <w:szCs w:val="20"/>
        </w:rPr>
        <w:t>durvalumab</w:t>
      </w:r>
      <w:proofErr w:type="spellEnd"/>
      <w:r w:rsidR="00014CDF">
        <w:rPr>
          <w:szCs w:val="20"/>
        </w:rPr>
        <w:t>/</w:t>
      </w:r>
      <w:proofErr w:type="spellStart"/>
      <w:r w:rsidR="00014CDF">
        <w:rPr>
          <w:szCs w:val="20"/>
        </w:rPr>
        <w:t>tremelimumab</w:t>
      </w:r>
      <w:proofErr w:type="spellEnd"/>
      <w:r w:rsidR="00014CDF">
        <w:rPr>
          <w:szCs w:val="20"/>
        </w:rPr>
        <w:t>.</w:t>
      </w:r>
      <w:r>
        <w:rPr>
          <w:szCs w:val="20"/>
        </w:rPr>
        <w:t xml:space="preserve">  </w:t>
      </w:r>
      <w:r w:rsidR="005F45D0">
        <w:rPr>
          <w:szCs w:val="20"/>
        </w:rPr>
        <w:t xml:space="preserve">A </w:t>
      </w:r>
      <w:r>
        <w:rPr>
          <w:szCs w:val="20"/>
        </w:rPr>
        <w:t>pro</w:t>
      </w:r>
      <w:r w:rsidR="005F45D0">
        <w:rPr>
          <w:szCs w:val="20"/>
        </w:rPr>
        <w:t xml:space="preserve">portion of patients </w:t>
      </w:r>
      <w:r>
        <w:rPr>
          <w:szCs w:val="20"/>
        </w:rPr>
        <w:t>may not experience further progression of dis</w:t>
      </w:r>
      <w:r w:rsidR="005F45D0">
        <w:rPr>
          <w:szCs w:val="20"/>
        </w:rPr>
        <w:t>ease</w:t>
      </w:r>
      <w:r w:rsidR="00717C01">
        <w:rPr>
          <w:szCs w:val="20"/>
        </w:rPr>
        <w:t xml:space="preserve"> (“cure”)</w:t>
      </w:r>
      <w:r w:rsidR="005F45D0">
        <w:rPr>
          <w:szCs w:val="20"/>
        </w:rPr>
        <w:t>.  T</w:t>
      </w:r>
      <w:r>
        <w:rPr>
          <w:szCs w:val="20"/>
        </w:rPr>
        <w:t xml:space="preserve">he majority of patients </w:t>
      </w:r>
      <w:r w:rsidR="00717C01">
        <w:rPr>
          <w:szCs w:val="20"/>
        </w:rPr>
        <w:t xml:space="preserve">will </w:t>
      </w:r>
      <w:r>
        <w:rPr>
          <w:szCs w:val="20"/>
        </w:rPr>
        <w:t xml:space="preserve">eventually progress and receive best supportive </w:t>
      </w:r>
      <w:r w:rsidR="005F45D0">
        <w:rPr>
          <w:szCs w:val="20"/>
        </w:rPr>
        <w:t>care only or platinum doublet</w:t>
      </w:r>
      <w:r>
        <w:rPr>
          <w:szCs w:val="20"/>
        </w:rPr>
        <w:t xml:space="preserve"> chemotherapy.</w:t>
      </w:r>
    </w:p>
    <w:p w:rsidR="003C47B6" w:rsidRDefault="008210D6" w:rsidP="008210D6">
      <w:pPr>
        <w:ind w:left="357"/>
        <w:rPr>
          <w:sz w:val="16"/>
          <w:szCs w:val="16"/>
        </w:rPr>
      </w:pPr>
      <w:r w:rsidRPr="002471A6">
        <w:rPr>
          <w:sz w:val="16"/>
          <w:szCs w:val="16"/>
        </w:rPr>
        <w:t>*When the immune cell area represents ≤</w:t>
      </w:r>
      <w:r w:rsidR="00A22FBE" w:rsidRPr="002471A6">
        <w:rPr>
          <w:sz w:val="16"/>
          <w:szCs w:val="16"/>
        </w:rPr>
        <w:t>1% of the total tumour area PD-L1 expression is defined as high when baseline tumour expression was tumour cells ≥ 25% and/or immune cells = 100% and PD-L1 low/negative when baseline tumour expression was tumour cells &lt; 25% and immune cells &lt;100%</w:t>
      </w:r>
      <w:r w:rsidR="002471A6" w:rsidRPr="002471A6">
        <w:rPr>
          <w:sz w:val="16"/>
          <w:szCs w:val="16"/>
        </w:rPr>
        <w:t>.</w:t>
      </w:r>
    </w:p>
    <w:p w:rsidR="0043438A" w:rsidRDefault="0043438A" w:rsidP="0043438A">
      <w:pPr>
        <w:ind w:left="357"/>
      </w:pPr>
      <w:r>
        <w:t>Please refer to the Microsoft Visio Attachment to this application, 1LUC Algorithms, and “Proposed” drawing for an editable version of the flowchart below.</w:t>
      </w:r>
    </w:p>
    <w:p w:rsidR="004E2C29" w:rsidRDefault="004E2C29" w:rsidP="0043438A">
      <w:pPr>
        <w:ind w:left="357"/>
      </w:pPr>
    </w:p>
    <w:p w:rsidR="0043438A" w:rsidRDefault="00E560F5" w:rsidP="0047192D">
      <w:r w:rsidRPr="00E560F5">
        <w:rPr>
          <w:noProof/>
          <w:lang w:eastAsia="en-AU"/>
        </w:rPr>
        <w:lastRenderedPageBreak/>
        <w:drawing>
          <wp:inline distT="0" distB="0" distL="0" distR="0">
            <wp:extent cx="5731510" cy="5185001"/>
            <wp:effectExtent l="0" t="0" r="2540" b="0"/>
            <wp:docPr id="7" name="Picture 7" descr="Diagram showing how current clinical management pathways (from the point of service delivery onwards) are expected to change."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5185001"/>
                    </a:xfrm>
                    <a:prstGeom prst="rect">
                      <a:avLst/>
                    </a:prstGeom>
                    <a:noFill/>
                    <a:ln>
                      <a:noFill/>
                    </a:ln>
                  </pic:spPr>
                </pic:pic>
              </a:graphicData>
            </a:graphic>
          </wp:inline>
        </w:drawing>
      </w:r>
    </w:p>
    <w:p w:rsidR="0047192D" w:rsidRPr="002471A6" w:rsidRDefault="0047192D" w:rsidP="0043438A">
      <w:pPr>
        <w:ind w:left="357"/>
      </w:pPr>
    </w:p>
    <w:p w:rsidR="001B29A1" w:rsidRDefault="001B29A1" w:rsidP="00881F93">
      <w:pPr>
        <w:rPr>
          <w:b/>
          <w:i/>
          <w:szCs w:val="20"/>
          <w:u w:val="single"/>
        </w:rPr>
      </w:pPr>
      <w:r>
        <w:rPr>
          <w:b/>
          <w:i/>
          <w:szCs w:val="20"/>
          <w:u w:val="single"/>
        </w:rPr>
        <w:br w:type="page"/>
      </w:r>
    </w:p>
    <w:p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664AED" w:rsidRDefault="00B44E25" w:rsidP="001B29A1">
      <w:pPr>
        <w:ind w:left="426"/>
      </w:pPr>
      <w:r>
        <w:t xml:space="preserve">PD-L1 </w:t>
      </w:r>
      <w:r w:rsidR="00ED5C02">
        <w:t xml:space="preserve">expression </w:t>
      </w:r>
      <w:r>
        <w:t xml:space="preserve">testing </w:t>
      </w:r>
      <w:r w:rsidR="00A2750F">
        <w:t xml:space="preserve">of </w:t>
      </w:r>
      <w:proofErr w:type="spellStart"/>
      <w:r w:rsidR="00053972">
        <w:t>unresectable</w:t>
      </w:r>
      <w:proofErr w:type="spellEnd"/>
      <w:r w:rsidR="00053972">
        <w:t xml:space="preserve"> </w:t>
      </w:r>
      <w:r w:rsidR="00C052D2">
        <w:t xml:space="preserve">Stage IV urothelial </w:t>
      </w:r>
      <w:r w:rsidR="00FC6DC0">
        <w:t>cancer</w:t>
      </w:r>
      <w:r w:rsidR="00A2750F">
        <w:t xml:space="preserve"> patients </w:t>
      </w:r>
      <w:r>
        <w:t xml:space="preserve">and </w:t>
      </w:r>
      <w:r w:rsidR="004E479D">
        <w:t>1</w:t>
      </w:r>
      <w:r w:rsidR="004E479D" w:rsidRPr="004E479D">
        <w:rPr>
          <w:vertAlign w:val="superscript"/>
        </w:rPr>
        <w:t>st</w:t>
      </w:r>
      <w:r w:rsidR="004E479D">
        <w:t xml:space="preserve"> line </w:t>
      </w:r>
      <w:r>
        <w:t xml:space="preserve">treatment with </w:t>
      </w:r>
      <w:proofErr w:type="spellStart"/>
      <w:r>
        <w:t>durvalumab</w:t>
      </w:r>
      <w:proofErr w:type="spellEnd"/>
      <w:r>
        <w:t xml:space="preserve"> monotherapy </w:t>
      </w:r>
      <w:r w:rsidR="00CE11AF">
        <w:t xml:space="preserve">in patients with high PD-L1 expression </w:t>
      </w:r>
      <w:r w:rsidR="00CE11AF">
        <w:rPr>
          <w:szCs w:val="20"/>
        </w:rPr>
        <w:t>(tumour cells ≥ 25% or immune cells ≥ 25%)</w:t>
      </w:r>
      <w:r w:rsidR="00022C4C">
        <w:t xml:space="preserve"> or </w:t>
      </w:r>
      <w:proofErr w:type="spellStart"/>
      <w:r w:rsidR="00A2750F">
        <w:t>durvalumab</w:t>
      </w:r>
      <w:proofErr w:type="spellEnd"/>
      <w:r w:rsidR="00A2750F">
        <w:t>/</w:t>
      </w:r>
      <w:proofErr w:type="spellStart"/>
      <w:r w:rsidR="00A2750F">
        <w:t>tremelimumab</w:t>
      </w:r>
      <w:proofErr w:type="spellEnd"/>
      <w:r w:rsidR="00A2750F">
        <w:t xml:space="preserve"> combination therapy </w:t>
      </w:r>
      <w:r w:rsidR="00CE11AF">
        <w:t xml:space="preserve">in patients with low PD-L1 expression </w:t>
      </w:r>
      <w:r w:rsidR="00CE11AF">
        <w:rPr>
          <w:szCs w:val="20"/>
        </w:rPr>
        <w:t>(tumour cells &lt; 25% or immune cells &lt; 25%)</w:t>
      </w:r>
      <w:r w:rsidR="00A2750F">
        <w:t xml:space="preserve"> is </w:t>
      </w:r>
      <w:r w:rsidR="00A2750F" w:rsidRPr="00022C4C">
        <w:rPr>
          <w:b/>
        </w:rPr>
        <w:t>superior</w:t>
      </w:r>
      <w:r w:rsidR="00A2750F">
        <w:t xml:space="preserve"> </w:t>
      </w:r>
      <w:r w:rsidR="004E479D">
        <w:t xml:space="preserve">to no PD-L1 testing of </w:t>
      </w:r>
      <w:r w:rsidR="00C052D2">
        <w:t>Stage IV urothelial cancer</w:t>
      </w:r>
      <w:r w:rsidR="004E479D">
        <w:t xml:space="preserve"> patient</w:t>
      </w:r>
      <w:r w:rsidR="000464C6">
        <w:t>s</w:t>
      </w:r>
      <w:r w:rsidR="004E479D">
        <w:t xml:space="preserve"> and standard of care treatment (platinum doublet chemotherapy).</w:t>
      </w:r>
      <w:r w:rsidR="00F15212">
        <w:t xml:space="preserve">  </w:t>
      </w:r>
    </w:p>
    <w:p w:rsidR="004E3CC7" w:rsidRPr="00154B00" w:rsidRDefault="00F15212" w:rsidP="001B29A1">
      <w:pPr>
        <w:ind w:left="426"/>
        <w:rPr>
          <w:szCs w:val="20"/>
        </w:rPr>
      </w:pPr>
      <w:r>
        <w:t xml:space="preserve">For the comparison </w:t>
      </w:r>
      <w:r w:rsidR="000464C6">
        <w:t xml:space="preserve">of </w:t>
      </w:r>
      <w:proofErr w:type="spellStart"/>
      <w:r w:rsidR="000464C6">
        <w:t>durvalumab</w:t>
      </w:r>
      <w:proofErr w:type="spellEnd"/>
      <w:r w:rsidR="000464C6">
        <w:t xml:space="preserve"> </w:t>
      </w:r>
      <w:r>
        <w:t>with</w:t>
      </w:r>
      <w:r w:rsidR="000464C6">
        <w:t xml:space="preserve"> </w:t>
      </w:r>
      <w:proofErr w:type="spellStart"/>
      <w:r>
        <w:t>pembrolizumab</w:t>
      </w:r>
      <w:proofErr w:type="spellEnd"/>
      <w:r>
        <w:t xml:space="preserve"> in patients who have </w:t>
      </w:r>
      <w:r w:rsidR="00777703">
        <w:t>a high level of PD-L</w:t>
      </w:r>
      <w:r w:rsidR="000464C6">
        <w:t>1 expression</w:t>
      </w:r>
      <w:r w:rsidR="00664AED">
        <w:t xml:space="preserve"> the clinical claim is </w:t>
      </w:r>
      <w:r w:rsidR="00664AED" w:rsidRPr="00777703">
        <w:rPr>
          <w:b/>
        </w:rPr>
        <w:t>non-inferiority</w:t>
      </w:r>
      <w:r w:rsidR="00664AED">
        <w:t>.</w:t>
      </w:r>
    </w:p>
    <w:p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rsidR="001B29A1" w:rsidRPr="001B29A1" w:rsidRDefault="00B56FE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1B29A1" w:rsidRPr="001B29A1">
        <w:rPr>
          <w:szCs w:val="20"/>
        </w:rPr>
        <w:t xml:space="preserve"> Superiority</w:t>
      </w:r>
      <w:r w:rsidR="001B29A1" w:rsidRPr="001B29A1">
        <w:rPr>
          <w:szCs w:val="20"/>
        </w:rPr>
        <w:tab/>
      </w:r>
    </w:p>
    <w:p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60041">
        <w:rPr>
          <w:szCs w:val="20"/>
        </w:rPr>
      </w:r>
      <w:r w:rsidR="00C60041">
        <w:rPr>
          <w:szCs w:val="20"/>
        </w:rPr>
        <w:fldChar w:fldCharType="separate"/>
      </w:r>
      <w:r w:rsidRPr="001B29A1">
        <w:rPr>
          <w:szCs w:val="20"/>
        </w:rPr>
        <w:fldChar w:fldCharType="end"/>
      </w:r>
      <w:r w:rsidRPr="001B29A1">
        <w:rPr>
          <w:szCs w:val="20"/>
        </w:rPr>
        <w:t xml:space="preserve"> Non-inferiority</w:t>
      </w:r>
      <w:r w:rsidRPr="001B29A1">
        <w:rPr>
          <w:szCs w:val="20"/>
        </w:rPr>
        <w:tab/>
      </w:r>
    </w:p>
    <w:p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rsidR="009857F8" w:rsidRPr="009857F8" w:rsidRDefault="00F73A1A" w:rsidP="001B29A1">
      <w:pPr>
        <w:pBdr>
          <w:top w:val="single" w:sz="4" w:space="1" w:color="auto"/>
          <w:left w:val="single" w:sz="4" w:space="4" w:color="auto"/>
          <w:bottom w:val="single" w:sz="4" w:space="1" w:color="auto"/>
          <w:right w:val="single" w:sz="4" w:space="4" w:color="auto"/>
        </w:pBdr>
        <w:rPr>
          <w:szCs w:val="20"/>
        </w:rPr>
      </w:pPr>
      <w:r>
        <w:rPr>
          <w:szCs w:val="20"/>
        </w:rPr>
        <w:t xml:space="preserve">Safety and tolerability of </w:t>
      </w:r>
      <w:proofErr w:type="spellStart"/>
      <w:r>
        <w:rPr>
          <w:szCs w:val="20"/>
        </w:rPr>
        <w:t>durvalumab</w:t>
      </w:r>
      <w:proofErr w:type="spellEnd"/>
      <w:r>
        <w:rPr>
          <w:szCs w:val="20"/>
        </w:rPr>
        <w:t xml:space="preserve"> monotherapy and </w:t>
      </w:r>
      <w:proofErr w:type="spellStart"/>
      <w:r>
        <w:rPr>
          <w:szCs w:val="20"/>
        </w:rPr>
        <w:t>durvalumab</w:t>
      </w:r>
      <w:proofErr w:type="spellEnd"/>
      <w:r>
        <w:rPr>
          <w:szCs w:val="20"/>
        </w:rPr>
        <w:t>/</w:t>
      </w:r>
      <w:proofErr w:type="spellStart"/>
      <w:r>
        <w:rPr>
          <w:szCs w:val="20"/>
        </w:rPr>
        <w:t>tremelimumab</w:t>
      </w:r>
      <w:proofErr w:type="spellEnd"/>
      <w:r>
        <w:rPr>
          <w:szCs w:val="20"/>
        </w:rPr>
        <w:t xml:space="preserve"> combination therapy</w:t>
      </w:r>
      <w:r w:rsidR="00B53833" w:rsidRPr="00B53833">
        <w:t xml:space="preserve"> </w:t>
      </w:r>
      <w:r w:rsidR="00B53833">
        <w:t xml:space="preserve">treatment </w:t>
      </w:r>
      <w:r w:rsidR="00B53833">
        <w:rPr>
          <w:szCs w:val="20"/>
        </w:rPr>
        <w:t>assessed by a</w:t>
      </w:r>
      <w:r w:rsidR="00B53833" w:rsidRPr="00B53833">
        <w:rPr>
          <w:szCs w:val="20"/>
        </w:rPr>
        <w:t>dverse events (AEs), physical examinations, laboratory findings, and vital signs</w:t>
      </w:r>
    </w:p>
    <w:p w:rsidR="009857F8" w:rsidRPr="009857F8" w:rsidRDefault="00AF0715" w:rsidP="001B29A1">
      <w:pPr>
        <w:pBdr>
          <w:top w:val="single" w:sz="4" w:space="1" w:color="auto"/>
          <w:left w:val="single" w:sz="4" w:space="4" w:color="auto"/>
          <w:bottom w:val="single" w:sz="4" w:space="1" w:color="auto"/>
          <w:right w:val="single" w:sz="4" w:space="4" w:color="auto"/>
        </w:pBdr>
        <w:rPr>
          <w:szCs w:val="20"/>
        </w:rPr>
      </w:pPr>
      <w:r>
        <w:rPr>
          <w:szCs w:val="20"/>
        </w:rPr>
        <w:t>Adverse events associated with re-biopsy</w:t>
      </w:r>
    </w:p>
    <w:p w:rsidR="001B29A1" w:rsidRPr="009857F8" w:rsidRDefault="001B29A1" w:rsidP="009857F8"/>
    <w:p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p>
    <w:p w:rsidR="001B29A1" w:rsidRPr="009857F8" w:rsidRDefault="009857F8" w:rsidP="001B29A1">
      <w:pPr>
        <w:pBdr>
          <w:top w:val="single" w:sz="4" w:space="1" w:color="auto"/>
          <w:left w:val="single" w:sz="4" w:space="4" w:color="auto"/>
          <w:bottom w:val="single" w:sz="4" w:space="1" w:color="auto"/>
          <w:right w:val="single" w:sz="4" w:space="4" w:color="auto"/>
        </w:pBdr>
        <w:rPr>
          <w:b/>
          <w:szCs w:val="20"/>
        </w:rPr>
      </w:pPr>
      <w:r>
        <w:rPr>
          <w:b/>
          <w:szCs w:val="20"/>
        </w:rPr>
        <w:t xml:space="preserve">Test </w:t>
      </w:r>
      <w:r w:rsidRPr="009857F8">
        <w:rPr>
          <w:b/>
          <w:szCs w:val="20"/>
        </w:rPr>
        <w:t>outcomes</w:t>
      </w:r>
    </w:p>
    <w:p w:rsidR="009857F8" w:rsidRPr="005B0B97" w:rsidRDefault="009857F8" w:rsidP="001B29A1">
      <w:pPr>
        <w:pBdr>
          <w:top w:val="single" w:sz="4" w:space="1" w:color="auto"/>
          <w:left w:val="single" w:sz="4" w:space="4" w:color="auto"/>
          <w:bottom w:val="single" w:sz="4" w:space="1" w:color="auto"/>
          <w:right w:val="single" w:sz="4" w:space="4" w:color="auto"/>
        </w:pBdr>
        <w:rPr>
          <w:i/>
          <w:szCs w:val="20"/>
        </w:rPr>
      </w:pPr>
      <w:r w:rsidRPr="005B0B97">
        <w:rPr>
          <w:i/>
          <w:szCs w:val="20"/>
        </w:rPr>
        <w:t>Trial based (evidentiary standard) PD-L1 IHC assay analytical performance:</w:t>
      </w:r>
    </w:p>
    <w:p w:rsidR="009857F8" w:rsidRDefault="009857F8" w:rsidP="001B29A1">
      <w:pPr>
        <w:pBdr>
          <w:top w:val="single" w:sz="4" w:space="1" w:color="auto"/>
          <w:left w:val="single" w:sz="4" w:space="4" w:color="auto"/>
          <w:bottom w:val="single" w:sz="4" w:space="1" w:color="auto"/>
          <w:right w:val="single" w:sz="4" w:space="4" w:color="auto"/>
        </w:pBdr>
        <w:rPr>
          <w:szCs w:val="20"/>
        </w:rPr>
      </w:pPr>
      <w:r>
        <w:rPr>
          <w:szCs w:val="20"/>
        </w:rPr>
        <w:t>Sensitivity</w:t>
      </w:r>
    </w:p>
    <w:p w:rsidR="00B85865" w:rsidRDefault="00B85865" w:rsidP="001B29A1">
      <w:pPr>
        <w:pBdr>
          <w:top w:val="single" w:sz="4" w:space="1" w:color="auto"/>
          <w:left w:val="single" w:sz="4" w:space="4" w:color="auto"/>
          <w:bottom w:val="single" w:sz="4" w:space="1" w:color="auto"/>
          <w:right w:val="single" w:sz="4" w:space="4" w:color="auto"/>
        </w:pBdr>
        <w:rPr>
          <w:szCs w:val="20"/>
        </w:rPr>
      </w:pPr>
      <w:r>
        <w:rPr>
          <w:szCs w:val="20"/>
        </w:rPr>
        <w:t>Specificity</w:t>
      </w:r>
    </w:p>
    <w:p w:rsidR="00B85865" w:rsidRDefault="00B85865" w:rsidP="001B29A1">
      <w:pPr>
        <w:pBdr>
          <w:top w:val="single" w:sz="4" w:space="1" w:color="auto"/>
          <w:left w:val="single" w:sz="4" w:space="4" w:color="auto"/>
          <w:bottom w:val="single" w:sz="4" w:space="1" w:color="auto"/>
          <w:right w:val="single" w:sz="4" w:space="4" w:color="auto"/>
        </w:pBdr>
        <w:rPr>
          <w:szCs w:val="20"/>
        </w:rPr>
      </w:pPr>
      <w:r>
        <w:rPr>
          <w:szCs w:val="20"/>
        </w:rPr>
        <w:t>Positive predictive value</w:t>
      </w:r>
    </w:p>
    <w:p w:rsidR="00B85865" w:rsidRDefault="00B85865" w:rsidP="001B29A1">
      <w:pPr>
        <w:pBdr>
          <w:top w:val="single" w:sz="4" w:space="1" w:color="auto"/>
          <w:left w:val="single" w:sz="4" w:space="4" w:color="auto"/>
          <w:bottom w:val="single" w:sz="4" w:space="1" w:color="auto"/>
          <w:right w:val="single" w:sz="4" w:space="4" w:color="auto"/>
        </w:pBdr>
        <w:rPr>
          <w:szCs w:val="20"/>
        </w:rPr>
      </w:pPr>
      <w:r>
        <w:rPr>
          <w:szCs w:val="20"/>
        </w:rPr>
        <w:t>Negative predictive value</w:t>
      </w:r>
    </w:p>
    <w:p w:rsidR="00B85865" w:rsidRDefault="00B85865" w:rsidP="001B29A1">
      <w:pPr>
        <w:pBdr>
          <w:top w:val="single" w:sz="4" w:space="1" w:color="auto"/>
          <w:left w:val="single" w:sz="4" w:space="4" w:color="auto"/>
          <w:bottom w:val="single" w:sz="4" w:space="1" w:color="auto"/>
          <w:right w:val="single" w:sz="4" w:space="4" w:color="auto"/>
        </w:pBdr>
        <w:rPr>
          <w:szCs w:val="20"/>
        </w:rPr>
      </w:pPr>
      <w:r>
        <w:rPr>
          <w:szCs w:val="20"/>
        </w:rPr>
        <w:t xml:space="preserve">Receiver operator characteristic (ROC) </w:t>
      </w:r>
    </w:p>
    <w:p w:rsidR="00B85865" w:rsidRPr="005B0B97" w:rsidRDefault="00B85865" w:rsidP="001B29A1">
      <w:pPr>
        <w:pBdr>
          <w:top w:val="single" w:sz="4" w:space="1" w:color="auto"/>
          <w:left w:val="single" w:sz="4" w:space="4" w:color="auto"/>
          <w:bottom w:val="single" w:sz="4" w:space="1" w:color="auto"/>
          <w:right w:val="single" w:sz="4" w:space="4" w:color="auto"/>
        </w:pBdr>
        <w:rPr>
          <w:i/>
          <w:szCs w:val="20"/>
        </w:rPr>
      </w:pPr>
      <w:r w:rsidRPr="005B0B97">
        <w:rPr>
          <w:i/>
          <w:szCs w:val="20"/>
        </w:rPr>
        <w:t>Comparative performance of PD-L1 testing methods:</w:t>
      </w:r>
    </w:p>
    <w:p w:rsidR="00B85865" w:rsidRDefault="00B85865" w:rsidP="001B29A1">
      <w:pPr>
        <w:pBdr>
          <w:top w:val="single" w:sz="4" w:space="1" w:color="auto"/>
          <w:left w:val="single" w:sz="4" w:space="4" w:color="auto"/>
          <w:bottom w:val="single" w:sz="4" w:space="1" w:color="auto"/>
          <w:right w:val="single" w:sz="4" w:space="4" w:color="auto"/>
        </w:pBdr>
        <w:rPr>
          <w:szCs w:val="20"/>
        </w:rPr>
      </w:pPr>
      <w:r>
        <w:rPr>
          <w:szCs w:val="20"/>
        </w:rPr>
        <w:t xml:space="preserve">Concordance with other </w:t>
      </w:r>
      <w:r w:rsidR="005B0B97">
        <w:rPr>
          <w:szCs w:val="20"/>
        </w:rPr>
        <w:t xml:space="preserve">commercially available </w:t>
      </w:r>
      <w:r>
        <w:rPr>
          <w:szCs w:val="20"/>
        </w:rPr>
        <w:t>PD-L1 antibodies</w:t>
      </w:r>
    </w:p>
    <w:p w:rsidR="005B0B97" w:rsidRDefault="005B0B97" w:rsidP="001B29A1">
      <w:pPr>
        <w:pBdr>
          <w:top w:val="single" w:sz="4" w:space="1" w:color="auto"/>
          <w:left w:val="single" w:sz="4" w:space="4" w:color="auto"/>
          <w:bottom w:val="single" w:sz="4" w:space="1" w:color="auto"/>
          <w:right w:val="single" w:sz="4" w:space="4" w:color="auto"/>
        </w:pBdr>
        <w:rPr>
          <w:szCs w:val="20"/>
        </w:rPr>
      </w:pPr>
      <w:r>
        <w:rPr>
          <w:szCs w:val="20"/>
        </w:rPr>
        <w:t>Concordance with other commercially available PD-L1 assays</w:t>
      </w:r>
    </w:p>
    <w:p w:rsidR="005B0B97" w:rsidRDefault="005B0B97" w:rsidP="001B29A1">
      <w:pPr>
        <w:pBdr>
          <w:top w:val="single" w:sz="4" w:space="1" w:color="auto"/>
          <w:left w:val="single" w:sz="4" w:space="4" w:color="auto"/>
          <w:bottom w:val="single" w:sz="4" w:space="1" w:color="auto"/>
          <w:right w:val="single" w:sz="4" w:space="4" w:color="auto"/>
        </w:pBdr>
        <w:rPr>
          <w:szCs w:val="20"/>
        </w:rPr>
      </w:pPr>
      <w:r>
        <w:rPr>
          <w:szCs w:val="20"/>
        </w:rPr>
        <w:t>Prevalence of PD-L1 expression</w:t>
      </w:r>
      <w:r w:rsidR="007044FD">
        <w:rPr>
          <w:szCs w:val="20"/>
        </w:rPr>
        <w:t xml:space="preserve"> assessed using different antibodies/assays</w:t>
      </w:r>
    </w:p>
    <w:p w:rsidR="005B0B97" w:rsidRDefault="005B0B97" w:rsidP="001B29A1">
      <w:pPr>
        <w:pBdr>
          <w:top w:val="single" w:sz="4" w:space="1" w:color="auto"/>
          <w:left w:val="single" w:sz="4" w:space="4" w:color="auto"/>
          <w:bottom w:val="single" w:sz="4" w:space="1" w:color="auto"/>
          <w:right w:val="single" w:sz="4" w:space="4" w:color="auto"/>
        </w:pBdr>
        <w:rPr>
          <w:szCs w:val="20"/>
        </w:rPr>
      </w:pPr>
      <w:r>
        <w:rPr>
          <w:szCs w:val="20"/>
        </w:rPr>
        <w:t>Re-testing rates</w:t>
      </w:r>
    </w:p>
    <w:p w:rsidR="005B0B97" w:rsidRPr="007044FD" w:rsidRDefault="007044FD" w:rsidP="001B29A1">
      <w:pPr>
        <w:pBdr>
          <w:top w:val="single" w:sz="4" w:space="1" w:color="auto"/>
          <w:left w:val="single" w:sz="4" w:space="4" w:color="auto"/>
          <w:bottom w:val="single" w:sz="4" w:space="1" w:color="auto"/>
          <w:right w:val="single" w:sz="4" w:space="4" w:color="auto"/>
        </w:pBdr>
        <w:rPr>
          <w:i/>
          <w:szCs w:val="20"/>
        </w:rPr>
      </w:pPr>
      <w:r w:rsidRPr="007044FD">
        <w:rPr>
          <w:i/>
          <w:szCs w:val="20"/>
        </w:rPr>
        <w:t>Clinical utility of test:</w:t>
      </w:r>
    </w:p>
    <w:p w:rsidR="007044FD" w:rsidRDefault="009D061C" w:rsidP="001B29A1">
      <w:pPr>
        <w:pBdr>
          <w:top w:val="single" w:sz="4" w:space="1" w:color="auto"/>
          <w:left w:val="single" w:sz="4" w:space="4" w:color="auto"/>
          <w:bottom w:val="single" w:sz="4" w:space="1" w:color="auto"/>
          <w:right w:val="single" w:sz="4" w:space="4" w:color="auto"/>
        </w:pBdr>
        <w:rPr>
          <w:szCs w:val="20"/>
        </w:rPr>
      </w:pPr>
      <w:r>
        <w:rPr>
          <w:szCs w:val="20"/>
        </w:rPr>
        <w:t>Efficacy and safety o</w:t>
      </w:r>
      <w:r w:rsidR="007044FD">
        <w:rPr>
          <w:szCs w:val="20"/>
        </w:rPr>
        <w:t xml:space="preserve">utcomes of </w:t>
      </w:r>
      <w:proofErr w:type="spellStart"/>
      <w:r w:rsidR="007044FD">
        <w:rPr>
          <w:szCs w:val="20"/>
        </w:rPr>
        <w:t>durvalumab</w:t>
      </w:r>
      <w:proofErr w:type="spellEnd"/>
      <w:r w:rsidR="007044FD">
        <w:rPr>
          <w:szCs w:val="20"/>
        </w:rPr>
        <w:t xml:space="preserve"> and </w:t>
      </w:r>
      <w:proofErr w:type="spellStart"/>
      <w:r w:rsidR="007044FD">
        <w:rPr>
          <w:szCs w:val="20"/>
        </w:rPr>
        <w:t>durvalumab</w:t>
      </w:r>
      <w:proofErr w:type="spellEnd"/>
      <w:r w:rsidR="007044FD">
        <w:rPr>
          <w:szCs w:val="20"/>
        </w:rPr>
        <w:t>/</w:t>
      </w:r>
      <w:proofErr w:type="spellStart"/>
      <w:r w:rsidR="007044FD">
        <w:rPr>
          <w:szCs w:val="20"/>
        </w:rPr>
        <w:t>tremelimumab</w:t>
      </w:r>
      <w:proofErr w:type="spellEnd"/>
      <w:r w:rsidR="007044FD">
        <w:rPr>
          <w:szCs w:val="20"/>
        </w:rPr>
        <w:t xml:space="preserve"> treatment with or without PD-L1 testing</w:t>
      </w:r>
    </w:p>
    <w:p w:rsidR="009D061C" w:rsidRPr="009D061C" w:rsidRDefault="009D061C" w:rsidP="001B29A1">
      <w:pPr>
        <w:pBdr>
          <w:top w:val="single" w:sz="4" w:space="1" w:color="auto"/>
          <w:left w:val="single" w:sz="4" w:space="4" w:color="auto"/>
          <w:bottom w:val="single" w:sz="4" w:space="1" w:color="auto"/>
          <w:right w:val="single" w:sz="4" w:space="4" w:color="auto"/>
        </w:pBdr>
        <w:rPr>
          <w:i/>
          <w:szCs w:val="20"/>
        </w:rPr>
      </w:pPr>
      <w:r w:rsidRPr="009D061C">
        <w:rPr>
          <w:i/>
          <w:szCs w:val="20"/>
        </w:rPr>
        <w:t>Other test-related considerations:</w:t>
      </w:r>
    </w:p>
    <w:p w:rsidR="009D061C" w:rsidRDefault="009D061C" w:rsidP="001B29A1">
      <w:pPr>
        <w:pBdr>
          <w:top w:val="single" w:sz="4" w:space="1" w:color="auto"/>
          <w:left w:val="single" w:sz="4" w:space="4" w:color="auto"/>
          <w:bottom w:val="single" w:sz="4" w:space="1" w:color="auto"/>
          <w:right w:val="single" w:sz="4" w:space="4" w:color="auto"/>
        </w:pBdr>
        <w:rPr>
          <w:szCs w:val="20"/>
        </w:rPr>
      </w:pPr>
      <w:r>
        <w:rPr>
          <w:szCs w:val="20"/>
        </w:rPr>
        <w:t>Re-biopsy rates</w:t>
      </w:r>
    </w:p>
    <w:p w:rsidR="009D061C" w:rsidRDefault="009D061C" w:rsidP="001B29A1">
      <w:pPr>
        <w:pBdr>
          <w:top w:val="single" w:sz="4" w:space="1" w:color="auto"/>
          <w:left w:val="single" w:sz="4" w:space="4" w:color="auto"/>
          <w:bottom w:val="single" w:sz="4" w:space="1" w:color="auto"/>
          <w:right w:val="single" w:sz="4" w:space="4" w:color="auto"/>
        </w:pBdr>
        <w:rPr>
          <w:szCs w:val="20"/>
        </w:rPr>
      </w:pPr>
      <w:r>
        <w:rPr>
          <w:szCs w:val="20"/>
        </w:rPr>
        <w:t>Test turn-around time</w:t>
      </w:r>
    </w:p>
    <w:p w:rsidR="009D061C" w:rsidRDefault="009D061C" w:rsidP="001B29A1">
      <w:pPr>
        <w:pBdr>
          <w:top w:val="single" w:sz="4" w:space="1" w:color="auto"/>
          <w:left w:val="single" w:sz="4" w:space="4" w:color="auto"/>
          <w:bottom w:val="single" w:sz="4" w:space="1" w:color="auto"/>
          <w:right w:val="single" w:sz="4" w:space="4" w:color="auto"/>
        </w:pBdr>
        <w:rPr>
          <w:szCs w:val="20"/>
        </w:rPr>
      </w:pPr>
      <w:r>
        <w:rPr>
          <w:szCs w:val="20"/>
        </w:rPr>
        <w:t>Estimated number of patients being tested</w:t>
      </w:r>
    </w:p>
    <w:p w:rsidR="009D061C" w:rsidRDefault="009D061C" w:rsidP="001B29A1">
      <w:pPr>
        <w:pBdr>
          <w:top w:val="single" w:sz="4" w:space="1" w:color="auto"/>
          <w:left w:val="single" w:sz="4" w:space="4" w:color="auto"/>
          <w:bottom w:val="single" w:sz="4" w:space="1" w:color="auto"/>
          <w:right w:val="single" w:sz="4" w:space="4" w:color="auto"/>
        </w:pBdr>
        <w:rPr>
          <w:szCs w:val="20"/>
        </w:rPr>
      </w:pPr>
      <w:r>
        <w:rPr>
          <w:szCs w:val="20"/>
        </w:rPr>
        <w:t>Number of p</w:t>
      </w:r>
      <w:r w:rsidR="00CE11AF">
        <w:rPr>
          <w:szCs w:val="20"/>
        </w:rPr>
        <w:t>atients tested per case of PD-L1 high and PD-L1 low</w:t>
      </w:r>
      <w:r w:rsidR="006C5734">
        <w:rPr>
          <w:szCs w:val="20"/>
        </w:rPr>
        <w:t xml:space="preserve"> result detected</w:t>
      </w:r>
    </w:p>
    <w:p w:rsidR="006C5734" w:rsidRDefault="006C5734" w:rsidP="006C5734">
      <w:pPr>
        <w:pBdr>
          <w:top w:val="single" w:sz="4" w:space="1" w:color="auto"/>
          <w:left w:val="single" w:sz="4" w:space="4" w:color="auto"/>
          <w:bottom w:val="single" w:sz="4" w:space="1" w:color="auto"/>
          <w:right w:val="single" w:sz="4" w:space="4" w:color="auto"/>
        </w:pBdr>
        <w:rPr>
          <w:szCs w:val="20"/>
        </w:rPr>
      </w:pPr>
      <w:r>
        <w:rPr>
          <w:szCs w:val="20"/>
        </w:rPr>
        <w:lastRenderedPageBreak/>
        <w:t>Number of patients tested p</w:t>
      </w:r>
      <w:r w:rsidR="00CE11AF">
        <w:rPr>
          <w:szCs w:val="20"/>
        </w:rPr>
        <w:t>er case of PD-L1 high</w:t>
      </w:r>
      <w:r>
        <w:rPr>
          <w:szCs w:val="20"/>
        </w:rPr>
        <w:t xml:space="preserve"> treated with </w:t>
      </w:r>
      <w:proofErr w:type="spellStart"/>
      <w:r>
        <w:rPr>
          <w:szCs w:val="20"/>
        </w:rPr>
        <w:t>durv</w:t>
      </w:r>
      <w:r w:rsidR="00A16BB6">
        <w:rPr>
          <w:szCs w:val="20"/>
        </w:rPr>
        <w:t>alumab</w:t>
      </w:r>
      <w:proofErr w:type="spellEnd"/>
      <w:r w:rsidR="00A16BB6">
        <w:rPr>
          <w:szCs w:val="20"/>
        </w:rPr>
        <w:t xml:space="preserve"> and PD-L1 low</w:t>
      </w:r>
      <w:r>
        <w:rPr>
          <w:szCs w:val="20"/>
        </w:rPr>
        <w:t xml:space="preserve"> treated with </w:t>
      </w:r>
      <w:proofErr w:type="spellStart"/>
      <w:r>
        <w:rPr>
          <w:szCs w:val="20"/>
        </w:rPr>
        <w:t>durvalumab</w:t>
      </w:r>
      <w:proofErr w:type="spellEnd"/>
      <w:r>
        <w:rPr>
          <w:szCs w:val="20"/>
        </w:rPr>
        <w:t>/</w:t>
      </w:r>
      <w:proofErr w:type="spellStart"/>
      <w:r>
        <w:rPr>
          <w:szCs w:val="20"/>
        </w:rPr>
        <w:t>tremelimumab</w:t>
      </w:r>
      <w:proofErr w:type="spellEnd"/>
    </w:p>
    <w:p w:rsidR="006C5734" w:rsidRDefault="006C5734" w:rsidP="006C5734">
      <w:pPr>
        <w:pBdr>
          <w:top w:val="single" w:sz="4" w:space="1" w:color="auto"/>
          <w:left w:val="single" w:sz="4" w:space="4" w:color="auto"/>
          <w:bottom w:val="single" w:sz="4" w:space="1" w:color="auto"/>
          <w:right w:val="single" w:sz="4" w:space="4" w:color="auto"/>
        </w:pBdr>
        <w:rPr>
          <w:szCs w:val="20"/>
        </w:rPr>
      </w:pPr>
      <w:r>
        <w:rPr>
          <w:szCs w:val="20"/>
        </w:rPr>
        <w:t>Cost of testing p</w:t>
      </w:r>
      <w:r w:rsidR="00A16BB6">
        <w:rPr>
          <w:szCs w:val="20"/>
        </w:rPr>
        <w:t>er case of PD-L1 high and PD-L1 low</w:t>
      </w:r>
      <w:r>
        <w:rPr>
          <w:szCs w:val="20"/>
        </w:rPr>
        <w:t xml:space="preserve"> result detected</w:t>
      </w:r>
    </w:p>
    <w:p w:rsidR="006C5734" w:rsidRPr="009857F8" w:rsidRDefault="006C5734" w:rsidP="006C5734">
      <w:pPr>
        <w:pBdr>
          <w:top w:val="single" w:sz="4" w:space="1" w:color="auto"/>
          <w:left w:val="single" w:sz="4" w:space="4" w:color="auto"/>
          <w:bottom w:val="single" w:sz="4" w:space="1" w:color="auto"/>
          <w:right w:val="single" w:sz="4" w:space="4" w:color="auto"/>
        </w:pBdr>
        <w:rPr>
          <w:szCs w:val="20"/>
        </w:rPr>
      </w:pPr>
      <w:r>
        <w:rPr>
          <w:szCs w:val="20"/>
        </w:rPr>
        <w:t>Cost of testing p</w:t>
      </w:r>
      <w:r w:rsidR="00A16BB6">
        <w:rPr>
          <w:szCs w:val="20"/>
        </w:rPr>
        <w:t>er case of PD-L1 high</w:t>
      </w:r>
      <w:r>
        <w:rPr>
          <w:szCs w:val="20"/>
        </w:rPr>
        <w:t xml:space="preserve"> treated with </w:t>
      </w:r>
      <w:proofErr w:type="spellStart"/>
      <w:r>
        <w:rPr>
          <w:szCs w:val="20"/>
        </w:rPr>
        <w:t>durv</w:t>
      </w:r>
      <w:r w:rsidR="00A16BB6">
        <w:rPr>
          <w:szCs w:val="20"/>
        </w:rPr>
        <w:t>alumab</w:t>
      </w:r>
      <w:proofErr w:type="spellEnd"/>
      <w:r w:rsidR="00A16BB6">
        <w:rPr>
          <w:szCs w:val="20"/>
        </w:rPr>
        <w:t xml:space="preserve"> and PD-L1 low</w:t>
      </w:r>
      <w:r>
        <w:rPr>
          <w:szCs w:val="20"/>
        </w:rPr>
        <w:t xml:space="preserve"> treated with </w:t>
      </w:r>
      <w:proofErr w:type="spellStart"/>
      <w:r>
        <w:rPr>
          <w:szCs w:val="20"/>
        </w:rPr>
        <w:t>durvalumab</w:t>
      </w:r>
      <w:proofErr w:type="spellEnd"/>
      <w:r>
        <w:rPr>
          <w:szCs w:val="20"/>
        </w:rPr>
        <w:t>/</w:t>
      </w:r>
      <w:proofErr w:type="spellStart"/>
      <w:r>
        <w:rPr>
          <w:szCs w:val="20"/>
        </w:rPr>
        <w:t>tremelimumab</w:t>
      </w:r>
      <w:proofErr w:type="spellEnd"/>
    </w:p>
    <w:p w:rsidR="009857F8" w:rsidRPr="009857F8" w:rsidRDefault="009857F8" w:rsidP="001B29A1">
      <w:pPr>
        <w:pBdr>
          <w:top w:val="single" w:sz="4" w:space="1" w:color="auto"/>
          <w:left w:val="single" w:sz="4" w:space="4" w:color="auto"/>
          <w:bottom w:val="single" w:sz="4" w:space="1" w:color="auto"/>
          <w:right w:val="single" w:sz="4" w:space="4" w:color="auto"/>
        </w:pBdr>
        <w:rPr>
          <w:b/>
          <w:szCs w:val="20"/>
        </w:rPr>
      </w:pPr>
      <w:r w:rsidRPr="009857F8">
        <w:rPr>
          <w:b/>
          <w:szCs w:val="20"/>
        </w:rPr>
        <w:t>Drug outcomes</w:t>
      </w:r>
    </w:p>
    <w:p w:rsidR="009857F8" w:rsidRDefault="00AF0715" w:rsidP="001B29A1">
      <w:pPr>
        <w:pBdr>
          <w:top w:val="single" w:sz="4" w:space="1" w:color="auto"/>
          <w:left w:val="single" w:sz="4" w:space="4" w:color="auto"/>
          <w:bottom w:val="single" w:sz="4" w:space="1" w:color="auto"/>
          <w:right w:val="single" w:sz="4" w:space="4" w:color="auto"/>
        </w:pBdr>
        <w:rPr>
          <w:szCs w:val="20"/>
        </w:rPr>
      </w:pPr>
      <w:r>
        <w:rPr>
          <w:szCs w:val="20"/>
        </w:rPr>
        <w:t xml:space="preserve">Clinical efficacy of </w:t>
      </w:r>
      <w:proofErr w:type="spellStart"/>
      <w:r>
        <w:rPr>
          <w:szCs w:val="20"/>
        </w:rPr>
        <w:t>durvalumab</w:t>
      </w:r>
      <w:proofErr w:type="spellEnd"/>
      <w:r>
        <w:rPr>
          <w:szCs w:val="20"/>
        </w:rPr>
        <w:t xml:space="preserve"> and </w:t>
      </w:r>
      <w:proofErr w:type="spellStart"/>
      <w:r>
        <w:rPr>
          <w:szCs w:val="20"/>
        </w:rPr>
        <w:t>durvalumab</w:t>
      </w:r>
      <w:proofErr w:type="spellEnd"/>
      <w:r>
        <w:rPr>
          <w:szCs w:val="20"/>
        </w:rPr>
        <w:t>/</w:t>
      </w:r>
      <w:proofErr w:type="spellStart"/>
      <w:r>
        <w:rPr>
          <w:szCs w:val="20"/>
        </w:rPr>
        <w:t>tremelimumab</w:t>
      </w:r>
      <w:proofErr w:type="spellEnd"/>
      <w:r>
        <w:rPr>
          <w:szCs w:val="20"/>
        </w:rPr>
        <w:t>:</w:t>
      </w:r>
    </w:p>
    <w:p w:rsidR="00AF0715" w:rsidRPr="00717C01" w:rsidRDefault="00274AC9" w:rsidP="001B29A1">
      <w:pPr>
        <w:pBdr>
          <w:top w:val="single" w:sz="4" w:space="1" w:color="auto"/>
          <w:left w:val="single" w:sz="4" w:space="4" w:color="auto"/>
          <w:bottom w:val="single" w:sz="4" w:space="1" w:color="auto"/>
          <w:right w:val="single" w:sz="4" w:space="4" w:color="auto"/>
        </w:pBdr>
        <w:rPr>
          <w:i/>
          <w:szCs w:val="20"/>
        </w:rPr>
      </w:pPr>
      <w:r w:rsidRPr="00717C01">
        <w:rPr>
          <w:i/>
          <w:szCs w:val="20"/>
        </w:rPr>
        <w:t>Co-primary outcomes</w:t>
      </w:r>
      <w:r w:rsidR="00AF0715" w:rsidRPr="00717C01">
        <w:rPr>
          <w:i/>
          <w:szCs w:val="20"/>
        </w:rPr>
        <w:t>:</w:t>
      </w:r>
    </w:p>
    <w:p w:rsidR="00AF0715" w:rsidRDefault="00AF0715" w:rsidP="001B29A1">
      <w:pPr>
        <w:pBdr>
          <w:top w:val="single" w:sz="4" w:space="1" w:color="auto"/>
          <w:left w:val="single" w:sz="4" w:space="4" w:color="auto"/>
          <w:bottom w:val="single" w:sz="4" w:space="1" w:color="auto"/>
          <w:right w:val="single" w:sz="4" w:space="4" w:color="auto"/>
        </w:pBdr>
        <w:rPr>
          <w:szCs w:val="20"/>
        </w:rPr>
      </w:pPr>
      <w:r>
        <w:rPr>
          <w:szCs w:val="20"/>
        </w:rPr>
        <w:t xml:space="preserve">Overall survival </w:t>
      </w:r>
      <w:r w:rsidR="00FA148E">
        <w:rPr>
          <w:szCs w:val="20"/>
        </w:rPr>
        <w:t>(OS)</w:t>
      </w:r>
    </w:p>
    <w:p w:rsidR="00AF0715" w:rsidRDefault="00AF0715" w:rsidP="001B29A1">
      <w:pPr>
        <w:pBdr>
          <w:top w:val="single" w:sz="4" w:space="1" w:color="auto"/>
          <w:left w:val="single" w:sz="4" w:space="4" w:color="auto"/>
          <w:bottom w:val="single" w:sz="4" w:space="1" w:color="auto"/>
          <w:right w:val="single" w:sz="4" w:space="4" w:color="auto"/>
        </w:pBdr>
        <w:rPr>
          <w:szCs w:val="20"/>
        </w:rPr>
      </w:pPr>
      <w:r>
        <w:rPr>
          <w:szCs w:val="20"/>
        </w:rPr>
        <w:t>Progression-free survival</w:t>
      </w:r>
      <w:r w:rsidR="00FA148E">
        <w:rPr>
          <w:szCs w:val="20"/>
        </w:rPr>
        <w:t xml:space="preserve"> (PFS, blinded independent central review</w:t>
      </w:r>
      <w:r w:rsidR="00193D72">
        <w:rPr>
          <w:szCs w:val="20"/>
        </w:rPr>
        <w:t xml:space="preserve"> (BICR)</w:t>
      </w:r>
      <w:r w:rsidR="00FA148E">
        <w:rPr>
          <w:szCs w:val="20"/>
        </w:rPr>
        <w:t>, RECIST v1.1 criteria)</w:t>
      </w:r>
    </w:p>
    <w:p w:rsidR="00AF0715" w:rsidRPr="00717C01" w:rsidRDefault="00AF0715" w:rsidP="001B29A1">
      <w:pPr>
        <w:pBdr>
          <w:top w:val="single" w:sz="4" w:space="1" w:color="auto"/>
          <w:left w:val="single" w:sz="4" w:space="4" w:color="auto"/>
          <w:bottom w:val="single" w:sz="4" w:space="1" w:color="auto"/>
          <w:right w:val="single" w:sz="4" w:space="4" w:color="auto"/>
        </w:pBdr>
        <w:rPr>
          <w:i/>
          <w:szCs w:val="20"/>
        </w:rPr>
      </w:pPr>
      <w:r w:rsidRPr="00717C01">
        <w:rPr>
          <w:i/>
          <w:szCs w:val="20"/>
        </w:rPr>
        <w:t xml:space="preserve">Secondary </w:t>
      </w:r>
      <w:r w:rsidR="00274AC9" w:rsidRPr="00717C01">
        <w:rPr>
          <w:i/>
          <w:szCs w:val="20"/>
        </w:rPr>
        <w:t>outcomes:</w:t>
      </w:r>
    </w:p>
    <w:p w:rsidR="00274AC9" w:rsidRDefault="00274AC9" w:rsidP="001B29A1">
      <w:pPr>
        <w:pBdr>
          <w:top w:val="single" w:sz="4" w:space="1" w:color="auto"/>
          <w:left w:val="single" w:sz="4" w:space="4" w:color="auto"/>
          <w:bottom w:val="single" w:sz="4" w:space="1" w:color="auto"/>
          <w:right w:val="single" w:sz="4" w:space="4" w:color="auto"/>
        </w:pBdr>
        <w:rPr>
          <w:szCs w:val="20"/>
        </w:rPr>
      </w:pPr>
      <w:r>
        <w:rPr>
          <w:szCs w:val="20"/>
        </w:rPr>
        <w:t>Objective response rates</w:t>
      </w:r>
      <w:r w:rsidR="00FA148E">
        <w:rPr>
          <w:szCs w:val="20"/>
        </w:rPr>
        <w:t xml:space="preserve"> (ORR)</w:t>
      </w:r>
    </w:p>
    <w:p w:rsidR="00274AC9" w:rsidRDefault="001F77E5" w:rsidP="001B29A1">
      <w:pPr>
        <w:pBdr>
          <w:top w:val="single" w:sz="4" w:space="1" w:color="auto"/>
          <w:left w:val="single" w:sz="4" w:space="4" w:color="auto"/>
          <w:bottom w:val="single" w:sz="4" w:space="1" w:color="auto"/>
          <w:right w:val="single" w:sz="4" w:space="4" w:color="auto"/>
        </w:pBdr>
        <w:rPr>
          <w:szCs w:val="20"/>
        </w:rPr>
      </w:pPr>
      <w:r>
        <w:rPr>
          <w:szCs w:val="20"/>
        </w:rPr>
        <w:t>Duration of response</w:t>
      </w:r>
      <w:r w:rsidR="00FA148E">
        <w:rPr>
          <w:szCs w:val="20"/>
        </w:rPr>
        <w:t xml:space="preserve"> (</w:t>
      </w:r>
      <w:proofErr w:type="spellStart"/>
      <w:r w:rsidR="00FA148E">
        <w:rPr>
          <w:szCs w:val="20"/>
        </w:rPr>
        <w:t>DoR</w:t>
      </w:r>
      <w:proofErr w:type="spellEnd"/>
      <w:r w:rsidR="00FA148E">
        <w:rPr>
          <w:szCs w:val="20"/>
        </w:rPr>
        <w:t>)</w:t>
      </w:r>
    </w:p>
    <w:p w:rsidR="00C473F0" w:rsidRDefault="00C473F0" w:rsidP="001B29A1">
      <w:pPr>
        <w:pBdr>
          <w:top w:val="single" w:sz="4" w:space="1" w:color="auto"/>
          <w:left w:val="single" w:sz="4" w:space="4" w:color="auto"/>
          <w:bottom w:val="single" w:sz="4" w:space="1" w:color="auto"/>
          <w:right w:val="single" w:sz="4" w:space="4" w:color="auto"/>
        </w:pBdr>
        <w:rPr>
          <w:szCs w:val="20"/>
        </w:rPr>
      </w:pPr>
      <w:r>
        <w:rPr>
          <w:szCs w:val="20"/>
        </w:rPr>
        <w:t>Disease control rate (DCR)</w:t>
      </w:r>
    </w:p>
    <w:p w:rsidR="001F77E5" w:rsidRDefault="001F77E5" w:rsidP="001B29A1">
      <w:pPr>
        <w:pBdr>
          <w:top w:val="single" w:sz="4" w:space="1" w:color="auto"/>
          <w:left w:val="single" w:sz="4" w:space="4" w:color="auto"/>
          <w:bottom w:val="single" w:sz="4" w:space="1" w:color="auto"/>
          <w:right w:val="single" w:sz="4" w:space="4" w:color="auto"/>
        </w:pBdr>
        <w:rPr>
          <w:szCs w:val="20"/>
        </w:rPr>
      </w:pPr>
      <w:r>
        <w:rPr>
          <w:szCs w:val="20"/>
        </w:rPr>
        <w:t>P</w:t>
      </w:r>
      <w:r w:rsidR="00274AC9" w:rsidRPr="00274AC9">
        <w:rPr>
          <w:szCs w:val="20"/>
        </w:rPr>
        <w:t>roportion of patients alive and progression free at 12 months f</w:t>
      </w:r>
      <w:r>
        <w:rPr>
          <w:szCs w:val="20"/>
        </w:rPr>
        <w:t>rom randomization (APF12)</w:t>
      </w:r>
    </w:p>
    <w:p w:rsidR="00C473F0" w:rsidRDefault="00C473F0" w:rsidP="001B29A1">
      <w:pPr>
        <w:pBdr>
          <w:top w:val="single" w:sz="4" w:space="1" w:color="auto"/>
          <w:left w:val="single" w:sz="4" w:space="4" w:color="auto"/>
          <w:bottom w:val="single" w:sz="4" w:space="1" w:color="auto"/>
          <w:right w:val="single" w:sz="4" w:space="4" w:color="auto"/>
        </w:pBdr>
        <w:rPr>
          <w:szCs w:val="20"/>
        </w:rPr>
      </w:pPr>
      <w:r>
        <w:rPr>
          <w:szCs w:val="20"/>
        </w:rPr>
        <w:t>Overall survival for 24 months (OS24)</w:t>
      </w:r>
    </w:p>
    <w:p w:rsidR="001F77E5" w:rsidRDefault="001F77E5" w:rsidP="00C473F0">
      <w:pPr>
        <w:pBdr>
          <w:top w:val="single" w:sz="4" w:space="1" w:color="auto"/>
          <w:left w:val="single" w:sz="4" w:space="4" w:color="auto"/>
          <w:bottom w:val="single" w:sz="4" w:space="1" w:color="auto"/>
          <w:right w:val="single" w:sz="4" w:space="4" w:color="auto"/>
        </w:pBdr>
        <w:rPr>
          <w:szCs w:val="20"/>
        </w:rPr>
      </w:pPr>
      <w:r>
        <w:rPr>
          <w:szCs w:val="20"/>
        </w:rPr>
        <w:t>Health-related quality of life</w:t>
      </w:r>
      <w:r w:rsidR="00C473F0">
        <w:rPr>
          <w:szCs w:val="20"/>
        </w:rPr>
        <w:t xml:space="preserve"> in urothelial cancer patients using the FACT-BL questionnaire (derived NFBlSI-18 score, FACT-BL </w:t>
      </w:r>
      <w:r w:rsidR="00C473F0" w:rsidRPr="00C473F0">
        <w:rPr>
          <w:szCs w:val="20"/>
        </w:rPr>
        <w:t>TOI, and FACT-BL Total score</w:t>
      </w:r>
      <w:r w:rsidR="00C473F0">
        <w:rPr>
          <w:szCs w:val="20"/>
        </w:rPr>
        <w:t>)</w:t>
      </w:r>
    </w:p>
    <w:p w:rsidR="00274AC9" w:rsidRDefault="001F77E5" w:rsidP="001B29A1">
      <w:pPr>
        <w:pBdr>
          <w:top w:val="single" w:sz="4" w:space="1" w:color="auto"/>
          <w:left w:val="single" w:sz="4" w:space="4" w:color="auto"/>
          <w:bottom w:val="single" w:sz="4" w:space="1" w:color="auto"/>
          <w:right w:val="single" w:sz="4" w:space="4" w:color="auto"/>
        </w:pBdr>
        <w:rPr>
          <w:szCs w:val="20"/>
        </w:rPr>
      </w:pPr>
      <w:r>
        <w:rPr>
          <w:szCs w:val="20"/>
        </w:rPr>
        <w:t>T</w:t>
      </w:r>
      <w:r w:rsidR="00274AC9" w:rsidRPr="00274AC9">
        <w:rPr>
          <w:szCs w:val="20"/>
        </w:rPr>
        <w:t>ime to second progression (PFS2)</w:t>
      </w:r>
    </w:p>
    <w:p w:rsidR="00FA148E" w:rsidRPr="00717C01" w:rsidRDefault="00693C3D" w:rsidP="001B29A1">
      <w:pPr>
        <w:pBdr>
          <w:top w:val="single" w:sz="4" w:space="1" w:color="auto"/>
          <w:left w:val="single" w:sz="4" w:space="4" w:color="auto"/>
          <w:bottom w:val="single" w:sz="4" w:space="1" w:color="auto"/>
          <w:right w:val="single" w:sz="4" w:space="4" w:color="auto"/>
        </w:pBdr>
        <w:rPr>
          <w:i/>
          <w:szCs w:val="20"/>
        </w:rPr>
      </w:pPr>
      <w:r w:rsidRPr="00717C01">
        <w:rPr>
          <w:i/>
          <w:szCs w:val="20"/>
        </w:rPr>
        <w:t>Exploratory outcomes:</w:t>
      </w:r>
    </w:p>
    <w:p w:rsidR="00693C3D" w:rsidRDefault="00693C3D" w:rsidP="001B29A1">
      <w:pPr>
        <w:pBdr>
          <w:top w:val="single" w:sz="4" w:space="1" w:color="auto"/>
          <w:left w:val="single" w:sz="4" w:space="4" w:color="auto"/>
          <w:bottom w:val="single" w:sz="4" w:space="1" w:color="auto"/>
          <w:right w:val="single" w:sz="4" w:space="4" w:color="auto"/>
        </w:pBdr>
        <w:rPr>
          <w:szCs w:val="20"/>
        </w:rPr>
      </w:pPr>
      <w:r>
        <w:rPr>
          <w:szCs w:val="20"/>
        </w:rPr>
        <w:t>Health state utility (EQ-5D-5L)</w:t>
      </w:r>
    </w:p>
    <w:p w:rsidR="00693C3D" w:rsidRPr="009857F8" w:rsidRDefault="00193D72" w:rsidP="00193D72">
      <w:pPr>
        <w:pBdr>
          <w:top w:val="single" w:sz="4" w:space="1" w:color="auto"/>
          <w:left w:val="single" w:sz="4" w:space="4" w:color="auto"/>
          <w:bottom w:val="single" w:sz="4" w:space="1" w:color="auto"/>
          <w:right w:val="single" w:sz="4" w:space="4" w:color="auto"/>
        </w:pBdr>
        <w:rPr>
          <w:szCs w:val="20"/>
        </w:rPr>
      </w:pPr>
      <w:r w:rsidRPr="00193D72">
        <w:rPr>
          <w:szCs w:val="20"/>
        </w:rPr>
        <w:t>PFS, APF1</w:t>
      </w:r>
      <w:r>
        <w:rPr>
          <w:szCs w:val="20"/>
        </w:rPr>
        <w:t xml:space="preserve">2, ORR, </w:t>
      </w:r>
      <w:proofErr w:type="spellStart"/>
      <w:r>
        <w:rPr>
          <w:szCs w:val="20"/>
        </w:rPr>
        <w:t>DoR</w:t>
      </w:r>
      <w:proofErr w:type="spellEnd"/>
      <w:r>
        <w:rPr>
          <w:szCs w:val="20"/>
        </w:rPr>
        <w:t xml:space="preserve">, and DCR using BICR </w:t>
      </w:r>
      <w:r w:rsidRPr="00193D72">
        <w:rPr>
          <w:szCs w:val="20"/>
        </w:rPr>
        <w:t xml:space="preserve">assessment according to </w:t>
      </w:r>
      <w:proofErr w:type="spellStart"/>
      <w:r w:rsidRPr="00193D72">
        <w:rPr>
          <w:szCs w:val="20"/>
        </w:rPr>
        <w:t>irRECIST</w:t>
      </w:r>
      <w:proofErr w:type="spellEnd"/>
    </w:p>
    <w:p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7969E8" w:rsidRPr="00BB11F9" w:rsidRDefault="000E41FB" w:rsidP="00722063">
      <w:pPr>
        <w:ind w:left="426"/>
        <w:rPr>
          <w:vertAlign w:val="superscript"/>
        </w:rPr>
      </w:pPr>
      <w:r>
        <w:t xml:space="preserve">The estimated incidence of bladder cancer in </w:t>
      </w:r>
      <w:r w:rsidR="00722063">
        <w:t>2017 is 2,995 cases (</w:t>
      </w:r>
      <w:r>
        <w:t>2267 males and 728 females</w:t>
      </w:r>
      <w:r w:rsidR="00722063">
        <w:t>)</w:t>
      </w:r>
      <w:r>
        <w:t>.</w:t>
      </w:r>
      <w:proofErr w:type="gramStart"/>
      <w:r w:rsidR="006F2D99">
        <w:rPr>
          <w:vertAlign w:val="superscript"/>
        </w:rPr>
        <w:t>1</w:t>
      </w:r>
      <w:r w:rsidR="00722063">
        <w:rPr>
          <w:vertAlign w:val="superscript"/>
        </w:rPr>
        <w:t xml:space="preserve"> </w:t>
      </w:r>
      <w:r w:rsidR="00722063">
        <w:t xml:space="preserve"> The</w:t>
      </w:r>
      <w:proofErr w:type="gramEnd"/>
      <w:r w:rsidR="00722063">
        <w:t xml:space="preserve"> 1</w:t>
      </w:r>
      <w:r w:rsidR="00D77DC6">
        <w:t xml:space="preserve">-year prevalence of bladder cancer </w:t>
      </w:r>
      <w:r w:rsidR="00722063">
        <w:t xml:space="preserve">(based on latest data from 2012) </w:t>
      </w:r>
      <w:r w:rsidR="00D77DC6">
        <w:t xml:space="preserve">is </w:t>
      </w:r>
      <w:r w:rsidR="00722063">
        <w:t xml:space="preserve">2131 persons (1671 males and 460 females).  </w:t>
      </w:r>
      <w:r w:rsidR="006F2D99">
        <w:t xml:space="preserve">The proportion of bladder cancer </w:t>
      </w:r>
      <w:r w:rsidR="00554AB0">
        <w:t>patients with urothelial (transitional cell) carcinoma is 90%.</w:t>
      </w:r>
      <w:r w:rsidR="00BB11F9">
        <w:rPr>
          <w:vertAlign w:val="superscript"/>
        </w:rPr>
        <w:t>2</w:t>
      </w:r>
      <w:proofErr w:type="gramStart"/>
      <w:r w:rsidR="00BB11F9">
        <w:rPr>
          <w:vertAlign w:val="superscript"/>
        </w:rPr>
        <w:t>,3</w:t>
      </w:r>
      <w:proofErr w:type="gramEnd"/>
    </w:p>
    <w:p w:rsidR="006F2D99" w:rsidRDefault="00BB11F9" w:rsidP="00616069">
      <w:pPr>
        <w:ind w:left="426"/>
      </w:pPr>
      <w:r w:rsidRPr="00BB11F9">
        <w:t>The proportion of patients with</w:t>
      </w:r>
      <w:r w:rsidR="007247CA">
        <w:t xml:space="preserve"> </w:t>
      </w:r>
      <w:proofErr w:type="spellStart"/>
      <w:r w:rsidR="007247CA">
        <w:t>unresectable</w:t>
      </w:r>
      <w:proofErr w:type="spellEnd"/>
      <w:r w:rsidRPr="00BB11F9">
        <w:t xml:space="preserve"> Stage IV </w:t>
      </w:r>
      <w:r w:rsidR="00A16BB6">
        <w:t>(</w:t>
      </w:r>
      <w:r w:rsidRPr="00BB11F9">
        <w:t>metastatic</w:t>
      </w:r>
      <w:r>
        <w:t>)</w:t>
      </w:r>
      <w:r w:rsidRPr="00BB11F9">
        <w:t xml:space="preserve"> disease at diagnosis has been esti</w:t>
      </w:r>
      <w:r>
        <w:t>mated at 32.4% (Western Europe, 2013) and 28.7% (United States,</w:t>
      </w:r>
      <w:r w:rsidRPr="00BB11F9">
        <w:t xml:space="preserve"> 2014).  </w:t>
      </w:r>
      <w:r w:rsidR="00067F5A">
        <w:t>Approximately 30% will be used to estimate the population who are Stage IV at diagnosis.</w:t>
      </w:r>
    </w:p>
    <w:p w:rsidR="00D77DC6" w:rsidRDefault="00D77DC6" w:rsidP="00616069">
      <w:pPr>
        <w:ind w:left="426"/>
      </w:pPr>
      <w:r>
        <w:t xml:space="preserve">The proportion of patients relapsing </w:t>
      </w:r>
      <w:r w:rsidR="00722063">
        <w:t xml:space="preserve">to Stage IV </w:t>
      </w:r>
      <w:r w:rsidR="00FC32A5">
        <w:t xml:space="preserve">disease </w:t>
      </w:r>
      <w:r>
        <w:t>from earlier stage disease has been estimated at 50%</w:t>
      </w:r>
      <w:r w:rsidR="00722063">
        <w:t>.</w:t>
      </w:r>
      <w:r w:rsidR="00FC32A5">
        <w:rPr>
          <w:vertAlign w:val="superscript"/>
        </w:rPr>
        <w:t>5</w:t>
      </w:r>
    </w:p>
    <w:p w:rsidR="004B37C6" w:rsidRDefault="00FC32A5" w:rsidP="00815494">
      <w:pPr>
        <w:ind w:left="426"/>
      </w:pPr>
      <w:r>
        <w:t xml:space="preserve">Approximately 20% of patients with Stage IV disease are not suitable candidates for systemic </w:t>
      </w:r>
      <w:r w:rsidR="004B37C6">
        <w:t xml:space="preserve">chemotherapy </w:t>
      </w:r>
      <w:r w:rsidR="0093353B">
        <w:t>treatment and receive best supportive</w:t>
      </w:r>
      <w:r>
        <w:t xml:space="preserve"> care only.</w:t>
      </w:r>
      <w:r w:rsidR="004B37C6">
        <w:rPr>
          <w:vertAlign w:val="superscript"/>
        </w:rPr>
        <w:t>5</w:t>
      </w:r>
      <w:r w:rsidR="00815494">
        <w:rPr>
          <w:vertAlign w:val="superscript"/>
        </w:rPr>
        <w:t xml:space="preserve"> </w:t>
      </w:r>
      <w:r w:rsidR="00815494">
        <w:t xml:space="preserve"> </w:t>
      </w:r>
      <w:r w:rsidR="00952BF8">
        <w:t xml:space="preserve"> </w:t>
      </w:r>
      <w:proofErr w:type="gramStart"/>
      <w:r w:rsidR="004B37C6">
        <w:t>The</w:t>
      </w:r>
      <w:proofErr w:type="gramEnd"/>
      <w:r w:rsidR="004B37C6">
        <w:t xml:space="preserve"> remaining 80% of Stage IV patients are suitable candidates for first line chemotherapy.</w:t>
      </w:r>
      <w:r w:rsidR="00815494">
        <w:rPr>
          <w:vertAlign w:val="superscript"/>
        </w:rPr>
        <w:t>5</w:t>
      </w:r>
    </w:p>
    <w:p w:rsidR="007B60F7" w:rsidRDefault="007B60F7" w:rsidP="00815494">
      <w:pPr>
        <w:ind w:left="426"/>
      </w:pPr>
    </w:p>
    <w:tbl>
      <w:tblPr>
        <w:tblStyle w:val="TableGrid"/>
        <w:tblW w:w="0" w:type="auto"/>
        <w:tblInd w:w="426" w:type="dxa"/>
        <w:tblLook w:val="04A0" w:firstRow="1" w:lastRow="0" w:firstColumn="1" w:lastColumn="0" w:noHBand="0" w:noVBand="1"/>
        <w:tblCaption w:val="Incidence and prevalence"/>
        <w:tblDescription w:val="Table showing incidence and prevalence."/>
      </w:tblPr>
      <w:tblGrid>
        <w:gridCol w:w="4415"/>
        <w:gridCol w:w="4401"/>
      </w:tblGrid>
      <w:tr w:rsidR="00067F5A" w:rsidTr="00FF1855">
        <w:trPr>
          <w:tblHeader/>
        </w:trPr>
        <w:tc>
          <w:tcPr>
            <w:tcW w:w="4508" w:type="dxa"/>
          </w:tcPr>
          <w:p w:rsidR="007B60F7" w:rsidRDefault="007B60F7" w:rsidP="00815494">
            <w:r>
              <w:t>Incident patients with urothelial carcinoma</w:t>
            </w:r>
          </w:p>
        </w:tc>
        <w:tc>
          <w:tcPr>
            <w:tcW w:w="4508" w:type="dxa"/>
          </w:tcPr>
          <w:p w:rsidR="007B60F7" w:rsidRDefault="00015746" w:rsidP="00815494">
            <w:r>
              <w:t>2696</w:t>
            </w:r>
          </w:p>
        </w:tc>
      </w:tr>
      <w:tr w:rsidR="00067F5A" w:rsidTr="007B60F7">
        <w:tc>
          <w:tcPr>
            <w:tcW w:w="4508" w:type="dxa"/>
          </w:tcPr>
          <w:p w:rsidR="007B60F7" w:rsidRDefault="00015746" w:rsidP="00815494">
            <w:r>
              <w:t>Prevalent patients with urothelial carcinoma</w:t>
            </w:r>
          </w:p>
        </w:tc>
        <w:tc>
          <w:tcPr>
            <w:tcW w:w="4508" w:type="dxa"/>
          </w:tcPr>
          <w:p w:rsidR="007B60F7" w:rsidRDefault="00067F5A" w:rsidP="00815494">
            <w:r>
              <w:t>1918</w:t>
            </w:r>
          </w:p>
        </w:tc>
      </w:tr>
      <w:tr w:rsidR="00067F5A" w:rsidTr="007B60F7">
        <w:tc>
          <w:tcPr>
            <w:tcW w:w="4508" w:type="dxa"/>
          </w:tcPr>
          <w:p w:rsidR="007B60F7" w:rsidRDefault="00067F5A" w:rsidP="00815494">
            <w:r>
              <w:t>Incident urothelial carcinoma patients Stage IV at diagnosis</w:t>
            </w:r>
          </w:p>
        </w:tc>
        <w:tc>
          <w:tcPr>
            <w:tcW w:w="4508" w:type="dxa"/>
          </w:tcPr>
          <w:p w:rsidR="007B60F7" w:rsidRDefault="00067F5A" w:rsidP="00815494">
            <w:r>
              <w:t>809</w:t>
            </w:r>
          </w:p>
        </w:tc>
      </w:tr>
      <w:tr w:rsidR="00067F5A" w:rsidTr="007B60F7">
        <w:tc>
          <w:tcPr>
            <w:tcW w:w="4508" w:type="dxa"/>
          </w:tcPr>
          <w:p w:rsidR="007B60F7" w:rsidRDefault="00067F5A" w:rsidP="00815494">
            <w:r>
              <w:t xml:space="preserve">Prevalent patients with urothelial carcinoma progressing </w:t>
            </w:r>
            <w:r w:rsidR="008A2C2C">
              <w:t xml:space="preserve">to Stage IV </w:t>
            </w:r>
            <w:r>
              <w:t>from earlier stage disease</w:t>
            </w:r>
          </w:p>
        </w:tc>
        <w:tc>
          <w:tcPr>
            <w:tcW w:w="4508" w:type="dxa"/>
          </w:tcPr>
          <w:p w:rsidR="007B60F7" w:rsidRDefault="008A2C2C" w:rsidP="00815494">
            <w:r>
              <w:t>960</w:t>
            </w:r>
          </w:p>
        </w:tc>
      </w:tr>
      <w:tr w:rsidR="00067F5A" w:rsidTr="007B60F7">
        <w:tc>
          <w:tcPr>
            <w:tcW w:w="4508" w:type="dxa"/>
          </w:tcPr>
          <w:p w:rsidR="007B60F7" w:rsidRDefault="008A2C2C" w:rsidP="00815494">
            <w:r>
              <w:t xml:space="preserve">All urothelial </w:t>
            </w:r>
            <w:r w:rsidR="00774570">
              <w:t xml:space="preserve">carcinoma patients Stage IV and suitable for systemic first line treatment </w:t>
            </w:r>
          </w:p>
        </w:tc>
        <w:tc>
          <w:tcPr>
            <w:tcW w:w="4508" w:type="dxa"/>
          </w:tcPr>
          <w:p w:rsidR="007B60F7" w:rsidRDefault="00774570" w:rsidP="00815494">
            <w:r>
              <w:t>1415</w:t>
            </w:r>
          </w:p>
        </w:tc>
      </w:tr>
    </w:tbl>
    <w:p w:rsidR="007B60F7" w:rsidRPr="007B60F7" w:rsidRDefault="007B60F7" w:rsidP="00774570">
      <w:pPr>
        <w:ind w:left="360"/>
      </w:pPr>
    </w:p>
    <w:p w:rsidR="006F2D99" w:rsidRPr="00CF2CF8" w:rsidRDefault="006F2D99" w:rsidP="006F2D99">
      <w:pPr>
        <w:ind w:left="360"/>
        <w:rPr>
          <w:sz w:val="16"/>
          <w:szCs w:val="16"/>
        </w:rPr>
      </w:pPr>
      <w:r w:rsidRPr="00CF2CF8">
        <w:rPr>
          <w:szCs w:val="20"/>
          <w:vertAlign w:val="superscript"/>
        </w:rPr>
        <w:t>1</w:t>
      </w:r>
      <w:r w:rsidR="00E42F22">
        <w:rPr>
          <w:szCs w:val="20"/>
          <w:vertAlign w:val="superscript"/>
        </w:rPr>
        <w:t xml:space="preserve"> </w:t>
      </w:r>
      <w:r w:rsidRPr="00CF2CF8">
        <w:rPr>
          <w:sz w:val="16"/>
          <w:szCs w:val="16"/>
        </w:rPr>
        <w:t>Australian Institute of Health and Welfare (AIHW) Cancer in Australia 2017, p.82-83</w:t>
      </w:r>
    </w:p>
    <w:p w:rsidR="006F2D99" w:rsidRPr="00F11F13" w:rsidRDefault="006F2D99" w:rsidP="006F2D99">
      <w:pPr>
        <w:ind w:left="360"/>
        <w:rPr>
          <w:sz w:val="16"/>
          <w:szCs w:val="16"/>
        </w:rPr>
      </w:pPr>
      <w:r>
        <w:rPr>
          <w:vertAlign w:val="superscript"/>
        </w:rPr>
        <w:t>2</w:t>
      </w:r>
      <w:r>
        <w:t xml:space="preserve"> </w:t>
      </w:r>
      <w:r w:rsidRPr="00F11F13">
        <w:rPr>
          <w:sz w:val="16"/>
          <w:szCs w:val="16"/>
        </w:rPr>
        <w:t>Bladder cancer – transitional cell carcinoma Fact Sheet Urological Society of Australia and New Zealand (http://www.usanz.org.au/uploads/65337/ufiles/bladder-cancer.pdf)</w:t>
      </w:r>
    </w:p>
    <w:p w:rsidR="006F2D99" w:rsidRPr="00F11F13" w:rsidRDefault="006F2D99" w:rsidP="006F2D99">
      <w:pPr>
        <w:ind w:left="360"/>
        <w:rPr>
          <w:sz w:val="16"/>
          <w:szCs w:val="16"/>
        </w:rPr>
      </w:pPr>
      <w:r>
        <w:rPr>
          <w:szCs w:val="20"/>
          <w:vertAlign w:val="superscript"/>
        </w:rPr>
        <w:t>3</w:t>
      </w:r>
      <w:r w:rsidRPr="00F11F13">
        <w:rPr>
          <w:sz w:val="16"/>
          <w:szCs w:val="16"/>
        </w:rPr>
        <w:t xml:space="preserve"> Cancer Australia Bladder Cancer https://canceraustralia.gov.au/affected-can</w:t>
      </w:r>
      <w:r>
        <w:rPr>
          <w:sz w:val="16"/>
          <w:szCs w:val="16"/>
        </w:rPr>
        <w:t>cer/cancer-types/bladder-cancer</w:t>
      </w:r>
    </w:p>
    <w:p w:rsidR="006F2D99" w:rsidRPr="00E42F22" w:rsidRDefault="00E42F22" w:rsidP="004B3BCD">
      <w:pPr>
        <w:ind w:left="360"/>
        <w:rPr>
          <w:sz w:val="16"/>
          <w:szCs w:val="16"/>
        </w:rPr>
      </w:pPr>
      <w:r>
        <w:rPr>
          <w:vertAlign w:val="superscript"/>
        </w:rPr>
        <w:t xml:space="preserve">4 </w:t>
      </w:r>
      <w:r w:rsidRPr="00E42F22">
        <w:rPr>
          <w:sz w:val="16"/>
          <w:szCs w:val="16"/>
        </w:rPr>
        <w:t xml:space="preserve">Kantar Health </w:t>
      </w:r>
      <w:r w:rsidR="004B3BCD">
        <w:rPr>
          <w:sz w:val="16"/>
          <w:szCs w:val="16"/>
        </w:rPr>
        <w:t xml:space="preserve">physician survey </w:t>
      </w:r>
      <w:r w:rsidR="00BB11F9">
        <w:rPr>
          <w:sz w:val="16"/>
          <w:szCs w:val="16"/>
        </w:rPr>
        <w:t xml:space="preserve">2013, 2014 </w:t>
      </w:r>
    </w:p>
    <w:p w:rsidR="006F2D99" w:rsidRPr="00616069" w:rsidRDefault="00D77DC6" w:rsidP="00D77DC6">
      <w:pPr>
        <w:ind w:left="360"/>
      </w:pPr>
      <w:r>
        <w:rPr>
          <w:vertAlign w:val="superscript"/>
        </w:rPr>
        <w:t xml:space="preserve">5 </w:t>
      </w:r>
      <w:r w:rsidRPr="00D77DC6">
        <w:rPr>
          <w:sz w:val="16"/>
          <w:szCs w:val="16"/>
        </w:rPr>
        <w:t xml:space="preserve">Australian clinical expert </w:t>
      </w:r>
      <w:proofErr w:type="gramStart"/>
      <w:r w:rsidRPr="00D77DC6">
        <w:rPr>
          <w:sz w:val="16"/>
          <w:szCs w:val="16"/>
        </w:rPr>
        <w:t>opinion</w:t>
      </w:r>
      <w:proofErr w:type="gramEnd"/>
      <w:r w:rsidRPr="00D77DC6">
        <w:rPr>
          <w:sz w:val="16"/>
          <w:szCs w:val="16"/>
        </w:rPr>
        <w:t xml:space="preserve"> (AstraZeneca Bladder Cancer </w:t>
      </w:r>
      <w:r w:rsidR="005D4744" w:rsidRPr="00D77DC6">
        <w:rPr>
          <w:sz w:val="16"/>
          <w:szCs w:val="16"/>
        </w:rPr>
        <w:t xml:space="preserve">Advisory </w:t>
      </w:r>
      <w:r w:rsidRPr="00D77DC6">
        <w:rPr>
          <w:sz w:val="16"/>
          <w:szCs w:val="16"/>
        </w:rPr>
        <w:t>Board)</w:t>
      </w:r>
    </w:p>
    <w:p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9F170F" w:rsidRDefault="002A1470" w:rsidP="00AE1188">
      <w:pPr>
        <w:ind w:left="426"/>
      </w:pPr>
      <w:r>
        <w:t>It is proposed that P</w:t>
      </w:r>
      <w:r w:rsidR="00952BF8">
        <w:t xml:space="preserve">D-L1 testing would be conducted </w:t>
      </w:r>
      <w:r>
        <w:t xml:space="preserve">only </w:t>
      </w:r>
      <w:r w:rsidR="001E7979">
        <w:t xml:space="preserve">once </w:t>
      </w:r>
      <w:r w:rsidR="00616633">
        <w:t>in most</w:t>
      </w:r>
      <w:r w:rsidR="00952BF8">
        <w:t xml:space="preserve"> cases.  In </w:t>
      </w:r>
      <w:r w:rsidR="007C0102">
        <w:t xml:space="preserve">patients </w:t>
      </w:r>
      <w:r w:rsidR="001E7979">
        <w:t>diagnosed with Stage IV disease</w:t>
      </w:r>
      <w:r w:rsidR="00616633">
        <w:t xml:space="preserve"> PD-L1</w:t>
      </w:r>
      <w:r w:rsidR="001E7979">
        <w:t xml:space="preserve"> testing could be done </w:t>
      </w:r>
      <w:r w:rsidR="00616633">
        <w:t>prior to initiation of 1</w:t>
      </w:r>
      <w:r w:rsidR="00616633" w:rsidRPr="00616069">
        <w:rPr>
          <w:vertAlign w:val="superscript"/>
        </w:rPr>
        <w:t>st</w:t>
      </w:r>
      <w:r w:rsidR="00616633">
        <w:t xml:space="preserve"> line treatment </w:t>
      </w:r>
      <w:r w:rsidR="001E7979">
        <w:t xml:space="preserve">using the </w:t>
      </w:r>
      <w:r w:rsidR="007C0102">
        <w:t>same biopsy material</w:t>
      </w:r>
      <w:r w:rsidR="001E7979">
        <w:t xml:space="preserve"> </w:t>
      </w:r>
      <w:r w:rsidR="007C0102">
        <w:t>used</w:t>
      </w:r>
      <w:r w:rsidR="00616633">
        <w:t xml:space="preserve"> </w:t>
      </w:r>
      <w:r w:rsidR="007C0102">
        <w:t xml:space="preserve">to </w:t>
      </w:r>
      <w:r w:rsidR="001E7979">
        <w:t>confir</w:t>
      </w:r>
      <w:r w:rsidR="007C0102">
        <w:t>m</w:t>
      </w:r>
      <w:r w:rsidR="00616633">
        <w:t xml:space="preserve"> urothelial cancer</w:t>
      </w:r>
      <w:r>
        <w:t xml:space="preserve">.  </w:t>
      </w:r>
      <w:r w:rsidR="00616633">
        <w:t xml:space="preserve">According to the estimates in Question 47 above, </w:t>
      </w:r>
      <w:r w:rsidR="00F42B7B">
        <w:t xml:space="preserve">approximately 809 </w:t>
      </w:r>
      <w:r w:rsidR="00F85B1E">
        <w:t xml:space="preserve">patients could be Stage IV </w:t>
      </w:r>
      <w:r w:rsidR="00F42B7B">
        <w:t>at the time of diagnosis</w:t>
      </w:r>
      <w:r w:rsidR="00F85B1E">
        <w:t xml:space="preserve">, however only </w:t>
      </w:r>
      <w:r w:rsidR="00B85E6A">
        <w:t xml:space="preserve">around 647 </w:t>
      </w:r>
      <w:r w:rsidR="007C0102">
        <w:t xml:space="preserve">patients </w:t>
      </w:r>
      <w:r w:rsidR="00B85E6A">
        <w:t>would be suitable candid</w:t>
      </w:r>
      <w:r w:rsidR="009E5963">
        <w:t>ates for systemic 1</w:t>
      </w:r>
      <w:r w:rsidR="009E5963" w:rsidRPr="009E5963">
        <w:rPr>
          <w:vertAlign w:val="superscript"/>
        </w:rPr>
        <w:t>st</w:t>
      </w:r>
      <w:r w:rsidR="00B85E6A">
        <w:t xml:space="preserve"> line treatment and should have PD-L1 testing.</w:t>
      </w:r>
    </w:p>
    <w:p w:rsidR="00BA1118" w:rsidRDefault="009E5963" w:rsidP="00AE1188">
      <w:pPr>
        <w:ind w:left="426"/>
      </w:pPr>
      <w:r>
        <w:t>The majority of patients will be diagnosed with earlier stage disease and may</w:t>
      </w:r>
      <w:r w:rsidR="009F170F">
        <w:t xml:space="preserve"> undergo other treatment </w:t>
      </w:r>
      <w:r w:rsidR="000905DC">
        <w:t>options including cystectomy, neo-adjuvant or adjuvant chemotherapy with or without radiotherapy.  Some of these treatments impact PD-L1 status.  Approximately half of these patients will eventually progress to Stage IV disease</w:t>
      </w:r>
      <w:r>
        <w:t xml:space="preserve">.  </w:t>
      </w:r>
      <w:r w:rsidR="001271B5">
        <w:t xml:space="preserve">According to the estimates in Question 47 above, approximately 960 patients per year </w:t>
      </w:r>
      <w:r>
        <w:t>could progress</w:t>
      </w:r>
      <w:r w:rsidR="001271B5">
        <w:t xml:space="preserve"> to Stage </w:t>
      </w:r>
      <w:r>
        <w:t>IV from earlier stage disease</w:t>
      </w:r>
      <w:r w:rsidR="00800FAA">
        <w:t xml:space="preserve"> and of these approximately 768 </w:t>
      </w:r>
      <w:r w:rsidR="00800FAA">
        <w:lastRenderedPageBreak/>
        <w:t>would be suitable for systemic 1</w:t>
      </w:r>
      <w:r w:rsidR="00800FAA" w:rsidRPr="00800FAA">
        <w:rPr>
          <w:vertAlign w:val="superscript"/>
        </w:rPr>
        <w:t>st</w:t>
      </w:r>
      <w:r w:rsidR="00800FAA">
        <w:t xml:space="preserve"> line treatment.  Re-biopsy would be required to obtain tissue for PD-L1 testing in these patients.</w:t>
      </w:r>
    </w:p>
    <w:p w:rsidR="00382407" w:rsidRPr="00154B00" w:rsidRDefault="007C0102" w:rsidP="00AE1188">
      <w:pPr>
        <w:ind w:left="426"/>
        <w:rPr>
          <w:szCs w:val="20"/>
        </w:rPr>
      </w:pPr>
      <w:r>
        <w:t xml:space="preserve">In total approximately 1415 </w:t>
      </w:r>
      <w:r w:rsidR="00BA1118">
        <w:t xml:space="preserve">urothelial cancer </w:t>
      </w:r>
      <w:r>
        <w:t>patients per year could receive PD-L1 testing.</w:t>
      </w:r>
    </w:p>
    <w:p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rsidR="00382407" w:rsidRPr="00154B00" w:rsidRDefault="00616069" w:rsidP="00AE1188">
      <w:pPr>
        <w:ind w:left="426"/>
        <w:rPr>
          <w:b/>
          <w:szCs w:val="20"/>
        </w:rPr>
      </w:pPr>
      <w:r>
        <w:t>PD-L1 testing is not required fo</w:t>
      </w:r>
      <w:r w:rsidR="00AA14FA">
        <w:t xml:space="preserve">r routine monitoring of a </w:t>
      </w:r>
      <w:r>
        <w:t>patient.  It is proposed that the substantial majority of patients will only require PD-L1 testing once.</w:t>
      </w:r>
    </w:p>
    <w:p w:rsidR="002A6753" w:rsidRDefault="000E47E7" w:rsidP="00530204">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BA1118" w:rsidRPr="00BA1118" w:rsidRDefault="00BA1118" w:rsidP="00BA1118">
      <w:pPr>
        <w:ind w:left="360"/>
        <w:rPr>
          <w:szCs w:val="20"/>
        </w:rPr>
      </w:pPr>
      <w:r>
        <w:t>In total approximately 1415 urothelial cancer patients per year could receive PD-L1 testing and they would be tested only once, consequently the projected number of patients who would utilise PD-L1 testing in the first full year would also be 1415.</w:t>
      </w:r>
    </w:p>
    <w:p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1B171D" w:rsidRPr="00154B00" w:rsidRDefault="00664AED" w:rsidP="00AE1188">
      <w:pPr>
        <w:ind w:left="426"/>
        <w:rPr>
          <w:szCs w:val="20"/>
        </w:rPr>
      </w:pPr>
      <w:r>
        <w:rPr>
          <w:szCs w:val="20"/>
        </w:rPr>
        <w:t>PD-L1 testing is not expected to experience significant constraints in supply and demand over the first 3 years of</w:t>
      </w:r>
      <w:r w:rsidR="007F0883">
        <w:rPr>
          <w:szCs w:val="20"/>
        </w:rPr>
        <w:t xml:space="preserve"> listing.  There are no anticipated</w:t>
      </w:r>
      <w:r>
        <w:rPr>
          <w:szCs w:val="20"/>
        </w:rPr>
        <w:t xml:space="preserve"> constraints in </w:t>
      </w:r>
      <w:r w:rsidR="007F0883">
        <w:rPr>
          <w:szCs w:val="20"/>
        </w:rPr>
        <w:t xml:space="preserve">the </w:t>
      </w:r>
      <w:r>
        <w:rPr>
          <w:szCs w:val="20"/>
        </w:rPr>
        <w:t xml:space="preserve">supply of commercial </w:t>
      </w:r>
      <w:r w:rsidR="007F0883">
        <w:rPr>
          <w:szCs w:val="20"/>
        </w:rPr>
        <w:t xml:space="preserve">PD-L1 </w:t>
      </w:r>
      <w:r>
        <w:rPr>
          <w:szCs w:val="20"/>
        </w:rPr>
        <w:t xml:space="preserve">testing kits </w:t>
      </w:r>
      <w:r w:rsidR="00072622">
        <w:rPr>
          <w:szCs w:val="20"/>
        </w:rPr>
        <w:t>for urothelial cancer</w:t>
      </w:r>
      <w:r w:rsidR="007F0883">
        <w:rPr>
          <w:szCs w:val="20"/>
        </w:rPr>
        <w:t xml:space="preserve">.  It is also anticipated </w:t>
      </w:r>
      <w:r>
        <w:rPr>
          <w:szCs w:val="20"/>
        </w:rPr>
        <w:t xml:space="preserve">in-house PD-L1 test methods </w:t>
      </w:r>
      <w:r w:rsidR="007F0883">
        <w:rPr>
          <w:szCs w:val="20"/>
        </w:rPr>
        <w:t xml:space="preserve">would develop over the 1-3 year timeframe, in particular at major hospital pathology laboratories with research capabilities.  </w:t>
      </w:r>
      <w:r w:rsidR="00865B9B">
        <w:rPr>
          <w:szCs w:val="20"/>
        </w:rPr>
        <w:t>Over this time frame PD-L1 testing may be sought for other indications/tumour types</w:t>
      </w:r>
      <w:r w:rsidR="00BA62D9">
        <w:rPr>
          <w:szCs w:val="20"/>
        </w:rPr>
        <w:t xml:space="preserve"> to determine access to PBS treatments</w:t>
      </w:r>
      <w:r w:rsidR="00865B9B">
        <w:rPr>
          <w:szCs w:val="20"/>
        </w:rPr>
        <w:t xml:space="preserve">.  </w:t>
      </w:r>
      <w:r w:rsidR="00BA62D9">
        <w:rPr>
          <w:szCs w:val="20"/>
        </w:rPr>
        <w:t>In order to reduce the risk of leakage to other populations it is proposed that t</w:t>
      </w:r>
      <w:r w:rsidR="007F0883">
        <w:rPr>
          <w:szCs w:val="20"/>
        </w:rPr>
        <w:t xml:space="preserve">he </w:t>
      </w:r>
      <w:r w:rsidR="00865B9B">
        <w:rPr>
          <w:szCs w:val="20"/>
        </w:rPr>
        <w:t xml:space="preserve">MBS </w:t>
      </w:r>
      <w:r w:rsidR="007F0883">
        <w:rPr>
          <w:szCs w:val="20"/>
        </w:rPr>
        <w:t>restriction</w:t>
      </w:r>
      <w:r w:rsidR="00865B9B">
        <w:rPr>
          <w:szCs w:val="20"/>
        </w:rPr>
        <w:t xml:space="preserve"> </w:t>
      </w:r>
      <w:r w:rsidR="00BA62D9">
        <w:rPr>
          <w:szCs w:val="20"/>
        </w:rPr>
        <w:t xml:space="preserve">should </w:t>
      </w:r>
      <w:r w:rsidR="00865B9B">
        <w:rPr>
          <w:szCs w:val="20"/>
        </w:rPr>
        <w:t>specif</w:t>
      </w:r>
      <w:r w:rsidR="00072622">
        <w:rPr>
          <w:szCs w:val="20"/>
        </w:rPr>
        <w:t>y PD-L1 testing of tumour material (tumour cells and immune cells)</w:t>
      </w:r>
      <w:r w:rsidR="00865B9B">
        <w:rPr>
          <w:szCs w:val="20"/>
        </w:rPr>
        <w:t xml:space="preserve"> from</w:t>
      </w:r>
      <w:r w:rsidR="00B8373A">
        <w:rPr>
          <w:szCs w:val="20"/>
        </w:rPr>
        <w:t xml:space="preserve"> </w:t>
      </w:r>
      <w:r w:rsidR="00865B9B">
        <w:rPr>
          <w:szCs w:val="20"/>
        </w:rPr>
        <w:t>patients</w:t>
      </w:r>
      <w:r w:rsidR="00072622">
        <w:rPr>
          <w:szCs w:val="20"/>
        </w:rPr>
        <w:t xml:space="preserve"> with </w:t>
      </w:r>
      <w:proofErr w:type="gramStart"/>
      <w:r w:rsidR="00072622">
        <w:rPr>
          <w:szCs w:val="20"/>
        </w:rPr>
        <w:t>a</w:t>
      </w:r>
      <w:proofErr w:type="gramEnd"/>
      <w:r w:rsidR="00072622">
        <w:rPr>
          <w:szCs w:val="20"/>
        </w:rPr>
        <w:t xml:space="preserve"> urothelial </w:t>
      </w:r>
      <w:r w:rsidR="00AA14FA">
        <w:rPr>
          <w:szCs w:val="20"/>
        </w:rPr>
        <w:t xml:space="preserve">cancer </w:t>
      </w:r>
      <w:r w:rsidR="00B8373A">
        <w:rPr>
          <w:szCs w:val="20"/>
        </w:rPr>
        <w:t>diagnosis</w:t>
      </w:r>
      <w:r w:rsidR="00BA62D9">
        <w:rPr>
          <w:szCs w:val="20"/>
        </w:rPr>
        <w:t xml:space="preserve">.  </w:t>
      </w:r>
      <w:r w:rsidR="00B8373A">
        <w:rPr>
          <w:szCs w:val="20"/>
        </w:rPr>
        <w:t xml:space="preserve">This will be clarified in the </w:t>
      </w:r>
      <w:r w:rsidR="00BA62D9">
        <w:rPr>
          <w:szCs w:val="20"/>
        </w:rPr>
        <w:t xml:space="preserve">co-dependent </w:t>
      </w:r>
      <w:r w:rsidR="00B8373A">
        <w:rPr>
          <w:szCs w:val="20"/>
        </w:rPr>
        <w:t xml:space="preserve">PBS </w:t>
      </w:r>
      <w:proofErr w:type="gramStart"/>
      <w:r w:rsidR="00B8373A">
        <w:rPr>
          <w:szCs w:val="20"/>
        </w:rPr>
        <w:t>criteria</w:t>
      </w:r>
      <w:r w:rsidR="00BA62D9">
        <w:rPr>
          <w:szCs w:val="20"/>
        </w:rPr>
        <w:t>,</w:t>
      </w:r>
      <w:proofErr w:type="gramEnd"/>
      <w:r w:rsidR="00BA62D9">
        <w:rPr>
          <w:szCs w:val="20"/>
        </w:rPr>
        <w:t xml:space="preserve"> however </w:t>
      </w:r>
      <w:r w:rsidR="00AB1552">
        <w:rPr>
          <w:szCs w:val="20"/>
        </w:rPr>
        <w:t>the additional clarification in the MBS criteria would reduce the risk of leakage in populations where the clinical and cost effectiveness of PD-L1 testing has not yet been determined.</w:t>
      </w:r>
    </w:p>
    <w:p w:rsidR="003433D1" w:rsidRDefault="003433D1">
      <w:pPr>
        <w:rPr>
          <w:b/>
          <w:sz w:val="32"/>
          <w:szCs w:val="32"/>
        </w:rPr>
      </w:pPr>
      <w:r>
        <w:rPr>
          <w:b/>
          <w:sz w:val="32"/>
          <w:szCs w:val="32"/>
        </w:rPr>
        <w:br w:type="page"/>
      </w:r>
    </w:p>
    <w:p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951933" w:rsidRPr="00154B00" w:rsidRDefault="00D06F36" w:rsidP="00AE1188">
      <w:pPr>
        <w:ind w:left="426"/>
        <w:rPr>
          <w:szCs w:val="20"/>
        </w:rPr>
      </w:pPr>
      <w:r>
        <w:t xml:space="preserve">The proposed fee for </w:t>
      </w:r>
      <w:r w:rsidR="00CE7E44">
        <w:t>a single antibody PD-L1 test</w:t>
      </w:r>
      <w:r>
        <w:t xml:space="preserve"> on the MBS </w:t>
      </w:r>
      <w:r w:rsidR="00CE7E44">
        <w:t xml:space="preserve">is </w:t>
      </w:r>
      <w:r w:rsidR="0075736D">
        <w:t>yet to be clarified but is expected to be similar to other</w:t>
      </w:r>
      <w:r>
        <w:t xml:space="preserve"> </w:t>
      </w:r>
      <w:r w:rsidR="0075736D">
        <w:t>MBS items for IHC testing.</w:t>
      </w:r>
    </w:p>
    <w:p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rsidR="00D06F36" w:rsidRPr="00D06F36" w:rsidRDefault="00D06F36" w:rsidP="00D06F36">
      <w:pPr>
        <w:ind w:left="360"/>
        <w:rPr>
          <w:szCs w:val="20"/>
        </w:rPr>
      </w:pPr>
      <w:r w:rsidRPr="00D06F36">
        <w:rPr>
          <w:szCs w:val="20"/>
        </w:rPr>
        <w:t xml:space="preserve">IHC </w:t>
      </w:r>
      <w:r w:rsidR="0075736D">
        <w:rPr>
          <w:szCs w:val="20"/>
        </w:rPr>
        <w:t>testing for PD-L1 expression has been estimated to</w:t>
      </w:r>
      <w:r w:rsidRPr="00D06F36">
        <w:rPr>
          <w:szCs w:val="20"/>
        </w:rPr>
        <w:t xml:space="preserve"> take between 2.5-4 hours to perform depending on instrumentation </w:t>
      </w:r>
      <w:r>
        <w:rPr>
          <w:szCs w:val="20"/>
        </w:rPr>
        <w:t>and protocol being followed.</w:t>
      </w:r>
    </w:p>
    <w:p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CE7E44">
        <w:t xml:space="preserve">6 </w:t>
      </w:r>
      <w:r w:rsidRPr="00AE1188">
        <w:rPr>
          <w:szCs w:val="20"/>
        </w:rPr>
        <w:t xml:space="preserve">– </w:t>
      </w:r>
      <w:r w:rsidR="00CE7E44">
        <w:t>Pathology Services</w:t>
      </w:r>
    </w:p>
    <w:p w:rsidR="00AE1188" w:rsidRPr="00AE1188" w:rsidRDefault="00FA2A47" w:rsidP="00AE1188">
      <w:pPr>
        <w:pBdr>
          <w:top w:val="single" w:sz="4" w:space="1" w:color="auto"/>
          <w:left w:val="single" w:sz="4" w:space="4" w:color="auto"/>
          <w:bottom w:val="single" w:sz="4" w:space="1" w:color="auto"/>
          <w:right w:val="single" w:sz="4" w:space="4" w:color="auto"/>
        </w:pBdr>
        <w:rPr>
          <w:szCs w:val="20"/>
        </w:rPr>
      </w:pPr>
      <w:r>
        <w:rPr>
          <w:szCs w:val="20"/>
        </w:rPr>
        <w:t>MBS item number</w:t>
      </w:r>
    </w:p>
    <w:p w:rsidR="00AE1188" w:rsidRDefault="00AE1188" w:rsidP="00AE1188">
      <w:pPr>
        <w:pBdr>
          <w:top w:val="single" w:sz="4" w:space="1" w:color="auto"/>
          <w:left w:val="single" w:sz="4" w:space="4" w:color="auto"/>
          <w:bottom w:val="single" w:sz="4" w:space="1" w:color="auto"/>
          <w:right w:val="single" w:sz="4" w:space="4" w:color="auto"/>
        </w:pBdr>
      </w:pPr>
      <w:r w:rsidRPr="00AE1188">
        <w:rPr>
          <w:szCs w:val="20"/>
        </w:rPr>
        <w:t>Proposed item descriptor</w:t>
      </w:r>
      <w:r>
        <w:rPr>
          <w:szCs w:val="20"/>
        </w:rPr>
        <w:t xml:space="preserve">: </w:t>
      </w:r>
    </w:p>
    <w:p w:rsidR="00FA2A47" w:rsidRPr="00AE1188" w:rsidRDefault="00FA2A47" w:rsidP="00AE1188">
      <w:pPr>
        <w:pBdr>
          <w:top w:val="single" w:sz="4" w:space="1" w:color="auto"/>
          <w:left w:val="single" w:sz="4" w:space="4" w:color="auto"/>
          <w:bottom w:val="single" w:sz="4" w:space="1" w:color="auto"/>
          <w:right w:val="single" w:sz="4" w:space="4" w:color="auto"/>
        </w:pBdr>
        <w:rPr>
          <w:szCs w:val="20"/>
        </w:rPr>
      </w:pPr>
      <w:proofErr w:type="spellStart"/>
      <w:r>
        <w:rPr>
          <w:szCs w:val="20"/>
        </w:rPr>
        <w:t>Immunohistochemical</w:t>
      </w:r>
      <w:proofErr w:type="spellEnd"/>
      <w:r>
        <w:rPr>
          <w:szCs w:val="20"/>
        </w:rPr>
        <w:t xml:space="preserve"> examination of biopsy material </w:t>
      </w:r>
      <w:r w:rsidR="006A3812">
        <w:rPr>
          <w:szCs w:val="20"/>
        </w:rPr>
        <w:t xml:space="preserve">(tumour cells and immune cells) </w:t>
      </w:r>
      <w:r>
        <w:rPr>
          <w:szCs w:val="20"/>
        </w:rPr>
        <w:t xml:space="preserve">from a patient diagnosed </w:t>
      </w:r>
      <w:r w:rsidR="00072622">
        <w:rPr>
          <w:szCs w:val="20"/>
        </w:rPr>
        <w:t xml:space="preserve">with </w:t>
      </w:r>
      <w:proofErr w:type="spellStart"/>
      <w:r w:rsidR="006A3812">
        <w:rPr>
          <w:szCs w:val="20"/>
        </w:rPr>
        <w:t>unresectable</w:t>
      </w:r>
      <w:proofErr w:type="spellEnd"/>
      <w:r w:rsidR="006A3812">
        <w:rPr>
          <w:szCs w:val="20"/>
        </w:rPr>
        <w:t xml:space="preserve"> Stage IV </w:t>
      </w:r>
      <w:r w:rsidR="00072622">
        <w:rPr>
          <w:szCs w:val="20"/>
        </w:rPr>
        <w:t>urothelial cancer</w:t>
      </w:r>
      <w:r w:rsidR="0075736D">
        <w:rPr>
          <w:szCs w:val="20"/>
        </w:rPr>
        <w:t xml:space="preserve"> </w:t>
      </w:r>
      <w:r>
        <w:rPr>
          <w:szCs w:val="20"/>
        </w:rPr>
        <w:t xml:space="preserve">using a </w:t>
      </w:r>
      <w:r w:rsidR="009C66FB">
        <w:rPr>
          <w:szCs w:val="20"/>
        </w:rPr>
        <w:t>programmed cell death ligand 1 (</w:t>
      </w:r>
      <w:r>
        <w:rPr>
          <w:szCs w:val="20"/>
        </w:rPr>
        <w:t>PD-L1</w:t>
      </w:r>
      <w:r w:rsidR="009C66FB">
        <w:rPr>
          <w:szCs w:val="20"/>
        </w:rPr>
        <w:t>)</w:t>
      </w:r>
      <w:r>
        <w:rPr>
          <w:szCs w:val="20"/>
        </w:rPr>
        <w:t xml:space="preserve"> antibody to determine if the requirements </w:t>
      </w:r>
      <w:r w:rsidR="009C66FB">
        <w:rPr>
          <w:szCs w:val="20"/>
        </w:rPr>
        <w:t>relating to PD-L1 sta</w:t>
      </w:r>
      <w:r w:rsidR="0075736D">
        <w:rPr>
          <w:szCs w:val="20"/>
        </w:rPr>
        <w:t xml:space="preserve">tus for access to </w:t>
      </w:r>
      <w:proofErr w:type="spellStart"/>
      <w:r w:rsidR="0075736D">
        <w:rPr>
          <w:szCs w:val="20"/>
        </w:rPr>
        <w:t>durvalumab</w:t>
      </w:r>
      <w:proofErr w:type="spellEnd"/>
      <w:r w:rsidR="0075736D">
        <w:rPr>
          <w:szCs w:val="20"/>
        </w:rPr>
        <w:t xml:space="preserve"> or</w:t>
      </w:r>
      <w:r w:rsidR="009C66FB">
        <w:rPr>
          <w:szCs w:val="20"/>
        </w:rPr>
        <w:t xml:space="preserve"> </w:t>
      </w:r>
      <w:proofErr w:type="spellStart"/>
      <w:r w:rsidR="009C66FB">
        <w:rPr>
          <w:szCs w:val="20"/>
        </w:rPr>
        <w:t>durvalumab</w:t>
      </w:r>
      <w:proofErr w:type="spellEnd"/>
      <w:r w:rsidR="009C66FB">
        <w:rPr>
          <w:szCs w:val="20"/>
        </w:rPr>
        <w:t>/</w:t>
      </w:r>
      <w:proofErr w:type="spellStart"/>
      <w:r w:rsidR="009C66FB">
        <w:rPr>
          <w:szCs w:val="20"/>
        </w:rPr>
        <w:t>tremelimumab</w:t>
      </w:r>
      <w:proofErr w:type="spellEnd"/>
      <w:r w:rsidR="009C66FB">
        <w:rPr>
          <w:szCs w:val="20"/>
        </w:rPr>
        <w:t xml:space="preserve"> under the Pharmaceutical Benefits Scheme (PBS) are fulfilled.</w:t>
      </w:r>
    </w:p>
    <w:p w:rsidR="00AE1188" w:rsidRPr="00AE1188" w:rsidRDefault="0075736D" w:rsidP="00AE1188">
      <w:pPr>
        <w:pBdr>
          <w:top w:val="single" w:sz="4" w:space="1" w:color="auto"/>
          <w:left w:val="single" w:sz="4" w:space="4" w:color="auto"/>
          <w:bottom w:val="single" w:sz="4" w:space="1" w:color="auto"/>
          <w:right w:val="single" w:sz="4" w:space="4" w:color="auto"/>
        </w:pBdr>
        <w:rPr>
          <w:szCs w:val="20"/>
        </w:rPr>
      </w:pPr>
      <w:r>
        <w:rPr>
          <w:szCs w:val="20"/>
        </w:rPr>
        <w:t xml:space="preserve">Fee:  To be </w:t>
      </w:r>
      <w:proofErr w:type="gramStart"/>
      <w:r>
        <w:rPr>
          <w:szCs w:val="20"/>
        </w:rPr>
        <w:t xml:space="preserve">determined </w:t>
      </w:r>
      <w:r w:rsidR="00FA2A47">
        <w:t xml:space="preserve"> Benefit</w:t>
      </w:r>
      <w:proofErr w:type="gramEnd"/>
      <w:r w:rsidR="00FA2A47">
        <w:t>: To be determined</w:t>
      </w:r>
    </w:p>
    <w:p w:rsidR="00AE1188" w:rsidRDefault="00AE1188" w:rsidP="004A0BF4">
      <w:pPr>
        <w:pStyle w:val="Heading2"/>
        <w:numPr>
          <w:ilvl w:val="0"/>
          <w:numId w:val="0"/>
        </w:numPr>
        <w:ind w:left="360"/>
      </w:pPr>
      <w:r>
        <w:br w:type="page"/>
      </w:r>
    </w:p>
    <w:p w:rsidR="00E058F2" w:rsidRPr="00C776B1" w:rsidRDefault="001B5169" w:rsidP="00AE1188">
      <w:pPr>
        <w:pStyle w:val="Heading1"/>
      </w:pPr>
      <w:r>
        <w:lastRenderedPageBreak/>
        <w:t>PART 9</w:t>
      </w:r>
      <w:r w:rsidR="00F93784">
        <w:t xml:space="preserve"> – </w:t>
      </w:r>
      <w:r w:rsidR="00E058F2" w:rsidRPr="00C776B1">
        <w:t>FEEDBACK</w:t>
      </w:r>
    </w:p>
    <w:p w:rsidR="00E058F2" w:rsidRPr="00154B00" w:rsidRDefault="00E058F2" w:rsidP="00E058F2">
      <w:pPr>
        <w:rPr>
          <w:szCs w:val="20"/>
        </w:rPr>
      </w:pPr>
      <w:r w:rsidRPr="00154B00">
        <w:rPr>
          <w:szCs w:val="20"/>
        </w:rPr>
        <w:t>The Department</w:t>
      </w:r>
      <w:r w:rsidR="005A58BA">
        <w:rPr>
          <w:szCs w:val="20"/>
        </w:rPr>
        <w:t xml:space="preserve"> is interested in your feedback.</w:t>
      </w:r>
    </w:p>
    <w:p w:rsidR="00E058F2" w:rsidRDefault="00E058F2" w:rsidP="001B5169">
      <w:pPr>
        <w:pStyle w:val="Heading2"/>
      </w:pPr>
      <w:r w:rsidRPr="00AE1188">
        <w:t>How long did it take to complete the Application Form?</w:t>
      </w:r>
    </w:p>
    <w:p w:rsidR="002444DB" w:rsidRPr="00387887" w:rsidRDefault="002444DB" w:rsidP="002444DB">
      <w:pPr>
        <w:rPr>
          <w:b/>
        </w:rPr>
      </w:pPr>
      <w:r w:rsidRPr="00387887">
        <w:rPr>
          <w:b/>
        </w:rPr>
        <w:t>Redacted</w:t>
      </w:r>
    </w:p>
    <w:p w:rsidR="001845D9" w:rsidRPr="00154B00" w:rsidRDefault="002444DB" w:rsidP="00530204">
      <w:pPr>
        <w:pStyle w:val="Heading2"/>
      </w:pPr>
      <w:r>
        <w:t xml:space="preserve"> </w:t>
      </w:r>
      <w:r w:rsidR="001B5169">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rsidR="00603D04" w:rsidRPr="001B29A1" w:rsidRDefault="002444DB" w:rsidP="00603D04">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60041">
        <w:rPr>
          <w:szCs w:val="20"/>
        </w:rPr>
      </w:r>
      <w:r w:rsidR="00C60041">
        <w:rPr>
          <w:szCs w:val="20"/>
        </w:rPr>
        <w:fldChar w:fldCharType="separate"/>
      </w:r>
      <w:r w:rsidRPr="001B29A1">
        <w:rPr>
          <w:szCs w:val="20"/>
        </w:rPr>
        <w:fldChar w:fldCharType="end"/>
      </w:r>
      <w:r w:rsidRPr="001B29A1">
        <w:rPr>
          <w:szCs w:val="20"/>
        </w:rPr>
        <w:t xml:space="preserve"> </w:t>
      </w:r>
      <w:r>
        <w:rPr>
          <w:szCs w:val="20"/>
        </w:rPr>
        <w:t>No</w:t>
      </w:r>
    </w:p>
    <w:p w:rsidR="003D6DE1" w:rsidRDefault="00603D04" w:rsidP="001B5169">
      <w:pPr>
        <w:pStyle w:val="Heading2"/>
        <w:numPr>
          <w:ilvl w:val="0"/>
          <w:numId w:val="31"/>
        </w:numPr>
      </w:pPr>
      <w:r>
        <w:t>If no, provide areas of concern:</w:t>
      </w:r>
    </w:p>
    <w:p w:rsidR="00387887" w:rsidRPr="00387887" w:rsidRDefault="00387887" w:rsidP="00387887">
      <w:pPr>
        <w:rPr>
          <w:b/>
        </w:rPr>
      </w:pPr>
      <w:r w:rsidRPr="00387887">
        <w:rPr>
          <w:b/>
        </w:rPr>
        <w:t>Redacted</w:t>
      </w:r>
    </w:p>
    <w:p w:rsidR="00E058F2" w:rsidRPr="00154B00" w:rsidRDefault="00387887" w:rsidP="00530204">
      <w:pPr>
        <w:pStyle w:val="Heading2"/>
      </w:pPr>
      <w:r>
        <w:t xml:space="preserve"> </w:t>
      </w:r>
      <w:r w:rsidR="001B5169">
        <w:t xml:space="preserve">(a) </w:t>
      </w:r>
      <w:r w:rsidR="00E058F2" w:rsidRPr="00603D04">
        <w:t>Are</w:t>
      </w:r>
      <w:r w:rsidR="00E058F2" w:rsidRPr="00154B00">
        <w:t xml:space="preserve"> the associated Guidelines to the Application Form useful?</w:t>
      </w:r>
    </w:p>
    <w:p w:rsidR="00603D04" w:rsidRPr="001B29A1" w:rsidRDefault="002444DB" w:rsidP="00603D04">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60041">
        <w:rPr>
          <w:szCs w:val="20"/>
        </w:rPr>
      </w:r>
      <w:r w:rsidR="00C60041">
        <w:rPr>
          <w:szCs w:val="20"/>
        </w:rPr>
        <w:fldChar w:fldCharType="separate"/>
      </w:r>
      <w:r w:rsidRPr="001B29A1">
        <w:rPr>
          <w:szCs w:val="20"/>
        </w:rPr>
        <w:fldChar w:fldCharType="end"/>
      </w:r>
      <w:r w:rsidRPr="001B29A1">
        <w:rPr>
          <w:szCs w:val="20"/>
        </w:rPr>
        <w:t xml:space="preserve"> </w:t>
      </w:r>
      <w:r>
        <w:rPr>
          <w:szCs w:val="20"/>
        </w:rPr>
        <w:t>No</w:t>
      </w:r>
    </w:p>
    <w:p w:rsidR="00387887" w:rsidRPr="00387887" w:rsidRDefault="00387887" w:rsidP="00387887">
      <w:pPr>
        <w:spacing w:before="0" w:after="0"/>
        <w:rPr>
          <w:b/>
          <w:szCs w:val="20"/>
        </w:rPr>
      </w:pPr>
      <w:r w:rsidRPr="00387887">
        <w:rPr>
          <w:b/>
          <w:szCs w:val="20"/>
        </w:rPr>
        <w:t>Redacted</w:t>
      </w:r>
    </w:p>
    <w:p w:rsidR="003D6DE1" w:rsidRPr="00154B00" w:rsidRDefault="003D6DE1" w:rsidP="001B5169">
      <w:pPr>
        <w:pStyle w:val="Heading2"/>
        <w:numPr>
          <w:ilvl w:val="0"/>
          <w:numId w:val="32"/>
        </w:numPr>
      </w:pPr>
      <w:r>
        <w:t>If no, what areas did you find not to be useful?</w:t>
      </w:r>
    </w:p>
    <w:p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rsidR="00603D04" w:rsidRPr="001B29A1" w:rsidRDefault="00387887" w:rsidP="00603D04">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60041">
        <w:rPr>
          <w:szCs w:val="20"/>
        </w:rPr>
      </w:r>
      <w:r w:rsidR="00C60041">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60041">
        <w:rPr>
          <w:szCs w:val="20"/>
        </w:rPr>
      </w:r>
      <w:r w:rsidR="00C60041">
        <w:rPr>
          <w:szCs w:val="20"/>
        </w:rPr>
        <w:fldChar w:fldCharType="separate"/>
      </w:r>
      <w:r w:rsidRPr="001B29A1">
        <w:rPr>
          <w:szCs w:val="20"/>
        </w:rPr>
        <w:fldChar w:fldCharType="end"/>
      </w:r>
      <w:r w:rsidRPr="001B29A1">
        <w:rPr>
          <w:szCs w:val="20"/>
        </w:rPr>
        <w:t xml:space="preserve"> </w:t>
      </w:r>
      <w:r>
        <w:rPr>
          <w:szCs w:val="20"/>
        </w:rPr>
        <w:t>No</w:t>
      </w:r>
    </w:p>
    <w:p w:rsidR="001845D9"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rsidR="00387887" w:rsidRPr="00387887" w:rsidRDefault="00387887" w:rsidP="00387887">
      <w:pPr>
        <w:rPr>
          <w:b/>
        </w:rPr>
      </w:pPr>
      <w:r w:rsidRPr="00387887">
        <w:rPr>
          <w:b/>
        </w:rPr>
        <w:t>Redacted</w:t>
      </w:r>
    </w:p>
    <w:sectPr w:rsidR="00387887" w:rsidRPr="00387887"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E07" w:rsidRDefault="00C96E07" w:rsidP="00CF2DFA">
      <w:pPr>
        <w:spacing w:after="0"/>
      </w:pPr>
      <w:r>
        <w:separator/>
      </w:r>
    </w:p>
  </w:endnote>
  <w:endnote w:type="continuationSeparator" w:id="0">
    <w:p w:rsidR="00C96E07" w:rsidRDefault="00C96E07"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C96E07" w:rsidRDefault="00C96E07">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60041" w:rsidRPr="00C60041">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C96E07" w:rsidRPr="003F7CB9" w:rsidRDefault="00C96E07"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E07" w:rsidRDefault="00C96E07" w:rsidP="00CF2DFA">
      <w:pPr>
        <w:spacing w:after="0"/>
      </w:pPr>
      <w:r>
        <w:separator/>
      </w:r>
    </w:p>
  </w:footnote>
  <w:footnote w:type="continuationSeparator" w:id="0">
    <w:p w:rsidR="00C96E07" w:rsidRDefault="00C96E07"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5D14CE"/>
    <w:multiLevelType w:val="hybridMultilevel"/>
    <w:tmpl w:val="66D8C642"/>
    <w:lvl w:ilvl="0" w:tplc="5BA2B620">
      <w:numFmt w:val="bullet"/>
      <w:lvlText w:val=""/>
      <w:lvlJc w:val="left"/>
      <w:pPr>
        <w:ind w:left="717" w:hanging="360"/>
      </w:pPr>
      <w:rPr>
        <w:rFonts w:ascii="Symbol" w:eastAsiaTheme="minorHAnsi" w:hAnsi="Symbol"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nsid w:val="4B2B7369"/>
    <w:multiLevelType w:val="hybridMultilevel"/>
    <w:tmpl w:val="12A828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8"/>
  </w:num>
  <w:num w:numId="26">
    <w:abstractNumId w:val="4"/>
  </w:num>
  <w:num w:numId="27">
    <w:abstractNumId w:val="15"/>
  </w:num>
  <w:num w:numId="28">
    <w:abstractNumId w:val="10"/>
  </w:num>
  <w:num w:numId="29">
    <w:abstractNumId w:val="19"/>
  </w:num>
  <w:num w:numId="30">
    <w:abstractNumId w:val="3"/>
  </w:num>
  <w:num w:numId="31">
    <w:abstractNumId w:val="17"/>
  </w:num>
  <w:num w:numId="32">
    <w:abstractNumId w:val="7"/>
  </w:num>
  <w:num w:numId="33">
    <w:abstractNumId w:val="16"/>
  </w:num>
  <w:num w:numId="34">
    <w:abstractNumId w:val="6"/>
  </w:num>
  <w:num w:numId="35">
    <w:abstractNumId w:val="11"/>
  </w:num>
  <w:num w:numId="36">
    <w:abstractNumId w:val="0"/>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3FD6"/>
    <w:rsid w:val="000110DC"/>
    <w:rsid w:val="00014CDF"/>
    <w:rsid w:val="00015746"/>
    <w:rsid w:val="000158AA"/>
    <w:rsid w:val="000159B9"/>
    <w:rsid w:val="00016798"/>
    <w:rsid w:val="00016B6E"/>
    <w:rsid w:val="000178B2"/>
    <w:rsid w:val="000201E1"/>
    <w:rsid w:val="00022C4C"/>
    <w:rsid w:val="00023E21"/>
    <w:rsid w:val="0002494B"/>
    <w:rsid w:val="00024E50"/>
    <w:rsid w:val="00025ABC"/>
    <w:rsid w:val="00026412"/>
    <w:rsid w:val="00031F6F"/>
    <w:rsid w:val="00034D6E"/>
    <w:rsid w:val="00036395"/>
    <w:rsid w:val="00041BF3"/>
    <w:rsid w:val="000464C6"/>
    <w:rsid w:val="0005089D"/>
    <w:rsid w:val="000525BC"/>
    <w:rsid w:val="00053972"/>
    <w:rsid w:val="00065697"/>
    <w:rsid w:val="00067F5A"/>
    <w:rsid w:val="00071D47"/>
    <w:rsid w:val="00072622"/>
    <w:rsid w:val="00073222"/>
    <w:rsid w:val="0007384D"/>
    <w:rsid w:val="000770BA"/>
    <w:rsid w:val="000864D5"/>
    <w:rsid w:val="000903F1"/>
    <w:rsid w:val="000905DC"/>
    <w:rsid w:val="00092403"/>
    <w:rsid w:val="00092580"/>
    <w:rsid w:val="00093E78"/>
    <w:rsid w:val="000955E7"/>
    <w:rsid w:val="000A110D"/>
    <w:rsid w:val="000A478F"/>
    <w:rsid w:val="000A5B32"/>
    <w:rsid w:val="000B3CD0"/>
    <w:rsid w:val="000B598D"/>
    <w:rsid w:val="000C75A0"/>
    <w:rsid w:val="000D066E"/>
    <w:rsid w:val="000D0831"/>
    <w:rsid w:val="000D0BAA"/>
    <w:rsid w:val="000D13FF"/>
    <w:rsid w:val="000D504C"/>
    <w:rsid w:val="000D778E"/>
    <w:rsid w:val="000E04AF"/>
    <w:rsid w:val="000E41FB"/>
    <w:rsid w:val="000E47E7"/>
    <w:rsid w:val="000E5439"/>
    <w:rsid w:val="000F72C5"/>
    <w:rsid w:val="000F7D4C"/>
    <w:rsid w:val="00101E17"/>
    <w:rsid w:val="00102245"/>
    <w:rsid w:val="00102686"/>
    <w:rsid w:val="001047F3"/>
    <w:rsid w:val="0011036E"/>
    <w:rsid w:val="001130B0"/>
    <w:rsid w:val="0011369B"/>
    <w:rsid w:val="0011742E"/>
    <w:rsid w:val="00123D10"/>
    <w:rsid w:val="00124B00"/>
    <w:rsid w:val="00126B33"/>
    <w:rsid w:val="001271B5"/>
    <w:rsid w:val="001278D2"/>
    <w:rsid w:val="001462BC"/>
    <w:rsid w:val="00147BA1"/>
    <w:rsid w:val="001507D0"/>
    <w:rsid w:val="0015320C"/>
    <w:rsid w:val="0015436C"/>
    <w:rsid w:val="00154775"/>
    <w:rsid w:val="00154B00"/>
    <w:rsid w:val="001550CF"/>
    <w:rsid w:val="00160CC2"/>
    <w:rsid w:val="001644E9"/>
    <w:rsid w:val="00166A53"/>
    <w:rsid w:val="00174EF4"/>
    <w:rsid w:val="00175A60"/>
    <w:rsid w:val="0017606C"/>
    <w:rsid w:val="001800DF"/>
    <w:rsid w:val="001845D9"/>
    <w:rsid w:val="0018630F"/>
    <w:rsid w:val="001906CD"/>
    <w:rsid w:val="00191B99"/>
    <w:rsid w:val="00192F83"/>
    <w:rsid w:val="00193D72"/>
    <w:rsid w:val="001944BD"/>
    <w:rsid w:val="00195699"/>
    <w:rsid w:val="00197D29"/>
    <w:rsid w:val="001A02E3"/>
    <w:rsid w:val="001A1ADF"/>
    <w:rsid w:val="001A365C"/>
    <w:rsid w:val="001B15CE"/>
    <w:rsid w:val="001B171D"/>
    <w:rsid w:val="001B29A1"/>
    <w:rsid w:val="001B5169"/>
    <w:rsid w:val="001B6164"/>
    <w:rsid w:val="001B708A"/>
    <w:rsid w:val="001C30A4"/>
    <w:rsid w:val="001C40DC"/>
    <w:rsid w:val="001D0D92"/>
    <w:rsid w:val="001D556F"/>
    <w:rsid w:val="001D58D6"/>
    <w:rsid w:val="001D70B4"/>
    <w:rsid w:val="001D77ED"/>
    <w:rsid w:val="001E1180"/>
    <w:rsid w:val="001E13F0"/>
    <w:rsid w:val="001E23EA"/>
    <w:rsid w:val="001E6919"/>
    <w:rsid w:val="001E6958"/>
    <w:rsid w:val="001E7979"/>
    <w:rsid w:val="001F110F"/>
    <w:rsid w:val="001F4129"/>
    <w:rsid w:val="001F77E5"/>
    <w:rsid w:val="00200340"/>
    <w:rsid w:val="00201924"/>
    <w:rsid w:val="00202473"/>
    <w:rsid w:val="002053F2"/>
    <w:rsid w:val="00206D63"/>
    <w:rsid w:val="00206DCC"/>
    <w:rsid w:val="0021185D"/>
    <w:rsid w:val="00220AA8"/>
    <w:rsid w:val="00226777"/>
    <w:rsid w:val="002305BA"/>
    <w:rsid w:val="00235BD1"/>
    <w:rsid w:val="0024264C"/>
    <w:rsid w:val="00242B0E"/>
    <w:rsid w:val="002435B4"/>
    <w:rsid w:val="002444DB"/>
    <w:rsid w:val="00244BA7"/>
    <w:rsid w:val="002453EF"/>
    <w:rsid w:val="002471A6"/>
    <w:rsid w:val="00247DF0"/>
    <w:rsid w:val="00251AC8"/>
    <w:rsid w:val="00253EFB"/>
    <w:rsid w:val="00254813"/>
    <w:rsid w:val="00257621"/>
    <w:rsid w:val="00257FF2"/>
    <w:rsid w:val="0026272C"/>
    <w:rsid w:val="00265822"/>
    <w:rsid w:val="0027105F"/>
    <w:rsid w:val="002711FB"/>
    <w:rsid w:val="00274AC9"/>
    <w:rsid w:val="00274F91"/>
    <w:rsid w:val="00275D11"/>
    <w:rsid w:val="00283318"/>
    <w:rsid w:val="00285525"/>
    <w:rsid w:val="00285C2A"/>
    <w:rsid w:val="00294CD8"/>
    <w:rsid w:val="002960B8"/>
    <w:rsid w:val="002964DA"/>
    <w:rsid w:val="00296AED"/>
    <w:rsid w:val="002A1470"/>
    <w:rsid w:val="002A270B"/>
    <w:rsid w:val="002A40AE"/>
    <w:rsid w:val="002A50FD"/>
    <w:rsid w:val="002A6753"/>
    <w:rsid w:val="002B28D7"/>
    <w:rsid w:val="002B7EB6"/>
    <w:rsid w:val="002C039E"/>
    <w:rsid w:val="002C06B4"/>
    <w:rsid w:val="002C0B61"/>
    <w:rsid w:val="002C0FAD"/>
    <w:rsid w:val="002C15E6"/>
    <w:rsid w:val="002C22E3"/>
    <w:rsid w:val="002C247D"/>
    <w:rsid w:val="002C3345"/>
    <w:rsid w:val="002C56C8"/>
    <w:rsid w:val="002D409A"/>
    <w:rsid w:val="002D48E7"/>
    <w:rsid w:val="002F06B6"/>
    <w:rsid w:val="002F30E7"/>
    <w:rsid w:val="002F55EF"/>
    <w:rsid w:val="00300921"/>
    <w:rsid w:val="00300EEB"/>
    <w:rsid w:val="003013A9"/>
    <w:rsid w:val="003020B5"/>
    <w:rsid w:val="00302187"/>
    <w:rsid w:val="003027BB"/>
    <w:rsid w:val="00304494"/>
    <w:rsid w:val="00310A10"/>
    <w:rsid w:val="003130E1"/>
    <w:rsid w:val="00313944"/>
    <w:rsid w:val="003156A3"/>
    <w:rsid w:val="003161FB"/>
    <w:rsid w:val="00327D25"/>
    <w:rsid w:val="003319A7"/>
    <w:rsid w:val="00334FE3"/>
    <w:rsid w:val="00335833"/>
    <w:rsid w:val="00337A23"/>
    <w:rsid w:val="003421AE"/>
    <w:rsid w:val="003433D1"/>
    <w:rsid w:val="00344B24"/>
    <w:rsid w:val="003456B9"/>
    <w:rsid w:val="0035067D"/>
    <w:rsid w:val="00351026"/>
    <w:rsid w:val="00352047"/>
    <w:rsid w:val="00353A16"/>
    <w:rsid w:val="00356405"/>
    <w:rsid w:val="0035776D"/>
    <w:rsid w:val="003624E9"/>
    <w:rsid w:val="00364FD9"/>
    <w:rsid w:val="00367C1B"/>
    <w:rsid w:val="003723E8"/>
    <w:rsid w:val="00376B61"/>
    <w:rsid w:val="00382407"/>
    <w:rsid w:val="003836DC"/>
    <w:rsid w:val="00383AC4"/>
    <w:rsid w:val="00386A64"/>
    <w:rsid w:val="00386FA1"/>
    <w:rsid w:val="00387887"/>
    <w:rsid w:val="00390142"/>
    <w:rsid w:val="00392F00"/>
    <w:rsid w:val="00393974"/>
    <w:rsid w:val="0039480F"/>
    <w:rsid w:val="00397377"/>
    <w:rsid w:val="003A0EE8"/>
    <w:rsid w:val="003A22DE"/>
    <w:rsid w:val="003A2860"/>
    <w:rsid w:val="003A3944"/>
    <w:rsid w:val="003A3C35"/>
    <w:rsid w:val="003A411C"/>
    <w:rsid w:val="003A7D30"/>
    <w:rsid w:val="003B3C5C"/>
    <w:rsid w:val="003C47B6"/>
    <w:rsid w:val="003C47CA"/>
    <w:rsid w:val="003C57E3"/>
    <w:rsid w:val="003D6DE1"/>
    <w:rsid w:val="003D795C"/>
    <w:rsid w:val="003E30FB"/>
    <w:rsid w:val="003F26B2"/>
    <w:rsid w:val="003F2711"/>
    <w:rsid w:val="003F4A4F"/>
    <w:rsid w:val="003F50DF"/>
    <w:rsid w:val="003F6C70"/>
    <w:rsid w:val="003F7CB9"/>
    <w:rsid w:val="0040218F"/>
    <w:rsid w:val="00403333"/>
    <w:rsid w:val="0040349B"/>
    <w:rsid w:val="00411735"/>
    <w:rsid w:val="004117A3"/>
    <w:rsid w:val="00414D4F"/>
    <w:rsid w:val="00416DC1"/>
    <w:rsid w:val="00417740"/>
    <w:rsid w:val="00417C63"/>
    <w:rsid w:val="00424449"/>
    <w:rsid w:val="00425709"/>
    <w:rsid w:val="004276FD"/>
    <w:rsid w:val="0043438A"/>
    <w:rsid w:val="0043654D"/>
    <w:rsid w:val="004372F4"/>
    <w:rsid w:val="00440CAC"/>
    <w:rsid w:val="00442F0A"/>
    <w:rsid w:val="00451840"/>
    <w:rsid w:val="00452027"/>
    <w:rsid w:val="00457DE6"/>
    <w:rsid w:val="00460C9A"/>
    <w:rsid w:val="00464924"/>
    <w:rsid w:val="0047192D"/>
    <w:rsid w:val="00475108"/>
    <w:rsid w:val="0047581D"/>
    <w:rsid w:val="0047735B"/>
    <w:rsid w:val="00480289"/>
    <w:rsid w:val="00481279"/>
    <w:rsid w:val="00481947"/>
    <w:rsid w:val="004827F8"/>
    <w:rsid w:val="00483368"/>
    <w:rsid w:val="00494011"/>
    <w:rsid w:val="00496A6E"/>
    <w:rsid w:val="004A0BF4"/>
    <w:rsid w:val="004A263B"/>
    <w:rsid w:val="004A68EF"/>
    <w:rsid w:val="004B2E55"/>
    <w:rsid w:val="004B37C6"/>
    <w:rsid w:val="004B3BCD"/>
    <w:rsid w:val="004B5912"/>
    <w:rsid w:val="004B68AE"/>
    <w:rsid w:val="004C35B0"/>
    <w:rsid w:val="004C49EF"/>
    <w:rsid w:val="004C4A19"/>
    <w:rsid w:val="004C5570"/>
    <w:rsid w:val="004C6234"/>
    <w:rsid w:val="004D00C9"/>
    <w:rsid w:val="004D1CBD"/>
    <w:rsid w:val="004D2CF7"/>
    <w:rsid w:val="004D3030"/>
    <w:rsid w:val="004E0FBF"/>
    <w:rsid w:val="004E16F5"/>
    <w:rsid w:val="004E2C29"/>
    <w:rsid w:val="004E3252"/>
    <w:rsid w:val="004E32BB"/>
    <w:rsid w:val="004E3CC7"/>
    <w:rsid w:val="004E479D"/>
    <w:rsid w:val="004E5AD0"/>
    <w:rsid w:val="004E5B69"/>
    <w:rsid w:val="004F2A87"/>
    <w:rsid w:val="004F591B"/>
    <w:rsid w:val="004F6DF3"/>
    <w:rsid w:val="0050517E"/>
    <w:rsid w:val="00507C56"/>
    <w:rsid w:val="0051251C"/>
    <w:rsid w:val="005153DF"/>
    <w:rsid w:val="00517BA4"/>
    <w:rsid w:val="0052344E"/>
    <w:rsid w:val="00525586"/>
    <w:rsid w:val="00526478"/>
    <w:rsid w:val="00530204"/>
    <w:rsid w:val="00534C5F"/>
    <w:rsid w:val="00535285"/>
    <w:rsid w:val="00540257"/>
    <w:rsid w:val="00540407"/>
    <w:rsid w:val="0054192F"/>
    <w:rsid w:val="00542FE8"/>
    <w:rsid w:val="00544EB3"/>
    <w:rsid w:val="0054594B"/>
    <w:rsid w:val="0054749B"/>
    <w:rsid w:val="00551CC6"/>
    <w:rsid w:val="00551DEE"/>
    <w:rsid w:val="00554AB0"/>
    <w:rsid w:val="00560541"/>
    <w:rsid w:val="00561CBB"/>
    <w:rsid w:val="00565CF1"/>
    <w:rsid w:val="005672D0"/>
    <w:rsid w:val="0057202F"/>
    <w:rsid w:val="00572449"/>
    <w:rsid w:val="00572CEB"/>
    <w:rsid w:val="005750C7"/>
    <w:rsid w:val="0058026C"/>
    <w:rsid w:val="005834C9"/>
    <w:rsid w:val="005868C7"/>
    <w:rsid w:val="00587F77"/>
    <w:rsid w:val="00597537"/>
    <w:rsid w:val="005A1035"/>
    <w:rsid w:val="005A1500"/>
    <w:rsid w:val="005A3144"/>
    <w:rsid w:val="005A58BA"/>
    <w:rsid w:val="005A5D30"/>
    <w:rsid w:val="005A6AB9"/>
    <w:rsid w:val="005B0B97"/>
    <w:rsid w:val="005B2B4E"/>
    <w:rsid w:val="005B3EC4"/>
    <w:rsid w:val="005B524F"/>
    <w:rsid w:val="005C0A04"/>
    <w:rsid w:val="005C333E"/>
    <w:rsid w:val="005C3AE7"/>
    <w:rsid w:val="005C4D2B"/>
    <w:rsid w:val="005D0677"/>
    <w:rsid w:val="005D122A"/>
    <w:rsid w:val="005D2049"/>
    <w:rsid w:val="005D4744"/>
    <w:rsid w:val="005E294C"/>
    <w:rsid w:val="005E2CE3"/>
    <w:rsid w:val="005F3F07"/>
    <w:rsid w:val="005F45D0"/>
    <w:rsid w:val="005F69F8"/>
    <w:rsid w:val="00600838"/>
    <w:rsid w:val="00601BDE"/>
    <w:rsid w:val="0060263E"/>
    <w:rsid w:val="00603D04"/>
    <w:rsid w:val="00604186"/>
    <w:rsid w:val="006044DF"/>
    <w:rsid w:val="00604CFE"/>
    <w:rsid w:val="00606857"/>
    <w:rsid w:val="00613400"/>
    <w:rsid w:val="00615F42"/>
    <w:rsid w:val="00616069"/>
    <w:rsid w:val="00616633"/>
    <w:rsid w:val="00616690"/>
    <w:rsid w:val="00616C4C"/>
    <w:rsid w:val="00624B9B"/>
    <w:rsid w:val="006258C2"/>
    <w:rsid w:val="00626365"/>
    <w:rsid w:val="00627A2F"/>
    <w:rsid w:val="00630E22"/>
    <w:rsid w:val="00633A28"/>
    <w:rsid w:val="006344E8"/>
    <w:rsid w:val="0064168C"/>
    <w:rsid w:val="00641972"/>
    <w:rsid w:val="00641FBC"/>
    <w:rsid w:val="00643E47"/>
    <w:rsid w:val="00651324"/>
    <w:rsid w:val="00651F82"/>
    <w:rsid w:val="00654C85"/>
    <w:rsid w:val="00657B46"/>
    <w:rsid w:val="00664AED"/>
    <w:rsid w:val="006751A9"/>
    <w:rsid w:val="006751B7"/>
    <w:rsid w:val="006764EC"/>
    <w:rsid w:val="006808EF"/>
    <w:rsid w:val="00682A89"/>
    <w:rsid w:val="006835FE"/>
    <w:rsid w:val="00693BFD"/>
    <w:rsid w:val="00693C3D"/>
    <w:rsid w:val="00695065"/>
    <w:rsid w:val="00695FB9"/>
    <w:rsid w:val="00696F7D"/>
    <w:rsid w:val="00697B0A"/>
    <w:rsid w:val="006A1038"/>
    <w:rsid w:val="006A3812"/>
    <w:rsid w:val="006A4DCE"/>
    <w:rsid w:val="006A649A"/>
    <w:rsid w:val="006B1901"/>
    <w:rsid w:val="006B1B49"/>
    <w:rsid w:val="006B3945"/>
    <w:rsid w:val="006B5D56"/>
    <w:rsid w:val="006B6390"/>
    <w:rsid w:val="006C0356"/>
    <w:rsid w:val="006C0843"/>
    <w:rsid w:val="006C5734"/>
    <w:rsid w:val="006C57CE"/>
    <w:rsid w:val="006C74B1"/>
    <w:rsid w:val="006D2168"/>
    <w:rsid w:val="006D3D41"/>
    <w:rsid w:val="006E57AA"/>
    <w:rsid w:val="006E77F0"/>
    <w:rsid w:val="006F20CF"/>
    <w:rsid w:val="006F2D99"/>
    <w:rsid w:val="006F38ED"/>
    <w:rsid w:val="00700A21"/>
    <w:rsid w:val="007044FD"/>
    <w:rsid w:val="0070464E"/>
    <w:rsid w:val="007054DB"/>
    <w:rsid w:val="00707D4D"/>
    <w:rsid w:val="00714FC4"/>
    <w:rsid w:val="00717C01"/>
    <w:rsid w:val="0072082F"/>
    <w:rsid w:val="00722063"/>
    <w:rsid w:val="00723503"/>
    <w:rsid w:val="00723E10"/>
    <w:rsid w:val="00724262"/>
    <w:rsid w:val="007247CA"/>
    <w:rsid w:val="00724EE7"/>
    <w:rsid w:val="00730C04"/>
    <w:rsid w:val="00730DFF"/>
    <w:rsid w:val="00733EC2"/>
    <w:rsid w:val="00735777"/>
    <w:rsid w:val="0073597B"/>
    <w:rsid w:val="007378F6"/>
    <w:rsid w:val="00741789"/>
    <w:rsid w:val="0074545D"/>
    <w:rsid w:val="007513E7"/>
    <w:rsid w:val="007522E3"/>
    <w:rsid w:val="007531EA"/>
    <w:rsid w:val="0075335B"/>
    <w:rsid w:val="00753C44"/>
    <w:rsid w:val="00754383"/>
    <w:rsid w:val="007564D1"/>
    <w:rsid w:val="00757232"/>
    <w:rsid w:val="0075736D"/>
    <w:rsid w:val="00760679"/>
    <w:rsid w:val="00761F1C"/>
    <w:rsid w:val="00763628"/>
    <w:rsid w:val="0076550B"/>
    <w:rsid w:val="00765997"/>
    <w:rsid w:val="00767E99"/>
    <w:rsid w:val="00772E62"/>
    <w:rsid w:val="00774570"/>
    <w:rsid w:val="00775974"/>
    <w:rsid w:val="00776CE0"/>
    <w:rsid w:val="00777703"/>
    <w:rsid w:val="0077789B"/>
    <w:rsid w:val="007778E3"/>
    <w:rsid w:val="00780D29"/>
    <w:rsid w:val="0078172F"/>
    <w:rsid w:val="0078518C"/>
    <w:rsid w:val="0078707F"/>
    <w:rsid w:val="0079153E"/>
    <w:rsid w:val="00791C8D"/>
    <w:rsid w:val="00792903"/>
    <w:rsid w:val="00794181"/>
    <w:rsid w:val="007952BC"/>
    <w:rsid w:val="007969E8"/>
    <w:rsid w:val="007A2F89"/>
    <w:rsid w:val="007A7F6F"/>
    <w:rsid w:val="007B4C76"/>
    <w:rsid w:val="007B4ED6"/>
    <w:rsid w:val="007B5566"/>
    <w:rsid w:val="007B60F7"/>
    <w:rsid w:val="007B7DB2"/>
    <w:rsid w:val="007C0102"/>
    <w:rsid w:val="007C2260"/>
    <w:rsid w:val="007C5382"/>
    <w:rsid w:val="007C5AC2"/>
    <w:rsid w:val="007D1E52"/>
    <w:rsid w:val="007D2358"/>
    <w:rsid w:val="007D30D4"/>
    <w:rsid w:val="007D38D0"/>
    <w:rsid w:val="007E3316"/>
    <w:rsid w:val="007E39E4"/>
    <w:rsid w:val="007E6FB3"/>
    <w:rsid w:val="007F040A"/>
    <w:rsid w:val="007F0883"/>
    <w:rsid w:val="007F1D0D"/>
    <w:rsid w:val="007F21B4"/>
    <w:rsid w:val="007F2B5F"/>
    <w:rsid w:val="00800131"/>
    <w:rsid w:val="00800FAA"/>
    <w:rsid w:val="00802553"/>
    <w:rsid w:val="0080363F"/>
    <w:rsid w:val="00803EAB"/>
    <w:rsid w:val="00804098"/>
    <w:rsid w:val="008046B5"/>
    <w:rsid w:val="00806344"/>
    <w:rsid w:val="00810CAD"/>
    <w:rsid w:val="008127C0"/>
    <w:rsid w:val="00812EDD"/>
    <w:rsid w:val="008139C5"/>
    <w:rsid w:val="0081511E"/>
    <w:rsid w:val="00815494"/>
    <w:rsid w:val="0081650F"/>
    <w:rsid w:val="00820DEB"/>
    <w:rsid w:val="008210D6"/>
    <w:rsid w:val="00830902"/>
    <w:rsid w:val="008324BF"/>
    <w:rsid w:val="00832B31"/>
    <w:rsid w:val="008355B3"/>
    <w:rsid w:val="008403E0"/>
    <w:rsid w:val="00842C9F"/>
    <w:rsid w:val="0084657B"/>
    <w:rsid w:val="008541E0"/>
    <w:rsid w:val="00855944"/>
    <w:rsid w:val="00863CD7"/>
    <w:rsid w:val="00864A18"/>
    <w:rsid w:val="00865B9B"/>
    <w:rsid w:val="00870833"/>
    <w:rsid w:val="008709AE"/>
    <w:rsid w:val="00874571"/>
    <w:rsid w:val="00876593"/>
    <w:rsid w:val="00881F93"/>
    <w:rsid w:val="00882CB5"/>
    <w:rsid w:val="00883641"/>
    <w:rsid w:val="00884E69"/>
    <w:rsid w:val="00885AFE"/>
    <w:rsid w:val="008864F5"/>
    <w:rsid w:val="00887FC8"/>
    <w:rsid w:val="0089003D"/>
    <w:rsid w:val="00890082"/>
    <w:rsid w:val="00891269"/>
    <w:rsid w:val="008A1E9D"/>
    <w:rsid w:val="008A2C2C"/>
    <w:rsid w:val="008A48D2"/>
    <w:rsid w:val="008A647B"/>
    <w:rsid w:val="008B1814"/>
    <w:rsid w:val="008B2610"/>
    <w:rsid w:val="008B2B46"/>
    <w:rsid w:val="008B471D"/>
    <w:rsid w:val="008B49E4"/>
    <w:rsid w:val="008B66D6"/>
    <w:rsid w:val="008B729C"/>
    <w:rsid w:val="008C452A"/>
    <w:rsid w:val="008C4A93"/>
    <w:rsid w:val="008D093B"/>
    <w:rsid w:val="008D4952"/>
    <w:rsid w:val="008E0E49"/>
    <w:rsid w:val="008E0FE7"/>
    <w:rsid w:val="008E2BB4"/>
    <w:rsid w:val="008E35FD"/>
    <w:rsid w:val="008E6227"/>
    <w:rsid w:val="008F0973"/>
    <w:rsid w:val="008F0FB9"/>
    <w:rsid w:val="008F3E47"/>
    <w:rsid w:val="008F5652"/>
    <w:rsid w:val="008F6261"/>
    <w:rsid w:val="00901627"/>
    <w:rsid w:val="0090543D"/>
    <w:rsid w:val="009056C5"/>
    <w:rsid w:val="009064C8"/>
    <w:rsid w:val="009149F6"/>
    <w:rsid w:val="00922B14"/>
    <w:rsid w:val="009262F2"/>
    <w:rsid w:val="00926A35"/>
    <w:rsid w:val="00930F32"/>
    <w:rsid w:val="0093353B"/>
    <w:rsid w:val="009355BE"/>
    <w:rsid w:val="00937791"/>
    <w:rsid w:val="009378A6"/>
    <w:rsid w:val="0095086B"/>
    <w:rsid w:val="00951933"/>
    <w:rsid w:val="00952BF8"/>
    <w:rsid w:val="00954343"/>
    <w:rsid w:val="00954E18"/>
    <w:rsid w:val="00955271"/>
    <w:rsid w:val="00955C4D"/>
    <w:rsid w:val="009615A9"/>
    <w:rsid w:val="00963C9C"/>
    <w:rsid w:val="0096525B"/>
    <w:rsid w:val="00965B6B"/>
    <w:rsid w:val="00967A08"/>
    <w:rsid w:val="009706AC"/>
    <w:rsid w:val="00970708"/>
    <w:rsid w:val="00971EDB"/>
    <w:rsid w:val="009727D9"/>
    <w:rsid w:val="0097392F"/>
    <w:rsid w:val="00974D50"/>
    <w:rsid w:val="00980591"/>
    <w:rsid w:val="00982AF2"/>
    <w:rsid w:val="009855D5"/>
    <w:rsid w:val="009857F8"/>
    <w:rsid w:val="00987ABE"/>
    <w:rsid w:val="00991EE4"/>
    <w:rsid w:val="009939DC"/>
    <w:rsid w:val="00993B9C"/>
    <w:rsid w:val="009B0A03"/>
    <w:rsid w:val="009B4E1E"/>
    <w:rsid w:val="009B568A"/>
    <w:rsid w:val="009B62BD"/>
    <w:rsid w:val="009C03FB"/>
    <w:rsid w:val="009C1BB6"/>
    <w:rsid w:val="009C379D"/>
    <w:rsid w:val="009C3E57"/>
    <w:rsid w:val="009C4B4F"/>
    <w:rsid w:val="009C66FB"/>
    <w:rsid w:val="009D0251"/>
    <w:rsid w:val="009D061C"/>
    <w:rsid w:val="009D0C32"/>
    <w:rsid w:val="009D185A"/>
    <w:rsid w:val="009D581E"/>
    <w:rsid w:val="009E2BFB"/>
    <w:rsid w:val="009E5963"/>
    <w:rsid w:val="009F0C02"/>
    <w:rsid w:val="009F170F"/>
    <w:rsid w:val="009F22BE"/>
    <w:rsid w:val="009F31ED"/>
    <w:rsid w:val="009F3751"/>
    <w:rsid w:val="009F3D7E"/>
    <w:rsid w:val="009F5758"/>
    <w:rsid w:val="009F6337"/>
    <w:rsid w:val="00A0283F"/>
    <w:rsid w:val="00A02C23"/>
    <w:rsid w:val="00A0309A"/>
    <w:rsid w:val="00A03687"/>
    <w:rsid w:val="00A04F4A"/>
    <w:rsid w:val="00A05DA1"/>
    <w:rsid w:val="00A144DD"/>
    <w:rsid w:val="00A16BB6"/>
    <w:rsid w:val="00A22FBE"/>
    <w:rsid w:val="00A24D0F"/>
    <w:rsid w:val="00A2533E"/>
    <w:rsid w:val="00A26343"/>
    <w:rsid w:val="00A26C62"/>
    <w:rsid w:val="00A2750F"/>
    <w:rsid w:val="00A27EA9"/>
    <w:rsid w:val="00A32D33"/>
    <w:rsid w:val="00A33EBE"/>
    <w:rsid w:val="00A37644"/>
    <w:rsid w:val="00A408B5"/>
    <w:rsid w:val="00A415C3"/>
    <w:rsid w:val="00A43F9F"/>
    <w:rsid w:val="00A529E2"/>
    <w:rsid w:val="00A539F8"/>
    <w:rsid w:val="00A57B40"/>
    <w:rsid w:val="00A6087F"/>
    <w:rsid w:val="00A6491A"/>
    <w:rsid w:val="00A6594E"/>
    <w:rsid w:val="00A6636D"/>
    <w:rsid w:val="00A711B0"/>
    <w:rsid w:val="00A727B6"/>
    <w:rsid w:val="00A81CC6"/>
    <w:rsid w:val="00A83EC6"/>
    <w:rsid w:val="00A8732C"/>
    <w:rsid w:val="00A9059E"/>
    <w:rsid w:val="00A9062D"/>
    <w:rsid w:val="00A93255"/>
    <w:rsid w:val="00A93F58"/>
    <w:rsid w:val="00A95844"/>
    <w:rsid w:val="00A96329"/>
    <w:rsid w:val="00A966AD"/>
    <w:rsid w:val="00AA02DF"/>
    <w:rsid w:val="00AA134B"/>
    <w:rsid w:val="00AA14FA"/>
    <w:rsid w:val="00AA2A2C"/>
    <w:rsid w:val="00AA2CFE"/>
    <w:rsid w:val="00AA5FDA"/>
    <w:rsid w:val="00AA6291"/>
    <w:rsid w:val="00AB0E31"/>
    <w:rsid w:val="00AB1552"/>
    <w:rsid w:val="00AB1DEF"/>
    <w:rsid w:val="00AC0C91"/>
    <w:rsid w:val="00AC6045"/>
    <w:rsid w:val="00AC7B72"/>
    <w:rsid w:val="00AD259F"/>
    <w:rsid w:val="00AD27CE"/>
    <w:rsid w:val="00AD37D4"/>
    <w:rsid w:val="00AD7986"/>
    <w:rsid w:val="00AE1188"/>
    <w:rsid w:val="00AE738C"/>
    <w:rsid w:val="00AF0715"/>
    <w:rsid w:val="00AF1046"/>
    <w:rsid w:val="00AF4466"/>
    <w:rsid w:val="00AF5D1E"/>
    <w:rsid w:val="00AF7A4F"/>
    <w:rsid w:val="00B040A9"/>
    <w:rsid w:val="00B13167"/>
    <w:rsid w:val="00B14692"/>
    <w:rsid w:val="00B1711E"/>
    <w:rsid w:val="00B17CBE"/>
    <w:rsid w:val="00B17E26"/>
    <w:rsid w:val="00B231A4"/>
    <w:rsid w:val="00B23803"/>
    <w:rsid w:val="00B23BF8"/>
    <w:rsid w:val="00B25D20"/>
    <w:rsid w:val="00B26280"/>
    <w:rsid w:val="00B277C2"/>
    <w:rsid w:val="00B3083A"/>
    <w:rsid w:val="00B31C99"/>
    <w:rsid w:val="00B33387"/>
    <w:rsid w:val="00B421C4"/>
    <w:rsid w:val="00B44E25"/>
    <w:rsid w:val="00B470B4"/>
    <w:rsid w:val="00B50FEF"/>
    <w:rsid w:val="00B53833"/>
    <w:rsid w:val="00B539A1"/>
    <w:rsid w:val="00B53BA6"/>
    <w:rsid w:val="00B5420E"/>
    <w:rsid w:val="00B56914"/>
    <w:rsid w:val="00B56FE3"/>
    <w:rsid w:val="00B5731D"/>
    <w:rsid w:val="00B6378B"/>
    <w:rsid w:val="00B63E3A"/>
    <w:rsid w:val="00B71C91"/>
    <w:rsid w:val="00B7535D"/>
    <w:rsid w:val="00B75965"/>
    <w:rsid w:val="00B771AD"/>
    <w:rsid w:val="00B814CB"/>
    <w:rsid w:val="00B8373A"/>
    <w:rsid w:val="00B85865"/>
    <w:rsid w:val="00B85E6A"/>
    <w:rsid w:val="00BA0CF8"/>
    <w:rsid w:val="00BA1118"/>
    <w:rsid w:val="00BA1ADF"/>
    <w:rsid w:val="00BA38F2"/>
    <w:rsid w:val="00BA51FC"/>
    <w:rsid w:val="00BA62D9"/>
    <w:rsid w:val="00BB003A"/>
    <w:rsid w:val="00BB0587"/>
    <w:rsid w:val="00BB0A60"/>
    <w:rsid w:val="00BB11F9"/>
    <w:rsid w:val="00BB1892"/>
    <w:rsid w:val="00BB3358"/>
    <w:rsid w:val="00BB3382"/>
    <w:rsid w:val="00BB3643"/>
    <w:rsid w:val="00BB67DB"/>
    <w:rsid w:val="00BC3052"/>
    <w:rsid w:val="00BC3DA0"/>
    <w:rsid w:val="00BC424B"/>
    <w:rsid w:val="00BC7B7D"/>
    <w:rsid w:val="00BD7870"/>
    <w:rsid w:val="00BE065C"/>
    <w:rsid w:val="00BE0FDE"/>
    <w:rsid w:val="00BE1478"/>
    <w:rsid w:val="00BF42C4"/>
    <w:rsid w:val="00BF6AC5"/>
    <w:rsid w:val="00C01121"/>
    <w:rsid w:val="00C030A5"/>
    <w:rsid w:val="00C033E0"/>
    <w:rsid w:val="00C050BC"/>
    <w:rsid w:val="00C052D2"/>
    <w:rsid w:val="00C05A45"/>
    <w:rsid w:val="00C06386"/>
    <w:rsid w:val="00C06770"/>
    <w:rsid w:val="00C0796F"/>
    <w:rsid w:val="00C11B34"/>
    <w:rsid w:val="00C12C5C"/>
    <w:rsid w:val="00C171FB"/>
    <w:rsid w:val="00C17F04"/>
    <w:rsid w:val="00C209C2"/>
    <w:rsid w:val="00C2267F"/>
    <w:rsid w:val="00C22AD8"/>
    <w:rsid w:val="00C23FC7"/>
    <w:rsid w:val="00C240F6"/>
    <w:rsid w:val="00C25A8A"/>
    <w:rsid w:val="00C26404"/>
    <w:rsid w:val="00C3557E"/>
    <w:rsid w:val="00C3594B"/>
    <w:rsid w:val="00C43102"/>
    <w:rsid w:val="00C4696B"/>
    <w:rsid w:val="00C473F0"/>
    <w:rsid w:val="00C50513"/>
    <w:rsid w:val="00C50716"/>
    <w:rsid w:val="00C54503"/>
    <w:rsid w:val="00C5521A"/>
    <w:rsid w:val="00C60041"/>
    <w:rsid w:val="00C61567"/>
    <w:rsid w:val="00C63055"/>
    <w:rsid w:val="00C65096"/>
    <w:rsid w:val="00C67798"/>
    <w:rsid w:val="00C702D3"/>
    <w:rsid w:val="00C73B62"/>
    <w:rsid w:val="00C770BB"/>
    <w:rsid w:val="00C776B1"/>
    <w:rsid w:val="00C815FE"/>
    <w:rsid w:val="00C83357"/>
    <w:rsid w:val="00C847AE"/>
    <w:rsid w:val="00C8548A"/>
    <w:rsid w:val="00C87975"/>
    <w:rsid w:val="00C93594"/>
    <w:rsid w:val="00C96E07"/>
    <w:rsid w:val="00CA04C6"/>
    <w:rsid w:val="00CA190B"/>
    <w:rsid w:val="00CA26DD"/>
    <w:rsid w:val="00CB12EC"/>
    <w:rsid w:val="00CB1A24"/>
    <w:rsid w:val="00CB2666"/>
    <w:rsid w:val="00CB3660"/>
    <w:rsid w:val="00CC09D7"/>
    <w:rsid w:val="00CC12B8"/>
    <w:rsid w:val="00CC1EAD"/>
    <w:rsid w:val="00CD22E3"/>
    <w:rsid w:val="00CD2D7A"/>
    <w:rsid w:val="00CD410A"/>
    <w:rsid w:val="00CD4E44"/>
    <w:rsid w:val="00CD531D"/>
    <w:rsid w:val="00CD5AE4"/>
    <w:rsid w:val="00CD731D"/>
    <w:rsid w:val="00CD7A7D"/>
    <w:rsid w:val="00CE11AF"/>
    <w:rsid w:val="00CE7E44"/>
    <w:rsid w:val="00CF13A7"/>
    <w:rsid w:val="00CF2CF8"/>
    <w:rsid w:val="00CF2D8E"/>
    <w:rsid w:val="00CF2DFA"/>
    <w:rsid w:val="00CF35AF"/>
    <w:rsid w:val="00CF4075"/>
    <w:rsid w:val="00CF5AD8"/>
    <w:rsid w:val="00D00122"/>
    <w:rsid w:val="00D01D2A"/>
    <w:rsid w:val="00D029EC"/>
    <w:rsid w:val="00D03432"/>
    <w:rsid w:val="00D06F36"/>
    <w:rsid w:val="00D10B47"/>
    <w:rsid w:val="00D11EB1"/>
    <w:rsid w:val="00D1316A"/>
    <w:rsid w:val="00D17DC9"/>
    <w:rsid w:val="00D17F17"/>
    <w:rsid w:val="00D23597"/>
    <w:rsid w:val="00D27E1F"/>
    <w:rsid w:val="00D30617"/>
    <w:rsid w:val="00D30BDC"/>
    <w:rsid w:val="00D4755D"/>
    <w:rsid w:val="00D57F88"/>
    <w:rsid w:val="00D61942"/>
    <w:rsid w:val="00D64209"/>
    <w:rsid w:val="00D65226"/>
    <w:rsid w:val="00D66DE0"/>
    <w:rsid w:val="00D7105C"/>
    <w:rsid w:val="00D733F2"/>
    <w:rsid w:val="00D73646"/>
    <w:rsid w:val="00D777B4"/>
    <w:rsid w:val="00D77841"/>
    <w:rsid w:val="00D77A90"/>
    <w:rsid w:val="00D77DC6"/>
    <w:rsid w:val="00D8103C"/>
    <w:rsid w:val="00D8360B"/>
    <w:rsid w:val="00D85676"/>
    <w:rsid w:val="00D90B5F"/>
    <w:rsid w:val="00D959A6"/>
    <w:rsid w:val="00D96ADA"/>
    <w:rsid w:val="00DA0458"/>
    <w:rsid w:val="00DA0FA2"/>
    <w:rsid w:val="00DA2886"/>
    <w:rsid w:val="00DA5E50"/>
    <w:rsid w:val="00DA7D0C"/>
    <w:rsid w:val="00DA7E43"/>
    <w:rsid w:val="00DB311C"/>
    <w:rsid w:val="00DB432D"/>
    <w:rsid w:val="00DB519B"/>
    <w:rsid w:val="00DB5E66"/>
    <w:rsid w:val="00DC2505"/>
    <w:rsid w:val="00DC5712"/>
    <w:rsid w:val="00DC6287"/>
    <w:rsid w:val="00DC7694"/>
    <w:rsid w:val="00DC7FBE"/>
    <w:rsid w:val="00DD130E"/>
    <w:rsid w:val="00DD308E"/>
    <w:rsid w:val="00DE38F3"/>
    <w:rsid w:val="00DE48EA"/>
    <w:rsid w:val="00DE6ACF"/>
    <w:rsid w:val="00DF0A5A"/>
    <w:rsid w:val="00DF0C51"/>
    <w:rsid w:val="00DF0D47"/>
    <w:rsid w:val="00DF1652"/>
    <w:rsid w:val="00DF3D4A"/>
    <w:rsid w:val="00DF6D37"/>
    <w:rsid w:val="00E030C1"/>
    <w:rsid w:val="00E048ED"/>
    <w:rsid w:val="00E04FB3"/>
    <w:rsid w:val="00E058F2"/>
    <w:rsid w:val="00E05D9C"/>
    <w:rsid w:val="00E06102"/>
    <w:rsid w:val="00E17B73"/>
    <w:rsid w:val="00E23E71"/>
    <w:rsid w:val="00E30BC4"/>
    <w:rsid w:val="00E30F19"/>
    <w:rsid w:val="00E31DF3"/>
    <w:rsid w:val="00E32371"/>
    <w:rsid w:val="00E32F4F"/>
    <w:rsid w:val="00E33C4A"/>
    <w:rsid w:val="00E357B9"/>
    <w:rsid w:val="00E42F22"/>
    <w:rsid w:val="00E4321E"/>
    <w:rsid w:val="00E44B80"/>
    <w:rsid w:val="00E47623"/>
    <w:rsid w:val="00E47F15"/>
    <w:rsid w:val="00E50C11"/>
    <w:rsid w:val="00E52094"/>
    <w:rsid w:val="00E53E62"/>
    <w:rsid w:val="00E54B85"/>
    <w:rsid w:val="00E560F5"/>
    <w:rsid w:val="00E57039"/>
    <w:rsid w:val="00E60529"/>
    <w:rsid w:val="00E6128A"/>
    <w:rsid w:val="00E62556"/>
    <w:rsid w:val="00E70D86"/>
    <w:rsid w:val="00E7186D"/>
    <w:rsid w:val="00E723C9"/>
    <w:rsid w:val="00E7628E"/>
    <w:rsid w:val="00E824E2"/>
    <w:rsid w:val="00E82F54"/>
    <w:rsid w:val="00E8649B"/>
    <w:rsid w:val="00E871CD"/>
    <w:rsid w:val="00E90990"/>
    <w:rsid w:val="00E95D3D"/>
    <w:rsid w:val="00E96809"/>
    <w:rsid w:val="00EA0E25"/>
    <w:rsid w:val="00EA173C"/>
    <w:rsid w:val="00EA3784"/>
    <w:rsid w:val="00EA4973"/>
    <w:rsid w:val="00EA7DD0"/>
    <w:rsid w:val="00EB0182"/>
    <w:rsid w:val="00EB07F0"/>
    <w:rsid w:val="00EB1246"/>
    <w:rsid w:val="00EB4E05"/>
    <w:rsid w:val="00EC127A"/>
    <w:rsid w:val="00EC1FF9"/>
    <w:rsid w:val="00EC2737"/>
    <w:rsid w:val="00ED3DAE"/>
    <w:rsid w:val="00ED5BF3"/>
    <w:rsid w:val="00ED5C02"/>
    <w:rsid w:val="00ED766C"/>
    <w:rsid w:val="00EE04BC"/>
    <w:rsid w:val="00EE234C"/>
    <w:rsid w:val="00EE2716"/>
    <w:rsid w:val="00EE6450"/>
    <w:rsid w:val="00EE71F0"/>
    <w:rsid w:val="00EF7FC9"/>
    <w:rsid w:val="00F01C2C"/>
    <w:rsid w:val="00F03BDE"/>
    <w:rsid w:val="00F0406E"/>
    <w:rsid w:val="00F10ED8"/>
    <w:rsid w:val="00F11F13"/>
    <w:rsid w:val="00F15212"/>
    <w:rsid w:val="00F1552C"/>
    <w:rsid w:val="00F21050"/>
    <w:rsid w:val="00F2163D"/>
    <w:rsid w:val="00F222BE"/>
    <w:rsid w:val="00F233CB"/>
    <w:rsid w:val="00F24179"/>
    <w:rsid w:val="00F301F1"/>
    <w:rsid w:val="00F30C22"/>
    <w:rsid w:val="00F33F1A"/>
    <w:rsid w:val="00F34AEC"/>
    <w:rsid w:val="00F37355"/>
    <w:rsid w:val="00F37A29"/>
    <w:rsid w:val="00F42B7B"/>
    <w:rsid w:val="00F44F44"/>
    <w:rsid w:val="00F46DDE"/>
    <w:rsid w:val="00F53792"/>
    <w:rsid w:val="00F547F7"/>
    <w:rsid w:val="00F54CCF"/>
    <w:rsid w:val="00F60365"/>
    <w:rsid w:val="00F61D7A"/>
    <w:rsid w:val="00F63763"/>
    <w:rsid w:val="00F637B3"/>
    <w:rsid w:val="00F63A62"/>
    <w:rsid w:val="00F66CF7"/>
    <w:rsid w:val="00F67BCB"/>
    <w:rsid w:val="00F731C0"/>
    <w:rsid w:val="00F73A1A"/>
    <w:rsid w:val="00F76371"/>
    <w:rsid w:val="00F76716"/>
    <w:rsid w:val="00F77C57"/>
    <w:rsid w:val="00F813C7"/>
    <w:rsid w:val="00F83566"/>
    <w:rsid w:val="00F83A9D"/>
    <w:rsid w:val="00F85B1E"/>
    <w:rsid w:val="00F906B5"/>
    <w:rsid w:val="00F91977"/>
    <w:rsid w:val="00F93784"/>
    <w:rsid w:val="00F971CC"/>
    <w:rsid w:val="00F97BC9"/>
    <w:rsid w:val="00FA148E"/>
    <w:rsid w:val="00FA2A47"/>
    <w:rsid w:val="00FA2CAA"/>
    <w:rsid w:val="00FA3C8E"/>
    <w:rsid w:val="00FA3DA1"/>
    <w:rsid w:val="00FA4D94"/>
    <w:rsid w:val="00FA6554"/>
    <w:rsid w:val="00FA745D"/>
    <w:rsid w:val="00FC32A5"/>
    <w:rsid w:val="00FC54A1"/>
    <w:rsid w:val="00FC5FFD"/>
    <w:rsid w:val="00FC6DC0"/>
    <w:rsid w:val="00FD042E"/>
    <w:rsid w:val="00FE16C1"/>
    <w:rsid w:val="00FE19FF"/>
    <w:rsid w:val="00FE1F8F"/>
    <w:rsid w:val="00FE33A6"/>
    <w:rsid w:val="00FE5452"/>
    <w:rsid w:val="00FE5E88"/>
    <w:rsid w:val="00FE7BEC"/>
    <w:rsid w:val="00FF1855"/>
    <w:rsid w:val="00FF1A00"/>
    <w:rsid w:val="00FF3DB3"/>
    <w:rsid w:val="00FF59A8"/>
    <w:rsid w:val="00FF7C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styleId="FollowedHyperlink">
    <w:name w:val="FollowedHyperlink"/>
    <w:basedOn w:val="DefaultParagraphFont"/>
    <w:uiPriority w:val="99"/>
    <w:semiHidden/>
    <w:unhideWhenUsed/>
    <w:rsid w:val="00253EFB"/>
    <w:rPr>
      <w:color w:val="800080" w:themeColor="followedHyperlink"/>
      <w:u w:val="single"/>
    </w:rPr>
  </w:style>
  <w:style w:type="character" w:customStyle="1" w:styleId="Mention">
    <w:name w:val="Mention"/>
    <w:basedOn w:val="DefaultParagraphFont"/>
    <w:uiPriority w:val="99"/>
    <w:semiHidden/>
    <w:unhideWhenUsed/>
    <w:rsid w:val="00AF7A4F"/>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styleId="FollowedHyperlink">
    <w:name w:val="FollowedHyperlink"/>
    <w:basedOn w:val="DefaultParagraphFont"/>
    <w:uiPriority w:val="99"/>
    <w:semiHidden/>
    <w:unhideWhenUsed/>
    <w:rsid w:val="00253EFB"/>
    <w:rPr>
      <w:color w:val="800080" w:themeColor="followedHyperlink"/>
      <w:u w:val="single"/>
    </w:rPr>
  </w:style>
  <w:style w:type="character" w:customStyle="1" w:styleId="Mention">
    <w:name w:val="Mention"/>
    <w:basedOn w:val="DefaultParagraphFont"/>
    <w:uiPriority w:val="99"/>
    <w:semiHidden/>
    <w:unhideWhenUsed/>
    <w:rsid w:val="00AF7A4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4129">
      <w:bodyDiv w:val="1"/>
      <w:marLeft w:val="0"/>
      <w:marRight w:val="0"/>
      <w:marTop w:val="0"/>
      <w:marBottom w:val="0"/>
      <w:divBdr>
        <w:top w:val="none" w:sz="0" w:space="0" w:color="auto"/>
        <w:left w:val="none" w:sz="0" w:space="0" w:color="auto"/>
        <w:bottom w:val="none" w:sz="0" w:space="0" w:color="auto"/>
        <w:right w:val="none" w:sz="0" w:space="0" w:color="auto"/>
      </w:divBdr>
    </w:div>
    <w:div w:id="264921711">
      <w:bodyDiv w:val="1"/>
      <w:marLeft w:val="0"/>
      <w:marRight w:val="0"/>
      <w:marTop w:val="0"/>
      <w:marBottom w:val="0"/>
      <w:divBdr>
        <w:top w:val="none" w:sz="0" w:space="0" w:color="auto"/>
        <w:left w:val="none" w:sz="0" w:space="0" w:color="auto"/>
        <w:bottom w:val="none" w:sz="0" w:space="0" w:color="auto"/>
        <w:right w:val="none" w:sz="0" w:space="0" w:color="auto"/>
      </w:divBdr>
      <w:divsChild>
        <w:div w:id="56782442">
          <w:marLeft w:val="0"/>
          <w:marRight w:val="0"/>
          <w:marTop w:val="0"/>
          <w:marBottom w:val="0"/>
          <w:divBdr>
            <w:top w:val="none" w:sz="0" w:space="0" w:color="auto"/>
            <w:left w:val="none" w:sz="0" w:space="0" w:color="auto"/>
            <w:bottom w:val="none" w:sz="0" w:space="0" w:color="auto"/>
            <w:right w:val="none" w:sz="0" w:space="0" w:color="auto"/>
          </w:divBdr>
          <w:divsChild>
            <w:div w:id="680860847">
              <w:marLeft w:val="0"/>
              <w:marRight w:val="0"/>
              <w:marTop w:val="0"/>
              <w:marBottom w:val="0"/>
              <w:divBdr>
                <w:top w:val="none" w:sz="0" w:space="0" w:color="auto"/>
                <w:left w:val="none" w:sz="0" w:space="0" w:color="auto"/>
                <w:bottom w:val="none" w:sz="0" w:space="0" w:color="auto"/>
                <w:right w:val="none" w:sz="0" w:space="0" w:color="auto"/>
              </w:divBdr>
              <w:divsChild>
                <w:div w:id="172844974">
                  <w:marLeft w:val="0"/>
                  <w:marRight w:val="0"/>
                  <w:marTop w:val="0"/>
                  <w:marBottom w:val="0"/>
                  <w:divBdr>
                    <w:top w:val="none" w:sz="0" w:space="0" w:color="auto"/>
                    <w:left w:val="none" w:sz="0" w:space="0" w:color="auto"/>
                    <w:bottom w:val="none" w:sz="0" w:space="0" w:color="auto"/>
                    <w:right w:val="none" w:sz="0" w:space="0" w:color="auto"/>
                  </w:divBdr>
                  <w:divsChild>
                    <w:div w:id="358046643">
                      <w:marLeft w:val="0"/>
                      <w:marRight w:val="0"/>
                      <w:marTop w:val="0"/>
                      <w:marBottom w:val="0"/>
                      <w:divBdr>
                        <w:top w:val="none" w:sz="0" w:space="0" w:color="auto"/>
                        <w:left w:val="none" w:sz="0" w:space="0" w:color="auto"/>
                        <w:bottom w:val="none" w:sz="0" w:space="0" w:color="auto"/>
                        <w:right w:val="none" w:sz="0" w:space="0" w:color="auto"/>
                      </w:divBdr>
                      <w:divsChild>
                        <w:div w:id="1446391672">
                          <w:marLeft w:val="0"/>
                          <w:marRight w:val="0"/>
                          <w:marTop w:val="0"/>
                          <w:marBottom w:val="0"/>
                          <w:divBdr>
                            <w:top w:val="none" w:sz="0" w:space="0" w:color="auto"/>
                            <w:left w:val="none" w:sz="0" w:space="0" w:color="auto"/>
                            <w:bottom w:val="none" w:sz="0" w:space="0" w:color="auto"/>
                            <w:right w:val="none" w:sz="0" w:space="0" w:color="auto"/>
                          </w:divBdr>
                          <w:divsChild>
                            <w:div w:id="1042828726">
                              <w:marLeft w:val="0"/>
                              <w:marRight w:val="0"/>
                              <w:marTop w:val="0"/>
                              <w:marBottom w:val="0"/>
                              <w:divBdr>
                                <w:top w:val="none" w:sz="0" w:space="0" w:color="auto"/>
                                <w:left w:val="none" w:sz="0" w:space="0" w:color="auto"/>
                                <w:bottom w:val="none" w:sz="0" w:space="0" w:color="auto"/>
                                <w:right w:val="none" w:sz="0" w:space="0" w:color="auto"/>
                              </w:divBdr>
                              <w:divsChild>
                                <w:div w:id="11423307">
                                  <w:marLeft w:val="0"/>
                                  <w:marRight w:val="0"/>
                                  <w:marTop w:val="0"/>
                                  <w:marBottom w:val="0"/>
                                  <w:divBdr>
                                    <w:top w:val="none" w:sz="0" w:space="0" w:color="auto"/>
                                    <w:left w:val="none" w:sz="0" w:space="0" w:color="auto"/>
                                    <w:bottom w:val="none" w:sz="0" w:space="0" w:color="auto"/>
                                    <w:right w:val="none" w:sz="0" w:space="0" w:color="auto"/>
                                  </w:divBdr>
                                  <w:divsChild>
                                    <w:div w:id="2123760467">
                                      <w:marLeft w:val="0"/>
                                      <w:marRight w:val="0"/>
                                      <w:marTop w:val="0"/>
                                      <w:marBottom w:val="0"/>
                                      <w:divBdr>
                                        <w:top w:val="none" w:sz="0" w:space="0" w:color="auto"/>
                                        <w:left w:val="none" w:sz="0" w:space="0" w:color="auto"/>
                                        <w:bottom w:val="none" w:sz="0" w:space="0" w:color="auto"/>
                                        <w:right w:val="none" w:sz="0" w:space="0" w:color="auto"/>
                                      </w:divBdr>
                                      <w:divsChild>
                                        <w:div w:id="134836912">
                                          <w:marLeft w:val="0"/>
                                          <w:marRight w:val="0"/>
                                          <w:marTop w:val="0"/>
                                          <w:marBottom w:val="0"/>
                                          <w:divBdr>
                                            <w:top w:val="none" w:sz="0" w:space="0" w:color="auto"/>
                                            <w:left w:val="none" w:sz="0" w:space="0" w:color="auto"/>
                                            <w:bottom w:val="none" w:sz="0" w:space="0" w:color="auto"/>
                                            <w:right w:val="none" w:sz="0" w:space="0" w:color="auto"/>
                                          </w:divBdr>
                                          <w:divsChild>
                                            <w:div w:id="1441686959">
                                              <w:marLeft w:val="0"/>
                                              <w:marRight w:val="0"/>
                                              <w:marTop w:val="0"/>
                                              <w:marBottom w:val="0"/>
                                              <w:divBdr>
                                                <w:top w:val="none" w:sz="0" w:space="0" w:color="auto"/>
                                                <w:left w:val="none" w:sz="0" w:space="0" w:color="auto"/>
                                                <w:bottom w:val="none" w:sz="0" w:space="0" w:color="auto"/>
                                                <w:right w:val="none" w:sz="0" w:space="0" w:color="auto"/>
                                              </w:divBdr>
                                              <w:divsChild>
                                                <w:div w:id="20180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010765312">
      <w:bodyDiv w:val="1"/>
      <w:marLeft w:val="0"/>
      <w:marRight w:val="0"/>
      <w:marTop w:val="0"/>
      <w:marBottom w:val="0"/>
      <w:divBdr>
        <w:top w:val="none" w:sz="0" w:space="0" w:color="auto"/>
        <w:left w:val="none" w:sz="0" w:space="0" w:color="auto"/>
        <w:bottom w:val="none" w:sz="0" w:space="0" w:color="auto"/>
        <w:right w:val="none" w:sz="0" w:space="0" w:color="auto"/>
      </w:divBdr>
    </w:div>
    <w:div w:id="1153178038">
      <w:bodyDiv w:val="1"/>
      <w:marLeft w:val="0"/>
      <w:marRight w:val="0"/>
      <w:marTop w:val="0"/>
      <w:marBottom w:val="0"/>
      <w:divBdr>
        <w:top w:val="none" w:sz="0" w:space="0" w:color="auto"/>
        <w:left w:val="none" w:sz="0" w:space="0" w:color="auto"/>
        <w:bottom w:val="none" w:sz="0" w:space="0" w:color="auto"/>
        <w:right w:val="none" w:sz="0" w:space="0" w:color="auto"/>
      </w:divBdr>
    </w:div>
    <w:div w:id="200331469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inicaltrials.gov/"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clinicaltrials.gov/"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hyperlink" Target="http://abstracts.asco.org/199/AbstView_199_189860.html" TargetMode="External"/><Relationship Id="rId10" Type="http://schemas.openxmlformats.org/officeDocument/2006/relationships/hyperlink" Target="mailto:hta@health.gov.au"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scopubs.org/doi/pdf/10.1200/JCO.2016.67.97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4F8B2-B49F-48F3-A5A5-9ED868FC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9528</Words>
  <Characters>54311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63712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2017-09-06T06:42:00Z</dcterms:created>
  <dcterms:modified xsi:type="dcterms:W3CDTF">2017-10-03T04:49:00Z</dcterms:modified>
</cp:coreProperties>
</file>